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易方达创业板交易型开放式指数证券投资基金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易方达创业板ETF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创业板</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159915</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159915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交易型开放式（ETF）</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2011年9月20日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7,324,192,077.00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紧密跟踪标的指数，追求跟踪偏离度及跟踪误差的最小化。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采取完全复制法进行投资，即按照创业板指数的成份股组成及权重构建股票投资组合。但是当指数编制方法变更、成份股发生变更、成份股权重由于自由流通量调整而发生变化、成份股派发现金股息、配股及增发、股票长期停牌、市场流动性不足等情况发生时，基金管理人将对投资组合进行优化，尽量降低跟踪误差。本基金力争将日均跟踪偏离度控制在0.2%以内,年化跟踪误差控制在2%以内。本基金可以参与股指期货交易，但必须根据风险管理的原则，以套期保值为目的。</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创业板指数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本基金属股票型基金，预期风险与收益水平高于混合基金、债券基金与货币市场基金。本基金为指数型基金，采用完全复制法跟踪标的指数的表现，具有与标的指数相似的风险收益特征。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1,451,791,540.86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4,566,352,230.90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0.5335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17,261,173,879.49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2.3567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pPr>
        <w:spacing w:line="360" w:lineRule="auto"/>
        <w:ind w:firstLine="480" w:firstLineChars="200"/>
        <w:rPr>
          <w:color w:val="000000"/>
          <w:sz w:val="24"/>
          <w:szCs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3.本基金已于2011 年11月30 日进行了基金份额折算，折算比例为1.14558776。</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30.91%</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30.25%</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0.66%</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36.19%</w:t>
            </w:r>
          </w:p>
        </w:tc>
        <w:tc>
          <w:tcPr>
            <w:vAlign w:val="center"/>
          </w:tcPr>
          <w:p>
            <w:pPr>
              <w:jc w:val="center"/>
            </w:pPr>
            <w:r>
              <w:rPr>
                <w:color w:val="000000"/>
                <w:kern w:val="0"/>
                <w:sz w:val="24"/>
                <w:szCs w:val="24"/>
              </w:rPr>
              <w:t>2.05%</w:t>
            </w:r>
          </w:p>
        </w:tc>
        <w:tc>
          <w:tcPr>
            <w:vAlign w:val="center"/>
          </w:tcPr>
          <w:p>
            <w:pPr>
              <w:jc w:val="center"/>
            </w:pPr>
            <w:r>
              <w:rPr>
                <w:color w:val="000000"/>
                <w:kern w:val="0"/>
                <w:sz w:val="24"/>
                <w:szCs w:val="24"/>
              </w:rPr>
              <w:t>35.60%</w:t>
            </w:r>
          </w:p>
        </w:tc>
        <w:tc>
          <w:tcPr>
            <w:vAlign w:val="center"/>
          </w:tcPr>
          <w:p>
            <w:pPr>
              <w:jc w:val="center"/>
            </w:pPr>
            <w:r>
              <w:rPr>
                <w:color w:val="000000"/>
                <w:kern w:val="0"/>
                <w:sz w:val="24"/>
                <w:szCs w:val="24"/>
              </w:rPr>
              <w:t>2.05%</w:t>
            </w:r>
          </w:p>
        </w:tc>
        <w:tc>
          <w:tcPr>
            <w:vAlign w:val="center"/>
          </w:tcPr>
          <w:p>
            <w:pPr>
              <w:jc w:val="center"/>
            </w:pPr>
            <w:r>
              <w:rPr>
                <w:color w:val="000000"/>
                <w:kern w:val="0"/>
                <w:sz w:val="24"/>
                <w:szCs w:val="24"/>
              </w:rPr>
              <w:t>0.59%</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61.93%</w:t>
            </w:r>
          </w:p>
        </w:tc>
        <w:tc>
          <w:tcPr>
            <w:vAlign w:val="center"/>
          </w:tcPr>
          <w:p>
            <w:pPr>
              <w:jc w:val="center"/>
            </w:pPr>
            <w:r>
              <w:rPr>
                <w:color w:val="000000"/>
                <w:kern w:val="0"/>
                <w:sz w:val="24"/>
                <w:szCs w:val="24"/>
              </w:rPr>
              <w:t>1.67%</w:t>
            </w:r>
          </w:p>
        </w:tc>
        <w:tc>
          <w:tcPr>
            <w:vAlign w:val="center"/>
          </w:tcPr>
          <w:p>
            <w:pPr>
              <w:jc w:val="center"/>
            </w:pPr>
            <w:r>
              <w:rPr>
                <w:color w:val="000000"/>
                <w:kern w:val="0"/>
                <w:sz w:val="24"/>
                <w:szCs w:val="24"/>
              </w:rPr>
              <w:t>61.31%</w:t>
            </w:r>
          </w:p>
        </w:tc>
        <w:tc>
          <w:tcPr>
            <w:vAlign w:val="center"/>
          </w:tcPr>
          <w:p>
            <w:pPr>
              <w:jc w:val="center"/>
            </w:pPr>
            <w:r>
              <w:rPr>
                <w:color w:val="000000"/>
                <w:kern w:val="0"/>
                <w:sz w:val="24"/>
                <w:szCs w:val="24"/>
              </w:rPr>
              <w:t>1.67%</w:t>
            </w:r>
          </w:p>
        </w:tc>
        <w:tc>
          <w:tcPr>
            <w:vAlign w:val="center"/>
          </w:tcPr>
          <w:p>
            <w:pPr>
              <w:jc w:val="center"/>
            </w:pPr>
            <w:r>
              <w:rPr>
                <w:color w:val="000000"/>
                <w:kern w:val="0"/>
                <w:sz w:val="24"/>
                <w:szCs w:val="24"/>
              </w:rPr>
              <w:t>0.62%</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34.56%</w:t>
            </w:r>
          </w:p>
        </w:tc>
        <w:tc>
          <w:tcPr>
            <w:vAlign w:val="center"/>
          </w:tcPr>
          <w:p>
            <w:pPr>
              <w:jc w:val="center"/>
            </w:pPr>
            <w:r>
              <w:rPr>
                <w:color w:val="000000"/>
                <w:kern w:val="0"/>
                <w:sz w:val="24"/>
                <w:szCs w:val="24"/>
              </w:rPr>
              <w:t>1.67%</w:t>
            </w:r>
          </w:p>
        </w:tc>
        <w:tc>
          <w:tcPr>
            <w:vAlign w:val="center"/>
          </w:tcPr>
          <w:p>
            <w:pPr>
              <w:jc w:val="center"/>
            </w:pPr>
            <w:r>
              <w:rPr>
                <w:color w:val="000000"/>
                <w:kern w:val="0"/>
                <w:sz w:val="24"/>
                <w:szCs w:val="24"/>
              </w:rPr>
              <w:t>34.11%</w:t>
            </w:r>
          </w:p>
        </w:tc>
        <w:tc>
          <w:tcPr>
            <w:vAlign w:val="center"/>
          </w:tcPr>
          <w:p>
            <w:pPr>
              <w:jc w:val="center"/>
            </w:pPr>
            <w:r>
              <w:rPr>
                <w:color w:val="000000"/>
                <w:kern w:val="0"/>
                <w:sz w:val="24"/>
                <w:szCs w:val="24"/>
              </w:rPr>
              <w:t>1.68%</w:t>
            </w:r>
          </w:p>
        </w:tc>
        <w:tc>
          <w:tcPr>
            <w:vAlign w:val="center"/>
          </w:tcPr>
          <w:p>
            <w:pPr>
              <w:jc w:val="center"/>
            </w:pPr>
            <w:r>
              <w:rPr>
                <w:color w:val="000000"/>
                <w:kern w:val="0"/>
                <w:sz w:val="24"/>
                <w:szCs w:val="24"/>
              </w:rPr>
              <w:t>0.45%</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-12.47%</w:t>
            </w:r>
          </w:p>
        </w:tc>
        <w:tc>
          <w:tcPr>
            <w:vAlign w:val="center"/>
          </w:tcPr>
          <w:p>
            <w:pPr>
              <w:jc w:val="center"/>
            </w:pPr>
            <w:r>
              <w:rPr>
                <w:color w:val="000000"/>
                <w:kern w:val="0"/>
                <w:sz w:val="24"/>
                <w:szCs w:val="24"/>
              </w:rPr>
              <w:t>2.01%</w:t>
            </w:r>
          </w:p>
        </w:tc>
        <w:tc>
          <w:tcPr>
            <w:vAlign w:val="center"/>
          </w:tcPr>
          <w:p>
            <w:pPr>
              <w:jc w:val="center"/>
            </w:pPr>
            <w:r>
              <w:rPr>
                <w:color w:val="000000"/>
                <w:kern w:val="0"/>
                <w:sz w:val="24"/>
                <w:szCs w:val="24"/>
              </w:rPr>
              <w:t>-14.71%</w:t>
            </w:r>
          </w:p>
        </w:tc>
        <w:tc>
          <w:tcPr>
            <w:vAlign w:val="center"/>
          </w:tcPr>
          <w:p>
            <w:pPr>
              <w:jc w:val="center"/>
            </w:pPr>
            <w:r>
              <w:rPr>
                <w:color w:val="000000"/>
                <w:kern w:val="0"/>
                <w:sz w:val="24"/>
                <w:szCs w:val="24"/>
              </w:rPr>
              <w:t>1.97%</w:t>
            </w:r>
          </w:p>
        </w:tc>
        <w:tc>
          <w:tcPr>
            <w:vAlign w:val="center"/>
          </w:tcPr>
          <w:p>
            <w:pPr>
              <w:jc w:val="center"/>
            </w:pPr>
            <w:r>
              <w:rPr>
                <w:color w:val="000000"/>
                <w:kern w:val="0"/>
                <w:sz w:val="24"/>
                <w:szCs w:val="24"/>
              </w:rPr>
              <w:t>2.24%</w:t>
            </w:r>
          </w:p>
        </w:tc>
        <w:tc>
          <w:tcPr>
            <w:vAlign w:val="center"/>
          </w:tcPr>
          <w:p>
            <w:pPr>
              <w:jc w:val="center"/>
            </w:pPr>
            <w:r>
              <w:rPr>
                <w:color w:val="000000"/>
                <w:kern w:val="0"/>
                <w:sz w:val="24"/>
                <w:szCs w:val="24"/>
              </w:rPr>
              <w:t>0.04%</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169.98%</w:t>
            </w:r>
          </w:p>
        </w:tc>
        <w:tc>
          <w:tcPr>
            <w:vAlign w:val="center"/>
          </w:tcPr>
          <w:p>
            <w:pPr>
              <w:jc w:val="center"/>
            </w:pPr>
            <w:r>
              <w:rPr>
                <w:color w:val="000000"/>
                <w:kern w:val="0"/>
                <w:sz w:val="24"/>
                <w:szCs w:val="24"/>
              </w:rPr>
              <w:t>1.97%</w:t>
            </w:r>
          </w:p>
        </w:tc>
        <w:tc>
          <w:tcPr>
            <w:vAlign w:val="center"/>
          </w:tcPr>
          <w:p>
            <w:pPr>
              <w:jc w:val="center"/>
            </w:pPr>
            <w:r>
              <w:rPr>
                <w:color w:val="000000"/>
                <w:kern w:val="0"/>
                <w:sz w:val="24"/>
                <w:szCs w:val="24"/>
              </w:rPr>
              <w:t>185.27%</w:t>
            </w:r>
          </w:p>
        </w:tc>
        <w:tc>
          <w:tcPr>
            <w:vAlign w:val="center"/>
          </w:tcPr>
          <w:p>
            <w:pPr>
              <w:jc w:val="center"/>
            </w:pPr>
            <w:r>
              <w:rPr>
                <w:color w:val="000000"/>
                <w:kern w:val="0"/>
                <w:sz w:val="24"/>
                <w:szCs w:val="24"/>
              </w:rPr>
              <w:t>1.98%</w:t>
            </w:r>
          </w:p>
        </w:tc>
        <w:tc>
          <w:tcPr>
            <w:vAlign w:val="center"/>
          </w:tcPr>
          <w:p>
            <w:pPr>
              <w:jc w:val="center"/>
            </w:pPr>
            <w:r>
              <w:rPr>
                <w:color w:val="000000"/>
                <w:kern w:val="0"/>
                <w:sz w:val="24"/>
                <w:szCs w:val="24"/>
              </w:rPr>
              <w:t>-15.29%</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易方达创业板交易型开放式指数证券投资基金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2011年9月20日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注：自基金合同生效至报告期末，基金份额净值增长率为169.98%，同期业绩比较基准收益率为185.27%。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生物科技指数分级证券投资基金的基金经理（自2016年05月07日至2020年04月22日）、易方达中小板指数证券投资基金（LOF）的基金经理（自2016年05月07日至2020年04月22日）、易方达并购重组指数分级证券投资基金的基金经理（自2016年05月07日至2020年04月22日）、易方达深证100交易型开放式指数基金的基金经理、易方达银行指数分级证券投资基金的基金经理（自2016年05月07日至2020年04月22日）、易方达创业板交易型开放式指数证券投资基金联接基金的基金经理、易方达深证100交易型开放式指数证券投资基金联接基金的基金经理、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的基金经理、易方达原油证券投资基金（QDII）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2016-05-07</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深证100交易型开放式指数基金的基金经理、易方达银行指数分级证券投资基金的基金经理、易方达生物科技指数分级证券投资基金的基金经理、易方达并购重组指数分级证券投资基金的基金经理、易方达深证100交易型开放式指数证券投资基金联接基金的基金经理、易方达创业板交易型开放式指数证券投资基金联接基金的基金经理、易方达中小板指数证券投资基金（LOF）的基金经理、易方达标普500指数证券投资基金（LOF）的基金经理、易方达标普信息科技指数证券投资基金（LOF）的基金经理（自2018年08月11日至2020年04月22日）、易方达标普生物科技指数证券投资基金（LOF）的基金经理（自2018年08月11日至2020年04月22日）、易方达标普医疗保健指数证券投资基金（LOF）的基金经理（自2018年08月11日至2020年04月22日）、易方达上证中盘交易型开放式指数证券投资基金的基金经理、易方达上证中盘交易型开放式指数证券投资基金联接基金的基金经理、易方达香港恒生综合小型股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2017-07-18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本基金跟踪的标的指数为创业板指，创业板指由深圳创业板块中市值大、流动性好、最具代表性的100只股票组成，以综合反映创业板中最具影响力龙头企业的整体状况，集中体现了业绩高成长，新产业集中的创业板特征。本基金主要采取完全复制法，即完全按照标的指数的成份股组成及其权重构建基金股票投资组合，并根据标的指数成份股及其权重的变动而进行相应调整。</w:t>
      </w:r>
    </w:p>
    <w:p>
      <w:pPr>
        <w:spacing w:line="360" w:lineRule="auto"/>
        <w:ind w:firstLine="480" w:firstLineChars="200"/>
        <w:rPr>
          <w:color w:val="000000"/>
          <w:sz w:val="24"/>
          <w:szCs w:val="24"/>
        </w:rPr>
      </w:pPr>
      <w:r>
        <w:rPr>
          <w:color w:val="000000"/>
          <w:sz w:val="24"/>
          <w:szCs w:val="24"/>
        </w:rPr>
        <w:t>2020年二季度，A股市场虽然全面上涨，但是指数间收益分化较大。市场核心指数中，科技成长产业权重较高的创业板指和深证100表现较好，而价值指数中，沪深300和上证50表现相对一般。</w:t>
      </w:r>
    </w:p>
    <w:p>
      <w:pPr>
        <w:spacing w:line="360" w:lineRule="auto"/>
        <w:ind w:firstLine="480" w:firstLineChars="200"/>
        <w:rPr>
          <w:color w:val="000000"/>
          <w:sz w:val="24"/>
          <w:szCs w:val="24"/>
        </w:rPr>
      </w:pPr>
      <w:r>
        <w:rPr>
          <w:color w:val="000000"/>
          <w:sz w:val="24"/>
          <w:szCs w:val="24"/>
        </w:rPr>
        <w:t>整体来看，市场在经过3月份的调整之后，受宽裕流动性和科技自主扶持政策的驱动，资金对科技成长行业投入进一步提升，“赚钱效应”又进一步促进资金流入。除科技成长外，有确定性增长预期的消费和医药股也是资金流入热点。截至二季度末，上述科技、消费、医药的估值不仅充分反映了未来增长预期，而且普遍享有溢价。后期大概率有估值消化阶段，可能通过业绩增长及股价调整来实现。</w:t>
      </w:r>
    </w:p>
    <w:p>
      <w:pPr>
        <w:spacing w:line="360" w:lineRule="auto"/>
        <w:ind w:firstLine="480" w:firstLineChars="200"/>
        <w:rPr>
          <w:color w:val="000000"/>
          <w:sz w:val="24"/>
          <w:szCs w:val="24"/>
        </w:rPr>
      </w:pPr>
      <w:r>
        <w:rPr>
          <w:color w:val="000000"/>
          <w:sz w:val="24"/>
          <w:szCs w:val="24"/>
        </w:rPr>
        <w:t>报告期内，中国进入低利率加低增长的经济周期，资金会优先追逐业绩增速高、增长确定性高的个股。上半年上市公司业绩普遍受到疫情影响，增长放缓，虽然中国复工复产速度全球领先，但海外需求的降低也抑制了上市公司业绩增长。基于此，二季度市场的上涨更多还是由流动性推动的估值抬升。</w:t>
      </w:r>
    </w:p>
    <w:p>
      <w:pPr>
        <w:spacing w:line="360" w:lineRule="auto"/>
        <w:ind w:firstLine="480" w:firstLineChars="200"/>
        <w:rPr>
          <w:color w:val="000000"/>
          <w:sz w:val="24"/>
          <w:szCs w:val="24"/>
        </w:rPr>
      </w:pPr>
      <w:r>
        <w:rPr>
          <w:color w:val="000000"/>
          <w:sz w:val="24"/>
          <w:szCs w:val="24"/>
        </w:rPr>
        <w:t>2020年以来，A股整体表现为少数股的牛市，资产质量有保障，业绩增长确定性高的个股热度和估值预计会持续高位。估值高企虽然意味着长期配置性价比下降，但居高不下的热度也增加了短期交易机会。</w:t>
      </w:r>
    </w:p>
    <w:p>
      <w:pPr>
        <w:spacing w:line="360" w:lineRule="auto"/>
        <w:ind w:firstLine="480" w:firstLineChars="200"/>
        <w:rPr>
          <w:color w:val="000000"/>
          <w:sz w:val="24"/>
          <w:szCs w:val="24"/>
        </w:rPr>
      </w:pPr>
      <w:r>
        <w:rPr>
          <w:color w:val="000000"/>
          <w:sz w:val="24"/>
          <w:szCs w:val="24"/>
        </w:rPr>
        <w:t>创业板指数是典型的成长指数，目前成分股平均市值和资产质量高于创业板块平均水平，可视作创业板块中的优质蓝筹组合。截至二季度末，指数权重前5个行业分别为医药生物、电子、计算机、电子设备、传媒，合计占比接近80%。</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基金运作层面，报告期内，本基金严守基金合同认真对待投资者申购、赎回以及成分股调整事项，保障基金的正常运作，基金跟踪误差以及日均偏离度等指标控制在合同规定范围之内。</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截至报告期末，本基金份额净值为2.3567元，本报告期份额净值增长率为30.91%，同期业绩比较基准收益率为30.25%。本报告期，本基金日跟踪偏离度的均值为0.01%，年化跟踪误差0.47%，在合同规定的控制范围之内。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17,243,827,824.49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99.81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17,243,827,824.49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99.81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31,442,561.90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846,680.61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17,276,117,067.00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注：上表中的股票投资项含可退替代款估值增值，而5.2的合计项不含可退替代款估值增值。</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831,820,382.54</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4.82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9,807,707,367.82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56.82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25,170,198.52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0.15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3,170,579,180.85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18.37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922,549,210.60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5.34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130,087,627.80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0.75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529,564,487.26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3.07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97,974,677.64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0.57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1,068,752,554.05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659,620,664.41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3.82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17,243,826,351.49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99.90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300750</w:t>
            </w:r>
          </w:p>
        </w:tc>
        <w:tc>
          <w:tcPr>
            <w:vAlign w:val="center"/>
          </w:tcPr>
          <w:p>
            <w:pPr>
              <w:jc w:val="center"/>
            </w:pPr>
            <w:r>
              <w:rPr>
                <w:color w:val="000000"/>
                <w:kern w:val="0"/>
                <w:sz w:val="24"/>
                <w:szCs w:val="24"/>
              </w:rPr>
              <w:t>宁德时代</w:t>
            </w:r>
          </w:p>
        </w:tc>
        <w:tc>
          <w:tcPr>
            <w:vAlign w:val="center"/>
          </w:tcPr>
          <w:p>
            <w:pPr>
              <w:jc w:val="right"/>
            </w:pPr>
            <w:r>
              <w:rPr>
                <w:color w:val="000000"/>
                <w:kern w:val="0"/>
                <w:sz w:val="24"/>
                <w:szCs w:val="24"/>
              </w:rPr>
              <w:t>6,187,212</w:t>
            </w:r>
          </w:p>
        </w:tc>
        <w:tc>
          <w:tcPr>
            <w:vAlign w:val="center"/>
          </w:tcPr>
          <w:p>
            <w:pPr>
              <w:jc w:val="right"/>
            </w:pPr>
            <w:r>
              <w:rPr>
                <w:color w:val="000000"/>
                <w:kern w:val="0"/>
                <w:sz w:val="24"/>
                <w:szCs w:val="24"/>
              </w:rPr>
              <w:t>1,078,802,284.32</w:t>
            </w:r>
          </w:p>
        </w:tc>
        <w:tc>
          <w:tcPr>
            <w:vAlign w:val="center"/>
          </w:tcPr>
          <w:p>
            <w:pPr>
              <w:jc w:val="right"/>
            </w:pPr>
            <w:r>
              <w:rPr>
                <w:color w:val="000000"/>
                <w:kern w:val="0"/>
                <w:sz w:val="24"/>
                <w:szCs w:val="24"/>
              </w:rPr>
              <w:t>6.25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300760</w:t>
            </w:r>
          </w:p>
        </w:tc>
        <w:tc>
          <w:tcPr>
            <w:vAlign w:val="center"/>
          </w:tcPr>
          <w:p>
            <w:pPr>
              <w:jc w:val="center"/>
            </w:pPr>
            <w:r>
              <w:rPr>
                <w:color w:val="000000"/>
                <w:kern w:val="0"/>
                <w:sz w:val="24"/>
                <w:szCs w:val="24"/>
              </w:rPr>
              <w:t>迈瑞医疗</w:t>
            </w:r>
          </w:p>
        </w:tc>
        <w:tc>
          <w:tcPr>
            <w:vAlign w:val="center"/>
          </w:tcPr>
          <w:p>
            <w:pPr>
              <w:jc w:val="right"/>
            </w:pPr>
            <w:r>
              <w:rPr>
                <w:color w:val="000000"/>
                <w:kern w:val="0"/>
                <w:sz w:val="24"/>
                <w:szCs w:val="24"/>
              </w:rPr>
              <w:t>3,088,690</w:t>
            </w:r>
          </w:p>
        </w:tc>
        <w:tc>
          <w:tcPr>
            <w:vAlign w:val="center"/>
          </w:tcPr>
          <w:p>
            <w:pPr>
              <w:jc w:val="right"/>
            </w:pPr>
            <w:r>
              <w:rPr>
                <w:color w:val="000000"/>
                <w:kern w:val="0"/>
                <w:sz w:val="24"/>
                <w:szCs w:val="24"/>
              </w:rPr>
              <w:t>944,212,533.00</w:t>
            </w:r>
          </w:p>
        </w:tc>
        <w:tc>
          <w:tcPr>
            <w:vAlign w:val="center"/>
          </w:tcPr>
          <w:p>
            <w:pPr>
              <w:jc w:val="right"/>
            </w:pPr>
            <w:r>
              <w:rPr>
                <w:color w:val="000000"/>
                <w:kern w:val="0"/>
                <w:sz w:val="24"/>
                <w:szCs w:val="24"/>
              </w:rPr>
              <w:t>5.47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300059</w:t>
            </w:r>
          </w:p>
        </w:tc>
        <w:tc>
          <w:tcPr>
            <w:vAlign w:val="center"/>
          </w:tcPr>
          <w:p>
            <w:pPr>
              <w:jc w:val="center"/>
            </w:pPr>
            <w:r>
              <w:rPr>
                <w:color w:val="000000"/>
                <w:kern w:val="0"/>
                <w:sz w:val="24"/>
                <w:szCs w:val="24"/>
              </w:rPr>
              <w:t>东方财富</w:t>
            </w:r>
          </w:p>
        </w:tc>
        <w:tc>
          <w:tcPr>
            <w:vAlign w:val="center"/>
          </w:tcPr>
          <w:p>
            <w:pPr>
              <w:jc w:val="right"/>
            </w:pPr>
            <w:r>
              <w:rPr>
                <w:color w:val="000000"/>
                <w:kern w:val="0"/>
                <w:sz w:val="24"/>
                <w:szCs w:val="24"/>
              </w:rPr>
              <w:t>45,670,753</w:t>
            </w:r>
          </w:p>
        </w:tc>
        <w:tc>
          <w:tcPr>
            <w:vAlign w:val="center"/>
          </w:tcPr>
          <w:p>
            <w:pPr>
              <w:jc w:val="right"/>
            </w:pPr>
            <w:r>
              <w:rPr>
                <w:color w:val="000000"/>
                <w:kern w:val="0"/>
                <w:sz w:val="24"/>
                <w:szCs w:val="24"/>
              </w:rPr>
              <w:t>922,549,210.60</w:t>
            </w:r>
          </w:p>
        </w:tc>
        <w:tc>
          <w:tcPr>
            <w:vAlign w:val="center"/>
          </w:tcPr>
          <w:p>
            <w:pPr>
              <w:jc w:val="right"/>
            </w:pPr>
            <w:r>
              <w:rPr>
                <w:color w:val="000000"/>
                <w:kern w:val="0"/>
                <w:sz w:val="24"/>
                <w:szCs w:val="24"/>
              </w:rPr>
              <w:t>5.34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300498</w:t>
            </w:r>
          </w:p>
        </w:tc>
        <w:tc>
          <w:tcPr>
            <w:vAlign w:val="center"/>
          </w:tcPr>
          <w:p>
            <w:pPr>
              <w:jc w:val="center"/>
            </w:pPr>
            <w:r>
              <w:rPr>
                <w:color w:val="000000"/>
                <w:kern w:val="0"/>
                <w:sz w:val="24"/>
                <w:szCs w:val="24"/>
              </w:rPr>
              <w:t>温氏股份</w:t>
            </w:r>
          </w:p>
        </w:tc>
        <w:tc>
          <w:tcPr>
            <w:vAlign w:val="center"/>
          </w:tcPr>
          <w:p>
            <w:pPr>
              <w:jc w:val="right"/>
            </w:pPr>
            <w:r>
              <w:rPr>
                <w:color w:val="000000"/>
                <w:kern w:val="0"/>
                <w:sz w:val="24"/>
                <w:szCs w:val="24"/>
              </w:rPr>
              <w:t>36,844,654</w:t>
            </w:r>
          </w:p>
        </w:tc>
        <w:tc>
          <w:tcPr>
            <w:vAlign w:val="center"/>
          </w:tcPr>
          <w:p>
            <w:pPr>
              <w:jc w:val="right"/>
            </w:pPr>
            <w:r>
              <w:rPr>
                <w:color w:val="000000"/>
                <w:kern w:val="0"/>
                <w:sz w:val="24"/>
                <w:szCs w:val="24"/>
              </w:rPr>
              <w:t>803,213,457.20</w:t>
            </w:r>
          </w:p>
        </w:tc>
        <w:tc>
          <w:tcPr>
            <w:vAlign w:val="center"/>
          </w:tcPr>
          <w:p>
            <w:pPr>
              <w:jc w:val="right"/>
            </w:pPr>
            <w:r>
              <w:rPr>
                <w:color w:val="000000"/>
                <w:kern w:val="0"/>
                <w:sz w:val="24"/>
                <w:szCs w:val="24"/>
              </w:rPr>
              <w:t>4.65</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300142</w:t>
            </w:r>
          </w:p>
        </w:tc>
        <w:tc>
          <w:tcPr>
            <w:vAlign w:val="center"/>
          </w:tcPr>
          <w:p>
            <w:pPr>
              <w:jc w:val="center"/>
            </w:pPr>
            <w:r>
              <w:rPr>
                <w:color w:val="000000"/>
                <w:kern w:val="0"/>
                <w:sz w:val="24"/>
                <w:szCs w:val="24"/>
              </w:rPr>
              <w:t>沃森生物</w:t>
            </w:r>
          </w:p>
        </w:tc>
        <w:tc>
          <w:tcPr>
            <w:vAlign w:val="center"/>
          </w:tcPr>
          <w:p>
            <w:pPr>
              <w:jc w:val="right"/>
            </w:pPr>
            <w:r>
              <w:rPr>
                <w:color w:val="000000"/>
                <w:kern w:val="0"/>
                <w:sz w:val="24"/>
                <w:szCs w:val="24"/>
              </w:rPr>
              <w:t>11,013,789</w:t>
            </w:r>
          </w:p>
        </w:tc>
        <w:tc>
          <w:tcPr>
            <w:vAlign w:val="center"/>
          </w:tcPr>
          <w:p>
            <w:pPr>
              <w:jc w:val="right"/>
            </w:pPr>
            <w:r>
              <w:rPr>
                <w:color w:val="000000"/>
                <w:kern w:val="0"/>
                <w:sz w:val="24"/>
                <w:szCs w:val="24"/>
              </w:rPr>
              <w:t>576,681,992.04</w:t>
            </w:r>
          </w:p>
        </w:tc>
        <w:tc>
          <w:tcPr>
            <w:vAlign w:val="center"/>
          </w:tcPr>
          <w:p>
            <w:pPr>
              <w:jc w:val="right"/>
            </w:pPr>
            <w:r>
              <w:rPr>
                <w:color w:val="000000"/>
                <w:kern w:val="0"/>
                <w:sz w:val="24"/>
                <w:szCs w:val="24"/>
              </w:rPr>
              <w:t>3.34</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300015</w:t>
            </w:r>
          </w:p>
        </w:tc>
        <w:tc>
          <w:tcPr>
            <w:vAlign w:val="center"/>
          </w:tcPr>
          <w:p>
            <w:pPr>
              <w:jc w:val="center"/>
            </w:pPr>
            <w:r>
              <w:rPr>
                <w:color w:val="000000"/>
                <w:kern w:val="0"/>
                <w:sz w:val="24"/>
                <w:szCs w:val="24"/>
              </w:rPr>
              <w:t>爱尔眼科</w:t>
            </w:r>
          </w:p>
        </w:tc>
        <w:tc>
          <w:tcPr>
            <w:vAlign w:val="center"/>
          </w:tcPr>
          <w:p>
            <w:pPr>
              <w:jc w:val="right"/>
            </w:pPr>
            <w:r>
              <w:rPr>
                <w:color w:val="000000"/>
                <w:kern w:val="0"/>
                <w:sz w:val="24"/>
                <w:szCs w:val="24"/>
              </w:rPr>
              <w:t>12,834,655</w:t>
            </w:r>
          </w:p>
        </w:tc>
        <w:tc>
          <w:tcPr>
            <w:vAlign w:val="center"/>
          </w:tcPr>
          <w:p>
            <w:pPr>
              <w:jc w:val="right"/>
            </w:pPr>
            <w:r>
              <w:rPr>
                <w:color w:val="000000"/>
                <w:kern w:val="0"/>
                <w:sz w:val="24"/>
                <w:szCs w:val="24"/>
              </w:rPr>
              <w:t>557,665,759.75</w:t>
            </w:r>
          </w:p>
        </w:tc>
        <w:tc>
          <w:tcPr>
            <w:vAlign w:val="center"/>
          </w:tcPr>
          <w:p>
            <w:pPr>
              <w:jc w:val="right"/>
            </w:pPr>
            <w:r>
              <w:rPr>
                <w:color w:val="000000"/>
                <w:kern w:val="0"/>
                <w:sz w:val="24"/>
                <w:szCs w:val="24"/>
              </w:rPr>
              <w:t>3.23</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9,130,216</w:t>
            </w:r>
          </w:p>
        </w:tc>
        <w:tc>
          <w:tcPr>
            <w:vAlign w:val="center"/>
          </w:tcPr>
          <w:p>
            <w:pPr>
              <w:jc w:val="right"/>
            </w:pPr>
            <w:r>
              <w:rPr>
                <w:color w:val="000000"/>
                <w:kern w:val="0"/>
                <w:sz w:val="24"/>
                <w:szCs w:val="24"/>
              </w:rPr>
              <w:t>436,880,835.60</w:t>
            </w:r>
          </w:p>
        </w:tc>
        <w:tc>
          <w:tcPr>
            <w:vAlign w:val="center"/>
          </w:tcPr>
          <w:p>
            <w:pPr>
              <w:jc w:val="right"/>
            </w:pPr>
            <w:r>
              <w:rPr>
                <w:color w:val="000000"/>
                <w:kern w:val="0"/>
                <w:sz w:val="24"/>
                <w:szCs w:val="24"/>
              </w:rPr>
              <w:t>2.53</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300122</w:t>
            </w:r>
          </w:p>
        </w:tc>
        <w:tc>
          <w:tcPr>
            <w:vAlign w:val="center"/>
          </w:tcPr>
          <w:p>
            <w:pPr>
              <w:jc w:val="center"/>
            </w:pPr>
            <w:r>
              <w:rPr>
                <w:color w:val="000000"/>
                <w:kern w:val="0"/>
                <w:sz w:val="24"/>
                <w:szCs w:val="24"/>
              </w:rPr>
              <w:t>智飞生物</w:t>
            </w:r>
          </w:p>
        </w:tc>
        <w:tc>
          <w:tcPr>
            <w:vAlign w:val="center"/>
          </w:tcPr>
          <w:p>
            <w:pPr>
              <w:jc w:val="right"/>
            </w:pPr>
            <w:r>
              <w:rPr>
                <w:color w:val="000000"/>
                <w:kern w:val="0"/>
                <w:sz w:val="24"/>
                <w:szCs w:val="24"/>
              </w:rPr>
              <w:t>4,145,970</w:t>
            </w:r>
          </w:p>
        </w:tc>
        <w:tc>
          <w:tcPr>
            <w:vAlign w:val="center"/>
          </w:tcPr>
          <w:p>
            <w:pPr>
              <w:jc w:val="right"/>
            </w:pPr>
            <w:r>
              <w:rPr>
                <w:color w:val="000000"/>
                <w:kern w:val="0"/>
                <w:sz w:val="24"/>
                <w:szCs w:val="24"/>
              </w:rPr>
              <w:t>415,218,895.50</w:t>
            </w:r>
          </w:p>
        </w:tc>
        <w:tc>
          <w:tcPr>
            <w:vAlign w:val="center"/>
          </w:tcPr>
          <w:p>
            <w:pPr>
              <w:jc w:val="right"/>
            </w:pPr>
            <w:r>
              <w:rPr>
                <w:color w:val="000000"/>
                <w:kern w:val="0"/>
                <w:sz w:val="24"/>
                <w:szCs w:val="24"/>
              </w:rPr>
              <w:t>2.41</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300347</w:t>
            </w:r>
          </w:p>
        </w:tc>
        <w:tc>
          <w:tcPr>
            <w:vAlign w:val="center"/>
          </w:tcPr>
          <w:p>
            <w:pPr>
              <w:jc w:val="center"/>
            </w:pPr>
            <w:r>
              <w:rPr>
                <w:color w:val="000000"/>
                <w:kern w:val="0"/>
                <w:sz w:val="24"/>
                <w:szCs w:val="24"/>
              </w:rPr>
              <w:t>泰格医药</w:t>
            </w:r>
          </w:p>
        </w:tc>
        <w:tc>
          <w:tcPr>
            <w:vAlign w:val="center"/>
          </w:tcPr>
          <w:p>
            <w:pPr>
              <w:jc w:val="right"/>
            </w:pPr>
            <w:r>
              <w:rPr>
                <w:color w:val="000000"/>
                <w:kern w:val="0"/>
                <w:sz w:val="24"/>
                <w:szCs w:val="24"/>
              </w:rPr>
              <w:t>3,902,095</w:t>
            </w:r>
          </w:p>
        </w:tc>
        <w:tc>
          <w:tcPr>
            <w:vAlign w:val="center"/>
          </w:tcPr>
          <w:p>
            <w:pPr>
              <w:jc w:val="right"/>
            </w:pPr>
            <w:r>
              <w:rPr>
                <w:color w:val="000000"/>
                <w:kern w:val="0"/>
                <w:sz w:val="24"/>
                <w:szCs w:val="24"/>
              </w:rPr>
              <w:t>397,545,438.60</w:t>
            </w:r>
          </w:p>
        </w:tc>
        <w:tc>
          <w:tcPr>
            <w:vAlign w:val="center"/>
          </w:tcPr>
          <w:p>
            <w:pPr>
              <w:jc w:val="right"/>
            </w:pPr>
            <w:r>
              <w:rPr>
                <w:color w:val="000000"/>
                <w:kern w:val="0"/>
                <w:sz w:val="24"/>
                <w:szCs w:val="24"/>
              </w:rPr>
              <w:t>2.30</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300601</w:t>
            </w:r>
          </w:p>
        </w:tc>
        <w:tc>
          <w:tcPr>
            <w:vAlign w:val="center"/>
          </w:tcPr>
          <w:p>
            <w:pPr>
              <w:jc w:val="center"/>
            </w:pPr>
            <w:r>
              <w:rPr>
                <w:color w:val="000000"/>
                <w:kern w:val="0"/>
                <w:sz w:val="24"/>
                <w:szCs w:val="24"/>
              </w:rPr>
              <w:t>康泰生物</w:t>
            </w:r>
          </w:p>
        </w:tc>
        <w:tc>
          <w:tcPr>
            <w:vAlign w:val="center"/>
          </w:tcPr>
          <w:p>
            <w:pPr>
              <w:jc w:val="right"/>
            </w:pPr>
            <w:r>
              <w:rPr>
                <w:color w:val="000000"/>
                <w:kern w:val="0"/>
                <w:sz w:val="24"/>
                <w:szCs w:val="24"/>
              </w:rPr>
              <w:t>2,235,202</w:t>
            </w:r>
          </w:p>
        </w:tc>
        <w:tc>
          <w:tcPr>
            <w:vAlign w:val="center"/>
          </w:tcPr>
          <w:p>
            <w:pPr>
              <w:jc w:val="right"/>
            </w:pPr>
            <w:r>
              <w:rPr>
                <w:color w:val="000000"/>
                <w:kern w:val="0"/>
                <w:sz w:val="24"/>
                <w:szCs w:val="24"/>
              </w:rPr>
              <w:t>362,460,356.32</w:t>
            </w:r>
          </w:p>
        </w:tc>
        <w:tc>
          <w:tcPr>
            <w:vAlign w:val="center"/>
          </w:tcPr>
          <w:p>
            <w:pPr>
              <w:jc w:val="right"/>
            </w:pPr>
            <w:r>
              <w:rPr>
                <w:color w:val="000000"/>
                <w:kern w:val="0"/>
                <w:sz w:val="24"/>
                <w:szCs w:val="24"/>
              </w:rPr>
              <w:t>2.10</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321,431.43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522,399.56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2,849.62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846,680.61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10,008,034,624.00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3,040,000,000.00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5,723,842,547.00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7,324,192,077.00</w:t>
            </w:r>
          </w:p>
        </w:tc>
      </w:tr>
    </w:tbl>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注：期初基金总份额包含场外份额348,579,688份；期末基金总份额包含场外份额34,737,141份；总赎回份额包含场外总赎回份额313,842,547份。</w:t>
      </w:r>
    </w:p>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sz w:val="24"/>
                <w:szCs w:val="24"/>
              </w:rPr>
              <w:t/>
            </w:r>
            <w:r>
              <w:rPr>
                <w:sz w:val="24"/>
                <w:szCs w:val="24"/>
              </w:rPr>
              <w:t>中国工商银行股份有限公司－易方达创业板交易型开放式指数证券投资基金联接基金</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2,584,753,575.00</w:t>
            </w:r>
          </w:p>
        </w:tc>
        <w:tc>
          <w:tcPr>
            <w:vAlign w:val="center"/>
          </w:tcPr>
          <w:p>
            <w:pPr>
              <w:jc w:val="center"/>
            </w:pPr>
            <w:r>
              <w:rPr>
                <w:sz w:val="24"/>
                <w:szCs w:val="24"/>
              </w:rPr>
              <w:t>193,399,916.00</w:t>
            </w:r>
          </w:p>
        </w:tc>
        <w:tc>
          <w:tcPr>
            <w:vAlign w:val="center"/>
          </w:tcPr>
          <w:p>
            <w:pPr>
              <w:jc w:val="center"/>
            </w:pPr>
            <w:r>
              <w:rPr>
                <w:sz w:val="24"/>
                <w:szCs w:val="24"/>
              </w:rPr>
              <w:t>517,657,896.00</w:t>
            </w:r>
          </w:p>
        </w:tc>
        <w:tc>
          <w:tcPr>
            <w:vAlign w:val="center"/>
          </w:tcPr>
          <w:p>
            <w:pPr>
              <w:jc w:val="center"/>
            </w:pPr>
            <w:r>
              <w:rPr>
                <w:sz w:val="24"/>
                <w:szCs w:val="24"/>
              </w:rPr>
              <w:t>2,260,495,595.00</w:t>
            </w:r>
          </w:p>
        </w:tc>
        <w:tc>
          <w:tcPr>
            <w:vAlign w:val="center"/>
          </w:tcPr>
          <w:p>
            <w:pPr>
              <w:jc w:val="center"/>
            </w:pPr>
            <w:r>
              <w:rPr>
                <w:sz w:val="24"/>
                <w:szCs w:val="24"/>
              </w:rPr>
              <w:t>30.86%</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 中国证监会核准易方达创业板交易型开放式指数证券投资基金募集的文件；</w:t>
      </w:r>
    </w:p>
    <w:p>
      <w:pPr>
        <w:spacing w:line="360" w:lineRule="auto"/>
        <w:ind w:firstLine="480" w:firstLineChars="200"/>
        <w:rPr>
          <w:color w:val="000000"/>
          <w:sz w:val="24"/>
          <w:szCs w:val="24"/>
        </w:rPr>
      </w:pPr>
      <w:r>
        <w:rPr>
          <w:color w:val="000000"/>
          <w:sz w:val="24"/>
          <w:szCs w:val="24"/>
        </w:rPr>
        <w:t xml:space="preserve">2. 《易方达创业板交易型开放式指数证券投资基金基金合同》； </w:t>
      </w:r>
    </w:p>
    <w:p>
      <w:pPr>
        <w:spacing w:line="360" w:lineRule="auto"/>
        <w:ind w:firstLine="480" w:firstLineChars="200"/>
        <w:rPr>
          <w:color w:val="000000"/>
          <w:sz w:val="24"/>
          <w:szCs w:val="24"/>
        </w:rPr>
      </w:pPr>
      <w:r>
        <w:rPr>
          <w:color w:val="000000"/>
          <w:sz w:val="24"/>
          <w:szCs w:val="24"/>
        </w:rPr>
        <w:t>3. 《易方达创业板交易型开放式指数证券投资基金托管协议》；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 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易方达创业板交易型开放式指数证券投资基金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