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易方达深证100交易型开放式指数基金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易方达深证100ETF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深100ETF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159901</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159901</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2006年3月24日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1,382,565,763.00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紧密跟踪目标指数，追求跟踪偏离度及跟踪误差的最小化。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况导致无法获得足够数量的股票时，基金管理人将采用优化方法计算最优化投资组合的个股权重比例，以此构建本基金实际的投资组合，追求尽可能贴近目标指数的表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深证100价格指数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310,751,033.03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1,623,229,842.06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1.0861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8,299,427,175.44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6.0029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pPr>
        <w:spacing w:line="360" w:lineRule="auto"/>
        <w:ind w:firstLine="480" w:firstLineChars="200"/>
        <w:rPr>
          <w:color w:val="000000"/>
          <w:sz w:val="24"/>
          <w:szCs w:val="24"/>
        </w:rPr>
      </w:pPr>
      <w:r>
        <w:rPr>
          <w:color w:val="000000"/>
          <w:sz w:val="24"/>
        </w:rPr>
        <w:t>3. 本基金已于2006年4月14日进行了基金份额折算，折算比例为0.94948342。</w:t>
      </w:r>
    </w:p>
    <w:p>
      <w:pPr>
        <w:spacing w:line="360" w:lineRule="auto"/>
        <w:ind w:firstLine="480" w:firstLineChars="200"/>
        <w:rPr>
          <w:color w:val="000000"/>
          <w:sz w:val="24"/>
          <w:szCs w:val="24"/>
        </w:rPr>
      </w:pPr>
      <w:r>
        <w:rPr>
          <w:color w:val="000000"/>
          <w:sz w:val="24"/>
        </w:rPr>
        <w:t>4. 本基金已于2010年11月19日进行了基金份额拆分，拆分比例为5:1，即每一份基金份额拆成5份。</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5.本基金已于2014年8月29日进行了基金份额合并，合并比例为0.2:1，即每5份基金份额合并成1份。</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22.64%</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21.83%</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15.40%</w:t>
            </w:r>
          </w:p>
        </w:tc>
        <w:tc>
          <w:tcPr>
            <w:vAlign w:val="center"/>
          </w:tcPr>
          <w:p>
            <w:pPr>
              <w:jc w:val="center"/>
            </w:pPr>
            <w:r>
              <w:rPr>
                <w:color w:val="000000"/>
                <w:kern w:val="0"/>
                <w:sz w:val="24"/>
                <w:szCs w:val="24"/>
              </w:rPr>
              <w:t>1.79%</w:t>
            </w:r>
          </w:p>
        </w:tc>
        <w:tc>
          <w:tcPr>
            <w:vAlign w:val="center"/>
          </w:tcPr>
          <w:p>
            <w:pPr>
              <w:jc w:val="center"/>
            </w:pPr>
            <w:r>
              <w:rPr>
                <w:color w:val="000000"/>
                <w:kern w:val="0"/>
                <w:sz w:val="24"/>
                <w:szCs w:val="24"/>
              </w:rPr>
              <w:t>14.71%</w:t>
            </w:r>
          </w:p>
        </w:tc>
        <w:tc>
          <w:tcPr>
            <w:vAlign w:val="center"/>
          </w:tcPr>
          <w:p>
            <w:pPr>
              <w:jc w:val="center"/>
            </w:pPr>
            <w:r>
              <w:rPr>
                <w:color w:val="000000"/>
                <w:kern w:val="0"/>
                <w:sz w:val="24"/>
                <w:szCs w:val="24"/>
              </w:rPr>
              <w:t>1.79%</w:t>
            </w:r>
          </w:p>
        </w:tc>
        <w:tc>
          <w:tcPr>
            <w:vAlign w:val="center"/>
          </w:tcPr>
          <w:p>
            <w:pPr>
              <w:jc w:val="center"/>
            </w:pPr>
            <w:r>
              <w:rPr>
                <w:color w:val="000000"/>
                <w:kern w:val="0"/>
                <w:sz w:val="24"/>
                <w:szCs w:val="24"/>
              </w:rPr>
              <w:t>0.69%</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34.77%</w:t>
            </w:r>
          </w:p>
        </w:tc>
        <w:tc>
          <w:tcPr>
            <w:vAlign w:val="center"/>
          </w:tcPr>
          <w:p>
            <w:pPr>
              <w:jc w:val="center"/>
            </w:pPr>
            <w:r>
              <w:rPr>
                <w:color w:val="000000"/>
                <w:kern w:val="0"/>
                <w:sz w:val="24"/>
                <w:szCs w:val="24"/>
              </w:rPr>
              <w:t>1.44%</w:t>
            </w:r>
          </w:p>
        </w:tc>
        <w:tc>
          <w:tcPr>
            <w:vAlign w:val="center"/>
          </w:tcPr>
          <w:p>
            <w:pPr>
              <w:jc w:val="center"/>
            </w:pPr>
            <w:r>
              <w:rPr>
                <w:color w:val="000000"/>
                <w:kern w:val="0"/>
                <w:sz w:val="24"/>
                <w:szCs w:val="24"/>
              </w:rPr>
              <w:t>33.38%</w:t>
            </w:r>
          </w:p>
        </w:tc>
        <w:tc>
          <w:tcPr>
            <w:vAlign w:val="center"/>
          </w:tcPr>
          <w:p>
            <w:pPr>
              <w:jc w:val="center"/>
            </w:pPr>
            <w:r>
              <w:rPr>
                <w:color w:val="000000"/>
                <w:kern w:val="0"/>
                <w:sz w:val="24"/>
                <w:szCs w:val="24"/>
              </w:rPr>
              <w:t>1.45%</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34.03%</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30.31%</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3.72%</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13.06%</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6.78%</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6.28%</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487.32%</w:t>
            </w:r>
          </w:p>
        </w:tc>
        <w:tc>
          <w:tcPr>
            <w:vAlign w:val="center"/>
          </w:tcPr>
          <w:p>
            <w:pPr>
              <w:jc w:val="center"/>
            </w:pPr>
            <w:r>
              <w:rPr>
                <w:color w:val="000000"/>
                <w:kern w:val="0"/>
                <w:sz w:val="24"/>
                <w:szCs w:val="24"/>
              </w:rPr>
              <w:t>1.84%</w:t>
            </w:r>
          </w:p>
        </w:tc>
        <w:tc>
          <w:tcPr>
            <w:vAlign w:val="center"/>
          </w:tcPr>
          <w:p>
            <w:pPr>
              <w:jc w:val="center"/>
            </w:pPr>
            <w:r>
              <w:rPr>
                <w:color w:val="000000"/>
                <w:kern w:val="0"/>
                <w:sz w:val="24"/>
                <w:szCs w:val="24"/>
              </w:rPr>
              <w:t>430.20%</w:t>
            </w:r>
          </w:p>
        </w:tc>
        <w:tc>
          <w:tcPr>
            <w:vAlign w:val="center"/>
          </w:tcPr>
          <w:p>
            <w:pPr>
              <w:jc w:val="center"/>
            </w:pPr>
            <w:r>
              <w:rPr>
                <w:color w:val="000000"/>
                <w:kern w:val="0"/>
                <w:sz w:val="24"/>
                <w:szCs w:val="24"/>
              </w:rPr>
              <w:t>1.85%</w:t>
            </w:r>
          </w:p>
        </w:tc>
        <w:tc>
          <w:tcPr>
            <w:vAlign w:val="center"/>
          </w:tcPr>
          <w:p>
            <w:pPr>
              <w:jc w:val="center"/>
            </w:pPr>
            <w:r>
              <w:rPr>
                <w:color w:val="000000"/>
                <w:kern w:val="0"/>
                <w:sz w:val="24"/>
                <w:szCs w:val="24"/>
              </w:rPr>
              <w:t>57.12%</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易方达深证100交易型开放式指数基金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2006年3月24日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注：自基金合同生效至报告期末，基金份额净值增长率为487.32%，同期业绩比较基准收益率为430.20%。</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生物科技指数分级证券投资基金的基金经理（自2016年05月07日至2020年04月22日）、易方达中小板指数证券投资基金（LOF）的基金经理（自2016年05月07日至2020年04月22日）、易方达并购重组指数分级证券投资基金的基金经理（自2016年05月07日至2020年04月22日）、易方达创业板交易型开放式指数证券投资基金的基金经理、易方达银行指数分级证券投资基金的基金经理（自2016年05月07日至2020年04月22日）、易方达创业板交易型开放式指数证券投资基金联接基金的基金经理、易方达深证100交易型开放式指数证券投资基金联接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的基金经理、易方达银行指数分级证券投资基金的基金经理、易方达生物科技指数分级证券投资基金的基金经理、易方达并购重组指数分级证券投资基金的基金经理、易方达深证100交易型开放式指数证券投资基金联接基金的基金经理、易方达创业板交易型开放式指数证券投资基金联接基金的基金经理、易方达中小板指数证券投资基金（LOF）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本基金跟踪的标的指数为深证100指数，深证100指数由深圳证券市场规模大、流动性好、最具代表性的100只股票组成，以综合反映深圳证券市场最具影响力的一批龙头企业的整体状况。本基金主要采取完全复制法，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szCs w:val="24"/>
        </w:rPr>
      </w:pPr>
      <w:r>
        <w:rPr>
          <w:color w:val="000000"/>
          <w:sz w:val="24"/>
          <w:szCs w:val="24"/>
        </w:rPr>
        <w:t>2020年二季度，A股市场虽然全面上涨，但是指数间收益分化较大。市场核心指数中，科技成长产业权重较高的创业板指和深证100表现较好，而价值指数中，沪深300和上证50表现相对一般。</w:t>
      </w:r>
    </w:p>
    <w:p>
      <w:pPr>
        <w:spacing w:line="360" w:lineRule="auto"/>
        <w:ind w:firstLine="480" w:firstLineChars="200"/>
        <w:rPr>
          <w:color w:val="000000"/>
          <w:sz w:val="24"/>
          <w:szCs w:val="24"/>
        </w:rPr>
      </w:pPr>
      <w:r>
        <w:rPr>
          <w:color w:val="000000"/>
          <w:sz w:val="24"/>
          <w:szCs w:val="24"/>
        </w:rPr>
        <w:t>整体来看，市场在经过3月份的调整之后，受宽裕流动性和科技自主扶持政策的驱动，资金对科技成长行业投入进一步提升，“赚钱效应”又进一步促进资金流入。除科技成长外，有确定性增长预期的消费和医药股也是资金流入热点。截至二季度末，上述科技、消费、医药的估值不仅充分反映了未来增长预期，而且普遍享有溢价。后期大概率有估值消化阶段，可能通过业绩增长及股价调整来实现。</w:t>
      </w:r>
    </w:p>
    <w:p>
      <w:pPr>
        <w:spacing w:line="360" w:lineRule="auto"/>
        <w:ind w:firstLine="480" w:firstLineChars="200"/>
        <w:rPr>
          <w:color w:val="000000"/>
          <w:sz w:val="24"/>
          <w:szCs w:val="24"/>
        </w:rPr>
      </w:pPr>
      <w:r>
        <w:rPr>
          <w:color w:val="000000"/>
          <w:sz w:val="24"/>
          <w:szCs w:val="24"/>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由流动性推动的估值抬升。</w:t>
      </w:r>
    </w:p>
    <w:p>
      <w:pPr>
        <w:spacing w:line="360" w:lineRule="auto"/>
        <w:ind w:firstLine="480" w:firstLineChars="200"/>
        <w:rPr>
          <w:color w:val="000000"/>
          <w:sz w:val="24"/>
          <w:szCs w:val="24"/>
        </w:rPr>
      </w:pPr>
      <w:r>
        <w:rPr>
          <w:color w:val="000000"/>
          <w:sz w:val="24"/>
          <w:szCs w:val="24"/>
        </w:rPr>
        <w:t>2020年以来，A股整体表现为少数股的牛市，资产质量有保障，业绩增长确定性高的个股热度和估值预计会持续高位。估值高企虽然意味着长期配置性价比下降，但居高不下的热度也增加了短期交易机会。</w:t>
      </w:r>
    </w:p>
    <w:p>
      <w:pPr>
        <w:spacing w:line="360" w:lineRule="auto"/>
        <w:ind w:firstLine="480" w:firstLineChars="200"/>
        <w:rPr>
          <w:color w:val="000000"/>
          <w:sz w:val="24"/>
          <w:szCs w:val="24"/>
        </w:rPr>
      </w:pPr>
      <w:r>
        <w:rPr>
          <w:color w:val="000000"/>
          <w:sz w:val="24"/>
          <w:szCs w:val="24"/>
        </w:rPr>
        <w:t>深证100指数是深市成长性蓝筹的核心代表，集中深市的消费、科技、制造业龙头。成份股的竞争优势源于在长期充分竞争市场中形成的管理、技术及人员护城河。本指数不仅对冲周期能力较强，同时还具备较高的成长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基金运作层面，报告期内，本基金严守基金合同认真对待投资者申购、赎回以及成分股调整事项，保障基金的正常运作，基金跟踪误差以及日均偏离度等指标控制在合同规定范围之内。</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pPr>
        <w:spacing w:line="360" w:lineRule="auto"/>
        <w:ind w:firstLine="480" w:firstLineChars="200"/>
        <w:rPr>
          <w:color w:val="000000"/>
          <w:sz w:val="24"/>
          <w:szCs w:val="24"/>
        </w:rPr>
      </w:pPr>
      <w:r>
        <w:rPr>
          <w:color w:val="000000"/>
          <w:sz w:val="24"/>
          <w:szCs w:val="24"/>
        </w:rPr>
        <w:t>截至报告期末，本基金份额净值为6.0029元，本报告期份额净值增长率为22.64%，同期业绩比较基准收益率为21.83%。</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本报告期，本基金日跟踪偏离度的均值为0.02%，年化跟踪误差0.62%，在合同规定的控制范围之内。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8,278,750,599.62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99.65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8,278,750,599.62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99.65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5,768,300.00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5,768,300.00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23,008,780.31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0.28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106,978.97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8,307,634,658.90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注：上表中的股票投资项含可退替代款估值增值,而5.2的合计项不含可退替代款估值增值。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376,739,966.80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4.54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5,511,364,090.80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66.41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12,073,840.00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0.15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75,973,012.02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167,250,369.47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544,085,022.74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6.56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736,428,834.56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8.87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407,675,562.26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92,068,011.62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29,931,150.00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0.36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246,568,909.79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78,556,596.56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8,278,715,366.62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99.75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2,693,828</w:t>
            </w:r>
          </w:p>
        </w:tc>
        <w:tc>
          <w:tcPr>
            <w:vAlign w:val="center"/>
          </w:tcPr>
          <w:p>
            <w:pPr>
              <w:jc w:val="right"/>
            </w:pPr>
            <w:r>
              <w:rPr>
                <w:color w:val="000000"/>
                <w:kern w:val="0"/>
                <w:sz w:val="24"/>
                <w:szCs w:val="24"/>
              </w:rPr>
              <w:t>460,967,847.36</w:t>
            </w:r>
          </w:p>
        </w:tc>
        <w:tc>
          <w:tcPr>
            <w:vAlign w:val="center"/>
          </w:tcPr>
          <w:p>
            <w:pPr>
              <w:jc w:val="right"/>
            </w:pPr>
            <w:r>
              <w:rPr>
                <w:color w:val="000000"/>
                <w:kern w:val="0"/>
                <w:sz w:val="24"/>
                <w:szCs w:val="24"/>
              </w:rPr>
              <w:t>5.55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7,448,686</w:t>
            </w:r>
          </w:p>
        </w:tc>
        <w:tc>
          <w:tcPr>
            <w:vAlign w:val="center"/>
          </w:tcPr>
          <w:p>
            <w:pPr>
              <w:jc w:val="right"/>
            </w:pPr>
            <w:r>
              <w:rPr>
                <w:color w:val="000000"/>
                <w:kern w:val="0"/>
                <w:sz w:val="24"/>
                <w:szCs w:val="24"/>
              </w:rPr>
              <w:t>445,356,935.94</w:t>
            </w:r>
          </w:p>
        </w:tc>
        <w:tc>
          <w:tcPr>
            <w:vAlign w:val="center"/>
          </w:tcPr>
          <w:p>
            <w:pPr>
              <w:jc w:val="right"/>
            </w:pPr>
            <w:r>
              <w:rPr>
                <w:color w:val="000000"/>
                <w:kern w:val="0"/>
                <w:sz w:val="24"/>
                <w:szCs w:val="24"/>
              </w:rPr>
              <w:t>5.37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7,318,443</w:t>
            </w:r>
          </w:p>
        </w:tc>
        <w:tc>
          <w:tcPr>
            <w:vAlign w:val="center"/>
          </w:tcPr>
          <w:p>
            <w:pPr>
              <w:jc w:val="right"/>
            </w:pPr>
            <w:r>
              <w:rPr>
                <w:color w:val="000000"/>
                <w:kern w:val="0"/>
                <w:sz w:val="24"/>
                <w:szCs w:val="24"/>
              </w:rPr>
              <w:t>414,004,320.51</w:t>
            </w:r>
          </w:p>
        </w:tc>
        <w:tc>
          <w:tcPr>
            <w:vAlign w:val="center"/>
          </w:tcPr>
          <w:p>
            <w:pPr>
              <w:jc w:val="right"/>
            </w:pPr>
            <w:r>
              <w:rPr>
                <w:color w:val="000000"/>
                <w:kern w:val="0"/>
                <w:sz w:val="24"/>
                <w:szCs w:val="24"/>
              </w:rPr>
              <w:t>4.99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6,418,826</w:t>
            </w:r>
          </w:p>
        </w:tc>
        <w:tc>
          <w:tcPr>
            <w:vAlign w:val="center"/>
          </w:tcPr>
          <w:p>
            <w:pPr>
              <w:jc w:val="right"/>
            </w:pPr>
            <w:r>
              <w:rPr>
                <w:color w:val="000000"/>
                <w:kern w:val="0"/>
                <w:sz w:val="24"/>
                <w:szCs w:val="24"/>
              </w:rPr>
              <w:t>329,606,715.10</w:t>
            </w:r>
          </w:p>
        </w:tc>
        <w:tc>
          <w:tcPr>
            <w:vAlign w:val="center"/>
          </w:tcPr>
          <w:p>
            <w:pPr>
              <w:jc w:val="right"/>
            </w:pPr>
            <w:r>
              <w:rPr>
                <w:color w:val="000000"/>
                <w:kern w:val="0"/>
                <w:sz w:val="24"/>
                <w:szCs w:val="24"/>
              </w:rPr>
              <w:t>3.97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000002</w:t>
            </w:r>
          </w:p>
        </w:tc>
        <w:tc>
          <w:tcPr>
            <w:vAlign w:val="center"/>
          </w:tcPr>
          <w:p>
            <w:pPr>
              <w:jc w:val="center"/>
            </w:pPr>
            <w:r>
              <w:rPr>
                <w:color w:val="000000"/>
                <w:kern w:val="0"/>
                <w:sz w:val="24"/>
                <w:szCs w:val="24"/>
              </w:rPr>
              <w:t>万科A</w:t>
            </w:r>
          </w:p>
        </w:tc>
        <w:tc>
          <w:tcPr>
            <w:vAlign w:val="center"/>
          </w:tcPr>
          <w:p>
            <w:pPr>
              <w:jc w:val="right"/>
            </w:pPr>
            <w:r>
              <w:rPr>
                <w:color w:val="000000"/>
                <w:kern w:val="0"/>
                <w:sz w:val="24"/>
                <w:szCs w:val="24"/>
              </w:rPr>
              <w:t>10,455,239</w:t>
            </w:r>
          </w:p>
        </w:tc>
        <w:tc>
          <w:tcPr>
            <w:vAlign w:val="center"/>
          </w:tcPr>
          <w:p>
            <w:pPr>
              <w:jc w:val="right"/>
            </w:pPr>
            <w:r>
              <w:rPr>
                <w:color w:val="000000"/>
                <w:kern w:val="0"/>
                <w:sz w:val="24"/>
                <w:szCs w:val="24"/>
              </w:rPr>
              <w:t>273,299,947.46</w:t>
            </w:r>
          </w:p>
        </w:tc>
        <w:tc>
          <w:tcPr>
            <w:vAlign w:val="center"/>
          </w:tcPr>
          <w:p>
            <w:pPr>
              <w:jc w:val="right"/>
            </w:pPr>
            <w:r>
              <w:rPr>
                <w:color w:val="000000"/>
                <w:kern w:val="0"/>
                <w:sz w:val="24"/>
                <w:szCs w:val="24"/>
              </w:rPr>
              <w:t>3.29</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300750</w:t>
            </w:r>
          </w:p>
        </w:tc>
        <w:tc>
          <w:tcPr>
            <w:vAlign w:val="center"/>
          </w:tcPr>
          <w:p>
            <w:pPr>
              <w:jc w:val="center"/>
            </w:pPr>
            <w:r>
              <w:rPr>
                <w:color w:val="000000"/>
                <w:kern w:val="0"/>
                <w:sz w:val="24"/>
                <w:szCs w:val="24"/>
              </w:rPr>
              <w:t>宁德时代</w:t>
            </w:r>
          </w:p>
        </w:tc>
        <w:tc>
          <w:tcPr>
            <w:vAlign w:val="center"/>
          </w:tcPr>
          <w:p>
            <w:pPr>
              <w:jc w:val="right"/>
            </w:pPr>
            <w:r>
              <w:rPr>
                <w:color w:val="000000"/>
                <w:kern w:val="0"/>
                <w:sz w:val="24"/>
                <w:szCs w:val="24"/>
              </w:rPr>
              <w:t>1,243,004</w:t>
            </w:r>
          </w:p>
        </w:tc>
        <w:tc>
          <w:tcPr>
            <w:vAlign w:val="center"/>
          </w:tcPr>
          <w:p>
            <w:pPr>
              <w:jc w:val="right"/>
            </w:pPr>
            <w:r>
              <w:rPr>
                <w:color w:val="000000"/>
                <w:kern w:val="0"/>
                <w:sz w:val="24"/>
                <w:szCs w:val="24"/>
              </w:rPr>
              <w:t>216,730,177.44</w:t>
            </w:r>
          </w:p>
        </w:tc>
        <w:tc>
          <w:tcPr>
            <w:vAlign w:val="center"/>
          </w:tcPr>
          <w:p>
            <w:pPr>
              <w:jc w:val="right"/>
            </w:pPr>
            <w:r>
              <w:rPr>
                <w:color w:val="000000"/>
                <w:kern w:val="0"/>
                <w:sz w:val="24"/>
                <w:szCs w:val="24"/>
              </w:rPr>
              <w:t>2.61</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002714</w:t>
            </w:r>
          </w:p>
        </w:tc>
        <w:tc>
          <w:tcPr>
            <w:vAlign w:val="center"/>
          </w:tcPr>
          <w:p>
            <w:pPr>
              <w:jc w:val="center"/>
            </w:pPr>
            <w:r>
              <w:rPr>
                <w:color w:val="000000"/>
                <w:kern w:val="0"/>
                <w:sz w:val="24"/>
                <w:szCs w:val="24"/>
              </w:rPr>
              <w:t>牧原股份</w:t>
            </w:r>
          </w:p>
        </w:tc>
        <w:tc>
          <w:tcPr>
            <w:vAlign w:val="center"/>
          </w:tcPr>
          <w:p>
            <w:pPr>
              <w:jc w:val="right"/>
            </w:pPr>
            <w:r>
              <w:rPr>
                <w:color w:val="000000"/>
                <w:kern w:val="0"/>
                <w:sz w:val="24"/>
                <w:szCs w:val="24"/>
              </w:rPr>
              <w:t>2,628,980</w:t>
            </w:r>
          </w:p>
        </w:tc>
        <w:tc>
          <w:tcPr>
            <w:vAlign w:val="center"/>
          </w:tcPr>
          <w:p>
            <w:pPr>
              <w:jc w:val="right"/>
            </w:pPr>
            <w:r>
              <w:rPr>
                <w:color w:val="000000"/>
                <w:kern w:val="0"/>
                <w:sz w:val="24"/>
                <w:szCs w:val="24"/>
              </w:rPr>
              <w:t>215,576,360.00</w:t>
            </w:r>
          </w:p>
        </w:tc>
        <w:tc>
          <w:tcPr>
            <w:vAlign w:val="center"/>
          </w:tcPr>
          <w:p>
            <w:pPr>
              <w:jc w:val="right"/>
            </w:pPr>
            <w:r>
              <w:rPr>
                <w:color w:val="000000"/>
                <w:kern w:val="0"/>
                <w:sz w:val="24"/>
                <w:szCs w:val="24"/>
              </w:rPr>
              <w:t>2.60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000725</w:t>
            </w:r>
          </w:p>
        </w:tc>
        <w:tc>
          <w:tcPr>
            <w:vAlign w:val="center"/>
          </w:tcPr>
          <w:p>
            <w:pPr>
              <w:jc w:val="center"/>
            </w:pPr>
            <w:r>
              <w:rPr>
                <w:color w:val="000000"/>
                <w:kern w:val="0"/>
                <w:sz w:val="24"/>
                <w:szCs w:val="24"/>
              </w:rPr>
              <w:t>京东方A</w:t>
            </w:r>
          </w:p>
        </w:tc>
        <w:tc>
          <w:tcPr>
            <w:vAlign w:val="center"/>
          </w:tcPr>
          <w:p>
            <w:pPr>
              <w:jc w:val="right"/>
            </w:pPr>
            <w:r>
              <w:rPr>
                <w:color w:val="000000"/>
                <w:kern w:val="0"/>
                <w:sz w:val="24"/>
                <w:szCs w:val="24"/>
              </w:rPr>
              <w:t>40,789,887</w:t>
            </w:r>
          </w:p>
        </w:tc>
        <w:tc>
          <w:tcPr>
            <w:vAlign w:val="center"/>
          </w:tcPr>
          <w:p>
            <w:pPr>
              <w:jc w:val="right"/>
            </w:pPr>
            <w:r>
              <w:rPr>
                <w:color w:val="000000"/>
                <w:kern w:val="0"/>
                <w:sz w:val="24"/>
                <w:szCs w:val="24"/>
              </w:rPr>
              <w:t>190,488,772.29</w:t>
            </w:r>
          </w:p>
        </w:tc>
        <w:tc>
          <w:tcPr>
            <w:vAlign w:val="center"/>
          </w:tcPr>
          <w:p>
            <w:pPr>
              <w:jc w:val="right"/>
            </w:pPr>
            <w:r>
              <w:rPr>
                <w:color w:val="000000"/>
                <w:kern w:val="0"/>
                <w:sz w:val="24"/>
                <w:szCs w:val="24"/>
              </w:rPr>
              <w:t>2.30</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300760</w:t>
            </w:r>
          </w:p>
        </w:tc>
        <w:tc>
          <w:tcPr>
            <w:vAlign w:val="center"/>
          </w:tcPr>
          <w:p>
            <w:pPr>
              <w:jc w:val="center"/>
            </w:pPr>
            <w:r>
              <w:rPr>
                <w:color w:val="000000"/>
                <w:kern w:val="0"/>
                <w:sz w:val="24"/>
                <w:szCs w:val="24"/>
              </w:rPr>
              <w:t>迈瑞医疗</w:t>
            </w:r>
          </w:p>
        </w:tc>
        <w:tc>
          <w:tcPr>
            <w:vAlign w:val="center"/>
          </w:tcPr>
          <w:p>
            <w:pPr>
              <w:jc w:val="right"/>
            </w:pPr>
            <w:r>
              <w:rPr>
                <w:color w:val="000000"/>
                <w:kern w:val="0"/>
                <w:sz w:val="24"/>
                <w:szCs w:val="24"/>
              </w:rPr>
              <w:t>619,648</w:t>
            </w:r>
          </w:p>
        </w:tc>
        <w:tc>
          <w:tcPr>
            <w:vAlign w:val="center"/>
          </w:tcPr>
          <w:p>
            <w:pPr>
              <w:jc w:val="right"/>
            </w:pPr>
            <w:r>
              <w:rPr>
                <w:color w:val="000000"/>
                <w:kern w:val="0"/>
                <w:sz w:val="24"/>
                <w:szCs w:val="24"/>
              </w:rPr>
              <w:t>189,426,393.60</w:t>
            </w:r>
          </w:p>
        </w:tc>
        <w:tc>
          <w:tcPr>
            <w:vAlign w:val="center"/>
          </w:tcPr>
          <w:p>
            <w:pPr>
              <w:jc w:val="right"/>
            </w:pPr>
            <w:r>
              <w:rPr>
                <w:color w:val="000000"/>
                <w:kern w:val="0"/>
                <w:sz w:val="24"/>
                <w:szCs w:val="24"/>
              </w:rPr>
              <w:t>2.28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000661</w:t>
            </w:r>
          </w:p>
        </w:tc>
        <w:tc>
          <w:tcPr>
            <w:vAlign w:val="center"/>
          </w:tcPr>
          <w:p>
            <w:pPr>
              <w:jc w:val="center"/>
            </w:pPr>
            <w:r>
              <w:rPr>
                <w:color w:val="000000"/>
                <w:kern w:val="0"/>
                <w:sz w:val="24"/>
                <w:szCs w:val="24"/>
              </w:rPr>
              <w:t>长春高新</w:t>
            </w:r>
          </w:p>
        </w:tc>
        <w:tc>
          <w:tcPr>
            <w:vAlign w:val="center"/>
          </w:tcPr>
          <w:p>
            <w:pPr>
              <w:jc w:val="right"/>
            </w:pPr>
            <w:r>
              <w:rPr>
                <w:color w:val="000000"/>
                <w:kern w:val="0"/>
                <w:sz w:val="24"/>
                <w:szCs w:val="24"/>
              </w:rPr>
              <w:t>427,763</w:t>
            </w:r>
          </w:p>
        </w:tc>
        <w:tc>
          <w:tcPr>
            <w:vAlign w:val="center"/>
          </w:tcPr>
          <w:p>
            <w:pPr>
              <w:jc w:val="right"/>
            </w:pPr>
            <w:r>
              <w:rPr>
                <w:color w:val="000000"/>
                <w:kern w:val="0"/>
                <w:sz w:val="24"/>
                <w:szCs w:val="24"/>
              </w:rPr>
              <w:t>186,205,233.90</w:t>
            </w:r>
          </w:p>
        </w:tc>
        <w:tc>
          <w:tcPr>
            <w:vAlign w:val="center"/>
          </w:tcPr>
          <w:p>
            <w:pPr>
              <w:jc w:val="right"/>
            </w:pPr>
            <w:r>
              <w:rPr>
                <w:color w:val="000000"/>
                <w:kern w:val="0"/>
                <w:sz w:val="24"/>
                <w:szCs w:val="24"/>
              </w:rPr>
              <w:t>2.24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5,768,300.00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0.07</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5,768,300.00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44,980</w:t>
            </w:r>
          </w:p>
        </w:tc>
        <w:tc>
          <w:tcPr>
            <w:vAlign w:val="center"/>
          </w:tcPr>
          <w:p>
            <w:pPr>
              <w:jc w:val="right"/>
            </w:pPr>
            <w:r>
              <w:rPr>
                <w:color w:val="000000"/>
                <w:kern w:val="0"/>
                <w:sz w:val="24"/>
                <w:szCs w:val="24"/>
              </w:rPr>
              <w:t>4,498,000.00</w:t>
            </w:r>
          </w:p>
        </w:tc>
        <w:tc>
          <w:tcPr>
            <w:vAlign w:val="center"/>
          </w:tcPr>
          <w:p>
            <w:pPr>
              <w:jc w:val="right"/>
            </w:pPr>
            <w:r>
              <w:rPr>
                <w:color w:val="000000"/>
                <w:kern w:val="0"/>
                <w:sz w:val="24"/>
                <w:szCs w:val="24"/>
              </w:rPr>
              <w:t>0.05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128114</w:t>
            </w:r>
          </w:p>
        </w:tc>
        <w:tc>
          <w:tcPr>
            <w:vAlign w:val="center"/>
          </w:tcPr>
          <w:p>
            <w:pPr>
              <w:jc w:val="center"/>
            </w:pPr>
            <w:r>
              <w:rPr>
                <w:color w:val="000000"/>
                <w:kern w:val="0"/>
                <w:sz w:val="24"/>
                <w:szCs w:val="24"/>
              </w:rPr>
              <w:t>正邦转债</w:t>
            </w:r>
          </w:p>
        </w:tc>
        <w:tc>
          <w:tcPr>
            <w:vAlign w:val="center"/>
          </w:tcPr>
          <w:p>
            <w:pPr>
              <w:jc w:val="right"/>
            </w:pPr>
            <w:r>
              <w:rPr>
                <w:color w:val="000000"/>
                <w:kern w:val="0"/>
                <w:sz w:val="24"/>
                <w:szCs w:val="24"/>
              </w:rPr>
              <w:t>12,703</w:t>
            </w:r>
          </w:p>
        </w:tc>
        <w:tc>
          <w:tcPr>
            <w:vAlign w:val="center"/>
          </w:tcPr>
          <w:p>
            <w:pPr>
              <w:jc w:val="right"/>
            </w:pPr>
            <w:r>
              <w:rPr>
                <w:color w:val="000000"/>
                <w:kern w:val="0"/>
                <w:sz w:val="24"/>
                <w:szCs w:val="24"/>
              </w:rPr>
              <w:t>1,270,300.00</w:t>
            </w:r>
          </w:p>
        </w:tc>
        <w:tc>
          <w:tcPr>
            <w:vAlign w:val="center"/>
          </w:tcPr>
          <w:p>
            <w:pPr>
              <w:jc w:val="right"/>
            </w:pPr>
            <w:r>
              <w:rPr>
                <w:color w:val="000000"/>
                <w:kern w:val="0"/>
                <w:sz w:val="24"/>
                <w:szCs w:val="24"/>
              </w:rPr>
              <w:t>0.02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104,200.18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2,778.79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106,978.97</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1,563,165,452.00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216,100,000.00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396,699,689.00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1,382,565,763.00</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注：期初基金总份额包含场外份额163,797,987份；期末基金总份额包含场外份额55,998,298份；总赎回份额包含场外总赎回份额107,799,689份。</w:t>
      </w:r>
    </w:p>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2020年06月15日~2020年06月30日</w:t>
            </w:r>
          </w:p>
        </w:tc>
        <w:tc>
          <w:tcPr>
            <w:vAlign w:val="center"/>
          </w:tcPr>
          <w:p>
            <w:pPr>
              <w:jc w:val="center"/>
            </w:pPr>
            <w:r>
              <w:rPr>
                <w:sz w:val="24"/>
                <w:szCs w:val="24"/>
              </w:rPr>
              <w:t>269,634,500.00</w:t>
            </w:r>
          </w:p>
        </w:tc>
        <w:tc>
          <w:tcPr>
            <w:vAlign w:val="center"/>
          </w:tcPr>
          <w:p>
            <w:pPr>
              <w:jc w:val="center"/>
            </w:pPr>
            <w:r>
              <w:rPr>
                <w:sz w:val="24"/>
                <w:szCs w:val="24"/>
              </w:rPr>
              <w:t>10,218,780.00</w:t>
            </w:r>
          </w:p>
        </w:tc>
        <w:tc>
          <w:tcPr>
            <w:vAlign w:val="center"/>
          </w:tcPr>
          <w:p>
            <w:pPr>
              <w:jc w:val="center"/>
            </w:pPr>
            <w:r>
              <w:rPr>
                <w:sz w:val="24"/>
                <w:szCs w:val="24"/>
              </w:rPr>
              <w:t>-</w:t>
            </w:r>
          </w:p>
        </w:tc>
        <w:tc>
          <w:tcPr>
            <w:vAlign w:val="center"/>
          </w:tcPr>
          <w:p>
            <w:pPr>
              <w:jc w:val="center"/>
            </w:pPr>
            <w:r>
              <w:rPr>
                <w:sz w:val="24"/>
                <w:szCs w:val="24"/>
              </w:rPr>
              <w:t>279,853,280.00</w:t>
            </w:r>
          </w:p>
        </w:tc>
        <w:tc>
          <w:tcPr>
            <w:vAlign w:val="center"/>
          </w:tcPr>
          <w:p>
            <w:pPr>
              <w:jc w:val="center"/>
            </w:pPr>
            <w:r>
              <w:rPr>
                <w:sz w:val="24"/>
                <w:szCs w:val="24"/>
              </w:rPr>
              <w:t>20.24%</w:t>
            </w:r>
          </w:p>
        </w:tc>
      </w:tr>
      <w:tr>
        <w:tc>
          <w:tcPr>
            <w:vMerge w:val="restart"/>
            <w:vAlign w:val="center"/>
          </w:tcPr>
          <w:p>
            <w:r>
              <w:rPr>
                <w:sz w:val="24"/>
                <w:szCs w:val="24"/>
              </w:rPr>
              <w:t/>
            </w:r>
            <w:r>
              <w:rPr>
                <w:sz w:val="24"/>
                <w:szCs w:val="24"/>
              </w:rPr>
              <w:t>中国银行股份有限公司－易方达深证100交易型开放式指数证券投资基金联接基金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376,437,581.00</w:t>
            </w:r>
          </w:p>
        </w:tc>
        <w:tc>
          <w:tcPr>
            <w:vAlign w:val="center"/>
          </w:tcPr>
          <w:p>
            <w:pPr>
              <w:jc w:val="center"/>
            </w:pPr>
            <w:r>
              <w:rPr>
                <w:sz w:val="24"/>
                <w:szCs w:val="24"/>
              </w:rPr>
              <w:t>12,150,000.00</w:t>
            </w:r>
          </w:p>
        </w:tc>
        <w:tc>
          <w:tcPr>
            <w:vAlign w:val="center"/>
          </w:tcPr>
          <w:p>
            <w:pPr>
              <w:jc w:val="center"/>
            </w:pPr>
            <w:r>
              <w:rPr>
                <w:sz w:val="24"/>
                <w:szCs w:val="24"/>
              </w:rPr>
              <w:t>50,708,400.00</w:t>
            </w:r>
          </w:p>
        </w:tc>
        <w:tc>
          <w:tcPr>
            <w:vAlign w:val="center"/>
          </w:tcPr>
          <w:p>
            <w:pPr>
              <w:jc w:val="center"/>
            </w:pPr>
            <w:r>
              <w:rPr>
                <w:sz w:val="24"/>
                <w:szCs w:val="24"/>
              </w:rPr>
              <w:t>337,879,181.00</w:t>
            </w:r>
          </w:p>
        </w:tc>
        <w:tc>
          <w:tcPr>
            <w:vAlign w:val="center"/>
          </w:tcPr>
          <w:p>
            <w:pPr>
              <w:jc w:val="center"/>
            </w:pPr>
            <w:r>
              <w:rPr>
                <w:sz w:val="24"/>
                <w:szCs w:val="24"/>
              </w:rPr>
              <w:t>24.44%</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 中国证监会核准易方达深证100交易型开放式指数基金募集的文件；</w:t>
      </w:r>
    </w:p>
    <w:p>
      <w:pPr>
        <w:spacing w:line="360" w:lineRule="auto"/>
        <w:ind w:firstLine="480" w:firstLineChars="200"/>
        <w:rPr>
          <w:color w:val="000000"/>
          <w:sz w:val="24"/>
          <w:szCs w:val="24"/>
        </w:rPr>
      </w:pPr>
      <w:r>
        <w:rPr>
          <w:color w:val="000000"/>
          <w:sz w:val="24"/>
          <w:szCs w:val="24"/>
        </w:rPr>
        <w:t xml:space="preserve">2. 《易方达深证100交易型开放式指数基金基金合同》； </w:t>
      </w:r>
    </w:p>
    <w:p>
      <w:pPr>
        <w:spacing w:line="360" w:lineRule="auto"/>
        <w:ind w:firstLine="480" w:firstLineChars="200"/>
        <w:rPr>
          <w:color w:val="000000"/>
          <w:sz w:val="24"/>
          <w:szCs w:val="24"/>
        </w:rPr>
      </w:pPr>
      <w:r>
        <w:rPr>
          <w:color w:val="000000"/>
          <w:sz w:val="24"/>
          <w:szCs w:val="24"/>
        </w:rPr>
        <w:t>3. 《易方达深证100交易型开放式指数基金托管协议》；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 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易方达深证100交易型开放式指数基金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