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易方达中证科技50交易型开放式指数证券投资基金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易方达中证科技50ETF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科技ETF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159807</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159807</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2020年3月16日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560,025,714.00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中证科技50指数收益率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89,058,961.34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220,432,389.88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0.3075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728,661,526.56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1.3011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31.50%</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30.49%</w:t>
            </w:r>
          </w:p>
        </w:tc>
        <w:tc>
          <w:tcPr>
            <w:vAlign w:val="center"/>
          </w:tcPr>
          <w:p>
            <w:pPr>
              <w:jc w:val="center"/>
            </w:pPr>
            <w:r>
              <w:rPr>
                <w:color w:val="000000"/>
                <w:kern w:val="0"/>
                <w:sz w:val="24"/>
                <w:szCs w:val="24"/>
              </w:rPr>
              <w:t>1.49%</w:t>
            </w:r>
          </w:p>
        </w:tc>
        <w:tc>
          <w:tcPr>
            <w:vAlign w:val="center"/>
          </w:tcPr>
          <w:p>
            <w:pPr>
              <w:jc w:val="center"/>
            </w:pPr>
            <w:r>
              <w:rPr>
                <w:color w:val="000000"/>
                <w:kern w:val="0"/>
                <w:sz w:val="24"/>
                <w:szCs w:val="24"/>
              </w:rPr>
              <w:t>1.01%</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30.11%</w:t>
            </w:r>
          </w:p>
        </w:tc>
        <w:tc>
          <w:tcPr>
            <w:vAlign w:val="center"/>
          </w:tcPr>
          <w:p>
            <w:pPr>
              <w:jc w:val="center"/>
            </w:pPr>
            <w:r>
              <w:rPr>
                <w:color w:val="000000"/>
                <w:kern w:val="0"/>
                <w:sz w:val="24"/>
                <w:szCs w:val="24"/>
              </w:rPr>
              <w:t>1.36%</w:t>
            </w:r>
          </w:p>
        </w:tc>
        <w:tc>
          <w:tcPr>
            <w:vAlign w:val="center"/>
          </w:tcPr>
          <w:p>
            <w:pPr>
              <w:jc w:val="center"/>
            </w:pPr>
            <w:r>
              <w:rPr>
                <w:color w:val="000000"/>
                <w:kern w:val="0"/>
                <w:sz w:val="24"/>
                <w:szCs w:val="24"/>
              </w:rPr>
              <w:t>20.91%</w:t>
            </w:r>
          </w:p>
        </w:tc>
        <w:tc>
          <w:tcPr>
            <w:vAlign w:val="center"/>
          </w:tcPr>
          <w:p>
            <w:pPr>
              <w:jc w:val="center"/>
            </w:pPr>
            <w:r>
              <w:rPr>
                <w:color w:val="000000"/>
                <w:kern w:val="0"/>
                <w:sz w:val="24"/>
                <w:szCs w:val="24"/>
              </w:rPr>
              <w:t>1.81%</w:t>
            </w:r>
          </w:p>
        </w:tc>
        <w:tc>
          <w:tcPr>
            <w:vAlign w:val="center"/>
          </w:tcPr>
          <w:p>
            <w:pPr>
              <w:jc w:val="center"/>
            </w:pPr>
            <w:r>
              <w:rPr>
                <w:color w:val="000000"/>
                <w:kern w:val="0"/>
                <w:sz w:val="24"/>
                <w:szCs w:val="24"/>
              </w:rPr>
              <w:t>9.20%</w:t>
            </w:r>
          </w:p>
        </w:tc>
        <w:tc>
          <w:tcPr>
            <w:vAlign w:val="center"/>
          </w:tcPr>
          <w:p>
            <w:pPr>
              <w:jc w:val="center"/>
            </w:pPr>
            <w:r>
              <w:rPr>
                <w:color w:val="000000"/>
                <w:kern w:val="0"/>
                <w:sz w:val="24"/>
                <w:szCs w:val="24"/>
              </w:rPr>
              <w:t>-0.45%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易方达中证科技50交易型开放式指数证券投资基金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2020年3月16日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注：1.本基金合同于2020年3月16日生效，截至报告期末本基金合同生效未满一年。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2.按基金合同和招募说明书的约定，自基金合同生效之日起六个月内使基金的投资组合比例符合本基金合同(第十四部分二、投资范围，三、投资策略和四、投资限制)的有关约定。本报告期本基金处于建仓期内。</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3.自基金合同生效至报告期末，基金份额净值增长率为30.11%，同期业绩比较基准收益率为20.91%。</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张湛</w:t>
            </w:r>
          </w:p>
        </w:tc>
        <w:tc>
          <w:tcPr>
            <w:vAlign w:val="center"/>
          </w:tcPr>
          <w:p>
            <w:pPr>
              <w:jc w:val="left"/>
            </w:pPr>
            <w:r>
              <w:rPr>
                <w:color w:val="000000"/>
                <w:sz w:val="24"/>
              </w:rPr>
              <w:t>本基金的基金经理、易方达中证全指证券公司交易型开放式指数证券投资基金的基金经理、易方达中证军工交易型开放式指数证券投资基金的基金经理</w:t>
            </w:r>
          </w:p>
        </w:tc>
        <w:tc>
          <w:tcPr>
            <w:vAlign w:val="center"/>
          </w:tcPr>
          <w:p>
            <w:pPr>
              <w:jc w:val="center"/>
            </w:pPr>
            <w:r>
              <w:rPr>
                <w:color w:val="000000"/>
                <w:sz w:val="24"/>
              </w:rPr>
              <w:t>2020-03-16</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硕士研究生，具有基金从业资格。曾任易方达基金管理有限公司投资发展部数量化投资研究员、指数与量化投资部量化研究员、指数及增强投资部投资经理。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2季度以来，国内新冠疫情逐渐得到有效控制，复工复产有序进行，经济活动逐渐活跃。政府为进一步助推经济的恢复，推出一系列货币宽松政策及财政刺激政策。“新基建”所覆盖的各领域基础设施建设工作的陆续开展，不仅有助于缓解短期疫情冲击对经济增长的拖累，更为经济结构优化以及稳定增长等长期目标奠定坚实的基础。由于本季度海外疫情的蔓延形势较为严峻，各国均采取了不同程度的防控措施，经济活动受到较大程度的限制，对国内的出口需求产生一定程度的负面影响。但由于以美国为首的各主要经济体均采取了较为激进的刺激政策，本季度全球金融市场整体波动水平较上一季度有所下降。5月份以来，中美贸易摩擦再度升温，美国有意对中国科技产业采取全方位的遏制。外部的竞争和压力推进了科技创新产业的国产替代和自主研发势头，同时，科技领域作为经济转型和持续增长的重要引擎，也将得到政策和资金的持续支持。报告期内，中证科技50指数上涨30.49%。</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按照标的指数的成份股组成及其权重构建基金股票投资组合，并根据标的指数成份股及其权重的变动进行相应调整，在保障基金的正常运作的基础上，将基金的跟踪误差以及日均偏离度等指标控制在合同约定的范围内。</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截至报告期末，本基金份额净值为1.3011元，本报告期份额净值增长率为31.50%，同期业绩比较基准收益率为30.49%，日跟踪偏离度的均值为0.04%，年化跟踪误差为0.83%，在合同规定的目标控制范围之内。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718,953,821.00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97.98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718,953,821.00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97.98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694,400.00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694,400.00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11,389,796.24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1.55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2,733,874.64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0.37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733,771,891.88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601,669,345.39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117,271,280.59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16.09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718,953,392.30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98.67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777,632</w:t>
            </w:r>
          </w:p>
        </w:tc>
        <w:tc>
          <w:tcPr>
            <w:vAlign w:val="center"/>
          </w:tcPr>
          <w:p>
            <w:pPr>
              <w:jc w:val="right"/>
            </w:pPr>
            <w:r>
              <w:rPr>
                <w:color w:val="000000"/>
                <w:kern w:val="0"/>
                <w:sz w:val="24"/>
                <w:szCs w:val="24"/>
              </w:rPr>
              <w:t>71,775,433.60</w:t>
            </w:r>
          </w:p>
        </w:tc>
        <w:tc>
          <w:tcPr>
            <w:vAlign w:val="center"/>
          </w:tcPr>
          <w:p>
            <w:pPr>
              <w:jc w:val="right"/>
            </w:pPr>
            <w:r>
              <w:rPr>
                <w:color w:val="000000"/>
                <w:kern w:val="0"/>
                <w:sz w:val="24"/>
                <w:szCs w:val="24"/>
              </w:rPr>
              <w:t>9.85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1,108,122</w:t>
            </w:r>
          </w:p>
        </w:tc>
        <w:tc>
          <w:tcPr>
            <w:vAlign w:val="center"/>
          </w:tcPr>
          <w:p>
            <w:pPr>
              <w:jc w:val="right"/>
            </w:pPr>
            <w:r>
              <w:rPr>
                <w:color w:val="000000"/>
                <w:kern w:val="0"/>
                <w:sz w:val="24"/>
                <w:szCs w:val="24"/>
              </w:rPr>
              <w:t>56,902,064.70</w:t>
            </w:r>
          </w:p>
        </w:tc>
        <w:tc>
          <w:tcPr>
            <w:vAlign w:val="center"/>
          </w:tcPr>
          <w:p>
            <w:pPr>
              <w:jc w:val="right"/>
            </w:pPr>
            <w:r>
              <w:rPr>
                <w:color w:val="000000"/>
                <w:kern w:val="0"/>
                <w:sz w:val="24"/>
                <w:szCs w:val="24"/>
              </w:rPr>
              <w:t>7.81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300750</w:t>
            </w:r>
          </w:p>
        </w:tc>
        <w:tc>
          <w:tcPr>
            <w:vAlign w:val="center"/>
          </w:tcPr>
          <w:p>
            <w:pPr>
              <w:jc w:val="center"/>
            </w:pPr>
            <w:r>
              <w:rPr>
                <w:color w:val="000000"/>
                <w:kern w:val="0"/>
                <w:sz w:val="24"/>
                <w:szCs w:val="24"/>
              </w:rPr>
              <w:t>宁德时代</w:t>
            </w:r>
          </w:p>
        </w:tc>
        <w:tc>
          <w:tcPr>
            <w:vAlign w:val="center"/>
          </w:tcPr>
          <w:p>
            <w:pPr>
              <w:jc w:val="right"/>
            </w:pPr>
            <w:r>
              <w:rPr>
                <w:color w:val="000000"/>
                <w:kern w:val="0"/>
                <w:sz w:val="24"/>
                <w:szCs w:val="24"/>
              </w:rPr>
              <w:t>290,100</w:t>
            </w:r>
          </w:p>
        </w:tc>
        <w:tc>
          <w:tcPr>
            <w:vAlign w:val="center"/>
          </w:tcPr>
          <w:p>
            <w:pPr>
              <w:jc w:val="right"/>
            </w:pPr>
            <w:r>
              <w:rPr>
                <w:color w:val="000000"/>
                <w:kern w:val="0"/>
                <w:sz w:val="24"/>
                <w:szCs w:val="24"/>
              </w:rPr>
              <w:t>50,581,836.00</w:t>
            </w:r>
          </w:p>
        </w:tc>
        <w:tc>
          <w:tcPr>
            <w:vAlign w:val="center"/>
          </w:tcPr>
          <w:p>
            <w:pPr>
              <w:jc w:val="right"/>
            </w:pPr>
            <w:r>
              <w:rPr>
                <w:color w:val="000000"/>
                <w:kern w:val="0"/>
                <w:sz w:val="24"/>
                <w:szCs w:val="24"/>
              </w:rPr>
              <w:t>6.94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000725</w:t>
            </w:r>
          </w:p>
        </w:tc>
        <w:tc>
          <w:tcPr>
            <w:vAlign w:val="center"/>
          </w:tcPr>
          <w:p>
            <w:pPr>
              <w:jc w:val="center"/>
            </w:pPr>
            <w:r>
              <w:rPr>
                <w:color w:val="000000"/>
                <w:kern w:val="0"/>
                <w:sz w:val="24"/>
                <w:szCs w:val="24"/>
              </w:rPr>
              <w:t>京东方A</w:t>
            </w:r>
          </w:p>
        </w:tc>
        <w:tc>
          <w:tcPr>
            <w:vAlign w:val="center"/>
          </w:tcPr>
          <w:p>
            <w:pPr>
              <w:jc w:val="right"/>
            </w:pPr>
            <w:r>
              <w:rPr>
                <w:color w:val="000000"/>
                <w:kern w:val="0"/>
                <w:sz w:val="24"/>
                <w:szCs w:val="24"/>
              </w:rPr>
              <w:t>7,165,500</w:t>
            </w:r>
          </w:p>
        </w:tc>
        <w:tc>
          <w:tcPr>
            <w:vAlign w:val="center"/>
          </w:tcPr>
          <w:p>
            <w:pPr>
              <w:jc w:val="right"/>
            </w:pPr>
            <w:r>
              <w:rPr>
                <w:color w:val="000000"/>
                <w:kern w:val="0"/>
                <w:sz w:val="24"/>
                <w:szCs w:val="24"/>
              </w:rPr>
              <w:t>33,462,885.00</w:t>
            </w:r>
          </w:p>
        </w:tc>
        <w:tc>
          <w:tcPr>
            <w:vAlign w:val="center"/>
          </w:tcPr>
          <w:p>
            <w:pPr>
              <w:jc w:val="right"/>
            </w:pPr>
            <w:r>
              <w:rPr>
                <w:color w:val="000000"/>
                <w:kern w:val="0"/>
                <w:sz w:val="24"/>
                <w:szCs w:val="24"/>
              </w:rPr>
              <w:t>4.59</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000661</w:t>
            </w:r>
          </w:p>
        </w:tc>
        <w:tc>
          <w:tcPr>
            <w:vAlign w:val="center"/>
          </w:tcPr>
          <w:p>
            <w:pPr>
              <w:jc w:val="center"/>
            </w:pPr>
            <w:r>
              <w:rPr>
                <w:color w:val="000000"/>
                <w:kern w:val="0"/>
                <w:sz w:val="24"/>
                <w:szCs w:val="24"/>
              </w:rPr>
              <w:t>长春高新</w:t>
            </w:r>
          </w:p>
        </w:tc>
        <w:tc>
          <w:tcPr>
            <w:vAlign w:val="center"/>
          </w:tcPr>
          <w:p>
            <w:pPr>
              <w:jc w:val="right"/>
            </w:pPr>
            <w:r>
              <w:rPr>
                <w:color w:val="000000"/>
                <w:kern w:val="0"/>
                <w:sz w:val="24"/>
                <w:szCs w:val="24"/>
              </w:rPr>
              <w:t>74,008</w:t>
            </w:r>
          </w:p>
        </w:tc>
        <w:tc>
          <w:tcPr>
            <w:vAlign w:val="center"/>
          </w:tcPr>
          <w:p>
            <w:pPr>
              <w:jc w:val="right"/>
            </w:pPr>
            <w:r>
              <w:rPr>
                <w:color w:val="000000"/>
                <w:kern w:val="0"/>
                <w:sz w:val="24"/>
                <w:szCs w:val="24"/>
              </w:rPr>
              <w:t>32,215,682.40</w:t>
            </w:r>
          </w:p>
        </w:tc>
        <w:tc>
          <w:tcPr>
            <w:vAlign w:val="center"/>
          </w:tcPr>
          <w:p>
            <w:pPr>
              <w:jc w:val="right"/>
            </w:pPr>
            <w:r>
              <w:rPr>
                <w:color w:val="000000"/>
                <w:kern w:val="0"/>
                <w:sz w:val="24"/>
                <w:szCs w:val="24"/>
              </w:rPr>
              <w:t>4.42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002415</w:t>
            </w:r>
          </w:p>
        </w:tc>
        <w:tc>
          <w:tcPr>
            <w:vAlign w:val="center"/>
          </w:tcPr>
          <w:p>
            <w:pPr>
              <w:jc w:val="center"/>
            </w:pPr>
            <w:r>
              <w:rPr>
                <w:color w:val="000000"/>
                <w:kern w:val="0"/>
                <w:sz w:val="24"/>
                <w:szCs w:val="24"/>
              </w:rPr>
              <w:t>海康威视</w:t>
            </w:r>
          </w:p>
        </w:tc>
        <w:tc>
          <w:tcPr>
            <w:vAlign w:val="center"/>
          </w:tcPr>
          <w:p>
            <w:pPr>
              <w:jc w:val="right"/>
            </w:pPr>
            <w:r>
              <w:rPr>
                <w:color w:val="000000"/>
                <w:kern w:val="0"/>
                <w:sz w:val="24"/>
                <w:szCs w:val="24"/>
              </w:rPr>
              <w:t>989,088</w:t>
            </w:r>
          </w:p>
        </w:tc>
        <w:tc>
          <w:tcPr>
            <w:vAlign w:val="center"/>
          </w:tcPr>
          <w:p>
            <w:pPr>
              <w:jc w:val="right"/>
            </w:pPr>
            <w:r>
              <w:rPr>
                <w:color w:val="000000"/>
                <w:kern w:val="0"/>
                <w:sz w:val="24"/>
                <w:szCs w:val="24"/>
              </w:rPr>
              <w:t>30,018,820.80</w:t>
            </w:r>
          </w:p>
        </w:tc>
        <w:tc>
          <w:tcPr>
            <w:vAlign w:val="center"/>
          </w:tcPr>
          <w:p>
            <w:pPr>
              <w:jc w:val="right"/>
            </w:pPr>
            <w:r>
              <w:rPr>
                <w:color w:val="000000"/>
                <w:kern w:val="0"/>
                <w:sz w:val="24"/>
                <w:szCs w:val="24"/>
              </w:rPr>
              <w:t>4.12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300760</w:t>
            </w:r>
          </w:p>
        </w:tc>
        <w:tc>
          <w:tcPr>
            <w:vAlign w:val="center"/>
          </w:tcPr>
          <w:p>
            <w:pPr>
              <w:jc w:val="center"/>
            </w:pPr>
            <w:r>
              <w:rPr>
                <w:color w:val="000000"/>
                <w:kern w:val="0"/>
                <w:sz w:val="24"/>
                <w:szCs w:val="24"/>
              </w:rPr>
              <w:t>迈瑞医疗</w:t>
            </w:r>
          </w:p>
        </w:tc>
        <w:tc>
          <w:tcPr>
            <w:vAlign w:val="center"/>
          </w:tcPr>
          <w:p>
            <w:pPr>
              <w:jc w:val="right"/>
            </w:pPr>
            <w:r>
              <w:rPr>
                <w:color w:val="000000"/>
                <w:kern w:val="0"/>
                <w:sz w:val="24"/>
                <w:szCs w:val="24"/>
              </w:rPr>
              <w:t>97,973</w:t>
            </w:r>
          </w:p>
        </w:tc>
        <w:tc>
          <w:tcPr>
            <w:vAlign w:val="center"/>
          </w:tcPr>
          <w:p>
            <w:pPr>
              <w:jc w:val="right"/>
            </w:pPr>
            <w:r>
              <w:rPr>
                <w:color w:val="000000"/>
                <w:kern w:val="0"/>
                <w:sz w:val="24"/>
                <w:szCs w:val="24"/>
              </w:rPr>
              <w:t>29,950,346.10</w:t>
            </w:r>
          </w:p>
        </w:tc>
        <w:tc>
          <w:tcPr>
            <w:vAlign w:val="center"/>
          </w:tcPr>
          <w:p>
            <w:pPr>
              <w:jc w:val="right"/>
            </w:pPr>
            <w:r>
              <w:rPr>
                <w:color w:val="000000"/>
                <w:kern w:val="0"/>
                <w:sz w:val="24"/>
                <w:szCs w:val="24"/>
              </w:rPr>
              <w:t>4.11</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000063</w:t>
            </w:r>
          </w:p>
        </w:tc>
        <w:tc>
          <w:tcPr>
            <w:vAlign w:val="center"/>
          </w:tcPr>
          <w:p>
            <w:pPr>
              <w:jc w:val="center"/>
            </w:pPr>
            <w:r>
              <w:rPr>
                <w:color w:val="000000"/>
                <w:kern w:val="0"/>
                <w:sz w:val="24"/>
                <w:szCs w:val="24"/>
              </w:rPr>
              <w:t>中兴通讯</w:t>
            </w:r>
          </w:p>
        </w:tc>
        <w:tc>
          <w:tcPr>
            <w:vAlign w:val="center"/>
          </w:tcPr>
          <w:p>
            <w:pPr>
              <w:jc w:val="right"/>
            </w:pPr>
            <w:r>
              <w:rPr>
                <w:color w:val="000000"/>
                <w:kern w:val="0"/>
                <w:sz w:val="24"/>
                <w:szCs w:val="24"/>
              </w:rPr>
              <w:t>713,836</w:t>
            </w:r>
          </w:p>
        </w:tc>
        <w:tc>
          <w:tcPr>
            <w:vAlign w:val="center"/>
          </w:tcPr>
          <w:p>
            <w:pPr>
              <w:jc w:val="right"/>
            </w:pPr>
            <w:r>
              <w:rPr>
                <w:color w:val="000000"/>
                <w:kern w:val="0"/>
                <w:sz w:val="24"/>
                <w:szCs w:val="24"/>
              </w:rPr>
              <w:t>28,646,238.68</w:t>
            </w:r>
          </w:p>
        </w:tc>
        <w:tc>
          <w:tcPr>
            <w:vAlign w:val="center"/>
          </w:tcPr>
          <w:p>
            <w:pPr>
              <w:jc w:val="right"/>
            </w:pPr>
            <w:r>
              <w:rPr>
                <w:color w:val="000000"/>
                <w:kern w:val="0"/>
                <w:sz w:val="24"/>
                <w:szCs w:val="24"/>
              </w:rPr>
              <w:t>3.93</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700,408</w:t>
            </w:r>
          </w:p>
        </w:tc>
        <w:tc>
          <w:tcPr>
            <w:vAlign w:val="center"/>
          </w:tcPr>
          <w:p>
            <w:pPr>
              <w:jc w:val="right"/>
            </w:pPr>
            <w:r>
              <w:rPr>
                <w:color w:val="000000"/>
                <w:kern w:val="0"/>
                <w:sz w:val="24"/>
                <w:szCs w:val="24"/>
              </w:rPr>
              <w:t>28,527,617.84</w:t>
            </w:r>
          </w:p>
        </w:tc>
        <w:tc>
          <w:tcPr>
            <w:vAlign w:val="center"/>
          </w:tcPr>
          <w:p>
            <w:pPr>
              <w:jc w:val="right"/>
            </w:pPr>
            <w:r>
              <w:rPr>
                <w:color w:val="000000"/>
                <w:kern w:val="0"/>
                <w:sz w:val="24"/>
                <w:szCs w:val="24"/>
              </w:rPr>
              <w:t>3.92</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603986</w:t>
            </w:r>
          </w:p>
        </w:tc>
        <w:tc>
          <w:tcPr>
            <w:vAlign w:val="center"/>
          </w:tcPr>
          <w:p>
            <w:pPr>
              <w:jc w:val="center"/>
            </w:pPr>
            <w:r>
              <w:rPr>
                <w:color w:val="000000"/>
                <w:kern w:val="0"/>
                <w:sz w:val="24"/>
                <w:szCs w:val="24"/>
              </w:rPr>
              <w:t>兆易创新</w:t>
            </w:r>
          </w:p>
        </w:tc>
        <w:tc>
          <w:tcPr>
            <w:vAlign w:val="center"/>
          </w:tcPr>
          <w:p>
            <w:pPr>
              <w:jc w:val="right"/>
            </w:pPr>
            <w:r>
              <w:rPr>
                <w:color w:val="000000"/>
                <w:kern w:val="0"/>
                <w:sz w:val="24"/>
                <w:szCs w:val="24"/>
              </w:rPr>
              <w:t>89,680</w:t>
            </w:r>
          </w:p>
        </w:tc>
        <w:tc>
          <w:tcPr>
            <w:vAlign w:val="center"/>
          </w:tcPr>
          <w:p>
            <w:pPr>
              <w:jc w:val="right"/>
            </w:pPr>
            <w:r>
              <w:rPr>
                <w:color w:val="000000"/>
                <w:kern w:val="0"/>
                <w:sz w:val="24"/>
                <w:szCs w:val="24"/>
              </w:rPr>
              <w:t>21,156,408.80</w:t>
            </w:r>
          </w:p>
        </w:tc>
        <w:tc>
          <w:tcPr>
            <w:vAlign w:val="center"/>
          </w:tcPr>
          <w:p>
            <w:pPr>
              <w:jc w:val="right"/>
            </w:pPr>
            <w:r>
              <w:rPr>
                <w:color w:val="000000"/>
                <w:kern w:val="0"/>
                <w:sz w:val="24"/>
                <w:szCs w:val="24"/>
              </w:rPr>
              <w:t>2.90</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694,400.00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694,400.00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6,944</w:t>
            </w:r>
          </w:p>
        </w:tc>
        <w:tc>
          <w:tcPr>
            <w:vAlign w:val="center"/>
          </w:tcPr>
          <w:p>
            <w:pPr>
              <w:jc w:val="right"/>
            </w:pPr>
            <w:r>
              <w:rPr>
                <w:color w:val="000000"/>
                <w:kern w:val="0"/>
                <w:sz w:val="24"/>
                <w:szCs w:val="24"/>
              </w:rPr>
              <w:t>694,400.00</w:t>
            </w:r>
          </w:p>
        </w:tc>
        <w:tc>
          <w:tcPr>
            <w:vAlign w:val="center"/>
          </w:tcPr>
          <w:p>
            <w:pPr>
              <w:jc w:val="right"/>
            </w:pPr>
            <w:r>
              <w:rPr>
                <w:color w:val="000000"/>
                <w:kern w:val="0"/>
                <w:sz w:val="24"/>
                <w:szCs w:val="24"/>
              </w:rPr>
              <w:t>0.10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373,085.70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2,359,300.71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1,488.23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2,733,874.64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1,433,025,714.00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213,000,000.00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1,086,000,000.00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560,025,714.00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1.中国证监会准予易方达中证科技50交易型开放式指数证券投资基金注册的文件；</w:t>
      </w:r>
    </w:p>
    <w:p>
      <w:pPr>
        <w:spacing w:line="360" w:lineRule="auto"/>
        <w:ind w:firstLine="480" w:firstLineChars="200"/>
        <w:rPr>
          <w:color w:val="000000"/>
          <w:sz w:val="24"/>
          <w:szCs w:val="24"/>
        </w:rPr>
      </w:pPr>
      <w:r>
        <w:rPr>
          <w:color w:val="000000"/>
          <w:sz w:val="24"/>
          <w:szCs w:val="24"/>
        </w:rPr>
        <w:t>2.《易方达中证科技50交易型开放式指数证券投资基金基金合同》；</w:t>
      </w:r>
    </w:p>
    <w:p>
      <w:pPr>
        <w:spacing w:line="360" w:lineRule="auto"/>
        <w:ind w:firstLine="480" w:firstLineChars="200"/>
        <w:rPr>
          <w:color w:val="000000"/>
          <w:sz w:val="24"/>
          <w:szCs w:val="24"/>
        </w:rPr>
      </w:pPr>
      <w:r>
        <w:rPr>
          <w:color w:val="000000"/>
          <w:sz w:val="24"/>
          <w:szCs w:val="24"/>
        </w:rPr>
        <w:t>3.《易方达中证科技50交易型开放式指数证券投资基金托管协议》；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易方达中证科技50交易型开放式指数证券投资基金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