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F22F00" w:rsidR="00F22F00" w:rsidRDefault="00F22F00"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proofErr w:type="gramStart"/>
      <w:r w:rsidRPr="008277FF">
        <w:rPr>
          <w:rFonts w:asciiTheme="minorEastAsia" w:eastAsiaTheme="minorEastAsia" w:hAnsiTheme="minorEastAsia"/>
          <w:b/>
          <w:color w:themeColor="text1" w:val="000000"/>
          <w:sz w:val="36"/>
          <w:szCs w:val="36"/>
        </w:rPr>
        <w:t/>
      </w:r>
      <w:r w:rsidRPr="008277FF">
        <w:rPr>
          <w:rFonts w:asciiTheme="minorEastAsia" w:eastAsiaTheme="minorEastAsia" w:hAnsiTheme="minorEastAsia" w:hint="eastAsia"/>
          <w:b/>
          <w:color w:themeColor="text1" w:val="000000"/>
          <w:sz w:val="36"/>
          <w:szCs w:val="36"/>
        </w:rPr>
        <w:t/>
      </w:r>
      <w:r w:rsidRPr="008277FF">
        <w:rPr>
          <w:rFonts w:asciiTheme="minorEastAsia" w:eastAsiaTheme="minorEastAsia" w:hAnsiTheme="minorEastAsia"/>
          <w:b/>
          <w:color w:themeColor="text1" w:val="000000"/>
          <w:sz w:val="36"/>
          <w:szCs w:val="36"/>
        </w:rPr>
        <w:t/>
      </w:r>
      <w:proofErr w:type="spellEnd"/>
      <w:proofErr w:type="gramEnd"/>
      <w:r w:rsidRPr="008277FF">
        <w:rPr>
          <w:rFonts w:asciiTheme="minorEastAsia" w:eastAsiaTheme="minorEastAsia" w:hAnsiTheme="minorEastAsia" w:hint="eastAsia"/>
          <w:b/>
          <w:color w:themeColor="text1" w:val="000000"/>
          <w:sz w:val="36"/>
          <w:szCs w:val="36"/>
        </w:rPr>
        <w:t>易方达标普全球高端消费品指数增强型证券投资基金</w:t>
      </w: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r w:rsidRPr="008277FF">
        <w:rPr>
          <w:rFonts w:asciiTheme="minorEastAsia" w:eastAsiaTheme="minorEastAsia" w:hAnsiTheme="minorEastAsia" w:hint="eastAsia"/>
          <w:b/>
          <w:color w:themeColor="text1" w:val="000000"/>
          <w:sz w:val="36"/>
          <w:szCs w:val="36"/>
        </w:rPr>
        <w:t/>
      </w:r>
      <w:proofErr w:type="spellEnd"/>
      <w:r w:rsidRPr="008277FF">
        <w:rPr>
          <w:rFonts w:asciiTheme="minorEastAsia" w:eastAsiaTheme="minorEastAsia" w:hAnsiTheme="minorEastAsia" w:hint="eastAsia"/>
          <w:b/>
          <w:color w:themeColor="text1" w:val="000000"/>
          <w:sz w:val="36"/>
          <w:szCs w:val="36"/>
        </w:rPr>
        <w:t>2020年第2季度报告</w:t>
      </w:r>
    </w:p>
    <w:p w:rsidP="00506D57" w:rsidR="00397616" w:rsidRDefault="00623556" w:rsidRPr="008277FF">
      <w:pPr>
        <w:spacing w:line="360" w:lineRule="auto"/>
        <w:jc w:val="center"/>
        <w:rPr>
          <w:rFonts w:asciiTheme="minorEastAsia" w:eastAsiaTheme="minorEastAsia" w:hAnsiTheme="minorEastAsia"/>
          <w:b/>
          <w:color w:themeColor="text1" w:val="000000"/>
          <w:sz w:val="24"/>
        </w:rPr>
      </w:pP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2020年6月30日</w:t>
      </w: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826B12" w:rsidR="00397616" w:rsidRDefault="00397616" w:rsidRPr="008277FF">
      <w:pPr>
        <w:spacing w:line="288" w:lineRule="auto"/>
        <w:ind w:firstLine="2168" w:firstLineChars="900"/>
        <w:rPr>
          <w:rFonts w:asciiTheme="minorEastAsia" w:eastAsiaTheme="minorEastAsia" w:hAnsiTheme="minorEastAsia"/>
          <w:b/>
          <w:color w:themeColor="text1" w:val="000000"/>
          <w:sz w:val="24"/>
        </w:rPr>
      </w:pP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基金管理人：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易方达基金管理有限公司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基金托管人：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中国银行股份有限公司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sectPr w:rsidR="007D1292" w:rsidRPr="008277FF" w:rsidSect="00B918B8">
          <w:headerReference r:id="rId8" w:type="default"/>
          <w:footerReference r:id="rId9" w:type="default"/>
          <w:pgSz w:h="15840" w:w="11926"/>
          <w:pgMar w:bottom="851" w:footer="992" w:gutter="0" w:header="851" w:left="1418" w:right="1418" w:top="1418"/>
          <w:cols w:space="720"/>
          <w:noEndnote/>
        </w:sectPr>
      </w:pPr>
      <w:r w:rsidRPr="008277FF">
        <w:rPr>
          <w:rFonts w:asciiTheme="minorEastAsia" w:eastAsiaTheme="minorEastAsia" w:hAnsiTheme="minorEastAsia" w:hint="eastAsia"/>
          <w:b/>
          <w:color w:themeColor="text1" w:val="000000"/>
          <w:sz w:val="24"/>
        </w:rPr>
        <w:t>报告送出日期：</w:t>
      </w:r>
      <w:r w:rsidR="00CB44DE" w:rsidRPr="008277FF">
        <w:rPr>
          <w:rFonts w:asciiTheme="minorEastAsia" w:eastAsiaTheme="minorEastAsia" w:hAnsiTheme="minorEastAsia"/>
          <w:b/>
          <w:color w:themeColor="text1" w:val="000000"/>
          <w:sz w:val="24"/>
        </w:rPr>
        <w:t/>
      </w:r>
      <w:proofErr w:type="spellStart"/>
      <w:proofErr w:type="gramStart"/>
      <w:r w:rsidR="00CB44DE" w:rsidRPr="008277FF">
        <w:rPr>
          <w:rFonts w:asciiTheme="minorEastAsia" w:eastAsiaTheme="minorEastAsia" w:hAnsiTheme="minorEastAsia" w:hint="eastAsia"/>
          <w:b/>
          <w:color w:themeColor="text1" w:val="000000"/>
          <w:sz w:val="24"/>
        </w:rPr>
        <w:t/>
      </w:r>
      <w:r w:rsidR="00623556" w:rsidRPr="008277FF">
        <w:rPr>
          <w:rFonts w:asciiTheme="minorEastAsia" w:eastAsiaTheme="minorEastAsia" w:hAnsiTheme="minorEastAsia" w:hint="eastAsia"/>
          <w:b/>
          <w:color w:themeColor="text1" w:val="000000"/>
          <w:sz w:val="24"/>
        </w:rPr>
        <w:t/>
      </w:r>
      <w:proofErr w:type="spellEnd"/>
      <w:proofErr w:type="gramEnd"/>
      <w:r w:rsidR="00CB44DE" w:rsidRPr="008277FF">
        <w:rPr>
          <w:rFonts w:asciiTheme="minorEastAsia" w:eastAsiaTheme="minorEastAsia" w:hAnsiTheme="minorEastAsia"/>
          <w:b/>
          <w:color w:themeColor="text1" w:val="000000"/>
          <w:sz w:val="24"/>
        </w:rPr>
        <w:t>二〇二〇年七月二十一日</w:t>
      </w:r>
    </w:p>
    <w:p w:rsidP="00775284" w:rsidR="0076518F" w:rsidRDefault="0076518F" w:rsidRPr="00A67563">
      <w:pPr>
        <w:pStyle w:val="1"/>
        <w:spacing w:after="312" w:afterLines="100" w:before="312" w:beforeLines="100" w:line="360" w:lineRule="auto"/>
        <w:jc w:val="center"/>
        <w:rPr>
          <w:b w:val="0"/>
          <w:color w:themeColor="text1" w:val="000000"/>
          <w:kern w:val="0"/>
          <w:sz w:val="24"/>
          <w:szCs w:val="24"/>
        </w:rPr>
      </w:pPr>
      <w:r w:rsidRPr="00A67563">
        <w:rPr>
          <w:color w:themeColor="text1" w:val="000000"/>
          <w:kern w:val="0"/>
          <w:sz w:val="24"/>
          <w:szCs w:val="24"/>
        </w:rPr>
        <w:lastRenderedPageBreak/>
        <w:t xml:space="preserve">§1  </w:t>
      </w:r>
      <w:r w:rsidRPr="00A67563">
        <w:rPr>
          <w:color w:themeColor="text1" w:val="000000"/>
          <w:kern w:val="0"/>
          <w:sz w:val="24"/>
          <w:szCs w:val="24"/>
        </w:rPr>
        <w:t>重要提示</w:t>
      </w:r>
    </w:p>
    <w:p>
      <w:pPr>
        <w:spacing w:line="360" w:lineRule="auto"/>
        <w:ind w:firstLine="480" w:firstLineChars="200"/>
        <w:rPr>
          <w:color w:themeColor="text1" w:val="000000"/>
          <w:sz w:val="24"/>
        </w:rPr>
      </w:pPr>
      <w:r>
        <w:rPr>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themeColor="text1" w:val="000000"/>
          <w:sz w:val="24"/>
        </w:rPr>
      </w:pPr>
      <w:r>
        <w:rPr>
          <w:color w:themeColor="text1"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themeColor="text1" w:val="000000"/>
          <w:sz w:val="24"/>
        </w:rPr>
      </w:pPr>
      <w:r>
        <w:rPr>
          <w:color w:themeColor="text1" w:val="000000"/>
          <w:sz w:val="24"/>
        </w:rPr>
        <w:t xml:space="preserve">基金管理人承诺以诚实信用、勤勉尽责的原则管理和运用基金资产，但不保证基金一定盈利。 </w:t>
      </w:r>
    </w:p>
    <w:p>
      <w:pPr>
        <w:spacing w:line="360" w:lineRule="auto"/>
        <w:ind w:firstLine="480" w:firstLineChars="200"/>
        <w:rPr>
          <w:color w:themeColor="text1" w:val="000000"/>
          <w:sz w:val="24"/>
        </w:rPr>
      </w:pPr>
      <w:r>
        <w:rPr>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themeColor="text1" w:val="000000"/>
          <w:sz w:val="24"/>
        </w:rPr>
      </w:pPr>
      <w:r>
        <w:rPr>
          <w:color w:themeColor="text1" w:val="000000"/>
          <w:sz w:val="24"/>
        </w:rPr>
        <w:t>本报告中财务资料未经审计。</w:t>
      </w:r>
    </w:p>
    <w:p w:rsidP="006669C9" w:rsidR="007D1292" w:rsidRDefault="007D1292"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本报告期自2020年4月1日起至6月30日止。</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§2  </w:t>
      </w:r>
      <w:r w:rsidRPr="00A67563">
        <w:rPr>
          <w:color w:themeColor="text1" w:val="000000"/>
          <w:kern w:val="0"/>
          <w:sz w:val="24"/>
          <w:szCs w:val="24"/>
        </w:rPr>
        <w:t>基金产品概况</w:t>
      </w:r>
    </w:p>
    <w:tbl>
      <w:tblPr>
        <w:tblW w:type="dxa" w:w="8423"/>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80"/>
        <w:gridCol w:w="2721"/>
        <w:gridCol w:w="59"/>
        <w:gridCol w:w="2663"/>
      </w:tblGrid>
      <w:tr w:rsidR="008277FF" w:rsidRPr="00A67563" w:rsidTr="003376D5">
        <w:tc>
          <w:tcPr>
            <w:tcW w:type="dxa" w:w="2980"/>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基金简称</w:t>
            </w:r>
          </w:p>
        </w:tc>
        <w:tc>
          <w:tcPr>
            <w:tcW w:type="dxa" w:w="5443"/>
            <w:gridSpan w:val="3"/>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易方达标普消费品指数增强（QDII）</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基金主代码</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118002</w:t>
            </w:r>
          </w:p>
        </w:tc>
      </w:tr>
      <w:tr w:rsidR="008277FF" w:rsidRPr="00A67563" w:rsidTr="003376D5">
        <w:tc>
          <w:tcPr>
            <w:tcW w:type="dxa" w:w="2980"/>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交易代码</w:t>
            </w:r>
          </w:p>
        </w:tc>
        <w:tc>
          <w:tcPr>
            <w:tcW w:type="dxa" w:w="5443"/>
            <w:gridSpan w:val="3"/>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118002</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基金运作方式</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契约型开放式</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基金合同生效日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2012年6月4日</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报告期末基金份额总额</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27,576,502.20</w:t>
            </w:r>
            <w:r w:rsidRPr="00A67563">
              <w:rPr>
                <w:color w:themeColor="text1" w:val="000000"/>
                <w:kern w:val="0"/>
                <w:sz w:val="24"/>
              </w:rPr>
              <w:t>份</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投资目标</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在严格控制跟踪误差的基础上，追求超越业绩比较基准的投资回报，力争实现基金资产的长期稳健增值。</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投资策略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以指数化投资为主，并辅以有限度的增强操作。本基金将以标普全球高端消费品指数的成份股构成及权重为基础，并基于量化模型和基本面研究进行投资组合的构建。在投资组合建立后，基金管理人将适时对投资组合进行调整，力争将投资组合对业绩比较基准的年化跟踪误差控制在8%以内，从而分享高端消费品行业品牌优势，高盈利所具有的长期投资价值，并力求获得超越业绩比较基准的投资回报。</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业绩比较基准</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xml:space="preserve">标普全球高端消费品指数（净收益指数，使用估值汇率折算） </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风险收益特征</w:t>
            </w:r>
          </w:p>
        </w:tc>
        <w:tc>
          <w:tcPr>
            <w:tcW w:type="dxa" w:w="5443"/>
            <w:gridSpan w:val="3"/>
            <w:vAlign w:val="center"/>
          </w:tcPr>
          <w:p>
            <w:pPr>
              <w:adjustRightInd w:val="0"/>
              <w:spacing w:before="29" w:line="360" w:lineRule="auto"/>
              <w:ind w:left="17"/>
              <w:rPr>
                <w:color w:themeColor="text1" w:val="000000"/>
                <w:sz w:val="24"/>
              </w:rPr>
            </w:pPr>
            <w:r>
              <w:rPr>
                <w:color w:themeColor="text1" w:val="000000"/>
                <w:kern w:val="0"/>
                <w:sz w:val="24"/>
              </w:rPr>
              <w:t>本基金为股票基金，其预期风险与收益水平高于货币市场基金、债券基金和混合型基金。本基金在控制跟踪误差的基础上，力争获得超越业绩比较基准的收益。长期来看，本基金具有与业绩比较基准相近的风险水平。</w:t>
            </w:r>
          </w:p>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本基金主要投资于全球高端消费品企业，需承担汇率风险、国家风险和高端消费品企业特有的风险。</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基金管理人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易方达基金管理有限公司</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基金托管人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中国银行股份有限公司</w:t>
            </w:r>
          </w:p>
        </w:tc>
      </w:tr>
      <w:tr w:rsidR="007F4CD3" w:rsidRPr="00A67563" w:rsidTr="003376D5">
        <w:tc>
          <w:tcPr>
            <w:tcW w:type="dxa" w:w="2980"/>
            <w:vMerge w:val="restart"/>
            <w:vAlign w:val="center"/>
          </w:tcPr>
          <w:p w:rsidP="007F4CD3" w:rsidR="007F4CD3" w:rsidRDefault="007F4CD3" w:rsidRPr="00A67563">
            <w:pPr>
              <w:adjustRightInd w:val="0"/>
              <w:spacing w:before="29" w:line="360" w:lineRule="auto"/>
              <w:ind w:left="17"/>
              <w:rPr>
                <w:color w:themeColor="text1" w:val="000000"/>
                <w:kern w:val="0"/>
                <w:sz w:val="24"/>
              </w:rPr>
            </w:pPr>
            <w:r w:rsidRPr="00A67563">
              <w:rPr>
                <w:color w:themeColor="text1" w:val="000000"/>
                <w:kern w:val="0"/>
                <w:sz w:val="24"/>
              </w:rPr>
              <w:t>境外投资顾问</w:t>
            </w: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sidR="00801249">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7F4CD3" w:rsidRPr="00A67563" w:rsidTr="003376D5">
        <w:tc>
          <w:tcPr>
            <w:tcW w:type="dxa" w:w="2980"/>
            <w:vMerge/>
            <w:vAlign w:val="center"/>
          </w:tcPr>
          <w:p w:rsidP="007F4CD3" w:rsidR="007F4CD3" w:rsidRDefault="007F4CD3" w:rsidRPr="00A67563">
            <w:pPr>
              <w:adjustRightInd w:val="0"/>
              <w:spacing w:before="29" w:line="360" w:lineRule="auto"/>
              <w:ind w:left="17"/>
              <w:rPr>
                <w:color w:themeColor="text1" w:val="000000"/>
                <w:kern w:val="0"/>
                <w:sz w:val="24"/>
              </w:rPr>
            </w:pP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Pr>
                <w:rFonts w:hint="eastAsia"/>
                <w:color w:themeColor="text1" w:val="000000"/>
                <w:kern w:val="0"/>
                <w:sz w:val="24"/>
              </w:rPr>
              <w:t>中文</w:t>
            </w:r>
            <w:r>
              <w:rPr>
                <w:color w:themeColor="text1" w:val="000000"/>
                <w:kern w:val="0"/>
                <w:sz w:val="24"/>
              </w:rPr>
              <w:t>名称</w:t>
            </w:r>
            <w:r>
              <w:rPr>
                <w:rFonts w:hint="eastAsia"/>
                <w:color w:themeColor="text1" w:val="000000"/>
                <w:kern w:val="0"/>
                <w:sz w:val="24"/>
              </w:rPr>
              <w:t>：</w:t>
            </w:r>
            <w:r w:rsidRPr="00A67563">
              <w:rPr>
                <w:color w:themeColor="text1" w:val="000000"/>
                <w:kern w:val="0"/>
                <w:sz w:val="24"/>
              </w:rPr>
              <w:lastRenderedPageBreak/>
              <w:t/>
            </w:r>
            <w:proofErr w:type="spellStart"/>
            <w:r w:rsidRPr="00A67563">
              <w:rPr>
                <w:color w:themeColor="text1" w:val="000000"/>
                <w:kern w:val="0"/>
                <w:sz w:val="24"/>
              </w:rPr>
              <w:t/>
            </w:r>
            <w:proofErr w:type="spellEnd"/>
            <w:r w:rsidRPr="00A67563">
              <w:rPr>
                <w:color w:themeColor="text1" w:val="000000"/>
                <w:kern w:val="0"/>
                <w:sz w:val="24"/>
              </w:rPr>
              <w:t>无</w:t>
            </w:r>
          </w:p>
        </w:tc>
      </w:tr>
      <w:tr w:rsidR="007F4CD3" w:rsidRPr="00A67563" w:rsidTr="0031104D">
        <w:tc>
          <w:tcPr>
            <w:tcW w:type="dxa" w:w="2980"/>
            <w:vMerge w:val="restart"/>
            <w:vAlign w:val="center"/>
          </w:tcPr>
          <w:p w:rsidP="007F4CD3" w:rsidR="007F4CD3" w:rsidRDefault="007F4CD3" w:rsidRPr="00A67563">
            <w:pPr>
              <w:adjustRightInd w:val="0"/>
              <w:spacing w:before="29" w:line="360" w:lineRule="auto"/>
              <w:ind w:left="17"/>
              <w:rPr>
                <w:color w:themeColor="text1" w:val="000000"/>
                <w:kern w:val="0"/>
                <w:sz w:val="24"/>
              </w:rPr>
            </w:pPr>
            <w:r w:rsidRPr="00A67563">
              <w:rPr>
                <w:color w:themeColor="text1" w:val="000000"/>
                <w:kern w:val="0"/>
                <w:sz w:val="24"/>
              </w:rPr>
              <w:lastRenderedPageBreak/>
              <w:t>境外资产托管人</w:t>
            </w: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Bank of China（Hong Kong）Limited</w:t>
            </w:r>
          </w:p>
        </w:tc>
      </w:tr>
      <w:tr w:rsidR="007F4CD3" w:rsidRPr="00A67563" w:rsidTr="0031104D">
        <w:tc>
          <w:tcPr>
            <w:tcW w:type="dxa" w:w="2980"/>
            <w:vMerge/>
            <w:vAlign w:val="center"/>
          </w:tcPr>
          <w:p w:rsidP="007F4CD3" w:rsidR="007F4CD3" w:rsidRDefault="007F4CD3" w:rsidRPr="00A67563">
            <w:pPr>
              <w:adjustRightInd w:val="0"/>
              <w:spacing w:before="29" w:line="360" w:lineRule="auto"/>
              <w:ind w:left="17"/>
              <w:rPr>
                <w:color w:themeColor="text1" w:val="000000"/>
                <w:kern w:val="0"/>
                <w:sz w:val="24"/>
              </w:rPr>
            </w:pPr>
          </w:p>
        </w:tc>
        <w:tc>
          <w:tcPr>
            <w:tcW w:type="dxa" w:w="5443"/>
            <w:gridSpan w:val="3"/>
            <w:vAlign w:val="center"/>
          </w:tcPr>
          <w:p w:rsidP="00801249" w:rsidR="007F4CD3" w:rsidRDefault="007F4CD3"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中国银行(香港)有限公司</w:t>
            </w:r>
          </w:p>
        </w:tc>
      </w:tr>
      <w:tr w:rsidR="00070DD6" w:rsidRPr="00A67563" w:rsidTr="00845292">
        <w:tblPrEx>
          <w:tblLook w:firstColumn="0" w:firstRow="0" w:lastColumn="0" w:lastRow="0" w:noHBand="0" w:noVBand="0" w:val="0000"/>
        </w:tblPrEx>
        <w:trPr>
          <w:trHeight w:val="866"/>
        </w:trPr>
        <w:tc>
          <w:tcPr>
            <w:tcW w:type="dxa" w:w="2980"/>
          </w:tcPr>
          <w:p w:rsidP="00845292" w:rsidR="00070DD6" w:rsidRDefault="00070DD6" w:rsidRPr="00A67563">
            <w:pPr>
              <w:adjustRightInd w:val="0"/>
              <w:spacing w:before="29" w:line="360" w:lineRule="auto"/>
              <w:ind w:left="17"/>
              <w:jc w:val="left"/>
              <w:rPr>
                <w:color w:themeColor="text1" w:val="000000"/>
                <w:kern w:val="0"/>
                <w:sz w:val="24"/>
              </w:rPr>
            </w:pPr>
            <w:r w:rsidRPr="00A67563">
              <w:rPr>
                <w:color w:themeColor="text1" w:val="000000"/>
                <w:sz w:val="24"/>
              </w:rPr>
              <w:t>下属分级基金的基金简称</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易方达标普消费品指数增强（QDII）A</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易方达标普消费品指数增强（QDII）C</w:t>
            </w:r>
          </w:p>
        </w:tc>
      </w:tr>
      <w:tr w:rsidR="00070DD6" w:rsidRPr="00A67563" w:rsidTr="00845292">
        <w:tblPrEx>
          <w:tblLook w:firstColumn="0" w:firstRow="0" w:lastColumn="0" w:lastRow="0" w:noHBand="0" w:noVBand="0" w:val="0000"/>
        </w:tblPrEx>
        <w:trPr>
          <w:trHeight w:val="628"/>
        </w:trPr>
        <w:tc>
          <w:tcPr>
            <w:tcW w:type="dxa" w:w="2980"/>
          </w:tcPr>
          <w:p w:rsidP="00845292" w:rsidR="00070DD6" w:rsidRDefault="00070DD6" w:rsidRPr="00A67563">
            <w:pPr>
              <w:adjustRightInd w:val="0"/>
              <w:spacing w:before="29" w:line="360" w:lineRule="auto"/>
              <w:ind w:left="17"/>
              <w:jc w:val="left"/>
              <w:rPr>
                <w:color w:themeColor="text1" w:val="000000"/>
                <w:sz w:val="24"/>
              </w:rPr>
            </w:pPr>
            <w:r w:rsidRPr="00A67563">
              <w:rPr>
                <w:color w:themeColor="text1" w:val="000000"/>
                <w:sz w:val="24"/>
              </w:rPr>
              <w:t>下属分级基金的交易代码</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118002</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005676</w:t>
            </w:r>
          </w:p>
        </w:tc>
      </w:tr>
      <w:tr w:rsidR="00322A5E" w:rsidRPr="00A67563" w:rsidTr="0031104D">
        <w:tblPrEx>
          <w:tblLook w:firstColumn="0" w:firstRow="0" w:lastColumn="0" w:lastRow="0" w:noHBand="0" w:noVBand="0" w:val="0000"/>
        </w:tblPrEx>
        <w:trPr>
          <w:trHeight w:val="555"/>
        </w:trPr>
        <w:tc>
          <w:tcPr>
            <w:tcW w:type="dxa" w:w="2980"/>
            <w:vAlign w:val="center"/>
          </w:tcPr>
          <w:p w:rsidP="00845292" w:rsidR="00322A5E" w:rsidRDefault="00322A5E" w:rsidRPr="00A67563">
            <w:pPr>
              <w:adjustRightInd w:val="0"/>
              <w:spacing w:before="29" w:line="360" w:lineRule="auto"/>
              <w:ind w:left="17"/>
              <w:rPr>
                <w:color w:themeColor="text1" w:val="000000"/>
                <w:sz w:val="24"/>
              </w:rPr>
            </w:pPr>
            <w:r w:rsidRPr="00A67563">
              <w:rPr>
                <w:color w:themeColor="text1" w:val="000000"/>
                <w:sz w:val="24"/>
              </w:rPr>
              <w:t>报告期末下属分级基金的份额总额</w:t>
            </w:r>
          </w:p>
        </w:tc>
        <w:tc>
          <w:tcPr>
            <w:tcW w:type="dxa" w:w="2780"/>
            <w:gridSpan w:val="2"/>
            <w:vAlign w:val="center"/>
          </w:tcPr>
          <w:p w:rsidP="00845292" w:rsidR="00322A5E" w:rsidRDefault="00322A5E" w:rsidRPr="00A67563">
            <w:pPr>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22,128,700.01</w:t>
            </w:r>
            <w:r w:rsidRPr="00A67563">
              <w:rPr>
                <w:color w:themeColor="text1" w:val="000000"/>
                <w:kern w:val="0"/>
                <w:sz w:val="24"/>
              </w:rPr>
              <w:t>份</w:t>
            </w:r>
          </w:p>
        </w:tc>
        <w:tc>
          <w:tcPr>
            <w:tcW w:type="dxa" w:w="2663"/>
            <w:vAlign w:val="center"/>
          </w:tcPr>
          <w:p w:rsidP="00845292" w:rsidR="00322A5E" w:rsidRDefault="00322A5E" w:rsidRPr="00A67563">
            <w:pPr>
              <w:rPr>
                <w:color w:themeColor="text1" w:val="000000"/>
                <w:sz w:val="24"/>
              </w:rPr>
            </w:pPr>
            <w:r w:rsidRPr="00A67563">
              <w:rPr>
                <w:color w:themeColor="text1" w:val="000000"/>
                <w:kern w:val="0"/>
                <w:sz w:val="24"/>
              </w:rPr>
              <w:t/>
            </w:r>
            <w:r w:rsidRPr="00A67563">
              <w:rPr>
                <w:color w:themeColor="text1" w:val="000000"/>
                <w:sz w:val="24"/>
              </w:rPr>
              <w:t>5,447,802.19</w:t>
            </w:r>
            <w:r w:rsidRPr="00A67563">
              <w:rPr>
                <w:color w:themeColor="text1" w:val="000000"/>
                <w:kern w:val="0"/>
                <w:sz w:val="24"/>
              </w:rPr>
              <w:t>份</w:t>
            </w:r>
          </w:p>
        </w:tc>
      </w:tr>
    </w:tbl>
    <w:p>
      <w:pPr>
        <w:autoSpaceDE w:val="0"/>
        <w:autoSpaceDN w:val="0"/>
        <w:adjustRightInd w:val="0"/>
        <w:spacing w:line="360" w:lineRule="auto"/>
        <w:ind w:firstLine="480" w:firstLineChars="200"/>
        <w:jc w:val="left"/>
        <w:rPr>
          <w:color w:themeColor="text1" w:val="000000"/>
          <w:sz w:val="24"/>
        </w:rPr>
      </w:pPr>
      <w:r>
        <w:rPr>
          <w:color w:themeColor="text1" w:val="000000"/>
          <w:sz w:val="24"/>
        </w:rPr>
        <w:t>注：1.自2018年2月9日起,本基金增设C类份额类别,份额首次确认日为2018年2月12日。</w:t>
      </w:r>
    </w:p>
    <w:p w:rsidP="002D6955" w:rsidR="00363E15" w:rsidRDefault="00363E1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2.易方达标普消费品指数增强（QDII）A含A类人民币份额（份额代码： 118002）及A类美元现汇份额（份额代码：000593），交易代码仅列示A类人民币份额代码。易方达标普消费品指数增强（QDII）C含C类人民币份额（份额代码：005676）。</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§3  </w:t>
      </w:r>
      <w:r w:rsidRPr="00A67563">
        <w:rPr>
          <w:color w:themeColor="text1" w:val="000000"/>
          <w:kern w:val="0"/>
          <w:sz w:val="24"/>
          <w:szCs w:val="24"/>
        </w:rPr>
        <w:t>主要财务指标和基金净值表现</w:t>
      </w:r>
    </w:p>
    <w:p w:rsidP="00506D57"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3.1 </w:t>
      </w:r>
      <w:r w:rsidRPr="00A67563">
        <w:rPr>
          <w:b/>
          <w:color w:themeColor="text1" w:val="000000"/>
          <w:kern w:val="0"/>
          <w:sz w:val="24"/>
        </w:rPr>
        <w:t>主要财务指标</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225051" w:rsidRPr="00A67563" w:rsidTr="00845292">
        <w:tc>
          <w:tcPr>
            <w:tcW w:type="dxa" w:w="3402"/>
            <w:vMerge w:val="restart"/>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主要财务指标</w:t>
            </w:r>
          </w:p>
        </w:tc>
        <w:tc>
          <w:tcPr>
            <w:tcW w:type="dxa" w:w="4962"/>
            <w:gridSpan w:val="2"/>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报告期</w:t>
            </w:r>
          </w:p>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w:t>
            </w:r>
            <w:proofErr w:type="spellStart"/>
            <w:r w:rsidRPr="00A67563">
              <w:rPr>
                <w:color w:themeColor="text1" w:val="000000"/>
                <w:sz w:val="24"/>
              </w:rPr>
              <w:t/>
            </w:r>
            <w:proofErr w:type="spellEnd"/>
            <w:r w:rsidRPr="00A67563">
              <w:rPr>
                <w:color w:themeColor="text1" w:val="000000"/>
                <w:sz w:val="24"/>
              </w:rPr>
              <w:t>2020年4月1日-</w:t>
            </w:r>
            <w:proofErr w:type="spellStart"/>
            <w:r w:rsidRPr="00A67563">
              <w:rPr>
                <w:color w:themeColor="text1" w:val="000000"/>
                <w:sz w:val="24"/>
              </w:rPr>
              <w:t/>
            </w:r>
            <w:proofErr w:type="spellEnd"/>
            <w:r w:rsidRPr="00A67563">
              <w:rPr>
                <w:color w:themeColor="text1" w:val="000000"/>
                <w:sz w:val="24"/>
              </w:rPr>
              <w:t>2020年6月30日)</w:t>
            </w:r>
          </w:p>
        </w:tc>
      </w:tr>
      <w:tr w:rsidR="00225051" w:rsidRPr="00A67563" w:rsidTr="00845292">
        <w:tc>
          <w:tcPr>
            <w:tcW w:type="dxa" w:w="3402"/>
            <w:vMerge/>
            <w:vAlign w:val="center"/>
          </w:tcPr>
          <w:p w:rsidP="00845292" w:rsidR="00225051" w:rsidRDefault="00225051" w:rsidRPr="00A67563">
            <w:pPr>
              <w:adjustRightInd w:val="0"/>
              <w:spacing w:before="29" w:line="360" w:lineRule="auto"/>
              <w:ind w:left="17"/>
              <w:rPr>
                <w:color w:themeColor="text1" w:val="000000"/>
                <w:kern w:val="0"/>
                <w:sz w:val="24"/>
              </w:rPr>
            </w:pP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易方达标普消费品指数增强（QDII）A</w:t>
            </w: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r w:rsidRPr="00A67563">
              <w:rPr>
                <w:color w:themeColor="text1" w:val="000000"/>
                <w:sz w:val="24"/>
              </w:rPr>
              <w:t>易方达标普消费品指数增强（QDII）C</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1.</w:t>
            </w:r>
            <w:r w:rsidRPr="00A67563">
              <w:rPr>
                <w:color w:themeColor="text1" w:val="000000"/>
                <w:kern w:val="0"/>
                <w:sz w:val="24"/>
              </w:rPr>
              <w:t>本期已实现收益</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r w:rsidRPr="00A67563">
              <w:rPr>
                <w:color w:themeColor="text1" w:val="000000"/>
                <w:sz w:val="24"/>
              </w:rPr>
              <w:lastRenderedPageBreak/>
              <w:t>-11,959.12</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9,965.82</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lastRenderedPageBreak/>
              <w:t>2.</w:t>
            </w:r>
            <w:r w:rsidRPr="00A67563">
              <w:rPr>
                <w:color w:themeColor="text1" w:val="000000"/>
                <w:kern w:val="0"/>
                <w:sz w:val="24"/>
              </w:rPr>
              <w:t>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8,605,834.31</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1,686,290.93</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3.</w:t>
            </w:r>
            <w:r w:rsidRPr="00A67563">
              <w:rPr>
                <w:color w:themeColor="text1" w:val="000000"/>
                <w:kern w:val="0"/>
                <w:sz w:val="24"/>
              </w:rPr>
              <w:t>加权平均基金份额本期利润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0.3564</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0.3434</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4.</w:t>
            </w:r>
            <w:r w:rsidRPr="00A67563">
              <w:rPr>
                <w:color w:themeColor="text1" w:val="000000"/>
                <w:kern w:val="0"/>
                <w:sz w:val="24"/>
              </w:rPr>
              <w:t>期末基金资产净值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44,515,699.85</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10,894,335.93</w:t>
            </w:r>
          </w:p>
        </w:tc>
      </w:tr>
      <w:tr w:rsidR="00225051" w:rsidRPr="00A67563" w:rsidTr="00845292">
        <w:trPr>
          <w:trHeight w:val="158"/>
        </w:trPr>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5.</w:t>
            </w:r>
            <w:r w:rsidRPr="00A67563">
              <w:rPr>
                <w:color w:themeColor="text1" w:val="000000"/>
                <w:kern w:val="0"/>
                <w:sz w:val="24"/>
              </w:rPr>
              <w:t>期末基金份额净值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2.012</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2.000</w:t>
            </w:r>
          </w:p>
        </w:tc>
      </w:tr>
    </w:tbl>
    <w:p>
      <w:pPr>
        <w:autoSpaceDE w:val="0"/>
        <w:autoSpaceDN w:val="0"/>
        <w:adjustRightInd w:val="0"/>
        <w:spacing w:line="360" w:lineRule="auto"/>
        <w:ind w:firstLine="480" w:firstLineChars="200"/>
        <w:jc w:val="left"/>
        <w:rPr>
          <w:color w:themeColor="text1" w:val="000000"/>
          <w:kern w:val="0"/>
          <w:sz w:val="24"/>
        </w:rPr>
      </w:pPr>
      <w:r>
        <w:rPr>
          <w:color w:themeColor="text1" w:val="000000"/>
          <w:sz w:val="24"/>
        </w:rPr>
        <w:t>注：1.所述基金业绩指标不包括持有人认购或交易基金的各项费用，计入费用后实际收益水平要低于所列数字。</w:t>
      </w:r>
    </w:p>
    <w:p w:rsidP="0062493E" w:rsidR="0076518F" w:rsidRDefault="007D1292"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r w:rsidR="004C30D5">
        <w:rPr>
          <w:color w:themeColor="text1" w:val="000000"/>
          <w:sz w:val="24"/>
        </w:rPr>
        <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2.本期已实现收益指基金本期利息收入、投资收益、其他收入（不含公允价值变动收益）扣除相关费用后的余额，本期利润为本期已实现收益加上本期公允价值变动收益。</w:t>
      </w: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3.2 </w:t>
      </w:r>
      <w:r w:rsidRPr="00A67563">
        <w:rPr>
          <w:b/>
          <w:color w:themeColor="text1" w:val="000000"/>
          <w:kern w:val="0"/>
          <w:sz w:val="24"/>
        </w:rPr>
        <w:t>基金净值表现</w:t>
      </w:r>
    </w:p>
    <w:p w:rsidP="00EC4BA3" w:rsidR="0076518F" w:rsidRDefault="0076518F" w:rsidRPr="00A67563">
      <w:pPr>
        <w:autoSpaceDE w:val="0"/>
        <w:autoSpaceDN w:val="0"/>
        <w:adjustRightInd w:val="0"/>
        <w:spacing w:line="360" w:lineRule="auto"/>
        <w:jc w:val="left"/>
        <w:rPr>
          <w:b/>
          <w:color w:themeColor="text1"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A67563">
          <w:rPr>
            <w:b/>
            <w:color w:themeColor="text1" w:val="000000"/>
            <w:kern w:val="0"/>
            <w:sz w:val="24"/>
          </w:rPr>
          <w:lastRenderedPageBreak/>
          <w:t>3.2.1</w:t>
        </w:r>
      </w:smartTag>
      <w:r w:rsidRPr="00A67563">
        <w:rPr>
          <w:b/>
          <w:color w:themeColor="text1" w:val="000000"/>
          <w:kern w:val="0"/>
          <w:sz w:val="24"/>
        </w:rPr>
        <w:t>本报告</w:t>
      </w:r>
      <w:proofErr w:type="gramStart"/>
      <w:r w:rsidRPr="00A67563">
        <w:rPr>
          <w:b/>
          <w:color w:themeColor="text1" w:val="000000"/>
          <w:kern w:val="0"/>
          <w:sz w:val="24"/>
        </w:rPr>
        <w:t>期基金</w:t>
      </w:r>
      <w:proofErr w:type="gramEnd"/>
      <w:r w:rsidRPr="00A67563">
        <w:rPr>
          <w:b/>
          <w:color w:themeColor="text1" w:val="000000"/>
          <w:kern w:val="0"/>
          <w:sz w:val="24"/>
        </w:rPr>
        <w:t>份额净值增长率及其与同期业绩比较基准收益率的比较</w:t>
      </w:r>
    </w:p>
    <w:p w:rsidP="0065601A" w:rsidR="0065601A" w:rsidRDefault="0065601A" w:rsidRPr="00A67563">
      <w:pPr>
        <w:spacing w:line="360" w:lineRule="auto"/>
        <w:rPr>
          <w:b/>
          <w:color w:themeColor="text1" w:val="000000"/>
          <w:sz w:val="24"/>
        </w:rPr>
      </w:pPr>
      <w:r w:rsidRPr="00A67563">
        <w:rPr>
          <w:b/>
          <w:color w:themeColor="text1" w:val="000000"/>
          <w:kern w:val="0"/>
          <w:sz w:val="24"/>
        </w:rPr>
        <w:t/>
      </w:r>
      <w:proofErr w:type="gramStart"/>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proofErr w:type="gramEnd"/>
      <w:r w:rsidRPr="00A67563">
        <w:rPr>
          <w:b/>
          <w:color w:themeColor="text1" w:val="000000"/>
          <w:kern w:val="0"/>
          <w:sz w:val="24"/>
        </w:rPr>
        <w:t>易方达标普消费品指数增强（QDII）A</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20.91%</w:t>
            </w:r>
          </w:p>
        </w:tc>
        <w:tc>
          <w:tcPr>
            <w:vAlign w:val="center"/>
          </w:tcPr>
          <w:p>
            <w:pPr>
              <w:jc w:val="right"/>
            </w:pPr>
            <w:r>
              <w:rPr>
                <w:color w:themeColor="text1" w:val="000000"/>
                <w:sz w:val="24"/>
              </w:rPr>
              <w:t>1.91%</w:t>
            </w:r>
          </w:p>
        </w:tc>
        <w:tc>
          <w:tcPr>
            <w:vAlign w:val="center"/>
          </w:tcPr>
          <w:p>
            <w:pPr>
              <w:jc w:val="right"/>
            </w:pPr>
            <w:r>
              <w:rPr>
                <w:color w:themeColor="text1" w:val="000000"/>
                <w:sz w:val="24"/>
              </w:rPr>
              <w:t>26.77%</w:t>
            </w:r>
          </w:p>
        </w:tc>
        <w:tc>
          <w:tcPr>
            <w:vAlign w:val="center"/>
          </w:tcPr>
          <w:p>
            <w:pPr>
              <w:jc w:val="right"/>
            </w:pPr>
            <w:r>
              <w:rPr>
                <w:color w:themeColor="text1" w:val="000000"/>
                <w:sz w:val="24"/>
              </w:rPr>
              <w:t>2.54%</w:t>
            </w:r>
          </w:p>
        </w:tc>
        <w:tc>
          <w:tcPr>
            <w:vAlign w:val="center"/>
          </w:tcPr>
          <w:p>
            <w:pPr>
              <w:jc w:val="right"/>
            </w:pPr>
            <w:r>
              <w:rPr>
                <w:color w:themeColor="text1" w:val="000000"/>
                <w:sz w:val="24"/>
              </w:rPr>
              <w:t>-5.86%</w:t>
            </w:r>
          </w:p>
        </w:tc>
        <w:tc>
          <w:tcPr>
            <w:vAlign w:val="center"/>
          </w:tcPr>
          <w:p>
            <w:pPr>
              <w:jc w:val="right"/>
            </w:pPr>
            <w:r>
              <w:rPr>
                <w:color w:themeColor="text1" w:val="000000"/>
                <w:sz w:val="24"/>
              </w:rPr>
              <w:t>-0.63%</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-3.82%</w:t>
            </w:r>
          </w:p>
        </w:tc>
        <w:tc>
          <w:tcPr>
            <w:vAlign w:val="center"/>
          </w:tcPr>
          <w:p>
            <w:pPr>
              <w:jc w:val="right"/>
            </w:pPr>
            <w:r>
              <w:rPr>
                <w:color w:themeColor="text1" w:val="000000"/>
                <w:sz w:val="24"/>
              </w:rPr>
              <w:t>2.50%</w:t>
            </w:r>
          </w:p>
        </w:tc>
        <w:tc>
          <w:tcPr>
            <w:vAlign w:val="center"/>
          </w:tcPr>
          <w:p>
            <w:pPr>
              <w:jc w:val="right"/>
            </w:pPr>
            <w:r>
              <w:rPr>
                <w:color w:themeColor="text1" w:val="000000"/>
                <w:sz w:val="24"/>
              </w:rPr>
              <w:t>-7.94%</w:t>
            </w:r>
          </w:p>
        </w:tc>
        <w:tc>
          <w:tcPr>
            <w:vAlign w:val="center"/>
          </w:tcPr>
          <w:p>
            <w:pPr>
              <w:jc w:val="right"/>
            </w:pPr>
            <w:r>
              <w:rPr>
                <w:color w:themeColor="text1" w:val="000000"/>
                <w:sz w:val="24"/>
              </w:rPr>
              <w:t>3.01%</w:t>
            </w:r>
          </w:p>
        </w:tc>
        <w:tc>
          <w:tcPr>
            <w:vAlign w:val="center"/>
          </w:tcPr>
          <w:p>
            <w:pPr>
              <w:jc w:val="right"/>
            </w:pPr>
            <w:r>
              <w:rPr>
                <w:color w:themeColor="text1" w:val="000000"/>
                <w:sz w:val="24"/>
              </w:rPr>
              <w:t>4.12%</w:t>
            </w:r>
          </w:p>
        </w:tc>
        <w:tc>
          <w:tcPr>
            <w:vAlign w:val="center"/>
          </w:tcPr>
          <w:p>
            <w:pPr>
              <w:jc w:val="right"/>
            </w:pPr>
            <w:r>
              <w:rPr>
                <w:color w:themeColor="text1" w:val="000000"/>
                <w:sz w:val="24"/>
              </w:rPr>
              <w:t>-0.51%</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5.29%</w:t>
            </w:r>
          </w:p>
        </w:tc>
        <w:tc>
          <w:tcPr>
            <w:vAlign w:val="center"/>
          </w:tcPr>
          <w:p>
            <w:pPr>
              <w:jc w:val="right"/>
            </w:pPr>
            <w:r>
              <w:rPr>
                <w:color w:themeColor="text1" w:val="000000"/>
                <w:sz w:val="24"/>
              </w:rPr>
              <w:t>1.87%</w:t>
            </w:r>
          </w:p>
        </w:tc>
        <w:tc>
          <w:tcPr>
            <w:vAlign w:val="center"/>
          </w:tcPr>
          <w:p>
            <w:pPr>
              <w:jc w:val="right"/>
            </w:pPr>
            <w:r>
              <w:rPr>
                <w:color w:themeColor="text1" w:val="000000"/>
                <w:sz w:val="24"/>
              </w:rPr>
              <w:t>2.84%</w:t>
            </w:r>
          </w:p>
        </w:tc>
        <w:tc>
          <w:tcPr>
            <w:vAlign w:val="center"/>
          </w:tcPr>
          <w:p>
            <w:pPr>
              <w:jc w:val="right"/>
            </w:pPr>
            <w:r>
              <w:rPr>
                <w:color w:themeColor="text1" w:val="000000"/>
                <w:sz w:val="24"/>
              </w:rPr>
              <w:t>2.21%</w:t>
            </w:r>
          </w:p>
        </w:tc>
        <w:tc>
          <w:tcPr>
            <w:vAlign w:val="center"/>
          </w:tcPr>
          <w:p>
            <w:pPr>
              <w:jc w:val="right"/>
            </w:pPr>
            <w:r>
              <w:rPr>
                <w:color w:themeColor="text1" w:val="000000"/>
                <w:sz w:val="24"/>
              </w:rPr>
              <w:t>2.45%</w:t>
            </w:r>
          </w:p>
        </w:tc>
        <w:tc>
          <w:tcPr>
            <w:vAlign w:val="center"/>
          </w:tcPr>
          <w:p>
            <w:pPr>
              <w:jc w:val="right"/>
            </w:pPr>
            <w:r>
              <w:rPr>
                <w:color w:themeColor="text1" w:val="000000"/>
                <w:sz w:val="24"/>
              </w:rPr>
              <w:t>-0.34%</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23.36%</w:t>
            </w:r>
          </w:p>
        </w:tc>
        <w:tc>
          <w:tcPr>
            <w:vAlign w:val="center"/>
          </w:tcPr>
          <w:p>
            <w:pPr>
              <w:jc w:val="right"/>
            </w:pPr>
            <w:r>
              <w:rPr>
                <w:color w:themeColor="text1" w:val="000000"/>
                <w:sz w:val="24"/>
              </w:rPr>
              <w:t>1.31%</w:t>
            </w:r>
          </w:p>
        </w:tc>
        <w:tc>
          <w:tcPr>
            <w:vAlign w:val="center"/>
          </w:tcPr>
          <w:p>
            <w:pPr>
              <w:jc w:val="right"/>
            </w:pPr>
            <w:r>
              <w:rPr>
                <w:color w:themeColor="text1" w:val="000000"/>
                <w:sz w:val="24"/>
              </w:rPr>
              <w:t>26.43%</w:t>
            </w:r>
          </w:p>
        </w:tc>
        <w:tc>
          <w:tcPr>
            <w:vAlign w:val="center"/>
          </w:tcPr>
          <w:p>
            <w:pPr>
              <w:jc w:val="right"/>
            </w:pPr>
            <w:r>
              <w:rPr>
                <w:color w:themeColor="text1" w:val="000000"/>
                <w:sz w:val="24"/>
              </w:rPr>
              <w:t>1.50%</w:t>
            </w:r>
          </w:p>
        </w:tc>
        <w:tc>
          <w:tcPr>
            <w:vAlign w:val="center"/>
          </w:tcPr>
          <w:p>
            <w:pPr>
              <w:jc w:val="right"/>
            </w:pPr>
            <w:r>
              <w:rPr>
                <w:color w:themeColor="text1" w:val="000000"/>
                <w:sz w:val="24"/>
              </w:rPr>
              <w:t>-3.07%</w:t>
            </w:r>
          </w:p>
        </w:tc>
        <w:tc>
          <w:tcPr>
            <w:vAlign w:val="center"/>
          </w:tcPr>
          <w:p>
            <w:pPr>
              <w:jc w:val="right"/>
            </w:pPr>
            <w:r>
              <w:rPr>
                <w:color w:themeColor="text1" w:val="000000"/>
                <w:sz w:val="24"/>
              </w:rPr>
              <w:t>-0.19%</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47.94%</w:t>
            </w:r>
          </w:p>
        </w:tc>
        <w:tc>
          <w:tcPr>
            <w:vAlign w:val="center"/>
          </w:tcPr>
          <w:p>
            <w:pPr>
              <w:jc w:val="right"/>
            </w:pPr>
            <w:r>
              <w:rPr>
                <w:color w:themeColor="text1" w:val="000000"/>
                <w:sz w:val="24"/>
              </w:rPr>
              <w:t>1.20%</w:t>
            </w:r>
          </w:p>
        </w:tc>
        <w:tc>
          <w:tcPr>
            <w:vAlign w:val="center"/>
          </w:tcPr>
          <w:p>
            <w:pPr>
              <w:jc w:val="right"/>
            </w:pPr>
            <w:r>
              <w:rPr>
                <w:color w:themeColor="text1" w:val="000000"/>
                <w:sz w:val="24"/>
              </w:rPr>
              <w:t>56.64%</w:t>
            </w:r>
          </w:p>
        </w:tc>
        <w:tc>
          <w:tcPr>
            <w:vAlign w:val="center"/>
          </w:tcPr>
          <w:p>
            <w:pPr>
              <w:jc w:val="right"/>
            </w:pPr>
            <w:r>
              <w:rPr>
                <w:color w:themeColor="text1" w:val="000000"/>
                <w:sz w:val="24"/>
              </w:rPr>
              <w:t>1.33%</w:t>
            </w:r>
          </w:p>
        </w:tc>
        <w:tc>
          <w:tcPr>
            <w:vAlign w:val="center"/>
          </w:tcPr>
          <w:p>
            <w:pPr>
              <w:jc w:val="right"/>
            </w:pPr>
            <w:r>
              <w:rPr>
                <w:color w:themeColor="text1" w:val="000000"/>
                <w:sz w:val="24"/>
              </w:rPr>
              <w:t>-8.70%</w:t>
            </w:r>
          </w:p>
        </w:tc>
        <w:tc>
          <w:tcPr>
            <w:vAlign w:val="center"/>
          </w:tcPr>
          <w:p>
            <w:pPr>
              <w:jc w:val="right"/>
            </w:pPr>
            <w:r>
              <w:rPr>
                <w:color w:themeColor="text1" w:val="000000"/>
                <w:sz w:val="24"/>
              </w:rPr>
              <w:t>-0.13%</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101.20%</w:t>
            </w:r>
          </w:p>
        </w:tc>
        <w:tc>
          <w:tcPr>
            <w:vAlign w:val="center"/>
          </w:tcPr>
          <w:p>
            <w:pPr>
              <w:jc w:val="right"/>
            </w:pPr>
            <w:r>
              <w:rPr>
                <w:color w:themeColor="text1" w:val="000000"/>
                <w:sz w:val="24"/>
              </w:rPr>
              <w:t>1.07%</w:t>
            </w:r>
          </w:p>
        </w:tc>
        <w:tc>
          <w:tcPr>
            <w:vAlign w:val="center"/>
          </w:tcPr>
          <w:p>
            <w:pPr>
              <w:jc w:val="right"/>
            </w:pPr>
            <w:r>
              <w:rPr>
                <w:color w:themeColor="text1" w:val="000000"/>
                <w:sz w:val="24"/>
              </w:rPr>
              <w:t>137.80%</w:t>
            </w:r>
          </w:p>
        </w:tc>
        <w:tc>
          <w:tcPr>
            <w:vAlign w:val="center"/>
          </w:tcPr>
          <w:p>
            <w:pPr>
              <w:jc w:val="right"/>
            </w:pPr>
            <w:r>
              <w:rPr>
                <w:color w:themeColor="text1" w:val="000000"/>
                <w:sz w:val="24"/>
              </w:rPr>
              <w:t>1.18%</w:t>
            </w:r>
          </w:p>
        </w:tc>
        <w:tc>
          <w:tcPr>
            <w:vAlign w:val="center"/>
          </w:tcPr>
          <w:p>
            <w:pPr>
              <w:jc w:val="right"/>
            </w:pPr>
            <w:r>
              <w:rPr>
                <w:color w:themeColor="text1" w:val="000000"/>
                <w:sz w:val="24"/>
              </w:rPr>
              <w:t>-36.60%</w:t>
            </w:r>
          </w:p>
        </w:tc>
        <w:tc>
          <w:tcPr>
            <w:vAlign w:val="center"/>
          </w:tcPr>
          <w:p>
            <w:pPr>
              <w:jc w:val="right"/>
            </w:pPr>
            <w:r>
              <w:rPr>
                <w:color w:themeColor="text1" w:val="000000"/>
                <w:sz w:val="24"/>
              </w:rPr>
              <w:t>-0.11%</w:t>
            </w:r>
          </w:p>
        </w:tc>
      </w:tr>
    </w:tbl>
    <w:p w:rsidP="00775284" w:rsidR="0065601A" w:rsidRDefault="0065601A" w:rsidRPr="00A67563">
      <w:pPr>
        <w:adjustRightInd w:val="0"/>
        <w:spacing w:before="156" w:beforeLines="50" w:line="360" w:lineRule="auto"/>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Pr="00A67563">
        <w:rPr>
          <w:b/>
          <w:color w:themeColor="text1" w:val="000000"/>
          <w:kern w:val="0"/>
          <w:sz w:val="24"/>
        </w:rPr>
        <w:t>易方达标普消费品指数增强（QDII）C</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20.77%</w:t>
            </w:r>
          </w:p>
        </w:tc>
        <w:tc>
          <w:tcPr>
            <w:vAlign w:val="center"/>
          </w:tcPr>
          <w:p>
            <w:pPr>
              <w:jc w:val="right"/>
            </w:pPr>
            <w:r>
              <w:rPr>
                <w:color w:themeColor="text1" w:val="000000"/>
                <w:sz w:val="24"/>
              </w:rPr>
              <w:t>1.91%</w:t>
            </w:r>
          </w:p>
        </w:tc>
        <w:tc>
          <w:tcPr>
            <w:vAlign w:val="center"/>
          </w:tcPr>
          <w:p>
            <w:pPr>
              <w:jc w:val="right"/>
            </w:pPr>
            <w:r>
              <w:rPr>
                <w:color w:themeColor="text1" w:val="000000"/>
                <w:sz w:val="24"/>
              </w:rPr>
              <w:t>26.77%</w:t>
            </w:r>
          </w:p>
        </w:tc>
        <w:tc>
          <w:tcPr>
            <w:vAlign w:val="center"/>
          </w:tcPr>
          <w:p>
            <w:pPr>
              <w:jc w:val="right"/>
            </w:pPr>
            <w:r>
              <w:rPr>
                <w:color w:themeColor="text1" w:val="000000"/>
                <w:sz w:val="24"/>
              </w:rPr>
              <w:t>2.54%</w:t>
            </w:r>
          </w:p>
        </w:tc>
        <w:tc>
          <w:tcPr>
            <w:vAlign w:val="center"/>
          </w:tcPr>
          <w:p>
            <w:pPr>
              <w:jc w:val="right"/>
            </w:pPr>
            <w:r>
              <w:rPr>
                <w:color w:themeColor="text1" w:val="000000"/>
                <w:sz w:val="24"/>
              </w:rPr>
              <w:t>-6.00%</w:t>
            </w:r>
          </w:p>
        </w:tc>
        <w:tc>
          <w:tcPr>
            <w:vAlign w:val="center"/>
          </w:tcPr>
          <w:p>
            <w:pPr>
              <w:jc w:val="right"/>
            </w:pPr>
            <w:r>
              <w:rPr>
                <w:color w:themeColor="text1" w:val="000000"/>
                <w:sz w:val="24"/>
              </w:rPr>
              <w:t>-0.63%</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-3.94%</w:t>
            </w:r>
          </w:p>
        </w:tc>
        <w:tc>
          <w:tcPr>
            <w:vAlign w:val="center"/>
          </w:tcPr>
          <w:p>
            <w:pPr>
              <w:jc w:val="right"/>
            </w:pPr>
            <w:r>
              <w:rPr>
                <w:color w:themeColor="text1" w:val="000000"/>
                <w:sz w:val="24"/>
              </w:rPr>
              <w:t>2.50%</w:t>
            </w:r>
          </w:p>
        </w:tc>
        <w:tc>
          <w:tcPr>
            <w:vAlign w:val="center"/>
          </w:tcPr>
          <w:p>
            <w:pPr>
              <w:jc w:val="right"/>
            </w:pPr>
            <w:r>
              <w:rPr>
                <w:color w:themeColor="text1" w:val="000000"/>
                <w:sz w:val="24"/>
              </w:rPr>
              <w:t>-7.94%</w:t>
            </w:r>
          </w:p>
        </w:tc>
        <w:tc>
          <w:tcPr>
            <w:vAlign w:val="center"/>
          </w:tcPr>
          <w:p>
            <w:pPr>
              <w:jc w:val="right"/>
            </w:pPr>
            <w:r>
              <w:rPr>
                <w:color w:themeColor="text1" w:val="000000"/>
                <w:sz w:val="24"/>
              </w:rPr>
              <w:t>3.01%</w:t>
            </w:r>
          </w:p>
        </w:tc>
        <w:tc>
          <w:tcPr>
            <w:vAlign w:val="center"/>
          </w:tcPr>
          <w:p>
            <w:pPr>
              <w:jc w:val="right"/>
            </w:pPr>
            <w:r>
              <w:rPr>
                <w:color w:themeColor="text1" w:val="000000"/>
                <w:sz w:val="24"/>
              </w:rPr>
              <w:t>4.00%</w:t>
            </w:r>
          </w:p>
        </w:tc>
        <w:tc>
          <w:tcPr>
            <w:vAlign w:val="center"/>
          </w:tcPr>
          <w:p>
            <w:pPr>
              <w:jc w:val="right"/>
            </w:pPr>
            <w:r>
              <w:rPr>
                <w:color w:themeColor="text1" w:val="000000"/>
                <w:sz w:val="24"/>
              </w:rPr>
              <w:t>-0.51%</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4.99%</w:t>
            </w:r>
          </w:p>
        </w:tc>
        <w:tc>
          <w:tcPr>
            <w:vAlign w:val="center"/>
          </w:tcPr>
          <w:p>
            <w:pPr>
              <w:jc w:val="right"/>
            </w:pPr>
            <w:r>
              <w:rPr>
                <w:color w:themeColor="text1" w:val="000000"/>
                <w:sz w:val="24"/>
              </w:rPr>
              <w:t>1.87%</w:t>
            </w:r>
          </w:p>
        </w:tc>
        <w:tc>
          <w:tcPr>
            <w:vAlign w:val="center"/>
          </w:tcPr>
          <w:p>
            <w:pPr>
              <w:jc w:val="right"/>
            </w:pPr>
            <w:r>
              <w:rPr>
                <w:color w:themeColor="text1" w:val="000000"/>
                <w:sz w:val="24"/>
              </w:rPr>
              <w:t>2.84%</w:t>
            </w:r>
          </w:p>
        </w:tc>
        <w:tc>
          <w:tcPr>
            <w:vAlign w:val="center"/>
          </w:tcPr>
          <w:p>
            <w:pPr>
              <w:jc w:val="right"/>
            </w:pPr>
            <w:r>
              <w:rPr>
                <w:color w:themeColor="text1" w:val="000000"/>
                <w:sz w:val="24"/>
              </w:rPr>
              <w:t>2.21%</w:t>
            </w:r>
          </w:p>
        </w:tc>
        <w:tc>
          <w:tcPr>
            <w:vAlign w:val="center"/>
          </w:tcPr>
          <w:p>
            <w:pPr>
              <w:jc w:val="right"/>
            </w:pPr>
            <w:r>
              <w:rPr>
                <w:color w:themeColor="text1" w:val="000000"/>
                <w:sz w:val="24"/>
              </w:rPr>
              <w:t>2.15%</w:t>
            </w:r>
          </w:p>
        </w:tc>
        <w:tc>
          <w:tcPr>
            <w:vAlign w:val="center"/>
          </w:tcPr>
          <w:p>
            <w:pPr>
              <w:jc w:val="right"/>
            </w:pPr>
            <w:r>
              <w:rPr>
                <w:color w:themeColor="text1" w:val="000000"/>
                <w:sz w:val="24"/>
              </w:rPr>
              <w:t>-0.34%</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14.74%</w:t>
            </w:r>
          </w:p>
        </w:tc>
        <w:tc>
          <w:tcPr>
            <w:vAlign w:val="center"/>
          </w:tcPr>
          <w:p>
            <w:pPr>
              <w:jc w:val="right"/>
            </w:pPr>
            <w:r>
              <w:rPr>
                <w:color w:themeColor="text1" w:val="000000"/>
                <w:sz w:val="24"/>
              </w:rPr>
              <w:t>1.45%</w:t>
            </w:r>
          </w:p>
        </w:tc>
        <w:tc>
          <w:tcPr>
            <w:vAlign w:val="center"/>
          </w:tcPr>
          <w:p>
            <w:pPr>
              <w:jc w:val="right"/>
            </w:pPr>
            <w:r>
              <w:rPr>
                <w:color w:themeColor="text1" w:val="000000"/>
                <w:sz w:val="24"/>
              </w:rPr>
              <w:t>17.18%</w:t>
            </w:r>
          </w:p>
        </w:tc>
        <w:tc>
          <w:tcPr>
            <w:vAlign w:val="center"/>
          </w:tcPr>
          <w:p>
            <w:pPr>
              <w:jc w:val="right"/>
            </w:pPr>
            <w:r>
              <w:rPr>
                <w:color w:themeColor="text1" w:val="000000"/>
                <w:sz w:val="24"/>
              </w:rPr>
              <w:t>1.66%</w:t>
            </w:r>
          </w:p>
        </w:tc>
        <w:tc>
          <w:tcPr>
            <w:vAlign w:val="center"/>
          </w:tcPr>
          <w:p>
            <w:pPr>
              <w:jc w:val="right"/>
            </w:pPr>
            <w:r>
              <w:rPr>
                <w:color w:themeColor="text1" w:val="000000"/>
                <w:sz w:val="24"/>
              </w:rPr>
              <w:t>-2.44%</w:t>
            </w:r>
          </w:p>
        </w:tc>
        <w:tc>
          <w:tcPr>
            <w:vAlign w:val="center"/>
          </w:tcPr>
          <w:p>
            <w:pPr>
              <w:jc w:val="right"/>
            </w:pPr>
            <w:r>
              <w:rPr>
                <w:color w:themeColor="text1" w:val="000000"/>
                <w:sz w:val="24"/>
              </w:rPr>
              <w:t>-0.21%</w:t>
            </w:r>
          </w:p>
        </w:tc>
      </w:tr>
    </w:tbl>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3.2.2</w:t>
      </w:r>
      <w:r w:rsidRPr="00A67563">
        <w:rPr>
          <w:b/>
          <w:color w:themeColor="text1" w:val="000000"/>
          <w:kern w:val="0"/>
          <w:sz w:val="24"/>
        </w:rPr>
        <w:t xml:space="preserve">　</w:t>
      </w:r>
      <w:r w:rsidR="009779FD" w:rsidRPr="00A67563">
        <w:rPr>
          <w:rStyle w:val="af8"/>
          <w:color w:themeColor="text1" w:val="000000"/>
          <w:sz w:val="24"/>
          <w:shd w:color="auto" w:fill="FFFFFF" w:val="clear"/>
        </w:rPr>
        <w:t/>
      </w:r>
      <w:proofErr w:type="spellStart"/>
      <w:r w:rsidR="009779FD" w:rsidRPr="00A67563">
        <w:rPr>
          <w:rStyle w:val="af8"/>
          <w:color w:themeColor="text1" w:val="000000"/>
          <w:sz w:val="24"/>
          <w:shd w:color="auto" w:fill="FFFFFF" w:val="clear"/>
        </w:rPr>
        <w:t/>
      </w:r>
      <w:proofErr w:type="spellEnd"/>
      <w:r w:rsidR="009779FD" w:rsidRPr="00A67563">
        <w:rPr>
          <w:rStyle w:val="af8"/>
          <w:color w:themeColor="text1" w:val="000000"/>
          <w:sz w:val="24"/>
          <w:shd w:color="auto" w:fill="FFFFFF" w:val="clear"/>
        </w:rPr>
        <w:t>自基金合同生效以来</w:t>
      </w:r>
      <w:r w:rsidRPr="00A67563">
        <w:rPr>
          <w:b/>
          <w:color w:themeColor="text1" w:val="000000"/>
          <w:kern w:val="0"/>
          <w:sz w:val="24"/>
        </w:rPr>
        <w:t>基金累计</w:t>
      </w:r>
      <w:r w:rsidR="004339D9" w:rsidRPr="00A67563">
        <w:rPr>
          <w:b/>
          <w:color w:themeColor="text1" w:val="000000"/>
          <w:kern w:val="0"/>
          <w:sz w:val="24"/>
        </w:rPr>
        <w:t>份额</w:t>
      </w:r>
      <w:r w:rsidRPr="00A67563">
        <w:rPr>
          <w:b/>
          <w:color w:themeColor="text1" w:val="000000"/>
          <w:kern w:val="0"/>
          <w:sz w:val="24"/>
        </w:rPr>
        <w:t>净值增长率变动及其与同期业绩比较基准收益率变动的比较</w:t>
      </w:r>
    </w:p>
    <w:p w:rsidP="00EC4BA3" w:rsidR="00A96FD9" w:rsidRDefault="00A96FD9" w:rsidRPr="00A67563">
      <w:pPr>
        <w:spacing w:line="360" w:lineRule="auto"/>
        <w:jc w:val="center"/>
        <w:rPr>
          <w:color w:themeColor="text1" w:val="00000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易方达标普全球高端消费品指数增强型证券投资基金</w:t>
      </w:r>
    </w:p>
    <w:p w:rsidP="00520D90" w:rsidR="00520D90" w:rsidRDefault="0008610C">
      <w:pPr>
        <w:pStyle w:val="a5"/>
        <w:snapToGrid w:val="0"/>
        <w:spacing w:line="360" w:lineRule="auto"/>
        <w:ind w:firstLine="480"/>
        <w:jc w:val="center"/>
        <w:rPr>
          <w:rFonts w:ascii="Times New Roman" w:eastAsiaTheme="minorEastAsia" w:hAnsi="Times New Roman"/>
          <w:color w:themeColor="text1" w:val="000000"/>
          <w:sz w:val="24"/>
          <w:szCs w:val="24"/>
        </w:rPr>
      </w:pPr>
      <w:r>
        <w:rPr>
          <w:rFonts w:ascii="Times New Roman" w:hAnsi="Times New Roman" w:hint="eastAsia"/>
          <w:color w:val="000000"/>
          <w:sz w:val="24"/>
          <w:szCs w:val="24"/>
        </w:rPr>
        <w:t>累计净值增长率与业绩比较基准收益率的历史走势对比图</w:t>
      </w:r>
    </w:p>
    <w:p w:rsidP="00520D90" w:rsidR="00520D90" w:rsidRDefault="0065601A">
      <w:pPr>
        <w:snapToGrid w:val="0"/>
        <w:spacing w:line="360" w:lineRule="auto"/>
        <w:rPr>
          <w:rFonts w:eastAsiaTheme="minorEastAsia" w:hAnsiTheme="minorEastAsia"/>
          <w:color w:themeColor="text1" w:val="000000"/>
          <w:sz w:val="24"/>
        </w:rPr>
      </w:pPr>
      <w:r w:rsidRPr="00A67563">
        <w:rPr>
          <w:color w:themeColor="text1" w:val="000000"/>
          <w:sz w:val="24"/>
        </w:rPr>
        <w:t/>
      </w:r>
      <w:proofErr w:type="gramStart"/>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gramEnd"/>
      <w:r w:rsidRPr="00A67563">
        <w:rPr>
          <w:color w:themeColor="text1" w:val="000000"/>
          <w:sz w:val="24"/>
        </w:rPr>
        <w:t>易方达标普消费品指数增强（QDII）A</w:t>
      </w:r>
    </w:p>
    <w:p w:rsidP="00520D90" w:rsidR="0065601A" w:rsidRDefault="00520D90" w:rsidRPr="00520D90">
      <w:pPr>
        <w:pStyle w:val="a5"/>
        <w:snapToGrid w:val="0"/>
        <w:spacing w:line="360" w:lineRule="auto"/>
        <w:jc w:val="center"/>
        <w:rPr>
          <w:rFonts w:ascii="Times New Roman" w:hAnsi="Times New Roman"/>
          <w:sz w:val="24"/>
          <w:szCs w:val="24"/>
        </w:rPr>
      </w:pPr>
      <w:r w:rsidRPr="00520D90">
        <w:rPr>
          <w:rFonts w:ascii="Times New Roman" w:hAnsi="Times New Roman"/>
          <w:sz w:val="24"/>
          <w:szCs w:val="24"/>
        </w:rPr>
        <w:t/>
      </w:r>
      <w:proofErr w:type="spellStart"/>
      <w:proofErr w:type="gramStart"/>
      <w:r w:rsidRPr="00520D90">
        <w:rPr>
          <w:rFonts w:ascii="Times New Roman" w:hAnsi="Times New Roman"/>
          <w:sz w:val="24"/>
          <w:szCs w:val="24"/>
        </w:rPr>
        <w:t/>
      </w:r>
      <w:proofErr w:type="spellEnd"/>
      <w:r w:rsidRPr="00520D90">
        <w:rPr>
          <w:rFonts w:ascii="Times New Roman" w:hAnsi="Times New Roman"/>
          <w:sz w:val="24"/>
          <w:szCs w:val="24"/>
        </w:rPr>
        <w:t/>
      </w:r>
      <w:proofErr w:type="gramEnd"/>
      <w:r w:rsidRPr="00520D90">
        <w:rPr>
          <w:rFonts w:ascii="Times New Roman" w:hAnsi="Times New Roman"/>
          <w:sz w:val="24"/>
          <w:szCs w:val="24"/>
        </w:rPr>
        <w:t>（2012年6月4日至2020年6月30日）</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0">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520D90" w:rsidR="00520D90" w:rsidRDefault="0065601A">
      <w:pPr>
        <w:snapToGrid w:val="0"/>
        <w:spacing w:before="312" w:beforeLines="100" w:line="360" w:lineRule="auto"/>
        <w:rPr>
          <w:rFonts w:eastAsiaTheme="minorEastAsia" w:hAnsiTheme="minorEastAsia"/>
          <w:color w:themeColor="text1" w:val="000000"/>
          <w:sz w:val="24"/>
        </w:rPr>
      </w:pPr>
      <w:r w:rsidRPr="00A67563">
        <w:rPr>
          <w:color w:themeColor="text1" w:val="000000"/>
          <w:sz w:val="24"/>
        </w:rPr>
        <w:t/>
      </w:r>
      <w:proofErr w:type="gramStart"/>
      <w:r w:rsidRPr="00A67563">
        <w:rPr>
          <w:color w:themeColor="text1" w:val="000000"/>
          <w:sz w:val="24"/>
        </w:rPr>
        <w:t/>
      </w:r>
      <w:proofErr w:type="gramEnd"/>
      <w:r w:rsidRPr="00A67563">
        <w:rPr>
          <w:color w:themeColor="text1" w:val="000000"/>
          <w:sz w:val="24"/>
        </w:rPr>
        <w:t>易方达标普消费品指数增强（QDII）C</w:t>
      </w:r>
    </w:p>
    <w:p w:rsidP="00520D90" w:rsidR="0065601A" w:rsidRDefault="00520D90" w:rsidRPr="00520D90">
      <w:pPr>
        <w:pStyle w:val="a5"/>
        <w:snapToGrid w:val="0"/>
        <w:spacing w:line="360" w:lineRule="auto"/>
        <w:jc w:val="center"/>
        <w:rPr>
          <w:rFonts w:ascii="Times New Roman" w:hAnsi="Times New Roman"/>
          <w:sz w:val="24"/>
          <w:szCs w:val="24"/>
        </w:rPr>
      </w:pPr>
      <w:r w:rsidRPr="00520D90">
        <w:rPr>
          <w:rFonts w:ascii="Times New Roman" w:hAnsi="Times New Roman"/>
          <w:sz w:val="24"/>
          <w:szCs w:val="24"/>
        </w:rPr>
        <w:t/>
      </w:r>
      <w:proofErr w:type="spellStart"/>
      <w:proofErr w:type="gramStart"/>
      <w:r w:rsidRPr="00520D90">
        <w:rPr>
          <w:rFonts w:ascii="Times New Roman" w:hAnsi="Times New Roman"/>
          <w:sz w:val="24"/>
          <w:szCs w:val="24"/>
        </w:rPr>
        <w:t/>
      </w:r>
      <w:proofErr w:type="spellEnd"/>
      <w:r w:rsidRPr="00520D90">
        <w:rPr>
          <w:rFonts w:ascii="Times New Roman" w:hAnsi="Times New Roman"/>
          <w:sz w:val="24"/>
          <w:szCs w:val="24"/>
        </w:rPr>
        <w:t/>
      </w:r>
      <w:proofErr w:type="gramEnd"/>
      <w:r w:rsidRPr="00520D90">
        <w:rPr>
          <w:rFonts w:ascii="Times New Roman" w:hAnsi="Times New Roman"/>
          <w:sz w:val="24"/>
          <w:szCs w:val="24"/>
        </w:rPr>
        <w:t>（2018年2月12日至2020年6月30日）</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注：1.本基金的业绩比较基准已经转换为以人民币计价。</w:t>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2.自2018年2月9日起，本基金增设C类份额类别，份额首次确认日为2018年2月12日，增设当期的相关数据和指标按实际存续期计算。</w:t>
      </w:r>
    </w:p>
    <w:p w:rsidP="0062493E" w:rsidR="00845292" w:rsidRDefault="0065601A"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gramStart"/>
      <w:r w:rsidRPr="00A67563">
        <w:rPr>
          <w:color w:themeColor="text1" w:val="000000"/>
          <w:sz w:val="24"/>
        </w:rPr>
        <w:t/>
      </w:r>
      <w:proofErr w:type="gramEnd"/>
      <w:r w:rsidRPr="00A67563">
        <w:rPr>
          <w:color w:themeColor="text1" w:val="000000"/>
          <w:sz w:val="24"/>
        </w:rPr>
        <w:t xml:space="preserve">3.自基金合同生效至报告期末，A类基金份额净值增长率为101.20%，同期业绩比较基准收益率为137.80%。C类基金份额净值增长率为14.74%，同期业绩比较基准收益率为17.18%。 </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§4  </w:t>
      </w:r>
      <w:r w:rsidRPr="00A67563">
        <w:rPr>
          <w:color w:themeColor="text1" w:val="000000"/>
          <w:kern w:val="0"/>
          <w:sz w:val="24"/>
          <w:szCs w:val="24"/>
        </w:rPr>
        <w:t>管理人报告</w:t>
      </w:r>
    </w:p>
    <w:p w:rsidP="0040617F" w:rsidR="0040617F" w:rsidRDefault="0076518F" w:rsidRPr="006506EF">
      <w:pPr>
        <w:autoSpaceDE w:val="0"/>
        <w:autoSpaceDN w:val="0"/>
        <w:adjustRightInd w:val="0"/>
        <w:spacing w:line="360" w:lineRule="auto"/>
        <w:jc w:val="left"/>
        <w:rPr>
          <w:b/>
          <w:color w:val="000000"/>
          <w:kern w:val="0"/>
          <w:sz w:val="24"/>
        </w:rPr>
      </w:pPr>
      <w:r w:rsidRPr="00A67563">
        <w:rPr>
          <w:b/>
          <w:color w:themeColor="text1" w:val="000000"/>
          <w:kern w:val="0"/>
          <w:sz w:val="24"/>
        </w:rPr>
        <w:t xml:space="preserve">4.1 </w:t>
      </w:r>
      <w:r w:rsidRPr="00A67563">
        <w:rPr>
          <w:b/>
          <w:color w:themeColor="text1"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40617F" w:rsidRPr="006506EF" w:rsidTr="003A661A">
        <w:trPr>
          <w:cantSplit/>
          <w:trHeight w:val="292"/>
        </w:trPr>
        <w:tc>
          <w:tcPr>
            <w:tcW w:type="dxa" w:w="851"/>
            <w:vMerge w:val="restart"/>
            <w:vAlign w:val="center"/>
          </w:tcPr>
          <w:p w:rsidP="003A661A" w:rsidR="0040617F" w:rsidRDefault="0040617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3A661A" w:rsidR="0040617F" w:rsidRDefault="0040617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3A661A" w:rsidR="0040617F" w:rsidRDefault="0040617F" w:rsidRPr="006506EF">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3A661A">
        <w:trPr>
          <w:cantSplit/>
        </w:trPr>
        <w:tc>
          <w:tcPr>
            <w:tcW w:type="dxa" w:w="851"/>
            <w:vMerge/>
            <w:vAlign w:val="center"/>
          </w:tcPr>
          <w:p w:rsidP="003A661A" w:rsidR="0040617F" w:rsidRDefault="0040617F" w:rsidRPr="006506EF">
            <w:pPr>
              <w:widowControl/>
              <w:spacing w:line="360" w:lineRule="auto"/>
              <w:jc w:val="left"/>
              <w:rPr>
                <w:color w:val="000000"/>
                <w:kern w:val="0"/>
                <w:sz w:val="24"/>
              </w:rPr>
            </w:pPr>
          </w:p>
        </w:tc>
        <w:tc>
          <w:tcPr>
            <w:tcW w:type="dxa" w:w="3260"/>
            <w:vMerge/>
            <w:vAlign w:val="center"/>
          </w:tcPr>
          <w:p w:rsidP="003A661A" w:rsidR="0040617F" w:rsidRDefault="0040617F" w:rsidRPr="006506EF">
            <w:pPr>
              <w:widowControl/>
              <w:spacing w:line="360" w:lineRule="auto"/>
              <w:jc w:val="left"/>
              <w:rPr>
                <w:color w:val="000000"/>
                <w:kern w:val="0"/>
                <w:sz w:val="24"/>
              </w:rPr>
            </w:pPr>
          </w:p>
        </w:tc>
        <w:tc>
          <w:tcPr>
            <w:tcW w:type="dxa" w:w="1276"/>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3A661A"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3A661A" w:rsidR="0040617F" w:rsidRDefault="0040617F" w:rsidRPr="006506EF">
            <w:pPr>
              <w:widowControl/>
              <w:spacing w:line="360" w:lineRule="auto"/>
              <w:jc w:val="left"/>
              <w:rPr>
                <w:color w:val="000000"/>
                <w:kern w:val="0"/>
                <w:sz w:val="24"/>
              </w:rPr>
            </w:pPr>
          </w:p>
        </w:tc>
        <w:tc>
          <w:tcPr>
            <w:tcW w:type="dxa" w:w="1418"/>
            <w:vMerge/>
            <w:vAlign w:val="center"/>
          </w:tcPr>
          <w:p w:rsidP="003A661A" w:rsidR="0040617F" w:rsidRDefault="0040617F" w:rsidRPr="006506EF">
            <w:pPr>
              <w:widowControl/>
              <w:spacing w:line="360" w:lineRule="auto"/>
              <w:jc w:val="left"/>
              <w:rPr>
                <w:color w:val="000000"/>
                <w:kern w:val="0"/>
                <w:sz w:val="24"/>
              </w:rPr>
            </w:pPr>
          </w:p>
        </w:tc>
      </w:tr>
      <w:tr>
        <w:tc>
          <w:tcPr>
            <w:vAlign w:val="center"/>
          </w:tcPr>
          <w:p>
            <w:pPr>
              <w:jc w:val="center"/>
            </w:pPr>
            <w:r>
              <w:rPr>
                <w:color w:val="000000"/>
                <w:sz w:val="24"/>
              </w:rPr>
              <w:t>张胜记</w:t>
            </w:r>
          </w:p>
        </w:tc>
        <w:tc>
          <w:tcPr>
            <w:vAlign w:val="center"/>
          </w:tcPr>
          <w:p>
            <w:pPr>
              <w:jc w:val="left"/>
            </w:pPr>
            <w:r>
              <w:rPr>
                <w:color w:val="000000"/>
                <w:sz w:val="24"/>
              </w:rPr>
              <w:t>本基金的基金经理、易方达50指数证券投资基金的基金经理、指数增强投资部联席总经理</w:t>
            </w:r>
          </w:p>
        </w:tc>
        <w:tc>
          <w:tcPr>
            <w:vAlign w:val="center"/>
          </w:tcPr>
          <w:p>
            <w:pPr>
              <w:jc w:val="center"/>
            </w:pPr>
            <w:r>
              <w:rPr>
                <w:color w:val="000000"/>
                <w:sz w:val="24"/>
              </w:rPr>
              <w:t>2014-09-13</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300交易型开放式指数发起式证券投资基金联接基金（原易方达沪深300指数证券投资基金）基金经理、易方达上证中盘交易型开放式指数证券投资基金基金经理、易方达上证中盘交易型开放式指数证券投资基金联接基金基金经理、易方达标普医疗保健指数证券投资基金（LOF）基金经理、易方达标普500指数证券投资基金（LOF）基金经理、易方达标普生物科技指数证券投资基金（LOF）基金经理、易方达标普信息科技指数证券投资基金（LOF）基金经理、易方达香港恒生综合小型股指数证券投资基金（LOF）基金经理、易方达原油证券投资基金（QDII）基金经理、易方达恒生中国企业交易型开放式指数证券投资基金联接基金基金经理、易方达恒生中国企业交易型开放式指数证券投资基金基金经理。</w:t>
            </w:r>
          </w:p>
        </w:tc>
      </w:tr>
    </w:tbl>
    <w:p>
      <w:pPr>
        <w:autoSpaceDE w:val="0"/>
        <w:autoSpaceDN w:val="0"/>
        <w:adjustRightInd w:val="0"/>
        <w:spacing w:line="360" w:lineRule="auto"/>
        <w:ind w:firstLine="480" w:firstLineChars="200"/>
        <w:jc w:val="left"/>
        <w:rPr>
          <w:color w:themeColor="text1" w:val="000000"/>
          <w:kern w:val="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62493E" w:rsidR="0076518F" w:rsidRDefault="0040617F" w:rsidRPr="00A67563">
      <w:pPr>
        <w:autoSpaceDE w:val="0"/>
        <w:autoSpaceDN w:val="0"/>
        <w:adjustRightInd w:val="0"/>
        <w:spacing w:line="360" w:lineRule="auto"/>
        <w:ind w:firstLine="480" w:firstLineChars="200"/>
        <w:jc w:val="left"/>
        <w:rPr>
          <w:color w:themeColor="text1" w:val="000000"/>
          <w:kern w:val="0"/>
          <w:sz w:val="24"/>
        </w:rPr>
      </w:pPr>
      <w:r w:rsidRPr="006506EF">
        <w:rPr>
          <w:color w:val="000000"/>
          <w:sz w:val="24"/>
        </w:rPr>
        <w:t/>
      </w:r>
      <w:proofErr w:type="gramStart"/>
      <w:r w:rsidRPr="006506EF">
        <w:rPr>
          <w:color w:val="000000"/>
          <w:sz w:val="24"/>
        </w:rPr>
        <w:t/>
      </w:r>
      <w:proofErr w:type="gramEnd"/>
      <w:r w:rsidRPr="006506EF">
        <w:rPr>
          <w:color w:val="000000"/>
          <w:sz w:val="24"/>
        </w:rPr>
        <w:t>2.证券从业的含义遵从《证券业从业人员资格管理办法》的相关规定。</w:t>
      </w:r>
    </w:p>
    <w:p w:rsidP="00EC4BA3" w:rsidR="0076518F" w:rsidRDefault="00B95E5A"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F077D2" w:rsidRPr="00A67563">
        <w:rPr>
          <w:b/>
          <w:color w:themeColor="text1" w:val="000000"/>
          <w:kern w:val="0"/>
          <w:sz w:val="24"/>
        </w:rPr>
        <w:t>2</w:t>
      </w:r>
      <w:r w:rsidR="00A32FDA" w:rsidRPr="00A67563">
        <w:rPr>
          <w:b/>
          <w:color w:themeColor="text1" w:val="000000"/>
          <w:kern w:val="0"/>
          <w:sz w:val="24"/>
        </w:rPr>
        <w:t xml:space="preserve"> </w:t>
      </w:r>
      <w:r w:rsidR="0076518F" w:rsidRPr="00A67563">
        <w:rPr>
          <w:b/>
          <w:color w:themeColor="text1" w:val="000000"/>
          <w:kern w:val="0"/>
          <w:sz w:val="24"/>
        </w:rPr>
        <w:t>境外投资顾问为本基金提供投资建议的主要成员简介</w:t>
      </w:r>
    </w:p>
    <w:p w:rsidP="0062493E" w:rsidR="00FB47E0" w:rsidRDefault="00363E15"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本基金未聘请境外投资顾问。</w:t>
      </w:r>
    </w:p>
    <w:p w:rsidP="0008610C" w:rsidR="0008610C" w:rsidRDefault="00B95E5A">
      <w:pPr>
        <w:autoSpaceDE w:val="0"/>
        <w:autoSpaceDN w:val="0"/>
        <w:adjustRightInd w:val="0"/>
        <w:spacing w:line="360" w:lineRule="auto"/>
        <w:jc w:val="left"/>
        <w:rPr>
          <w:b/>
          <w:color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A32FDA" w:rsidRPr="00A67563">
        <w:rPr>
          <w:b/>
          <w:color w:themeColor="text1" w:val="000000"/>
          <w:kern w:val="0"/>
          <w:sz w:val="24"/>
        </w:rPr>
        <w:t>3</w:t>
      </w:r>
      <w:r w:rsidR="0008610C">
        <w:rPr>
          <w:rFonts w:hint="eastAsia"/>
          <w:b/>
          <w:color w:val="000000"/>
          <w:kern w:val="0"/>
          <w:sz w:val="24"/>
        </w:rPr>
        <w:t>报告期内本基金运作遵规守信情况说明</w:t>
      </w:r>
    </w:p>
    <w:p w:rsidP="0062493E" w:rsidR="0076518F" w:rsidRDefault="00363E15"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4</w:t>
      </w:r>
      <w:r w:rsidRPr="00A67563">
        <w:rPr>
          <w:b/>
          <w:color w:themeColor="text1" w:val="000000"/>
          <w:kern w:val="0"/>
          <w:sz w:val="24"/>
        </w:rPr>
        <w:t xml:space="preserve"> </w:t>
      </w:r>
      <w:r w:rsidRPr="00A67563">
        <w:rPr>
          <w:b/>
          <w:color w:themeColor="text1" w:val="000000"/>
          <w:kern w:val="0"/>
          <w:sz w:val="24"/>
        </w:rPr>
        <w:t>公平交易专项说明</w:t>
      </w:r>
    </w:p>
    <w:p w:rsidP="00A70E23" w:rsidR="00AB42E2" w:rsidRDefault="00AB42E2" w:rsidRPr="00A67563">
      <w:pPr>
        <w:spacing w:line="360" w:lineRule="auto"/>
        <w:rPr>
          <w:color w:themeColor="text1" w:val="000000"/>
          <w:sz w:val="24"/>
        </w:rPr>
      </w:pPr>
      <w:r w:rsidRPr="00A67563">
        <w:rPr>
          <w:color w:themeColor="text1" w:val="000000"/>
          <w:sz w:val="24"/>
        </w:rPr>
        <w:t>4.</w:t>
      </w:r>
      <w:r w:rsidR="00A32FDA" w:rsidRPr="00A67563">
        <w:rPr>
          <w:color w:themeColor="text1" w:val="000000"/>
          <w:sz w:val="24"/>
        </w:rPr>
        <w:t>4.1</w:t>
      </w:r>
      <w:r w:rsidRPr="00A67563">
        <w:rPr>
          <w:color w:themeColor="text1" w:val="000000"/>
          <w:sz w:val="24"/>
        </w:rPr>
        <w:t>公平交易制度的执行情况</w:t>
      </w:r>
    </w:p>
    <w:p w:rsidP="00797DD2" w:rsidR="00AB42E2" w:rsidRDefault="001F3C28"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AB42E2" w:rsidRDefault="00AB42E2" w:rsidRPr="00A67563">
      <w:pPr>
        <w:spacing w:line="360" w:lineRule="auto"/>
        <w:rPr>
          <w:color w:themeColor="text1" w:val="000000"/>
          <w:sz w:val="24"/>
        </w:rPr>
      </w:pPr>
      <w:r w:rsidRPr="00A67563">
        <w:rPr>
          <w:color w:themeColor="text1" w:val="000000"/>
          <w:sz w:val="24"/>
        </w:rPr>
        <w:t>4.</w:t>
      </w:r>
      <w:r w:rsidR="00A32FDA" w:rsidRPr="00A67563">
        <w:rPr>
          <w:color w:themeColor="text1" w:val="000000"/>
          <w:sz w:val="24"/>
        </w:rPr>
        <w:t>4</w:t>
      </w:r>
      <w:r w:rsidRPr="00A67563">
        <w:rPr>
          <w:color w:themeColor="text1" w:val="000000"/>
          <w:sz w:val="24"/>
        </w:rPr>
        <w:t>.</w:t>
      </w:r>
      <w:r w:rsidR="00A32FDA" w:rsidRPr="00A67563">
        <w:rPr>
          <w:color w:themeColor="text1" w:val="000000"/>
          <w:sz w:val="24"/>
        </w:rPr>
        <w:t>2</w:t>
      </w:r>
      <w:r w:rsidRPr="00A67563">
        <w:rPr>
          <w:color w:themeColor="text1" w:val="000000"/>
          <w:sz w:val="24"/>
        </w:rPr>
        <w:t>异常交易行为的专项说明</w:t>
      </w:r>
    </w:p>
    <w:p>
      <w:pPr>
        <w:spacing w:line="360" w:lineRule="auto"/>
        <w:ind w:firstLine="480" w:firstLineChars="200"/>
        <w:rPr>
          <w:color w:themeColor="text1" w:val="000000"/>
          <w:kern w:val="0"/>
          <w:sz w:val="24"/>
        </w:rPr>
      </w:pPr>
      <w:r>
        <w:rPr>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2493E" w:rsidR="0076518F" w:rsidRDefault="001F3C28"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本报告期内，未发现本基金有可能导致不公平交易和利益输送的异常交易。</w:t>
      </w:r>
    </w:p>
    <w:p w:rsidP="0067094A" w:rsidR="0067094A" w:rsidRDefault="0076518F">
      <w:pPr>
        <w:autoSpaceDE w:val="0"/>
        <w:autoSpaceDN w:val="0"/>
        <w:adjustRightInd w:val="0"/>
        <w:spacing w:line="360" w:lineRule="auto"/>
        <w:jc w:val="left"/>
        <w:rPr>
          <w:sz w:val="24"/>
        </w:rPr>
      </w:pPr>
      <w:r w:rsidRPr="00A67563">
        <w:rPr>
          <w:b/>
          <w:color w:themeColor="text1" w:val="000000"/>
          <w:kern w:val="0"/>
          <w:sz w:val="24"/>
        </w:rPr>
        <w:t>4.</w:t>
      </w:r>
      <w:r w:rsidR="00A32FDA" w:rsidRPr="00A67563">
        <w:rPr>
          <w:b/>
          <w:color w:themeColor="text1" w:val="000000"/>
          <w:kern w:val="0"/>
          <w:sz w:val="24"/>
        </w:rPr>
        <w:t>5</w:t>
      </w:r>
      <w:r w:rsidRPr="00A67563">
        <w:rPr>
          <w:b/>
          <w:color w:themeColor="text1" w:val="000000"/>
          <w:kern w:val="0"/>
          <w:sz w:val="24"/>
        </w:rPr>
        <w:t xml:space="preserve"> </w:t>
      </w:r>
      <w:r w:rsidR="0067094A">
        <w:rPr>
          <w:rFonts w:hint="eastAsia"/>
          <w:b/>
          <w:color w:val="000000"/>
          <w:kern w:val="0"/>
          <w:sz w:val="24"/>
        </w:rPr>
        <w:t>报告期内基金的投资策略和业绩表现说明</w:t>
      </w:r>
    </w:p>
    <w:p>
      <w:pPr>
        <w:spacing w:line="360" w:lineRule="auto"/>
        <w:ind w:firstLine="480" w:firstLineChars="200"/>
        <w:rPr>
          <w:color w:themeColor="text1" w:val="000000"/>
          <w:sz w:val="24"/>
        </w:rPr>
      </w:pPr>
      <w:r>
        <w:rPr>
          <w:color w:themeColor="text1" w:val="000000"/>
          <w:sz w:val="24"/>
        </w:rPr>
        <w:t>回顾2020年第二季度，全球新冠肺炎疫情继续扩大，美国出现大范围的抗议种族歧视的社会浪潮，加重了疫情的传播，严重抑制了政府恢复正常经济活动的努力。美国欧洲等主要经济体仍处在阶段性衰退之中，制造业和非制造业PMI继续下跌。为对冲疫情对经济和金融体系的巨大冲击，美国、欧洲、日本等主要经济体加大宏观刺激政策的力度，对金融市场形成良好支撑。报告期内，全球股市均大幅反弹，不考虑汇率变动，美国标普500指数上涨19.95%、德国DAX指数上涨23.90%、法国CAC40指数上涨12.28%、英国富士100指数上涨8.78%、日本日经225指数上涨17.82%、香港恒生指数上涨3.49%。高端消费品行业也普遍反弹，本基金跟踪的标普高端消费品指数上涨达26.61%。</w:t>
      </w:r>
    </w:p>
    <w:p>
      <w:pPr>
        <w:spacing w:line="360" w:lineRule="auto"/>
        <w:ind w:firstLine="480" w:firstLineChars="200"/>
        <w:rPr>
          <w:color w:themeColor="text1" w:val="000000"/>
          <w:sz w:val="24"/>
        </w:rPr>
      </w:pPr>
      <w:r>
        <w:rPr>
          <w:color w:themeColor="text1" w:val="000000"/>
          <w:sz w:val="24"/>
        </w:rPr>
        <w:t>本基金是跟踪标普全球高端消费品指数的指数增强型基金，力争通过主动指数增强的投资方法，获取长期稳定超越基准的业绩回报。报告期内，本基金股票仓位基本维持在90%以上，主动操作较少。在行业配置上，对珠宝、酒店休闲业有所低配，对服饰、化妆品行业有所超配；在国别配置上，低配韩国、美国等市场，超配香港、法国等市场。</w:t>
      </w:r>
    </w:p>
    <w:p w:rsidP="00A70E23" w:rsidR="00C736BB" w:rsidRDefault="00AF65C5" w:rsidRPr="00A67563">
      <w:pPr>
        <w:spacing w:line="360" w:lineRule="auto"/>
        <w:ind w:firstLine="480" w:firstLineChars="200"/>
        <w:rPr>
          <w:color w:themeColor="text1" w:val="000000"/>
          <w:sz w:val="24"/>
        </w:rPr>
      </w:pPr>
      <w:r>
        <w:rPr>
          <w:color w:themeColor="text1" w:val="000000"/>
          <w:sz w:val="24"/>
        </w:rPr>
        <w:t/>
      </w:r>
      <w:proofErr w:type="spellStart"/>
      <w:proofErr w:type="gramStart"/>
      <w:r>
        <w:rPr>
          <w:color w:themeColor="text1" w:val="000000"/>
          <w:sz w:val="24"/>
        </w:rPr>
        <w:t/>
      </w:r>
      <w:r w:rsidR="0067094A" w:rsidRPr="00F47E2F">
        <w:rPr>
          <w:color w:themeColor="text1" w:val="000000"/>
          <w:sz w:val="24"/>
        </w:rPr>
        <w:t/>
      </w:r>
      <w:proofErr w:type="spellEnd"/>
      <w:proofErr w:type="gramEnd"/>
      <w:r w:rsidR="0067094A" w:rsidRPr="00F47E2F">
        <w:rPr>
          <w:color w:themeColor="text1" w:val="000000"/>
          <w:sz w:val="24"/>
        </w:rPr>
        <w:t>截至报告期末，本基金A类基金份额净值为2.012元，本报告期份额净值增长率为20.91%，同期业绩比较基准收益率为26.77%；C类基金份额净值为2.000元，本报告期份额净值增长率为20.77%，同期业绩比较基准收益率为26.77%。年化跟踪误差10.96%，超过了预期的控制范围，主要是市场波动过大所致。</w:t>
      </w:r>
    </w:p>
    <w:p w:rsidP="00D9766F" w:rsidR="00D9766F" w:rsidRDefault="00D9766F" w:rsidRPr="00A67563">
      <w:pPr>
        <w:spacing w:line="360" w:lineRule="auto"/>
        <w:rPr>
          <w:color w:themeColor="text1" w:val="00000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4.6</w:t>
      </w:r>
      <w:r w:rsidR="00AF65C5">
        <w:rPr>
          <w:rFonts w:hint="eastAsia"/>
          <w:b/>
          <w:color w:themeColor="text1" w:val="000000"/>
          <w:kern w:val="0"/>
          <w:sz w:val="24"/>
        </w:rPr>
        <w:t xml:space="preserve"> </w:t>
      </w:r>
      <w:r w:rsidRPr="00A67563">
        <w:rPr>
          <w:b/>
          <w:color w:themeColor="text1" w:val="000000"/>
          <w:kern w:val="0"/>
          <w:sz w:val="24"/>
        </w:rPr>
        <w:t>报告期内基金持有人数或基金资产净值预警说明</w:t>
      </w:r>
    </w:p>
    <w:p w:rsidP="00D9766F" w:rsidR="00D9766F" w:rsidRDefault="00D9766F" w:rsidRPr="00A67563">
      <w:pPr>
        <w:spacing w:line="360" w:lineRule="auto"/>
        <w:ind w:firstLine="480" w:firstLineChars="200"/>
        <w:rPr>
          <w:color w:themeColor="text1" w:val="000000"/>
          <w:sz w:val="24"/>
        </w:rPr>
      </w:pPr>
      <w:r w:rsidRPr="00A67563">
        <w:rPr>
          <w:color w:themeColor="text1" w:val="000000"/>
          <w:kern w:val="0"/>
          <w:sz w:val="24"/>
        </w:rPr>
        <w:t/>
      </w:r>
      <w:r w:rsidRPr="00A67563">
        <w:rPr>
          <w:color w:themeColor="text1" w:val="000000"/>
          <w:sz w:val="24"/>
        </w:rPr>
        <w:t/>
      </w:r>
      <w:r w:rsidRPr="00A67563">
        <w:rPr>
          <w:color w:themeColor="text1" w:val="000000"/>
          <w:kern w:val="0"/>
          <w:sz w:val="24"/>
        </w:rPr>
        <w:t>自2020年4月9日至2020年4月10日，本基金均存在连续二十个工作日基金资产净值低于五千万元的情形。</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§5  </w:t>
      </w:r>
      <w:r w:rsidRPr="00A67563">
        <w:rPr>
          <w:color w:themeColor="text1" w:val="000000"/>
          <w:kern w:val="0"/>
          <w:sz w:val="24"/>
          <w:szCs w:val="24"/>
        </w:rPr>
        <w:t>投资组合报告</w:t>
      </w: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5.1 </w:t>
      </w:r>
      <w:r w:rsidRPr="00A67563">
        <w:rPr>
          <w:b/>
          <w:color w:themeColor="text1" w:val="000000"/>
          <w:kern w:val="0"/>
          <w:sz w:val="24"/>
        </w:rPr>
        <w:t>报告期末基金资产组合情况</w:t>
      </w:r>
    </w:p>
    <w:tbl>
      <w:tblPr>
        <w:tblW w:type="dxa" w:w="9498"/>
        <w:jc w:val="center"/>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51"/>
        <w:gridCol w:w="4253"/>
        <w:gridCol w:w="2835"/>
        <w:gridCol w:w="1559"/>
      </w:tblGrid>
      <w:tr w:rsidR="008277FF" w:rsidRPr="00A67563" w:rsidTr="006C750F">
        <w:trPr>
          <w:jc w:val="center"/>
        </w:trPr>
        <w:tc>
          <w:tcPr>
            <w:tcW w:type="dxa" w:w="851"/>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序号</w:t>
            </w:r>
          </w:p>
        </w:tc>
        <w:tc>
          <w:tcPr>
            <w:tcW w:type="dxa" w:w="4253"/>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项目</w:t>
            </w:r>
            <w:r w:rsidR="00304106" w:rsidRPr="00A67563">
              <w:rPr>
                <w:color w:themeColor="text1" w:val="000000"/>
                <w:sz w:val="24"/>
              </w:rPr>
              <w:t/>
            </w:r>
            <w:proofErr w:type="spellStart"/>
            <w:r w:rsidR="00304106" w:rsidRPr="00A67563">
              <w:rPr>
                <w:color w:themeColor="text1" w:val="000000"/>
                <w:sz w:val="24"/>
              </w:rPr>
              <w:t/>
            </w:r>
            <w:proofErr w:type="spellEnd"/>
            <w:r w:rsidR="00304106" w:rsidRPr="00A67563">
              <w:rPr>
                <w:color w:themeColor="text1" w:val="000000"/>
                <w:sz w:val="24"/>
              </w:rPr>
              <w:t/>
            </w:r>
          </w:p>
        </w:tc>
        <w:tc>
          <w:tcPr>
            <w:tcW w:type="dxa" w:w="2835"/>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金额</w:t>
            </w:r>
            <w:r w:rsidRPr="00A67563">
              <w:rPr>
                <w:color w:themeColor="text1" w:val="000000"/>
                <w:sz w:val="24"/>
              </w:rPr>
              <w:t>(</w:t>
            </w:r>
            <w:r w:rsidR="002655D4" w:rsidRPr="00A67563">
              <w:rPr>
                <w:color w:themeColor="text1" w:val="000000"/>
                <w:sz w:val="24"/>
              </w:rPr>
              <w:t>人民币</w:t>
            </w:r>
            <w:r w:rsidRPr="00A67563">
              <w:rPr>
                <w:color w:themeColor="text1" w:val="000000"/>
                <w:sz w:val="24"/>
              </w:rPr>
              <w:t>元</w:t>
            </w:r>
            <w:r w:rsidRPr="00A67563">
              <w:rPr>
                <w:color w:themeColor="text1" w:val="000000"/>
                <w:sz w:val="24"/>
              </w:rPr>
              <w:t>)</w:t>
            </w:r>
          </w:p>
        </w:tc>
        <w:tc>
          <w:tcPr>
            <w:tcW w:type="dxa" w:w="1559"/>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占基金总资产的比例</w:t>
            </w: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363E15" w:rsidRDefault="00363E15" w:rsidRPr="00A67563">
            <w:pPr>
              <w:spacing w:before="29" w:line="360" w:lineRule="auto"/>
              <w:ind w:left="17"/>
              <w:jc w:val="center"/>
              <w:rPr>
                <w:color w:themeColor="text1" w:val="000000"/>
                <w:sz w:val="24"/>
              </w:rPr>
            </w:pPr>
            <w:r w:rsidRPr="00A67563">
              <w:rPr>
                <w:color w:themeColor="text1" w:val="000000"/>
                <w:sz w:val="24"/>
              </w:rPr>
              <w:t>1</w:t>
            </w:r>
          </w:p>
        </w:tc>
        <w:tc>
          <w:tcPr>
            <w:tcW w:type="dxa" w:w="4253"/>
            <w:shd w:color="auto" w:fill="auto" w:val="clear"/>
            <w:vAlign w:val="center"/>
          </w:tcPr>
          <w:p w:rsidP="00877D98" w:rsidR="00363E15" w:rsidRDefault="00363E15" w:rsidRPr="00A67563">
            <w:pPr>
              <w:spacing w:before="29" w:line="360" w:lineRule="auto"/>
              <w:ind w:left="17"/>
              <w:rPr>
                <w:color w:themeColor="text1" w:val="000000"/>
                <w:sz w:val="24"/>
              </w:rPr>
            </w:pPr>
            <w:r w:rsidRPr="00A67563">
              <w:rPr>
                <w:color w:themeColor="text1" w:val="000000"/>
                <w:sz w:val="24"/>
              </w:rPr>
              <w:t>权益投资</w:t>
            </w:r>
          </w:p>
        </w:tc>
        <w:tc>
          <w:tcPr>
            <w:tcW w:type="dxa" w:w="2835"/>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53,942,982.96</w:t>
            </w:r>
          </w:p>
        </w:tc>
        <w:tc>
          <w:tcPr>
            <w:tcW w:type="dxa" w:w="1559"/>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lastRenderedPageBreak/>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92.07</w:t>
            </w:r>
          </w:p>
        </w:tc>
      </w:tr>
      <w:tr w:rsidR="008277FF" w:rsidRPr="00A67563" w:rsidTr="006C750F">
        <w:trPr>
          <w:jc w:val="center"/>
        </w:trPr>
        <w:tc>
          <w:tcPr>
            <w:tcW w:type="dxa" w:w="851"/>
            <w:shd w:color="auto" w:fill="auto" w:val="clear"/>
            <w:vAlign w:val="center"/>
          </w:tcPr>
          <w:p w:rsidP="00B918B8" w:rsidR="00363E15" w:rsidRDefault="00363E15" w:rsidRPr="00A67563">
            <w:pPr>
              <w:spacing w:before="29" w:line="360" w:lineRule="auto"/>
              <w:ind w:left="17"/>
              <w:jc w:val="center"/>
              <w:rPr>
                <w:color w:themeColor="text1" w:val="000000"/>
                <w:sz w:val="24"/>
              </w:rPr>
            </w:pPr>
          </w:p>
        </w:tc>
        <w:tc>
          <w:tcPr>
            <w:tcW w:type="dxa" w:w="4253"/>
            <w:shd w:color="auto" w:fill="auto" w:val="clear"/>
            <w:vAlign w:val="center"/>
          </w:tcPr>
          <w:p w:rsidP="00877D98" w:rsidR="00363E15" w:rsidRDefault="00363E15" w:rsidRPr="00A67563">
            <w:pPr>
              <w:spacing w:before="29" w:line="360" w:lineRule="auto"/>
              <w:ind w:left="17"/>
              <w:rPr>
                <w:color w:themeColor="text1" w:val="000000"/>
                <w:sz w:val="24"/>
              </w:rPr>
            </w:pPr>
            <w:r w:rsidRPr="00A67563">
              <w:rPr>
                <w:color w:themeColor="text1" w:val="000000"/>
                <w:sz w:val="24"/>
              </w:rPr>
              <w:t>其中：</w:t>
            </w:r>
            <w:r w:rsidR="00E462F4" w:rsidRPr="00A67563">
              <w:rPr>
                <w:color w:themeColor="text1" w:val="000000"/>
                <w:sz w:val="24"/>
              </w:rPr>
              <w:t>普通股</w:t>
            </w:r>
          </w:p>
        </w:tc>
        <w:tc>
          <w:tcPr>
            <w:tcW w:type="dxa" w:w="2835"/>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t/>
            </w:r>
            <w:proofErr w:type="spellStart"/>
            <w:r w:rsidR="008B0A73" w:rsidRPr="00A67563">
              <w:rPr>
                <w:color w:themeColor="text1" w:val="000000"/>
                <w:sz w:val="24"/>
              </w:rPr>
              <w:t/>
            </w:r>
            <w:proofErr w:type="spellEnd"/>
            <w:r w:rsidRPr="00A67563">
              <w:rPr>
                <w:color w:themeColor="text1" w:val="000000"/>
                <w:sz w:val="24"/>
              </w:rPr>
              <w:t>53,163,032.64</w:t>
            </w:r>
          </w:p>
        </w:tc>
        <w:tc>
          <w:tcPr>
            <w:tcW w:type="dxa" w:w="1559"/>
            <w:shd w:color="auto" w:fill="auto" w:val="clear"/>
            <w:vAlign w:val="center"/>
          </w:tcPr>
          <w:p w:rsidP="00BF1DD5" w:rsidR="00363E15" w:rsidRDefault="00363E15" w:rsidRPr="00A67563">
            <w:pPr>
              <w:spacing w:before="29" w:line="360" w:lineRule="auto"/>
              <w:ind w:left="17"/>
              <w:jc w:val="right"/>
              <w:rPr>
                <w:color w:themeColor="text1" w:val="000000"/>
                <w:sz w:val="24"/>
              </w:rPr>
            </w:pPr>
            <w:r w:rsidRPr="00A67563">
              <w:rPr>
                <w:color w:themeColor="text1" w:val="000000"/>
                <w:sz w:val="24"/>
              </w:rPr>
              <w:t/>
            </w:r>
            <w:proofErr w:type="spellStart"/>
            <w:r w:rsidR="008620ED" w:rsidRPr="00A67563">
              <w:rPr>
                <w:color w:themeColor="text1" w:val="000000"/>
                <w:sz w:val="24"/>
              </w:rPr>
              <w:t/>
            </w:r>
            <w:proofErr w:type="spellEnd"/>
            <w:r w:rsidRPr="00A67563">
              <w:rPr>
                <w:color w:themeColor="text1" w:val="000000"/>
                <w:sz w:val="24"/>
              </w:rPr>
              <w:t>90.74</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spacing w:before="29" w:line="360" w:lineRule="auto"/>
              <w:ind w:firstLine="720" w:firstLineChars="300" w:left="17"/>
              <w:rPr>
                <w:color w:themeColor="text1" w:val="000000"/>
                <w:sz w:val="24"/>
              </w:rPr>
            </w:pPr>
            <w:r w:rsidRPr="00A67563">
              <w:rPr>
                <w:color w:themeColor="text1" w:val="000000"/>
                <w:sz w:val="24"/>
              </w:rPr>
              <w:t>存托凭证</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CE4499" w:rsidRDefault="00CE4499" w:rsidRPr="00A67563">
            <w:pPr>
              <w:spacing w:before="29" w:line="360" w:lineRule="auto"/>
              <w:ind w:left="17"/>
              <w:jc w:val="center"/>
              <w:rPr>
                <w:color w:themeColor="text1" w:val="000000"/>
                <w:sz w:val="24"/>
              </w:rPr>
            </w:pPr>
          </w:p>
        </w:tc>
        <w:tc>
          <w:tcPr>
            <w:tcW w:type="dxa" w:w="4253"/>
            <w:shd w:color="auto" w:fill="auto" w:val="clear"/>
            <w:vAlign w:val="center"/>
          </w:tcPr>
          <w:p w:rsidP="00877D98" w:rsidR="00CE4499" w:rsidRDefault="00CE4499" w:rsidRPr="00A67563">
            <w:pPr>
              <w:spacing w:before="29" w:line="360" w:lineRule="auto"/>
              <w:ind w:firstLine="720" w:firstLineChars="300" w:left="17"/>
              <w:rPr>
                <w:color w:themeColor="text1" w:val="000000"/>
                <w:sz w:val="24"/>
              </w:rPr>
            </w:pPr>
            <w:r w:rsidRPr="00A67563">
              <w:rPr>
                <w:color w:themeColor="text1" w:val="000000"/>
                <w:sz w:val="24"/>
              </w:rPr>
              <w:t>优先股</w:t>
            </w:r>
          </w:p>
        </w:tc>
        <w:tc>
          <w:tcPr>
            <w:tcW w:type="dxa" w:w="2835"/>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779,950.32</w:t>
            </w:r>
          </w:p>
        </w:tc>
        <w:tc>
          <w:tcPr>
            <w:tcW w:type="dxa" w:w="1559"/>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1.33</w:t>
            </w:r>
          </w:p>
        </w:tc>
      </w:tr>
      <w:tr w:rsidR="008277FF" w:rsidRPr="00A67563" w:rsidTr="006C750F">
        <w:trPr>
          <w:jc w:val="center"/>
        </w:trPr>
        <w:tc>
          <w:tcPr>
            <w:tcW w:type="dxa" w:w="851"/>
            <w:shd w:color="auto" w:fill="auto" w:val="clear"/>
            <w:vAlign w:val="center"/>
          </w:tcPr>
          <w:p w:rsidP="00877D98" w:rsidR="00CE4499" w:rsidRDefault="00CE4499" w:rsidRPr="00A67563">
            <w:pPr>
              <w:spacing w:before="29" w:line="360" w:lineRule="auto"/>
              <w:ind w:left="17"/>
              <w:jc w:val="center"/>
              <w:rPr>
                <w:color w:themeColor="text1" w:val="000000"/>
                <w:sz w:val="24"/>
              </w:rPr>
            </w:pPr>
          </w:p>
        </w:tc>
        <w:tc>
          <w:tcPr>
            <w:tcW w:type="dxa" w:w="4253"/>
            <w:shd w:color="auto" w:fill="auto" w:val="clear"/>
            <w:vAlign w:val="center"/>
          </w:tcPr>
          <w:p w:rsidP="00877D98" w:rsidR="00CE4499" w:rsidRDefault="00CE4499" w:rsidRPr="00A67563">
            <w:pPr>
              <w:spacing w:before="29" w:line="360" w:lineRule="auto"/>
              <w:ind w:firstLine="720" w:firstLineChars="300" w:left="17"/>
              <w:rPr>
                <w:color w:themeColor="text1" w:val="000000"/>
                <w:sz w:val="24"/>
              </w:rPr>
            </w:pPr>
            <w:r w:rsidRPr="00A67563">
              <w:rPr>
                <w:color w:themeColor="text1" w:val="000000"/>
                <w:sz w:val="24"/>
              </w:rPr>
              <w:t>房地产信托</w:t>
            </w:r>
          </w:p>
        </w:tc>
        <w:tc>
          <w:tcPr>
            <w:tcW w:type="dxa" w:w="2835"/>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CE4499" w:rsidRDefault="00CE4499"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adjustRightInd w:val="0"/>
              <w:snapToGrid w:val="0"/>
              <w:spacing w:line="400" w:lineRule="exact"/>
              <w:jc w:val="center"/>
              <w:rPr>
                <w:color w:themeColor="text1" w:val="000000"/>
                <w:sz w:val="24"/>
              </w:rPr>
            </w:pPr>
            <w:r w:rsidRPr="00A67563">
              <w:rPr>
                <w:color w:themeColor="text1" w:val="000000"/>
                <w:sz w:val="24"/>
              </w:rPr>
              <w:lastRenderedPageBreak/>
              <w:t>2</w:t>
            </w:r>
          </w:p>
        </w:tc>
        <w:tc>
          <w:tcPr>
            <w:tcW w:type="dxa" w:w="4253"/>
            <w:shd w:color="auto" w:fill="auto" w:val="clear"/>
            <w:vAlign w:val="center"/>
          </w:tcPr>
          <w:p w:rsidP="00877D98" w:rsidR="00E462F4" w:rsidRDefault="00E462F4" w:rsidRPr="00A67563">
            <w:pPr>
              <w:adjustRightInd w:val="0"/>
              <w:snapToGrid w:val="0"/>
              <w:spacing w:line="400" w:lineRule="exact"/>
              <w:rPr>
                <w:color w:themeColor="text1" w:val="000000"/>
                <w:sz w:val="24"/>
              </w:rPr>
            </w:pPr>
            <w:r w:rsidRPr="00A67563">
              <w:rPr>
                <w:color w:themeColor="text1" w:val="000000"/>
                <w:sz w:val="24"/>
              </w:rPr>
              <w:t>基金投资</w:t>
            </w:r>
          </w:p>
        </w:tc>
        <w:tc>
          <w:tcPr>
            <w:tcW w:type="dxa" w:w="2835"/>
            <w:shd w:color="auto" w:fill="auto" w:val="clear"/>
            <w:vAlign w:val="center"/>
          </w:tcPr>
          <w:p w:rsidP="00BF1DD5" w:rsidR="00E462F4" w:rsidRDefault="006C4E16"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C4E16"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r w:rsidRPr="00A67563">
              <w:rPr>
                <w:color w:themeColor="text1" w:val="000000"/>
                <w:sz w:val="24"/>
              </w:rPr>
              <w:t>3</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固定收益投资</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r w:rsidR="00900F02" w:rsidRPr="00A67563">
              <w:rPr>
                <w:color w:themeColor="text1" w:val="000000"/>
                <w:sz w:val="24"/>
              </w:rPr>
              <w:t/>
            </w: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其中：债券</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utoSpaceDE w:val="0"/>
              <w:autoSpaceDN w:val="0"/>
              <w:adjustRightInd w:val="0"/>
              <w:spacing w:before="29" w:line="360" w:lineRule="auto"/>
              <w:ind w:firstLine="720" w:firstLineChars="300" w:left="17"/>
              <w:rPr>
                <w:color w:themeColor="text1" w:val="000000"/>
                <w:sz w:val="24"/>
              </w:rPr>
            </w:pPr>
            <w:r w:rsidRPr="00A67563">
              <w:rPr>
                <w:color w:themeColor="text1" w:val="000000"/>
                <w:sz w:val="24"/>
              </w:rPr>
              <w:t>资产支持证券</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r w:rsidRPr="00A67563">
              <w:rPr>
                <w:color w:themeColor="text1" w:val="000000"/>
                <w:sz w:val="24"/>
              </w:rPr>
              <w:t>4</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金融衍生品投资</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djustRightInd w:val="0"/>
              <w:snapToGrid w:val="0"/>
              <w:spacing w:line="400" w:lineRule="exact"/>
              <w:rPr>
                <w:color w:themeColor="text1" w:val="000000"/>
                <w:sz w:val="24"/>
              </w:rPr>
            </w:pPr>
            <w:r w:rsidRPr="00A67563">
              <w:rPr>
                <w:color w:themeColor="text1" w:val="000000"/>
                <w:sz w:val="24"/>
              </w:rPr>
              <w:t>其中：远期</w:t>
            </w:r>
          </w:p>
        </w:tc>
        <w:tc>
          <w:tcPr>
            <w:tcW w:type="dxa" w:w="2835"/>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Del="00455464" w:rsidP="00877D98" w:rsidR="00E462F4" w:rsidRDefault="00E462F4" w:rsidRPr="00A67563">
            <w:pPr>
              <w:adjustRightInd w:val="0"/>
              <w:snapToGrid w:val="0"/>
              <w:spacing w:line="400" w:lineRule="exact"/>
              <w:ind w:firstLine="720" w:firstLineChars="300"/>
              <w:rPr>
                <w:color w:themeColor="text1" w:val="000000"/>
                <w:sz w:val="24"/>
              </w:rPr>
            </w:pPr>
            <w:r w:rsidRPr="00A67563">
              <w:rPr>
                <w:color w:themeColor="text1" w:val="000000"/>
                <w:sz w:val="24"/>
              </w:rPr>
              <w:t>期货</w:t>
            </w:r>
          </w:p>
        </w:tc>
        <w:tc>
          <w:tcPr>
            <w:tcW w:type="dxa" w:w="2835"/>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B918B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djustRightInd w:val="0"/>
              <w:snapToGrid w:val="0"/>
              <w:spacing w:line="400" w:lineRule="exact"/>
              <w:ind w:firstLine="720" w:firstLineChars="300"/>
              <w:rPr>
                <w:color w:themeColor="text1" w:val="000000"/>
                <w:sz w:val="24"/>
              </w:rPr>
            </w:pPr>
            <w:r w:rsidRPr="00A67563">
              <w:rPr>
                <w:color w:themeColor="text1" w:val="000000"/>
                <w:sz w:val="24"/>
              </w:rPr>
              <w:t>期权</w:t>
            </w:r>
          </w:p>
        </w:tc>
        <w:tc>
          <w:tcPr>
            <w:tcW w:type="dxa" w:w="2835"/>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adjustRightInd w:val="0"/>
              <w:snapToGrid w:val="0"/>
              <w:spacing w:line="400" w:lineRule="exact"/>
              <w:ind w:firstLine="715" w:firstLineChars="298"/>
              <w:rPr>
                <w:color w:themeColor="text1" w:val="000000"/>
                <w:sz w:val="24"/>
              </w:rPr>
            </w:pPr>
            <w:r w:rsidRPr="00A67563">
              <w:rPr>
                <w:color w:themeColor="text1" w:val="000000"/>
                <w:sz w:val="24"/>
              </w:rPr>
              <w:t>权证</w:t>
            </w:r>
          </w:p>
        </w:tc>
        <w:tc>
          <w:tcPr>
            <w:tcW w:type="dxa" w:w="2835"/>
            <w:shd w:color="auto" w:fill="auto" w:val="clear"/>
            <w:vAlign w:val="center"/>
          </w:tcPr>
          <w:p w:rsidP="00877D98"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877D98" w:rsidR="00E462F4" w:rsidRDefault="00664F49"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r w:rsidRPr="00A67563">
              <w:rPr>
                <w:color w:themeColor="text1" w:val="000000"/>
                <w:sz w:val="24"/>
              </w:rPr>
              <w:lastRenderedPageBreak/>
              <w:t>5</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买入返售金融资产</w:t>
            </w:r>
          </w:p>
        </w:tc>
        <w:tc>
          <w:tcPr>
            <w:tcW w:type="dxa" w:w="2835"/>
            <w:shd w:color="auto" w:fill="auto" w:val="clear"/>
            <w:vAlign w:val="center"/>
          </w:tcPr>
          <w:p w:rsidP="00877D98"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877D98"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其中：买断式回购的买入返售金融资产</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adjustRightInd w:val="0"/>
              <w:snapToGrid w:val="0"/>
              <w:spacing w:line="400" w:lineRule="exact"/>
              <w:jc w:val="center"/>
              <w:rPr>
                <w:color w:themeColor="text1" w:val="000000"/>
                <w:sz w:val="24"/>
              </w:rPr>
            </w:pPr>
            <w:r w:rsidRPr="00A67563">
              <w:rPr>
                <w:color w:themeColor="text1" w:val="000000"/>
                <w:sz w:val="24"/>
              </w:rPr>
              <w:t>6</w:t>
            </w:r>
          </w:p>
        </w:tc>
        <w:tc>
          <w:tcPr>
            <w:tcW w:type="dxa" w:w="4253"/>
            <w:shd w:color="auto" w:fill="auto" w:val="clear"/>
            <w:vAlign w:val="center"/>
          </w:tcPr>
          <w:p w:rsidP="00877D98" w:rsidR="00E462F4" w:rsidRDefault="00E462F4" w:rsidRPr="00A67563">
            <w:pPr>
              <w:adjustRightInd w:val="0"/>
              <w:snapToGrid w:val="0"/>
              <w:spacing w:line="400" w:lineRule="exact"/>
              <w:rPr>
                <w:color w:themeColor="text1" w:val="000000"/>
                <w:sz w:val="24"/>
              </w:rPr>
            </w:pPr>
            <w:r w:rsidRPr="00A67563">
              <w:rPr>
                <w:color w:themeColor="text1" w:val="000000"/>
                <w:sz w:val="24"/>
              </w:rPr>
              <w:t>货币市场工具</w:t>
            </w:r>
          </w:p>
        </w:tc>
        <w:tc>
          <w:tcPr>
            <w:tcW w:type="dxa" w:w="2835"/>
            <w:shd w:color="auto" w:fill="auto" w:val="clear"/>
            <w:vAlign w:val="center"/>
          </w:tcPr>
          <w:p w:rsidP="00BF1DD5" w:rsidR="00E462F4" w:rsidRDefault="00CE7FC6"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1559"/>
            <w:shd w:color="auto" w:fill="auto" w:val="clear"/>
            <w:vAlign w:val="center"/>
          </w:tcPr>
          <w:p w:rsidP="00BF1DD5" w:rsidR="00E462F4" w:rsidRDefault="00CE7FC6" w:rsidRPr="00A67563">
            <w:pPr>
              <w:spacing w:before="29" w:line="360" w:lineRule="auto"/>
              <w:ind w:left="17"/>
              <w:jc w:val="right"/>
              <w:rPr>
                <w:color w:themeColor="text1" w:val="000000"/>
                <w:sz w:val="24"/>
              </w:rPr>
            </w:pPr>
            <w:r w:rsidRPr="00A67563">
              <w:rPr>
                <w:color w:themeColor="text1" w:val="000000"/>
                <w:sz w:val="24"/>
              </w:rPr>
              <w:t>-</w:t>
            </w:r>
          </w:p>
        </w:tc>
      </w:tr>
      <w:tr w:rsidR="008277FF" w:rsidRPr="00A67563" w:rsidTr="006C750F">
        <w:trPr>
          <w:jc w:val="center"/>
        </w:trPr>
        <w:tc>
          <w:tcPr>
            <w:tcW w:type="dxa" w:w="851"/>
            <w:shd w:color="auto" w:fill="auto" w:val="clear"/>
            <w:vAlign w:val="center"/>
          </w:tcPr>
          <w:p w:rsidP="00877D98" w:rsidR="00E462F4" w:rsidRDefault="00E462F4" w:rsidRPr="00A67563">
            <w:pPr>
              <w:spacing w:before="29" w:line="360" w:lineRule="auto"/>
              <w:ind w:left="17"/>
              <w:jc w:val="center"/>
              <w:rPr>
                <w:color w:themeColor="text1" w:val="000000"/>
                <w:sz w:val="24"/>
              </w:rPr>
            </w:pPr>
            <w:r w:rsidRPr="00A67563">
              <w:rPr>
                <w:color w:themeColor="text1" w:val="000000"/>
                <w:sz w:val="24"/>
              </w:rPr>
              <w:t>7</w:t>
            </w:r>
          </w:p>
        </w:tc>
        <w:tc>
          <w:tcPr>
            <w:tcW w:type="dxa" w:w="4253"/>
            <w:shd w:color="auto" w:fill="auto" w:val="clear"/>
            <w:vAlign w:val="center"/>
          </w:tcPr>
          <w:p w:rsidP="00877D98" w:rsidR="00E462F4" w:rsidRDefault="00E462F4" w:rsidRPr="00A67563">
            <w:pPr>
              <w:spacing w:before="29" w:line="360" w:lineRule="auto"/>
              <w:ind w:left="17"/>
              <w:rPr>
                <w:color w:themeColor="text1" w:val="000000"/>
                <w:sz w:val="24"/>
              </w:rPr>
            </w:pPr>
            <w:r w:rsidRPr="00A67563">
              <w:rPr>
                <w:color w:themeColor="text1" w:val="000000"/>
                <w:sz w:val="24"/>
              </w:rPr>
              <w:t>银行存款和结算备付金合计</w:t>
            </w:r>
          </w:p>
        </w:tc>
        <w:tc>
          <w:tcPr>
            <w:tcW w:type="dxa" w:w="2835"/>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3,893,436.92</w:t>
            </w:r>
          </w:p>
        </w:tc>
        <w:tc>
          <w:tcPr>
            <w:tcW w:type="dxa" w:w="1559"/>
            <w:shd w:color="auto" w:fill="auto" w:val="clear"/>
            <w:vAlign w:val="center"/>
          </w:tcPr>
          <w:p w:rsidP="00BF1DD5" w:rsidR="00E462F4" w:rsidRDefault="00E462F4" w:rsidRPr="00A67563">
            <w:pPr>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6.65</w:t>
            </w:r>
          </w:p>
        </w:tc>
      </w:tr>
      <w:tr w:rsidR="008277FF" w:rsidRPr="00A67563" w:rsidTr="006C750F">
        <w:trPr>
          <w:jc w:val="center"/>
        </w:trPr>
        <w:tc>
          <w:tcPr>
            <w:tcW w:type="dxa" w:w="851"/>
            <w:shd w:color="auto" w:fill="auto" w:val="clear"/>
            <w:vAlign w:val="center"/>
          </w:tcPr>
          <w:p w:rsidP="00466B17" w:rsidR="00E462F4" w:rsidRDefault="00E462F4" w:rsidRPr="00A67563">
            <w:pPr>
              <w:spacing w:before="29" w:line="360" w:lineRule="auto"/>
              <w:ind w:left="17"/>
              <w:jc w:val="center"/>
              <w:rPr>
                <w:color w:themeColor="text1" w:val="000000"/>
                <w:sz w:val="24"/>
              </w:rPr>
            </w:pPr>
            <w:r w:rsidRPr="00A67563">
              <w:rPr>
                <w:color w:themeColor="text1" w:val="000000"/>
                <w:sz w:val="24"/>
              </w:rPr>
              <w:t/>
            </w:r>
            <w:r w:rsidR="00466B17" w:rsidRPr="00A67563">
              <w:rPr>
                <w:color w:themeColor="text1" w:val="000000"/>
                <w:sz w:val="24"/>
              </w:rPr>
              <w:t/>
            </w:r>
            <w:r w:rsidRPr="00A67563">
              <w:rPr>
                <w:color w:themeColor="text1" w:val="000000"/>
                <w:sz w:val="24"/>
              </w:rPr>
              <w:t>8</w:t>
            </w:r>
          </w:p>
        </w:tc>
        <w:tc>
          <w:tcPr>
            <w:tcW w:type="dxa" w:w="4253"/>
            <w:shd w:color="auto" w:fill="auto" w:val="clear"/>
            <w:vAlign w:val="center"/>
          </w:tcPr>
          <w:p w:rsidP="00797DD2" w:rsidR="00E462F4" w:rsidRDefault="001457F4" w:rsidRPr="00A67563">
            <w:pPr>
              <w:rPr>
                <w:color w:themeColor="text1" w:val="000000"/>
                <w:sz w:val="24"/>
              </w:rPr>
            </w:pPr>
            <w:r>
              <w:rPr>
                <w:color w:themeColor="text1" w:val="000000"/>
                <w:sz w:val="24"/>
              </w:rPr>
              <w:t>其他</w:t>
            </w:r>
            <w:r w:rsidR="00E462F4" w:rsidRPr="00A67563">
              <w:rPr>
                <w:color w:themeColor="text1" w:val="000000"/>
                <w:sz w:val="24"/>
              </w:rPr>
              <w:t>资产</w:t>
            </w:r>
          </w:p>
        </w:tc>
        <w:tc>
          <w:tcPr>
            <w:tcW w:type="dxa" w:w="2835"/>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754,531.09</w:t>
            </w:r>
          </w:p>
        </w:tc>
        <w:tc>
          <w:tcPr>
            <w:tcW w:type="dxa" w:w="1559"/>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1.29</w:t>
            </w:r>
          </w:p>
        </w:tc>
      </w:tr>
      <w:tr w:rsidR="008277FF" w:rsidRPr="00A67563" w:rsidTr="006C750F">
        <w:trPr>
          <w:jc w:val="center"/>
        </w:trPr>
        <w:tc>
          <w:tcPr>
            <w:tcW w:type="dxa" w:w="851"/>
            <w:shd w:color="auto" w:fill="auto" w:val="clear"/>
            <w:vAlign w:val="center"/>
          </w:tcPr>
          <w:p w:rsidP="00466B17" w:rsidR="00E462F4" w:rsidRDefault="00E462F4" w:rsidRPr="00A67563">
            <w:pPr>
              <w:spacing w:before="29" w:line="360" w:lineRule="auto"/>
              <w:ind w:left="17"/>
              <w:jc w:val="center"/>
              <w:rPr>
                <w:color w:themeColor="text1" w:val="000000"/>
                <w:sz w:val="24"/>
              </w:rPr>
            </w:pPr>
            <w:r w:rsidRPr="00A67563">
              <w:rPr>
                <w:color w:themeColor="text1" w:val="000000"/>
                <w:sz w:val="24"/>
              </w:rPr>
              <w:t/>
            </w:r>
            <w:r w:rsidR="00466B17" w:rsidRPr="00A67563">
              <w:rPr>
                <w:color w:themeColor="text1" w:val="000000"/>
                <w:sz w:val="24"/>
              </w:rPr>
              <w:t/>
            </w:r>
            <w:r w:rsidRPr="00A67563">
              <w:rPr>
                <w:color w:themeColor="text1" w:val="000000"/>
                <w:sz w:val="24"/>
              </w:rPr>
              <w:t>9</w:t>
            </w:r>
          </w:p>
        </w:tc>
        <w:tc>
          <w:tcPr>
            <w:tcW w:type="dxa" w:w="4253"/>
            <w:shd w:color="auto" w:fill="auto" w:val="clear"/>
            <w:vAlign w:val="center"/>
          </w:tcPr>
          <w:p w:rsidP="00797DD2" w:rsidR="00E462F4" w:rsidRDefault="00E462F4" w:rsidRPr="00A67563">
            <w:pPr>
              <w:rPr>
                <w:color w:themeColor="text1" w:val="000000"/>
                <w:sz w:val="24"/>
              </w:rPr>
            </w:pPr>
            <w:r w:rsidRPr="00A67563">
              <w:rPr>
                <w:color w:themeColor="text1" w:val="000000"/>
                <w:sz w:val="24"/>
              </w:rPr>
              <w:t>合计</w:t>
            </w:r>
          </w:p>
        </w:tc>
        <w:tc>
          <w:tcPr>
            <w:tcW w:type="dxa" w:w="2835"/>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58,590,950.97</w:t>
            </w:r>
          </w:p>
        </w:tc>
        <w:tc>
          <w:tcPr>
            <w:tcW w:type="dxa" w:w="1559"/>
            <w:shd w:color="auto" w:fill="auto" w:val="clear"/>
            <w:vAlign w:val="center"/>
          </w:tcPr>
          <w:p w:rsidP="00BF1DD5" w:rsidR="00E462F4" w:rsidRDefault="00E462F4" w:rsidRPr="00A67563">
            <w:pPr>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100.00</w:t>
            </w:r>
          </w:p>
        </w:tc>
      </w:tr>
    </w:tbl>
    <w:p w:rsidP="00EC4BA3" w:rsidR="0076518F" w:rsidRDefault="00A82C02"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2</w:t>
      </w:r>
      <w:r w:rsidRPr="00A67563">
        <w:rPr>
          <w:b/>
          <w:color w:themeColor="text1" w:val="000000"/>
          <w:kern w:val="0"/>
          <w:sz w:val="24"/>
        </w:rPr>
        <w:t xml:space="preserve"> </w:t>
      </w:r>
      <w:r w:rsidR="0076518F" w:rsidRPr="00A67563">
        <w:rPr>
          <w:b/>
          <w:color w:themeColor="text1" w:val="000000"/>
          <w:kern w:val="0"/>
          <w:sz w:val="24"/>
        </w:rPr>
        <w:t>报告期末在各个国家（地区）证券市场的股票及存托凭证投资分布</w:t>
      </w:r>
    </w:p>
    <w:tbl>
      <w:tblPr>
        <w:tblStyle w:val="af7"/>
        <w:tblW w:type="dxa" w:w="8604"/>
        <w:jc w:val="center"/>
        <w:tblLayout w:type="fixed"/>
        <w:tblLook w:firstColumn="1" w:firstRow="1" w:lastColumn="0" w:lastRow="0" w:noHBand="0" w:noVBand="1" w:val="04A0"/>
      </w:tblPr>
      <w:tblGrid>
        <w:gridCol w:w="2410"/>
        <w:gridCol w:w="3118"/>
        <w:gridCol w:w="3076"/>
      </w:tblGrid>
      <w:tr w:rsidR="008277FF" w:rsidRPr="00A67563" w:rsidTr="002C042C">
        <w:trPr>
          <w:jc w:val="center"/>
        </w:trPr>
        <w:tc>
          <w:tcPr>
            <w:tcW w:type="dxa" w:w="2410"/>
            <w:vAlign w:val="center"/>
          </w:tcPr>
          <w:p w:rsidP="00797DD2" w:rsidR="002C042C" w:rsidRDefault="002C042C"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国家（地区）</w:t>
            </w:r>
            <w:r w:rsidR="00A421B6" w:rsidRPr="00A67563">
              <w:rPr>
                <w:color w:themeColor="text1" w:val="000000"/>
                <w:sz w:val="24"/>
              </w:rPr>
              <w:t/>
            </w:r>
            <w:proofErr w:type="spellStart"/>
            <w:r w:rsidR="00A421B6" w:rsidRPr="00A67563">
              <w:rPr>
                <w:color w:themeColor="text1" w:val="000000"/>
                <w:sz w:val="24"/>
              </w:rPr>
              <w:t/>
            </w:r>
            <w:proofErr w:type="spellEnd"/>
            <w:r w:rsidR="00A421B6" w:rsidRPr="00A67563">
              <w:rPr>
                <w:color w:themeColor="text1" w:val="000000"/>
                <w:sz w:val="24"/>
              </w:rPr>
              <w:t/>
            </w:r>
          </w:p>
        </w:tc>
        <w:tc>
          <w:tcPr>
            <w:tcW w:type="dxa" w:w="3118"/>
            <w:vAlign w:val="center"/>
          </w:tcPr>
          <w:p w:rsidP="00797DD2" w:rsidR="002C042C" w:rsidRDefault="002C042C"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公允价值</w:t>
            </w:r>
            <w:r w:rsidRPr="00A67563">
              <w:rPr>
                <w:color w:themeColor="text1" w:val="000000"/>
                <w:kern w:val="0"/>
                <w:sz w:val="24"/>
              </w:rPr>
              <w:t>(</w:t>
            </w:r>
            <w:r w:rsidRPr="00A67563">
              <w:rPr>
                <w:color w:themeColor="text1" w:val="000000"/>
                <w:kern w:val="0"/>
                <w:sz w:val="24"/>
              </w:rPr>
              <w:t>人民币元</w:t>
            </w:r>
            <w:r w:rsidRPr="00A67563">
              <w:rPr>
                <w:color w:themeColor="text1" w:val="000000"/>
                <w:kern w:val="0"/>
                <w:sz w:val="24"/>
              </w:rPr>
              <w:t>)</w:t>
            </w:r>
          </w:p>
        </w:tc>
        <w:tc>
          <w:tcPr>
            <w:tcW w:type="dxa" w:w="3076"/>
            <w:vAlign w:val="center"/>
          </w:tcPr>
          <w:p w:rsidP="00797DD2" w:rsidR="002C042C" w:rsidRDefault="002C042C"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占基金资产净值比例（％）</w:t>
            </w:r>
          </w:p>
        </w:tc>
      </w:tr>
      <w:tr>
        <w:tc>
          <w:tcPr>
            <w:vAlign w:val="center"/>
          </w:tcPr>
          <w:p>
            <w:pPr>
              <w:jc w:val="left"/>
            </w:pPr>
            <w:r>
              <w:rPr>
                <w:color w:themeColor="text1" w:val="000000"/>
                <w:sz w:val="24"/>
              </w:rPr>
              <w:t>美国</w:t>
            </w:r>
          </w:p>
        </w:tc>
        <w:tc>
          <w:tcPr>
            <w:vAlign w:val="center"/>
          </w:tcPr>
          <w:p>
            <w:pPr>
              <w:jc w:val="right"/>
            </w:pPr>
            <w:r>
              <w:rPr>
                <w:color w:themeColor="text1" w:val="000000"/>
                <w:sz w:val="24"/>
              </w:rPr>
              <w:t>16,819,253.81</w:t>
            </w:r>
          </w:p>
        </w:tc>
        <w:tc>
          <w:tcPr>
            <w:vAlign w:val="center"/>
          </w:tcPr>
          <w:p>
            <w:pPr>
              <w:jc w:val="right"/>
            </w:pPr>
            <w:r>
              <w:rPr>
                <w:color w:themeColor="text1" w:val="000000"/>
                <w:sz w:val="24"/>
              </w:rPr>
              <w:t>30.35</w:t>
            </w:r>
          </w:p>
        </w:tc>
      </w:tr>
      <w:tr>
        <w:tc>
          <w:tcPr>
            <w:vAlign w:val="center"/>
          </w:tcPr>
          <w:p>
            <w:pPr>
              <w:jc w:val="left"/>
            </w:pPr>
            <w:r>
              <w:rPr>
                <w:color w:themeColor="text1" w:val="000000"/>
                <w:sz w:val="24"/>
              </w:rPr>
              <w:t>法国</w:t>
            </w:r>
          </w:p>
        </w:tc>
        <w:tc>
          <w:tcPr>
            <w:vAlign w:val="center"/>
          </w:tcPr>
          <w:p>
            <w:pPr>
              <w:jc w:val="right"/>
            </w:pPr>
            <w:r>
              <w:rPr>
                <w:color w:themeColor="text1" w:val="000000"/>
                <w:sz w:val="24"/>
              </w:rPr>
              <w:t>16,087,907.24</w:t>
            </w:r>
          </w:p>
        </w:tc>
        <w:tc>
          <w:tcPr>
            <w:vAlign w:val="center"/>
          </w:tcPr>
          <w:p>
            <w:pPr>
              <w:jc w:val="right"/>
            </w:pPr>
            <w:r>
              <w:rPr>
                <w:color w:themeColor="text1" w:val="000000"/>
                <w:sz w:val="24"/>
              </w:rPr>
              <w:t>29.03</w:t>
            </w:r>
          </w:p>
        </w:tc>
      </w:tr>
      <w:tr>
        <w:tc>
          <w:tcPr>
            <w:vAlign w:val="center"/>
          </w:tcPr>
          <w:p>
            <w:pPr>
              <w:jc w:val="left"/>
            </w:pPr>
            <w:r>
              <w:rPr>
                <w:color w:themeColor="text1" w:val="000000"/>
                <w:sz w:val="24"/>
              </w:rPr>
              <w:t>中国香港</w:t>
            </w:r>
          </w:p>
        </w:tc>
        <w:tc>
          <w:tcPr>
            <w:vAlign w:val="center"/>
          </w:tcPr>
          <w:p>
            <w:pPr>
              <w:jc w:val="right"/>
            </w:pPr>
            <w:r>
              <w:rPr>
                <w:color w:themeColor="text1" w:val="000000"/>
                <w:sz w:val="24"/>
              </w:rPr>
              <w:t>6,431,236.82</w:t>
            </w:r>
          </w:p>
        </w:tc>
        <w:tc>
          <w:tcPr>
            <w:vAlign w:val="center"/>
          </w:tcPr>
          <w:p>
            <w:pPr>
              <w:jc w:val="right"/>
            </w:pPr>
            <w:r>
              <w:rPr>
                <w:color w:themeColor="text1" w:val="000000"/>
                <w:sz w:val="24"/>
              </w:rPr>
              <w:t>11.61</w:t>
            </w:r>
          </w:p>
        </w:tc>
      </w:tr>
      <w:tr>
        <w:tc>
          <w:tcPr>
            <w:vAlign w:val="center"/>
          </w:tcPr>
          <w:p>
            <w:pPr>
              <w:jc w:val="left"/>
            </w:pPr>
            <w:r>
              <w:rPr>
                <w:color w:themeColor="text1" w:val="000000"/>
                <w:sz w:val="24"/>
              </w:rPr>
              <w:t>英国</w:t>
            </w:r>
          </w:p>
        </w:tc>
        <w:tc>
          <w:tcPr>
            <w:vAlign w:val="center"/>
          </w:tcPr>
          <w:p>
            <w:pPr>
              <w:jc w:val="right"/>
            </w:pPr>
            <w:r>
              <w:rPr>
                <w:color w:themeColor="text1" w:val="000000"/>
                <w:sz w:val="24"/>
              </w:rPr>
              <w:t>3,975,611.67</w:t>
            </w:r>
          </w:p>
        </w:tc>
        <w:tc>
          <w:tcPr>
            <w:vAlign w:val="center"/>
          </w:tcPr>
          <w:p>
            <w:pPr>
              <w:jc w:val="right"/>
            </w:pPr>
            <w:r>
              <w:rPr>
                <w:color w:themeColor="text1" w:val="000000"/>
                <w:sz w:val="24"/>
              </w:rPr>
              <w:t>7.17</w:t>
            </w:r>
          </w:p>
        </w:tc>
      </w:tr>
      <w:tr>
        <w:tc>
          <w:tcPr>
            <w:vAlign w:val="center"/>
          </w:tcPr>
          <w:p>
            <w:pPr>
              <w:jc w:val="left"/>
            </w:pPr>
            <w:r>
              <w:rPr>
                <w:color w:themeColor="text1" w:val="000000"/>
                <w:sz w:val="24"/>
              </w:rPr>
              <w:t>日本</w:t>
            </w:r>
          </w:p>
        </w:tc>
        <w:tc>
          <w:tcPr>
            <w:vAlign w:val="center"/>
          </w:tcPr>
          <w:p>
            <w:pPr>
              <w:jc w:val="right"/>
            </w:pPr>
            <w:r>
              <w:rPr>
                <w:color w:themeColor="text1" w:val="000000"/>
                <w:sz w:val="24"/>
              </w:rPr>
              <w:t>3,778,300.51</w:t>
            </w:r>
          </w:p>
        </w:tc>
        <w:tc>
          <w:tcPr>
            <w:vAlign w:val="center"/>
          </w:tcPr>
          <w:p>
            <w:pPr>
              <w:jc w:val="right"/>
            </w:pPr>
            <w:r>
              <w:rPr>
                <w:color w:themeColor="text1" w:val="000000"/>
                <w:sz w:val="24"/>
              </w:rPr>
              <w:t>6.82</w:t>
            </w:r>
          </w:p>
        </w:tc>
      </w:tr>
      <w:tr>
        <w:tc>
          <w:tcPr>
            <w:vAlign w:val="center"/>
          </w:tcPr>
          <w:p>
            <w:pPr>
              <w:jc w:val="left"/>
            </w:pPr>
            <w:r>
              <w:rPr>
                <w:color w:themeColor="text1" w:val="000000"/>
                <w:sz w:val="24"/>
              </w:rPr>
              <w:t>德国</w:t>
            </w:r>
          </w:p>
        </w:tc>
        <w:tc>
          <w:tcPr>
            <w:vAlign w:val="center"/>
          </w:tcPr>
          <w:p>
            <w:pPr>
              <w:jc w:val="right"/>
            </w:pPr>
            <w:r>
              <w:rPr>
                <w:color w:themeColor="text1" w:val="000000"/>
                <w:sz w:val="24"/>
              </w:rPr>
              <w:t>3,764,778.80</w:t>
            </w:r>
          </w:p>
        </w:tc>
        <w:tc>
          <w:tcPr>
            <w:vAlign w:val="center"/>
          </w:tcPr>
          <w:p>
            <w:pPr>
              <w:jc w:val="right"/>
            </w:pPr>
            <w:r>
              <w:rPr>
                <w:color w:themeColor="text1" w:val="000000"/>
                <w:sz w:val="24"/>
              </w:rPr>
              <w:t>6.79</w:t>
            </w:r>
          </w:p>
        </w:tc>
      </w:tr>
      <w:tr>
        <w:tc>
          <w:tcPr>
            <w:vAlign w:val="center"/>
          </w:tcPr>
          <w:p>
            <w:pPr>
              <w:jc w:val="left"/>
            </w:pPr>
            <w:r>
              <w:rPr>
                <w:color w:themeColor="text1" w:val="000000"/>
                <w:sz w:val="24"/>
              </w:rPr>
              <w:t>意大利</w:t>
            </w:r>
          </w:p>
        </w:tc>
        <w:tc>
          <w:tcPr>
            <w:vAlign w:val="center"/>
          </w:tcPr>
          <w:p>
            <w:pPr>
              <w:jc w:val="right"/>
            </w:pPr>
            <w:r>
              <w:rPr>
                <w:color w:themeColor="text1" w:val="000000"/>
                <w:sz w:val="24"/>
              </w:rPr>
              <w:t>2,085,286.03</w:t>
            </w:r>
          </w:p>
        </w:tc>
        <w:tc>
          <w:tcPr>
            <w:vAlign w:val="center"/>
          </w:tcPr>
          <w:p>
            <w:pPr>
              <w:jc w:val="right"/>
            </w:pPr>
            <w:r>
              <w:rPr>
                <w:color w:themeColor="text1" w:val="000000"/>
                <w:sz w:val="24"/>
              </w:rPr>
              <w:t>3.76</w:t>
            </w:r>
          </w:p>
        </w:tc>
      </w:tr>
      <w:tr>
        <w:tc>
          <w:tcPr>
            <w:vAlign w:val="center"/>
          </w:tcPr>
          <w:p>
            <w:pPr>
              <w:jc w:val="left"/>
            </w:pPr>
            <w:r>
              <w:rPr>
                <w:color w:themeColor="text1" w:val="000000"/>
                <w:sz w:val="24"/>
              </w:rPr>
              <w:t>瑞士</w:t>
            </w:r>
          </w:p>
        </w:tc>
        <w:tc>
          <w:tcPr>
            <w:vAlign w:val="center"/>
          </w:tcPr>
          <w:p>
            <w:pPr>
              <w:jc w:val="right"/>
            </w:pPr>
            <w:r>
              <w:rPr>
                <w:color w:themeColor="text1" w:val="000000"/>
                <w:sz w:val="24"/>
              </w:rPr>
              <w:t>690,114.53</w:t>
            </w:r>
          </w:p>
        </w:tc>
        <w:tc>
          <w:tcPr>
            <w:vAlign w:val="center"/>
          </w:tcPr>
          <w:p>
            <w:pPr>
              <w:jc w:val="right"/>
            </w:pPr>
            <w:r>
              <w:rPr>
                <w:color w:themeColor="text1" w:val="000000"/>
                <w:sz w:val="24"/>
              </w:rPr>
              <w:t>1.25</w:t>
            </w:r>
          </w:p>
        </w:tc>
      </w:tr>
      <w:tr>
        <w:tc>
          <w:tcPr>
            <w:vAlign w:val="center"/>
          </w:tcPr>
          <w:p>
            <w:pPr>
              <w:jc w:val="left"/>
            </w:pPr>
            <w:r>
              <w:rPr>
                <w:color w:themeColor="text1" w:val="000000"/>
                <w:sz w:val="24"/>
              </w:rPr>
              <w:t>澳大利亚</w:t>
            </w:r>
          </w:p>
        </w:tc>
        <w:tc>
          <w:tcPr>
            <w:vAlign w:val="center"/>
          </w:tcPr>
          <w:p>
            <w:pPr>
              <w:jc w:val="right"/>
            </w:pPr>
            <w:r>
              <w:rPr>
                <w:color w:themeColor="text1" w:val="000000"/>
                <w:sz w:val="24"/>
              </w:rPr>
              <w:t>310,493.55</w:t>
            </w:r>
          </w:p>
        </w:tc>
        <w:tc>
          <w:tcPr>
            <w:vAlign w:val="center"/>
          </w:tcPr>
          <w:p>
            <w:pPr>
              <w:jc w:val="right"/>
            </w:pPr>
            <w:r>
              <w:rPr>
                <w:color w:themeColor="text1" w:val="000000"/>
                <w:sz w:val="24"/>
              </w:rPr>
              <w:t>0.56</w:t>
            </w:r>
          </w:p>
        </w:tc>
      </w:tr>
      <w:tr w:rsidR="008277FF" w:rsidRPr="00A67563" w:rsidTr="00877D98">
        <w:trPr>
          <w:jc w:val="center"/>
        </w:trPr>
        <w:tc>
          <w:tcPr>
            <w:tcW w:type="dxa" w:w="2410"/>
            <w:vAlign w:val="center"/>
          </w:tcPr>
          <w:p w:rsidP="00877D98" w:rsidR="002C042C" w:rsidRDefault="002C042C" w:rsidRPr="00A67563">
            <w:pPr>
              <w:autoSpaceDE w:val="0"/>
              <w:autoSpaceDN w:val="0"/>
              <w:adjustRightInd w:val="0"/>
              <w:spacing w:before="29" w:line="360" w:lineRule="auto"/>
              <w:rPr>
                <w:color w:themeColor="text1" w:val="000000"/>
                <w:sz w:val="24"/>
              </w:rPr>
            </w:pPr>
            <w:r w:rsidRPr="00A67563">
              <w:rPr>
                <w:color w:themeColor="text1" w:val="000000"/>
                <w:sz w:val="24"/>
              </w:rPr>
              <w:t>合计</w:t>
            </w:r>
          </w:p>
        </w:tc>
        <w:tc>
          <w:tcPr>
            <w:tcW w:type="dxa" w:w="3118"/>
            <w:vAlign w:val="center"/>
          </w:tcPr>
          <w:p w:rsidP="00877D98" w:rsidR="002C042C" w:rsidRDefault="002C042C" w:rsidRPr="00A67563">
            <w:pPr>
              <w:autoSpaceDE w:val="0"/>
              <w:autoSpaceDN w:val="0"/>
              <w:adjustRightInd w:val="0"/>
              <w:spacing w:before="29" w:line="360" w:lineRule="auto"/>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53,942,982.96</w:t>
            </w:r>
          </w:p>
        </w:tc>
        <w:tc>
          <w:tcPr>
            <w:tcW w:type="dxa" w:w="3076"/>
            <w:vAlign w:val="center"/>
          </w:tcPr>
          <w:p w:rsidP="00877D98" w:rsidR="002C042C" w:rsidRDefault="002C042C" w:rsidRPr="00A67563">
            <w:pPr>
              <w:autoSpaceDE w:val="0"/>
              <w:autoSpaceDN w:val="0"/>
              <w:adjustRightInd w:val="0"/>
              <w:spacing w:before="29" w:line="360" w:lineRule="auto"/>
              <w:jc w:val="right"/>
              <w:rPr>
                <w:color w:themeColor="text1" w:val="000000"/>
                <w:sz w:val="24"/>
              </w:rPr>
            </w:pPr>
            <w:r w:rsidRPr="00A67563">
              <w:rPr>
                <w:color w:themeColor="text1" w:val="000000"/>
                <w:sz w:val="24"/>
              </w:rPr>
              <w:t/>
            </w:r>
            <w:r w:rsidRPr="00A67563">
              <w:rPr>
                <w:color w:themeColor="text1" w:val="000000"/>
                <w:sz w:val="24"/>
              </w:rPr>
              <w:lastRenderedPageBreak/>
              <w:t>97.34</w:t>
            </w:r>
          </w:p>
        </w:tc>
      </w:tr>
    </w:tbl>
    <w:p>
      <w:pPr>
        <w:autoSpaceDE w:val="0"/>
        <w:autoSpaceDN w:val="0"/>
        <w:adjustRightInd w:val="0"/>
        <w:spacing w:line="360" w:lineRule="auto"/>
        <w:ind w:firstLine="480" w:firstLineChars="200"/>
        <w:jc w:val="left"/>
        <w:rPr>
          <w:color w:themeColor="text1" w:val="000000"/>
          <w:kern w:val="0"/>
          <w:sz w:val="24"/>
        </w:rPr>
      </w:pPr>
      <w:r>
        <w:rPr>
          <w:color w:themeColor="text1" w:val="000000"/>
          <w:sz w:val="24"/>
        </w:rPr>
        <w:t>注：1.国家（地区）类别根据其所在的证券交易所确定。</w:t>
      </w:r>
    </w:p>
    <w:p w:rsidP="006C750F" w:rsidR="0076518F" w:rsidRDefault="00363E15"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2.ADR、GDR按照存托凭证本身挂牌的证券交易所确定。</w:t>
      </w:r>
    </w:p>
    <w:p w:rsidP="00EC4BA3" w:rsidR="00C37E98"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3</w:t>
      </w:r>
      <w:r w:rsidR="0076518F" w:rsidRPr="00A67563">
        <w:rPr>
          <w:b/>
          <w:color w:themeColor="text1" w:val="000000"/>
          <w:kern w:val="0"/>
          <w:sz w:val="24"/>
        </w:rPr>
        <w:t xml:space="preserve"> </w:t>
      </w:r>
      <w:r w:rsidR="0076518F" w:rsidRPr="00A67563">
        <w:rPr>
          <w:b/>
          <w:color w:themeColor="text1" w:val="000000"/>
          <w:kern w:val="0"/>
          <w:sz w:val="24"/>
        </w:rPr>
        <w:t>报告期末按行业分类的股票及存托凭证投资组合</w:t>
      </w:r>
    </w:p>
    <w:tbl>
      <w:tblPr>
        <w:tblStyle w:val="af7"/>
        <w:tblW w:type="auto" w:w="0"/>
        <w:tblInd w:type="dxa" w:w="15"/>
        <w:tblLayout w:type="fixed"/>
        <w:tblLook w:firstColumn="1" w:firstRow="1" w:lastColumn="0" w:lastRow="0" w:noHBand="0" w:noVBand="1" w:val="04A0"/>
      </w:tblPr>
      <w:tblGrid>
        <w:gridCol w:w="2787"/>
        <w:gridCol w:w="2551"/>
        <w:gridCol w:w="3175"/>
      </w:tblGrid>
      <w:tr w:rsidR="008277FF" w:rsidRPr="00A67563" w:rsidTr="008B2EAD">
        <w:tc>
          <w:tcPr>
            <w:tcW w:type="dxa" w:w="2787"/>
            <w:vAlign w:val="center"/>
          </w:tcPr>
          <w:p w:rsidP="00797DD2" w:rsidR="00C37E98" w:rsidRDefault="00C37E9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行业类别</w:t>
            </w:r>
            <w:r w:rsidR="00304E97" w:rsidRPr="00A67563">
              <w:rPr>
                <w:color w:themeColor="text1" w:val="000000"/>
                <w:kern w:val="0"/>
                <w:sz w:val="24"/>
              </w:rPr>
              <w:t/>
            </w:r>
            <w:proofErr w:type="spellStart"/>
            <w:r w:rsidR="00304E97" w:rsidRPr="00A67563">
              <w:rPr>
                <w:color w:themeColor="text1" w:val="000000"/>
                <w:kern w:val="0"/>
                <w:sz w:val="24"/>
              </w:rPr>
              <w:t/>
            </w:r>
            <w:proofErr w:type="spellEnd"/>
            <w:r w:rsidR="00304E97" w:rsidRPr="00A67563">
              <w:rPr>
                <w:color w:themeColor="text1" w:val="000000"/>
                <w:kern w:val="0"/>
                <w:sz w:val="24"/>
              </w:rPr>
              <w:t/>
            </w:r>
          </w:p>
        </w:tc>
        <w:tc>
          <w:tcPr>
            <w:tcW w:type="dxa" w:w="2551"/>
            <w:vAlign w:val="center"/>
          </w:tcPr>
          <w:p w:rsidP="00797DD2" w:rsidR="00C37E98" w:rsidRDefault="00C37E9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公允价值（人民币元）</w:t>
            </w:r>
          </w:p>
        </w:tc>
        <w:tc>
          <w:tcPr>
            <w:tcW w:type="dxa" w:w="3175"/>
            <w:vAlign w:val="center"/>
          </w:tcPr>
          <w:p w:rsidP="00797DD2" w:rsidR="00C37E98" w:rsidRDefault="00C37E9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占基金资产净值比例（％）</w:t>
            </w:r>
          </w:p>
        </w:tc>
      </w:tr>
      <w:tr>
        <w:tc>
          <w:tcPr>
            <w:vAlign w:val="center"/>
          </w:tcPr>
          <w:p>
            <w:pPr>
              <w:jc w:val="left"/>
            </w:pPr>
            <w:r>
              <w:rPr>
                <w:color w:themeColor="text1" w:val="000000"/>
                <w:sz w:val="24"/>
              </w:rPr>
              <w:t>能源</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材料</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工业</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非必需消费品</w:t>
            </w:r>
          </w:p>
        </w:tc>
        <w:tc>
          <w:tcPr>
            <w:vAlign w:val="center"/>
          </w:tcPr>
          <w:p>
            <w:pPr>
              <w:jc w:val="right"/>
            </w:pPr>
            <w:r>
              <w:rPr>
                <w:color w:themeColor="text1" w:val="000000"/>
                <w:sz w:val="24"/>
              </w:rPr>
              <w:t>33,038,213.41</w:t>
            </w:r>
          </w:p>
        </w:tc>
        <w:tc>
          <w:tcPr>
            <w:vAlign w:val="center"/>
          </w:tcPr>
          <w:p>
            <w:pPr>
              <w:jc w:val="right"/>
            </w:pPr>
            <w:r>
              <w:rPr>
                <w:color w:themeColor="text1" w:val="000000"/>
                <w:sz w:val="24"/>
              </w:rPr>
              <w:t>59.62</w:t>
            </w:r>
          </w:p>
        </w:tc>
      </w:tr>
      <w:tr>
        <w:tc>
          <w:tcPr>
            <w:vAlign w:val="center"/>
          </w:tcPr>
          <w:p>
            <w:pPr>
              <w:jc w:val="left"/>
            </w:pPr>
            <w:r>
              <w:rPr>
                <w:color w:themeColor="text1" w:val="000000"/>
                <w:sz w:val="24"/>
              </w:rPr>
              <w:t>必需消费品</w:t>
            </w:r>
          </w:p>
        </w:tc>
        <w:tc>
          <w:tcPr>
            <w:vAlign w:val="center"/>
          </w:tcPr>
          <w:p>
            <w:pPr>
              <w:jc w:val="right"/>
            </w:pPr>
            <w:r>
              <w:rPr>
                <w:color w:themeColor="text1" w:val="000000"/>
                <w:sz w:val="24"/>
              </w:rPr>
              <w:t>15,530,563.58</w:t>
            </w:r>
          </w:p>
        </w:tc>
        <w:tc>
          <w:tcPr>
            <w:vAlign w:val="center"/>
          </w:tcPr>
          <w:p>
            <w:pPr>
              <w:jc w:val="right"/>
            </w:pPr>
            <w:r>
              <w:rPr>
                <w:color w:themeColor="text1" w:val="000000"/>
                <w:sz w:val="24"/>
              </w:rPr>
              <w:t>28.03</w:t>
            </w:r>
          </w:p>
        </w:tc>
      </w:tr>
      <w:tr>
        <w:tc>
          <w:tcPr>
            <w:vAlign w:val="center"/>
          </w:tcPr>
          <w:p>
            <w:pPr>
              <w:jc w:val="left"/>
            </w:pPr>
            <w:r>
              <w:rPr>
                <w:color w:themeColor="text1" w:val="000000"/>
                <w:sz w:val="24"/>
              </w:rPr>
              <w:t>保健</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金融</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信息技术</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电信服务</w:t>
            </w:r>
          </w:p>
        </w:tc>
        <w:tc>
          <w:tcPr>
            <w:vAlign w:val="center"/>
          </w:tcPr>
          <w:p>
            <w:pPr>
              <w:jc w:val="right"/>
            </w:pPr>
            <w:r>
              <w:rPr>
                <w:color w:themeColor="text1" w:val="000000"/>
                <w:sz w:val="24"/>
              </w:rPr>
              <w:t>5,374,205.97</w:t>
            </w:r>
          </w:p>
        </w:tc>
        <w:tc>
          <w:tcPr>
            <w:vAlign w:val="center"/>
          </w:tcPr>
          <w:p>
            <w:pPr>
              <w:jc w:val="right"/>
            </w:pPr>
            <w:r>
              <w:rPr>
                <w:color w:themeColor="text1" w:val="000000"/>
                <w:sz w:val="24"/>
              </w:rPr>
              <w:t>9.70</w:t>
            </w:r>
          </w:p>
        </w:tc>
      </w:tr>
      <w:tr>
        <w:tc>
          <w:tcPr>
            <w:vAlign w:val="center"/>
          </w:tcPr>
          <w:p>
            <w:pPr>
              <w:jc w:val="left"/>
            </w:pPr>
            <w:r>
              <w:rPr>
                <w:color w:themeColor="text1" w:val="000000"/>
                <w:sz w:val="24"/>
              </w:rPr>
              <w:t>公用事业</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房地产</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rsidR="008277FF" w:rsidRPr="00A67563" w:rsidTr="00877D98">
        <w:tc>
          <w:tcPr>
            <w:tcW w:type="dxa" w:w="2787"/>
            <w:vAlign w:val="center"/>
          </w:tcPr>
          <w:p w:rsidP="00877D98" w:rsidR="00C37E98" w:rsidRDefault="00C37E98" w:rsidRPr="00A67563">
            <w:pPr>
              <w:autoSpaceDE w:val="0"/>
              <w:autoSpaceDN w:val="0"/>
              <w:adjustRightInd w:val="0"/>
              <w:spacing w:before="29" w:line="360" w:lineRule="auto"/>
              <w:ind w:left="15"/>
              <w:rPr>
                <w:color w:themeColor="text1" w:val="000000"/>
                <w:sz w:val="24"/>
              </w:rPr>
            </w:pPr>
            <w:r w:rsidRPr="00A67563">
              <w:rPr>
                <w:color w:themeColor="text1" w:val="000000"/>
                <w:sz w:val="24"/>
              </w:rPr>
              <w:t>合计</w:t>
            </w:r>
          </w:p>
        </w:tc>
        <w:tc>
          <w:tcPr>
            <w:tcW w:type="dxa" w:w="2551"/>
            <w:vAlign w:val="center"/>
          </w:tcPr>
          <w:p w:rsidP="00C9504A" w:rsidR="00C37E98" w:rsidRDefault="00C37E98" w:rsidRPr="00A67563">
            <w:pPr>
              <w:autoSpaceDE w:val="0"/>
              <w:autoSpaceDN w:val="0"/>
              <w:adjustRightInd w:val="0"/>
              <w:spacing w:before="29" w:line="360" w:lineRule="auto"/>
              <w:ind w:left="15"/>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53,942,982.96</w:t>
            </w:r>
          </w:p>
        </w:tc>
        <w:tc>
          <w:tcPr>
            <w:tcW w:type="dxa" w:w="3175"/>
            <w:vAlign w:val="center"/>
          </w:tcPr>
          <w:p w:rsidP="00C9504A" w:rsidR="00C37E98" w:rsidRDefault="00C37E98" w:rsidRPr="00A67563">
            <w:pPr>
              <w:autoSpaceDE w:val="0"/>
              <w:autoSpaceDN w:val="0"/>
              <w:adjustRightInd w:val="0"/>
              <w:spacing w:before="29" w:line="360" w:lineRule="auto"/>
              <w:ind w:left="15"/>
              <w:jc w:val="right"/>
              <w:rPr>
                <w:color w:themeColor="text1" w:val="000000"/>
                <w:sz w:val="24"/>
              </w:rPr>
            </w:pPr>
            <w:r w:rsidRPr="00A67563">
              <w:rPr>
                <w:color w:themeColor="text1" w:val="000000"/>
                <w:sz w:val="24"/>
              </w:rPr>
              <w:t>97.35</w:t>
            </w:r>
          </w:p>
        </w:tc>
      </w:tr>
    </w:tbl>
    <w:p w:rsidP="006C750F" w:rsidR="000A521D" w:rsidRDefault="00363E1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r w:rsidR="000A521D" w:rsidRPr="00A67563">
        <w:rPr>
          <w:color w:themeColor="text1" w:val="000000"/>
          <w:sz w:val="24"/>
        </w:rPr>
        <w:t/>
      </w:r>
      <w:proofErr w:type="spellStart"/>
      <w:proofErr w:type="gramStart"/>
      <w:r w:rsidR="000A521D" w:rsidRPr="00A67563">
        <w:rPr>
          <w:color w:themeColor="text1" w:val="000000"/>
          <w:sz w:val="24"/>
        </w:rPr>
        <w:t/>
      </w:r>
      <w:proofErr w:type="spellEnd"/>
      <w:proofErr w:type="gramEnd"/>
      <w:r w:rsidR="000A521D" w:rsidRPr="00A67563">
        <w:rPr>
          <w:color w:themeColor="text1" w:val="000000"/>
          <w:sz w:val="24"/>
        </w:rPr>
        <w:t>注：以上分类采用全球行业分类标准（GICS）。</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4</w:t>
      </w:r>
      <w:r w:rsidR="0076518F"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报告期末按公允价值占基金资产净值比例大小排序的前十名股票及存托凭证投资明细</w:t>
      </w:r>
    </w:p>
    <w:tbl>
      <w:tblPr>
        <w:tblStyle w:val="af7"/>
        <w:tblW w:type="auto" w:w="0"/>
        <w:tblInd w:type="dxa" w:w="15"/>
        <w:tblLook w:firstColumn="1" w:firstRow="1" w:lastColumn="0" w:lastRow="0" w:noHBand="0" w:noVBand="1" w:val="04A0"/>
      </w:tblPr>
      <w:tblGrid>
        <w:gridCol w:w="773"/>
        <w:gridCol w:w="967"/>
        <w:gridCol w:w="989"/>
        <w:gridCol w:w="723"/>
        <w:gridCol w:w="773"/>
        <w:gridCol w:w="972"/>
        <w:gridCol w:w="1172"/>
        <w:gridCol w:w="972"/>
        <w:gridCol w:w="1172"/>
      </w:tblGrid>
      <w:tr w:rsidR="008277FF" w:rsidRPr="00A67563" w:rsidTr="001C7D5D">
        <w:tc>
          <w:tcPr>
            <w:tcW w:type="dxa" w:w="794"/>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序号</w:t>
            </w:r>
          </w:p>
        </w:tc>
        <w:tc>
          <w:tcPr>
            <w:tcW w:type="dxa" w:w="974"/>
            <w:vAlign w:val="center"/>
          </w:tcPr>
          <w:p w:rsidP="001C7D5D" w:rsidR="001C7D5D" w:rsidRDefault="001C7D5D" w:rsidRPr="00A67563">
            <w:pPr>
              <w:adjustRightInd w:val="0"/>
              <w:snapToGrid w:val="0"/>
              <w:spacing w:line="400" w:lineRule="exact"/>
              <w:jc w:val="center"/>
              <w:rPr>
                <w:color w:themeColor="text1" w:val="000000"/>
                <w:kern w:val="0"/>
                <w:sz w:val="24"/>
              </w:rPr>
            </w:pPr>
            <w:r w:rsidRPr="00A67563">
              <w:rPr>
                <w:color w:themeColor="text1" w:val="000000"/>
                <w:kern w:val="0"/>
                <w:sz w:val="24"/>
              </w:rPr>
              <w:t>公司名称（英文）</w:t>
            </w:r>
          </w:p>
        </w:tc>
        <w:tc>
          <w:tcPr>
            <w:tcW w:type="dxa" w:w="1019"/>
            <w:vAlign w:val="center"/>
          </w:tcPr>
          <w:p w:rsidP="00797DD2" w:rsidR="001C7D5D" w:rsidRDefault="001C7D5D" w:rsidRPr="00A67563">
            <w:pPr>
              <w:adjustRightInd w:val="0"/>
              <w:snapToGrid w:val="0"/>
              <w:spacing w:line="400" w:lineRule="exact"/>
              <w:jc w:val="center"/>
              <w:rPr>
                <w:color w:themeColor="text1" w:val="000000"/>
                <w:kern w:val="0"/>
                <w:sz w:val="24"/>
              </w:rPr>
            </w:pPr>
            <w:r w:rsidRPr="00A67563">
              <w:rPr>
                <w:color w:themeColor="text1" w:val="000000"/>
                <w:kern w:val="0"/>
                <w:sz w:val="24"/>
              </w:rPr>
              <w:t>公司名称（中文）</w:t>
            </w:r>
          </w:p>
        </w:tc>
        <w:tc>
          <w:tcPr>
            <w:tcW w:type="dxa" w:w="703"/>
            <w:vAlign w:val="center"/>
          </w:tcPr>
          <w:p w:rsidP="00797DD2" w:rsidR="001C7D5D" w:rsidRDefault="001C7D5D" w:rsidRPr="00A67563">
            <w:pPr>
              <w:adjustRightInd w:val="0"/>
              <w:snapToGrid w:val="0"/>
              <w:spacing w:line="400" w:lineRule="exact"/>
              <w:jc w:val="center"/>
              <w:rPr>
                <w:color w:themeColor="text1" w:val="000000"/>
                <w:kern w:val="0"/>
                <w:sz w:val="24"/>
              </w:rPr>
            </w:pPr>
            <w:r w:rsidRPr="00A67563">
              <w:rPr>
                <w:color w:themeColor="text1" w:val="000000"/>
                <w:kern w:val="0"/>
                <w:sz w:val="24"/>
              </w:rPr>
              <w:t>证券代码</w:t>
            </w:r>
          </w:p>
        </w:tc>
        <w:tc>
          <w:tcPr>
            <w:tcW w:type="dxa" w:w="793"/>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所在证</w:t>
            </w:r>
          </w:p>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券市场</w:t>
            </w:r>
          </w:p>
        </w:tc>
        <w:tc>
          <w:tcPr>
            <w:tcW w:type="dxa" w:w="969"/>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所属国家</w:t>
            </w:r>
          </w:p>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（地区</w:t>
            </w:r>
            <w:r w:rsidRPr="00A67563">
              <w:rPr>
                <w:color w:themeColor="text1" w:val="000000"/>
                <w:kern w:val="0"/>
                <w:sz w:val="24"/>
              </w:rPr>
              <w:t>)</w:t>
            </w:r>
          </w:p>
        </w:tc>
        <w:tc>
          <w:tcPr>
            <w:tcW w:type="dxa" w:w="1146"/>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数量</w:t>
            </w:r>
          </w:p>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（股）</w:t>
            </w:r>
          </w:p>
        </w:tc>
        <w:tc>
          <w:tcPr>
            <w:tcW w:type="dxa" w:w="969"/>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公允价值（人民币元）</w:t>
            </w:r>
          </w:p>
        </w:tc>
        <w:tc>
          <w:tcPr>
            <w:tcW w:type="dxa" w:w="1146"/>
            <w:vAlign w:val="center"/>
          </w:tcPr>
          <w:p w:rsidP="00797DD2" w:rsidR="001C7D5D" w:rsidRDefault="001C7D5D"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kern w:val="0"/>
                <w:sz w:val="24"/>
              </w:rPr>
              <w:t>占基金资产净值比例（％）</w:t>
            </w:r>
          </w:p>
        </w:tc>
      </w:tr>
      <w:tr>
        <w:tc>
          <w:tcPr>
            <w:vAlign w:val="center"/>
          </w:tcPr>
          <w:p>
            <w:pPr>
              <w:jc w:val="center"/>
            </w:pPr>
            <w:r>
              <w:rPr>
                <w:color w:themeColor="text1" w:val="000000"/>
                <w:sz w:val="24"/>
              </w:rPr>
              <w:t>1</w:t>
            </w:r>
          </w:p>
        </w:tc>
        <w:tc>
          <w:tcPr>
            <w:vAlign w:val="center"/>
          </w:tcPr>
          <w:p>
            <w:pPr>
              <w:jc w:val="center"/>
            </w:pPr>
            <w:r>
              <w:rPr>
                <w:color w:themeColor="text1" w:val="000000"/>
                <w:sz w:val="24"/>
              </w:rPr>
              <w:t>Tencent Holdings Ltd</w:t>
            </w:r>
          </w:p>
        </w:tc>
        <w:tc>
          <w:tcPr>
            <w:vAlign w:val="center"/>
          </w:tcPr>
          <w:p>
            <w:pPr>
              <w:jc w:val="center"/>
            </w:pPr>
            <w:r>
              <w:rPr>
                <w:color w:themeColor="text1" w:val="000000"/>
                <w:sz w:val="24"/>
              </w:rPr>
              <w:t>腾讯控股有限公司</w:t>
            </w:r>
          </w:p>
        </w:tc>
        <w:tc>
          <w:tcPr>
            <w:vAlign w:val="center"/>
          </w:tcPr>
          <w:p>
            <w:pPr>
              <w:jc w:val="center"/>
            </w:pPr>
            <w:r>
              <w:rPr>
                <w:color w:themeColor="text1" w:val="000000"/>
                <w:sz w:val="24"/>
              </w:rPr>
              <w:t>700 HK</w:t>
            </w:r>
          </w:p>
        </w:tc>
        <w:tc>
          <w:tcPr>
            <w:vAlign w:val="center"/>
          </w:tcPr>
          <w:p>
            <w:pPr>
              <w:jc w:val="center"/>
            </w:pPr>
            <w:r>
              <w:rPr>
                <w:color w:themeColor="text1" w:val="000000"/>
                <w:sz w:val="24"/>
              </w:rPr>
              <w:t>香港证券交易所</w:t>
            </w:r>
          </w:p>
        </w:tc>
        <w:tc>
          <w:tcPr>
            <w:vAlign w:val="center"/>
          </w:tcPr>
          <w:p>
            <w:pPr>
              <w:jc w:val="center"/>
            </w:pPr>
            <w:r>
              <w:rPr>
                <w:color w:themeColor="text1" w:val="000000"/>
                <w:sz w:val="24"/>
              </w:rPr>
              <w:t>中国香港</w:t>
            </w:r>
          </w:p>
        </w:tc>
        <w:tc>
          <w:tcPr>
            <w:vAlign w:val="center"/>
          </w:tcPr>
          <w:p>
            <w:pPr>
              <w:jc w:val="right"/>
            </w:pPr>
            <w:r>
              <w:rPr>
                <w:color w:themeColor="text1" w:val="000000"/>
                <w:sz w:val="24"/>
              </w:rPr>
              <w:t>11,800</w:t>
            </w:r>
          </w:p>
        </w:tc>
        <w:tc>
          <w:tcPr>
            <w:vAlign w:val="center"/>
          </w:tcPr>
          <w:p>
            <w:pPr>
              <w:jc w:val="right"/>
            </w:pPr>
            <w:r>
              <w:rPr>
                <w:color w:themeColor="text1" w:val="000000"/>
                <w:sz w:val="24"/>
              </w:rPr>
              <w:t>5,374,205.97</w:t>
            </w:r>
          </w:p>
        </w:tc>
        <w:tc>
          <w:tcPr>
            <w:vAlign w:val="center"/>
          </w:tcPr>
          <w:p>
            <w:pPr>
              <w:jc w:val="right"/>
            </w:pPr>
            <w:r>
              <w:rPr>
                <w:color w:themeColor="text1" w:val="000000"/>
                <w:sz w:val="24"/>
              </w:rPr>
              <w:t>9.70</w:t>
            </w:r>
          </w:p>
        </w:tc>
      </w:tr>
      <w:tr>
        <w:tc>
          <w:tcPr>
            <w:vAlign w:val="center"/>
          </w:tcPr>
          <w:p>
            <w:pPr>
              <w:jc w:val="center"/>
            </w:pPr>
            <w:r>
              <w:rPr>
                <w:color w:themeColor="text1" w:val="000000"/>
                <w:sz w:val="24"/>
              </w:rPr>
              <w:t>2</w:t>
            </w:r>
          </w:p>
        </w:tc>
        <w:tc>
          <w:tcPr>
            <w:vAlign w:val="center"/>
          </w:tcPr>
          <w:p>
            <w:pPr>
              <w:jc w:val="center"/>
            </w:pPr>
            <w:r>
              <w:rPr>
                <w:color w:themeColor="text1" w:val="000000"/>
                <w:sz w:val="24"/>
              </w:rPr>
              <w:t>LVMH Moet Hennessy Louis Vuitton SE</w:t>
            </w:r>
          </w:p>
        </w:tc>
        <w:tc>
          <w:tcPr>
            <w:vAlign w:val="center"/>
          </w:tcPr>
          <w:p>
            <w:pPr>
              <w:jc w:val="center"/>
            </w:pPr>
            <w:r>
              <w:rPr>
                <w:color w:themeColor="text1" w:val="000000"/>
                <w:sz w:val="24"/>
              </w:rPr>
              <w:t>-</w:t>
            </w:r>
          </w:p>
        </w:tc>
        <w:tc>
          <w:tcPr>
            <w:vAlign w:val="center"/>
          </w:tcPr>
          <w:p>
            <w:pPr>
              <w:jc w:val="center"/>
            </w:pPr>
            <w:r>
              <w:rPr>
                <w:color w:themeColor="text1" w:val="000000"/>
                <w:sz w:val="24"/>
              </w:rPr>
              <w:t>MC FP</w:t>
            </w:r>
          </w:p>
        </w:tc>
        <w:tc>
          <w:tcPr>
            <w:vAlign w:val="center"/>
          </w:tcPr>
          <w:p>
            <w:pPr>
              <w:jc w:val="center"/>
            </w:pPr>
            <w:r>
              <w:rPr>
                <w:color w:themeColor="text1" w:val="000000"/>
                <w:sz w:val="24"/>
              </w:rPr>
              <w:t>泛欧证券交易所</w:t>
            </w:r>
          </w:p>
        </w:tc>
        <w:tc>
          <w:tcPr>
            <w:vAlign w:val="center"/>
          </w:tcPr>
          <w:p>
            <w:pPr>
              <w:jc w:val="center"/>
            </w:pPr>
            <w:r>
              <w:rPr>
                <w:color w:themeColor="text1" w:val="000000"/>
                <w:sz w:val="24"/>
              </w:rPr>
              <w:t>法国</w:t>
            </w:r>
          </w:p>
        </w:tc>
        <w:tc>
          <w:tcPr>
            <w:vAlign w:val="center"/>
          </w:tcPr>
          <w:p>
            <w:pPr>
              <w:jc w:val="right"/>
            </w:pPr>
            <w:r>
              <w:rPr>
                <w:color w:themeColor="text1" w:val="000000"/>
                <w:sz w:val="24"/>
              </w:rPr>
              <w:t>1,720</w:t>
            </w:r>
          </w:p>
        </w:tc>
        <w:tc>
          <w:tcPr>
            <w:vAlign w:val="center"/>
          </w:tcPr>
          <w:p>
            <w:pPr>
              <w:jc w:val="right"/>
            </w:pPr>
            <w:r>
              <w:rPr>
                <w:color w:themeColor="text1" w:val="000000"/>
                <w:sz w:val="24"/>
              </w:rPr>
              <w:t>5,347,085.26</w:t>
            </w:r>
          </w:p>
        </w:tc>
        <w:tc>
          <w:tcPr>
            <w:vAlign w:val="center"/>
          </w:tcPr>
          <w:p>
            <w:pPr>
              <w:jc w:val="right"/>
            </w:pPr>
            <w:r>
              <w:rPr>
                <w:color w:themeColor="text1" w:val="000000"/>
                <w:sz w:val="24"/>
              </w:rPr>
              <w:t>9.65</w:t>
            </w:r>
          </w:p>
        </w:tc>
      </w:tr>
      <w:tr>
        <w:tc>
          <w:tcPr>
            <w:vAlign w:val="center"/>
          </w:tcPr>
          <w:p>
            <w:pPr>
              <w:jc w:val="center"/>
            </w:pPr>
            <w:r>
              <w:rPr>
                <w:color w:themeColor="text1" w:val="000000"/>
                <w:sz w:val="24"/>
              </w:rPr>
              <w:t>3</w:t>
            </w:r>
          </w:p>
        </w:tc>
        <w:tc>
          <w:tcPr>
            <w:vAlign w:val="center"/>
          </w:tcPr>
          <w:p>
            <w:pPr>
              <w:jc w:val="center"/>
            </w:pPr>
            <w:r>
              <w:rPr>
                <w:color w:themeColor="text1" w:val="000000"/>
                <w:sz w:val="24"/>
              </w:rPr>
              <w:t>Estee Lauder Cos Inc</w:t>
            </w:r>
          </w:p>
        </w:tc>
        <w:tc>
          <w:tcPr>
            <w:vAlign w:val="center"/>
          </w:tcPr>
          <w:p>
            <w:pPr>
              <w:jc w:val="center"/>
            </w:pPr>
            <w:r>
              <w:rPr>
                <w:color w:themeColor="text1" w:val="000000"/>
                <w:sz w:val="24"/>
              </w:rPr>
              <w:t>-</w:t>
            </w:r>
          </w:p>
        </w:tc>
        <w:tc>
          <w:tcPr>
            <w:vAlign w:val="center"/>
          </w:tcPr>
          <w:p>
            <w:pPr>
              <w:jc w:val="center"/>
            </w:pPr>
            <w:r>
              <w:rPr>
                <w:color w:themeColor="text1" w:val="000000"/>
                <w:sz w:val="24"/>
              </w:rPr>
              <w:t>EL US</w:t>
            </w:r>
          </w:p>
        </w:tc>
        <w:tc>
          <w:tcPr>
            <w:vAlign w:val="center"/>
          </w:tcPr>
          <w:p>
            <w:pPr>
              <w:jc w:val="center"/>
            </w:pPr>
            <w:r>
              <w:rPr>
                <w:color w:themeColor="text1" w:val="000000"/>
                <w:sz w:val="24"/>
              </w:rPr>
              <w:t>纽约证券交易所</w:t>
            </w:r>
          </w:p>
        </w:tc>
        <w:tc>
          <w:tcPr>
            <w:vAlign w:val="center"/>
          </w:tcPr>
          <w:p>
            <w:pPr>
              <w:jc w:val="center"/>
            </w:pPr>
            <w:r>
              <w:rPr>
                <w:color w:themeColor="text1" w:val="000000"/>
                <w:sz w:val="24"/>
              </w:rPr>
              <w:t>美国</w:t>
            </w:r>
          </w:p>
        </w:tc>
        <w:tc>
          <w:tcPr>
            <w:vAlign w:val="center"/>
          </w:tcPr>
          <w:p>
            <w:pPr>
              <w:jc w:val="right"/>
            </w:pPr>
            <w:r>
              <w:rPr>
                <w:color w:themeColor="text1" w:val="000000"/>
                <w:sz w:val="24"/>
              </w:rPr>
              <w:t>3,953</w:t>
            </w:r>
          </w:p>
        </w:tc>
        <w:tc>
          <w:tcPr>
            <w:vAlign w:val="center"/>
          </w:tcPr>
          <w:p>
            <w:pPr>
              <w:jc w:val="right"/>
            </w:pPr>
            <w:r>
              <w:rPr>
                <w:color w:themeColor="text1" w:val="000000"/>
                <w:sz w:val="24"/>
              </w:rPr>
              <w:t>5,280,259.52</w:t>
            </w:r>
          </w:p>
        </w:tc>
        <w:tc>
          <w:tcPr>
            <w:vAlign w:val="center"/>
          </w:tcPr>
          <w:p>
            <w:pPr>
              <w:jc w:val="right"/>
            </w:pPr>
            <w:r>
              <w:rPr>
                <w:color w:themeColor="text1" w:val="000000"/>
                <w:sz w:val="24"/>
              </w:rPr>
              <w:t>9.53</w:t>
            </w:r>
          </w:p>
        </w:tc>
      </w:tr>
      <w:tr>
        <w:tc>
          <w:tcPr>
            <w:vAlign w:val="center"/>
          </w:tcPr>
          <w:p>
            <w:pPr>
              <w:jc w:val="center"/>
            </w:pPr>
            <w:r>
              <w:rPr>
                <w:color w:themeColor="text1" w:val="000000"/>
                <w:sz w:val="24"/>
              </w:rPr>
              <w:t>4</w:t>
            </w:r>
          </w:p>
        </w:tc>
        <w:tc>
          <w:tcPr>
            <w:vAlign w:val="center"/>
          </w:tcPr>
          <w:p>
            <w:pPr>
              <w:jc w:val="center"/>
            </w:pPr>
            <w:r>
              <w:rPr>
                <w:color w:themeColor="text1" w:val="000000"/>
                <w:sz w:val="24"/>
              </w:rPr>
              <w:t>Tesla Inc</w:t>
            </w:r>
          </w:p>
        </w:tc>
        <w:tc>
          <w:tcPr>
            <w:vAlign w:val="center"/>
          </w:tcPr>
          <w:p>
            <w:pPr>
              <w:jc w:val="center"/>
            </w:pPr>
            <w:r>
              <w:rPr>
                <w:color w:themeColor="text1" w:val="000000"/>
                <w:sz w:val="24"/>
              </w:rPr>
              <w:t>-</w:t>
            </w:r>
          </w:p>
        </w:tc>
        <w:tc>
          <w:tcPr>
            <w:vAlign w:val="center"/>
          </w:tcPr>
          <w:p>
            <w:pPr>
              <w:jc w:val="center"/>
            </w:pPr>
            <w:r>
              <w:rPr>
                <w:color w:themeColor="text1" w:val="000000"/>
                <w:sz w:val="24"/>
              </w:rPr>
              <w:t>TSLA US</w:t>
            </w:r>
          </w:p>
        </w:tc>
        <w:tc>
          <w:tcPr>
            <w:vAlign w:val="center"/>
          </w:tcPr>
          <w:p>
            <w:pPr>
              <w:jc w:val="center"/>
            </w:pPr>
            <w:r>
              <w:rPr>
                <w:color w:themeColor="text1" w:val="000000"/>
                <w:sz w:val="24"/>
              </w:rPr>
              <w:t>纳斯达克证券交易所</w:t>
            </w:r>
          </w:p>
        </w:tc>
        <w:tc>
          <w:tcPr>
            <w:vAlign w:val="center"/>
          </w:tcPr>
          <w:p>
            <w:pPr>
              <w:jc w:val="center"/>
            </w:pPr>
            <w:r>
              <w:rPr>
                <w:color w:themeColor="text1" w:val="000000"/>
                <w:sz w:val="24"/>
              </w:rPr>
              <w:t>美国</w:t>
            </w:r>
          </w:p>
        </w:tc>
        <w:tc>
          <w:tcPr>
            <w:vAlign w:val="center"/>
          </w:tcPr>
          <w:p>
            <w:pPr>
              <w:jc w:val="right"/>
            </w:pPr>
            <w:r>
              <w:rPr>
                <w:color w:themeColor="text1" w:val="000000"/>
                <w:sz w:val="24"/>
              </w:rPr>
              <w:t>690</w:t>
            </w:r>
          </w:p>
        </w:tc>
        <w:tc>
          <w:tcPr>
            <w:vAlign w:val="center"/>
          </w:tcPr>
          <w:p>
            <w:pPr>
              <w:jc w:val="right"/>
            </w:pPr>
            <w:r>
              <w:rPr>
                <w:color w:themeColor="text1" w:val="000000"/>
                <w:sz w:val="24"/>
              </w:rPr>
              <w:t>5,274,715.28</w:t>
            </w:r>
          </w:p>
        </w:tc>
        <w:tc>
          <w:tcPr>
            <w:vAlign w:val="center"/>
          </w:tcPr>
          <w:p>
            <w:pPr>
              <w:jc w:val="right"/>
            </w:pPr>
            <w:r>
              <w:rPr>
                <w:color w:themeColor="text1" w:val="000000"/>
                <w:sz w:val="24"/>
              </w:rPr>
              <w:t>9.52</w:t>
            </w:r>
          </w:p>
        </w:tc>
      </w:tr>
      <w:tr>
        <w:tc>
          <w:tcPr>
            <w:vAlign w:val="center"/>
          </w:tcPr>
          <w:p>
            <w:pPr>
              <w:jc w:val="center"/>
            </w:pPr>
            <w:r>
              <w:rPr>
                <w:color w:themeColor="text1" w:val="000000"/>
                <w:sz w:val="24"/>
              </w:rPr>
              <w:t>5</w:t>
            </w:r>
          </w:p>
        </w:tc>
        <w:tc>
          <w:tcPr>
            <w:vAlign w:val="center"/>
          </w:tcPr>
          <w:p>
            <w:pPr>
              <w:jc w:val="center"/>
            </w:pPr>
            <w:r>
              <w:rPr>
                <w:color w:themeColor="text1" w:val="000000"/>
                <w:sz w:val="24"/>
              </w:rPr>
              <w:t>Kering SA</w:t>
            </w:r>
          </w:p>
        </w:tc>
        <w:tc>
          <w:tcPr>
            <w:vAlign w:val="center"/>
          </w:tcPr>
          <w:p>
            <w:pPr>
              <w:jc w:val="center"/>
            </w:pPr>
            <w:r>
              <w:rPr>
                <w:color w:themeColor="text1" w:val="000000"/>
                <w:sz w:val="24"/>
              </w:rPr>
              <w:t>-</w:t>
            </w:r>
          </w:p>
        </w:tc>
        <w:tc>
          <w:tcPr>
            <w:vAlign w:val="center"/>
          </w:tcPr>
          <w:p>
            <w:pPr>
              <w:jc w:val="center"/>
            </w:pPr>
            <w:r>
              <w:rPr>
                <w:color w:themeColor="text1" w:val="000000"/>
                <w:sz w:val="24"/>
              </w:rPr>
              <w:t>KER FP</w:t>
            </w:r>
          </w:p>
        </w:tc>
        <w:tc>
          <w:tcPr>
            <w:vAlign w:val="center"/>
          </w:tcPr>
          <w:p>
            <w:pPr>
              <w:jc w:val="center"/>
            </w:pPr>
            <w:r>
              <w:rPr>
                <w:color w:themeColor="text1" w:val="000000"/>
                <w:sz w:val="24"/>
              </w:rPr>
              <w:t>泛欧证券交易所</w:t>
            </w:r>
          </w:p>
        </w:tc>
        <w:tc>
          <w:tcPr>
            <w:vAlign w:val="center"/>
          </w:tcPr>
          <w:p>
            <w:pPr>
              <w:jc w:val="center"/>
            </w:pPr>
            <w:r>
              <w:rPr>
                <w:color w:themeColor="text1" w:val="000000"/>
                <w:sz w:val="24"/>
              </w:rPr>
              <w:t>法国</w:t>
            </w:r>
          </w:p>
        </w:tc>
        <w:tc>
          <w:tcPr>
            <w:vAlign w:val="center"/>
          </w:tcPr>
          <w:p>
            <w:pPr>
              <w:jc w:val="right"/>
            </w:pPr>
            <w:r>
              <w:rPr>
                <w:color w:themeColor="text1" w:val="000000"/>
                <w:sz w:val="24"/>
              </w:rPr>
              <w:t>1,154</w:t>
            </w:r>
          </w:p>
        </w:tc>
        <w:tc>
          <w:tcPr>
            <w:vAlign w:val="center"/>
          </w:tcPr>
          <w:p>
            <w:pPr>
              <w:jc w:val="right"/>
            </w:pPr>
            <w:r>
              <w:rPr>
                <w:color w:themeColor="text1" w:val="000000"/>
                <w:sz w:val="24"/>
              </w:rPr>
              <w:t>4,448,801.84</w:t>
            </w:r>
          </w:p>
        </w:tc>
        <w:tc>
          <w:tcPr>
            <w:vAlign w:val="center"/>
          </w:tcPr>
          <w:p>
            <w:pPr>
              <w:jc w:val="right"/>
            </w:pPr>
            <w:r>
              <w:rPr>
                <w:color w:themeColor="text1" w:val="000000"/>
                <w:sz w:val="24"/>
              </w:rPr>
              <w:t>8.03</w:t>
            </w:r>
          </w:p>
        </w:tc>
      </w:tr>
      <w:tr>
        <w:tc>
          <w:tcPr>
            <w:vAlign w:val="center"/>
          </w:tcPr>
          <w:p>
            <w:pPr>
              <w:jc w:val="center"/>
            </w:pPr>
            <w:r>
              <w:rPr>
                <w:color w:themeColor="text1" w:val="000000"/>
                <w:sz w:val="24"/>
              </w:rPr>
              <w:t>6</w:t>
            </w:r>
          </w:p>
        </w:tc>
        <w:tc>
          <w:tcPr>
            <w:vAlign w:val="center"/>
          </w:tcPr>
          <w:p>
            <w:pPr>
              <w:jc w:val="center"/>
            </w:pPr>
            <w:r>
              <w:rPr>
                <w:color w:themeColor="text1" w:val="000000"/>
                <w:sz w:val="24"/>
              </w:rPr>
              <w:t>NIKE Inc</w:t>
            </w:r>
          </w:p>
        </w:tc>
        <w:tc>
          <w:tcPr>
            <w:vAlign w:val="center"/>
          </w:tcPr>
          <w:p>
            <w:pPr>
              <w:jc w:val="center"/>
            </w:pPr>
            <w:r>
              <w:rPr>
                <w:color w:themeColor="text1" w:val="000000"/>
                <w:sz w:val="24"/>
              </w:rPr>
              <w:t>-</w:t>
            </w:r>
          </w:p>
        </w:tc>
        <w:tc>
          <w:tcPr>
            <w:vAlign w:val="center"/>
          </w:tcPr>
          <w:p>
            <w:pPr>
              <w:jc w:val="center"/>
            </w:pPr>
            <w:r>
              <w:rPr>
                <w:color w:themeColor="text1" w:val="000000"/>
                <w:sz w:val="24"/>
              </w:rPr>
              <w:t>NKE US</w:t>
            </w:r>
          </w:p>
        </w:tc>
        <w:tc>
          <w:tcPr>
            <w:vAlign w:val="center"/>
          </w:tcPr>
          <w:p>
            <w:pPr>
              <w:jc w:val="center"/>
            </w:pPr>
            <w:r>
              <w:rPr>
                <w:color w:themeColor="text1" w:val="000000"/>
                <w:sz w:val="24"/>
              </w:rPr>
              <w:t>纽约证券交易所</w:t>
            </w:r>
          </w:p>
        </w:tc>
        <w:tc>
          <w:tcPr>
            <w:vAlign w:val="center"/>
          </w:tcPr>
          <w:p>
            <w:pPr>
              <w:jc w:val="center"/>
            </w:pPr>
            <w:r>
              <w:rPr>
                <w:color w:themeColor="text1" w:val="000000"/>
                <w:sz w:val="24"/>
              </w:rPr>
              <w:t>美国</w:t>
            </w:r>
          </w:p>
        </w:tc>
        <w:tc>
          <w:tcPr>
            <w:vAlign w:val="center"/>
          </w:tcPr>
          <w:p>
            <w:pPr>
              <w:jc w:val="right"/>
            </w:pPr>
            <w:r>
              <w:rPr>
                <w:color w:themeColor="text1" w:val="000000"/>
                <w:sz w:val="24"/>
              </w:rPr>
              <w:t>5,920</w:t>
            </w:r>
          </w:p>
        </w:tc>
        <w:tc>
          <w:tcPr>
            <w:vAlign w:val="center"/>
          </w:tcPr>
          <w:p>
            <w:pPr>
              <w:jc w:val="right"/>
            </w:pPr>
            <w:r>
              <w:rPr>
                <w:color w:themeColor="text1" w:val="000000"/>
                <w:sz w:val="24"/>
              </w:rPr>
              <w:t>4,109,338.25</w:t>
            </w:r>
          </w:p>
        </w:tc>
        <w:tc>
          <w:tcPr>
            <w:vAlign w:val="center"/>
          </w:tcPr>
          <w:p>
            <w:pPr>
              <w:jc w:val="right"/>
            </w:pPr>
            <w:r>
              <w:rPr>
                <w:color w:themeColor="text1" w:val="000000"/>
                <w:sz w:val="24"/>
              </w:rPr>
              <w:t>7.42</w:t>
            </w:r>
          </w:p>
        </w:tc>
      </w:tr>
      <w:tr>
        <w:tc>
          <w:tcPr>
            <w:vAlign w:val="center"/>
          </w:tcPr>
          <w:p>
            <w:pPr>
              <w:jc w:val="center"/>
            </w:pPr>
            <w:r>
              <w:rPr>
                <w:color w:themeColor="text1" w:val="000000"/>
                <w:sz w:val="24"/>
              </w:rPr>
              <w:t>7</w:t>
            </w:r>
          </w:p>
        </w:tc>
        <w:tc>
          <w:tcPr>
            <w:vAlign w:val="center"/>
          </w:tcPr>
          <w:p>
            <w:pPr>
              <w:jc w:val="center"/>
            </w:pPr>
            <w:r>
              <w:rPr>
                <w:color w:themeColor="text1" w:val="000000"/>
                <w:sz w:val="24"/>
              </w:rPr>
              <w:t>Shiseido Co Ltd</w:t>
            </w:r>
          </w:p>
        </w:tc>
        <w:tc>
          <w:tcPr>
            <w:vAlign w:val="center"/>
          </w:tcPr>
          <w:p>
            <w:pPr>
              <w:jc w:val="center"/>
            </w:pPr>
            <w:r>
              <w:rPr>
                <w:color w:themeColor="text1" w:val="000000"/>
                <w:sz w:val="24"/>
              </w:rPr>
              <w:t>-</w:t>
            </w:r>
          </w:p>
        </w:tc>
        <w:tc>
          <w:tcPr>
            <w:vAlign w:val="center"/>
          </w:tcPr>
          <w:p>
            <w:pPr>
              <w:jc w:val="center"/>
            </w:pPr>
            <w:r>
              <w:rPr>
                <w:color w:themeColor="text1" w:val="000000"/>
                <w:sz w:val="24"/>
              </w:rPr>
              <w:t>4911 JP</w:t>
            </w:r>
          </w:p>
        </w:tc>
        <w:tc>
          <w:tcPr>
            <w:vAlign w:val="center"/>
          </w:tcPr>
          <w:p>
            <w:pPr>
              <w:jc w:val="center"/>
            </w:pPr>
            <w:r>
              <w:rPr>
                <w:color w:themeColor="text1" w:val="000000"/>
                <w:sz w:val="24"/>
              </w:rPr>
              <w:t>东京证券交易所</w:t>
            </w:r>
          </w:p>
        </w:tc>
        <w:tc>
          <w:tcPr>
            <w:vAlign w:val="center"/>
          </w:tcPr>
          <w:p>
            <w:pPr>
              <w:jc w:val="center"/>
            </w:pPr>
            <w:r>
              <w:rPr>
                <w:color w:themeColor="text1" w:val="000000"/>
                <w:sz w:val="24"/>
              </w:rPr>
              <w:t>日本</w:t>
            </w:r>
          </w:p>
        </w:tc>
        <w:tc>
          <w:tcPr>
            <w:vAlign w:val="center"/>
          </w:tcPr>
          <w:p>
            <w:pPr>
              <w:jc w:val="right"/>
            </w:pPr>
            <w:r>
              <w:rPr>
                <w:color w:themeColor="text1" w:val="000000"/>
                <w:sz w:val="24"/>
              </w:rPr>
              <w:t>8,400</w:t>
            </w:r>
          </w:p>
        </w:tc>
        <w:tc>
          <w:tcPr>
            <w:vAlign w:val="center"/>
          </w:tcPr>
          <w:p>
            <w:pPr>
              <w:jc w:val="right"/>
            </w:pPr>
            <w:r>
              <w:rPr>
                <w:color w:themeColor="text1" w:val="000000"/>
                <w:sz w:val="24"/>
              </w:rPr>
              <w:t>3,778,300.51</w:t>
            </w:r>
          </w:p>
        </w:tc>
        <w:tc>
          <w:tcPr>
            <w:vAlign w:val="center"/>
          </w:tcPr>
          <w:p>
            <w:pPr>
              <w:jc w:val="right"/>
            </w:pPr>
            <w:r>
              <w:rPr>
                <w:color w:themeColor="text1" w:val="000000"/>
                <w:sz w:val="24"/>
              </w:rPr>
              <w:t>6.82</w:t>
            </w:r>
          </w:p>
        </w:tc>
      </w:tr>
      <w:tr>
        <w:tc>
          <w:tcPr>
            <w:vAlign w:val="center"/>
          </w:tcPr>
          <w:p>
            <w:pPr>
              <w:jc w:val="center"/>
            </w:pPr>
            <w:r>
              <w:rPr>
                <w:color w:themeColor="text1" w:val="000000"/>
                <w:sz w:val="24"/>
              </w:rPr>
              <w:t>8</w:t>
            </w:r>
          </w:p>
        </w:tc>
        <w:tc>
          <w:tcPr>
            <w:vAlign w:val="center"/>
          </w:tcPr>
          <w:p>
            <w:pPr>
              <w:jc w:val="center"/>
            </w:pPr>
            <w:r>
              <w:rPr>
                <w:color w:themeColor="text1" w:val="000000"/>
                <w:sz w:val="24"/>
              </w:rPr>
              <w:t>Diageo PLC</w:t>
            </w:r>
          </w:p>
        </w:tc>
        <w:tc>
          <w:tcPr>
            <w:vAlign w:val="center"/>
          </w:tcPr>
          <w:p>
            <w:pPr>
              <w:jc w:val="center"/>
            </w:pPr>
            <w:r>
              <w:rPr>
                <w:color w:themeColor="text1" w:val="000000"/>
                <w:sz w:val="24"/>
              </w:rPr>
              <w:t>-</w:t>
            </w:r>
          </w:p>
        </w:tc>
        <w:tc>
          <w:tcPr>
            <w:vAlign w:val="center"/>
          </w:tcPr>
          <w:p>
            <w:pPr>
              <w:jc w:val="center"/>
            </w:pPr>
            <w:r>
              <w:rPr>
                <w:color w:themeColor="text1" w:val="000000"/>
                <w:sz w:val="24"/>
              </w:rPr>
              <w:t>DGE LN</w:t>
            </w:r>
          </w:p>
        </w:tc>
        <w:tc>
          <w:tcPr>
            <w:vAlign w:val="center"/>
          </w:tcPr>
          <w:p>
            <w:pPr>
              <w:jc w:val="center"/>
            </w:pPr>
            <w:r>
              <w:rPr>
                <w:color w:themeColor="text1" w:val="000000"/>
                <w:sz w:val="24"/>
              </w:rPr>
              <w:t>伦敦证券交易所</w:t>
            </w:r>
          </w:p>
        </w:tc>
        <w:tc>
          <w:tcPr>
            <w:vAlign w:val="center"/>
          </w:tcPr>
          <w:p>
            <w:pPr>
              <w:jc w:val="center"/>
            </w:pPr>
            <w:r>
              <w:rPr>
                <w:color w:themeColor="text1" w:val="000000"/>
                <w:sz w:val="24"/>
              </w:rPr>
              <w:t>英国</w:t>
            </w:r>
          </w:p>
        </w:tc>
        <w:tc>
          <w:tcPr>
            <w:vAlign w:val="center"/>
          </w:tcPr>
          <w:p>
            <w:pPr>
              <w:jc w:val="right"/>
            </w:pPr>
            <w:r>
              <w:rPr>
                <w:color w:themeColor="text1" w:val="000000"/>
                <w:sz w:val="24"/>
              </w:rPr>
              <w:t>13,365</w:t>
            </w:r>
          </w:p>
        </w:tc>
        <w:tc>
          <w:tcPr>
            <w:vAlign w:val="center"/>
          </w:tcPr>
          <w:p>
            <w:pPr>
              <w:jc w:val="right"/>
            </w:pPr>
            <w:r>
              <w:rPr>
                <w:color w:themeColor="text1" w:val="000000"/>
                <w:sz w:val="24"/>
              </w:rPr>
              <w:t>3,123,088.28</w:t>
            </w:r>
          </w:p>
        </w:tc>
        <w:tc>
          <w:tcPr>
            <w:vAlign w:val="center"/>
          </w:tcPr>
          <w:p>
            <w:pPr>
              <w:jc w:val="right"/>
            </w:pPr>
            <w:r>
              <w:rPr>
                <w:color w:themeColor="text1" w:val="000000"/>
                <w:sz w:val="24"/>
              </w:rPr>
              <w:t>5.64</w:t>
            </w:r>
          </w:p>
        </w:tc>
      </w:tr>
      <w:tr>
        <w:tc>
          <w:tcPr>
            <w:vAlign w:val="center"/>
          </w:tcPr>
          <w:p>
            <w:pPr>
              <w:jc w:val="center"/>
            </w:pPr>
            <w:r>
              <w:rPr>
                <w:color w:themeColor="text1" w:val="000000"/>
                <w:sz w:val="24"/>
              </w:rPr>
              <w:t>9</w:t>
            </w:r>
          </w:p>
        </w:tc>
        <w:tc>
          <w:tcPr>
            <w:vAlign w:val="center"/>
          </w:tcPr>
          <w:p>
            <w:pPr>
              <w:jc w:val="center"/>
            </w:pPr>
            <w:r>
              <w:rPr>
                <w:color w:themeColor="text1" w:val="000000"/>
                <w:sz w:val="24"/>
              </w:rPr>
              <w:t>Hermes International</w:t>
            </w:r>
          </w:p>
        </w:tc>
        <w:tc>
          <w:tcPr>
            <w:vAlign w:val="center"/>
          </w:tcPr>
          <w:p>
            <w:pPr>
              <w:jc w:val="center"/>
            </w:pPr>
            <w:r>
              <w:rPr>
                <w:color w:themeColor="text1" w:val="000000"/>
                <w:sz w:val="24"/>
              </w:rPr>
              <w:t>-</w:t>
            </w:r>
          </w:p>
        </w:tc>
        <w:tc>
          <w:tcPr>
            <w:vAlign w:val="center"/>
          </w:tcPr>
          <w:p>
            <w:pPr>
              <w:jc w:val="center"/>
            </w:pPr>
            <w:r>
              <w:rPr>
                <w:color w:themeColor="text1" w:val="000000"/>
                <w:sz w:val="24"/>
              </w:rPr>
              <w:t>RMS FP</w:t>
            </w:r>
          </w:p>
        </w:tc>
        <w:tc>
          <w:tcPr>
            <w:vAlign w:val="center"/>
          </w:tcPr>
          <w:p>
            <w:pPr>
              <w:jc w:val="center"/>
            </w:pPr>
            <w:r>
              <w:rPr>
                <w:color w:themeColor="text1" w:val="000000"/>
                <w:sz w:val="24"/>
              </w:rPr>
              <w:t>泛欧证券交易所</w:t>
            </w:r>
          </w:p>
        </w:tc>
        <w:tc>
          <w:tcPr>
            <w:vAlign w:val="center"/>
          </w:tcPr>
          <w:p>
            <w:pPr>
              <w:jc w:val="center"/>
            </w:pPr>
            <w:r>
              <w:rPr>
                <w:color w:themeColor="text1" w:val="000000"/>
                <w:sz w:val="24"/>
              </w:rPr>
              <w:t>法国</w:t>
            </w:r>
          </w:p>
        </w:tc>
        <w:tc>
          <w:tcPr>
            <w:vAlign w:val="center"/>
          </w:tcPr>
          <w:p>
            <w:pPr>
              <w:jc w:val="right"/>
            </w:pPr>
            <w:r>
              <w:rPr>
                <w:color w:themeColor="text1" w:val="000000"/>
                <w:sz w:val="24"/>
              </w:rPr>
              <w:t>439</w:t>
            </w:r>
          </w:p>
        </w:tc>
        <w:tc>
          <w:tcPr>
            <w:vAlign w:val="center"/>
          </w:tcPr>
          <w:p>
            <w:pPr>
              <w:jc w:val="right"/>
            </w:pPr>
            <w:r>
              <w:rPr>
                <w:color w:themeColor="text1" w:val="000000"/>
                <w:sz w:val="24"/>
              </w:rPr>
              <w:t>2,599,491.00</w:t>
            </w:r>
          </w:p>
        </w:tc>
        <w:tc>
          <w:tcPr>
            <w:vAlign w:val="center"/>
          </w:tcPr>
          <w:p>
            <w:pPr>
              <w:jc w:val="right"/>
            </w:pPr>
            <w:r>
              <w:rPr>
                <w:color w:themeColor="text1" w:val="000000"/>
                <w:sz w:val="24"/>
              </w:rPr>
              <w:t>4.69</w:t>
            </w:r>
          </w:p>
        </w:tc>
      </w:tr>
      <w:tr>
        <w:tc>
          <w:tcPr>
            <w:vAlign w:val="center"/>
          </w:tcPr>
          <w:p>
            <w:pPr>
              <w:jc w:val="center"/>
            </w:pPr>
            <w:r>
              <w:rPr>
                <w:color w:themeColor="text1" w:val="000000"/>
                <w:sz w:val="24"/>
              </w:rPr>
              <w:t>10</w:t>
            </w:r>
          </w:p>
        </w:tc>
        <w:tc>
          <w:tcPr>
            <w:vAlign w:val="center"/>
          </w:tcPr>
          <w:p>
            <w:pPr>
              <w:jc w:val="center"/>
            </w:pPr>
            <w:r>
              <w:rPr>
                <w:color w:themeColor="text1" w:val="000000"/>
                <w:sz w:val="24"/>
              </w:rPr>
              <w:t>Pernod-Ricard SA</w:t>
            </w:r>
          </w:p>
        </w:tc>
        <w:tc>
          <w:tcPr>
            <w:vAlign w:val="center"/>
          </w:tcPr>
          <w:p>
            <w:pPr>
              <w:jc w:val="center"/>
            </w:pPr>
            <w:r>
              <w:rPr>
                <w:color w:themeColor="text1" w:val="000000"/>
                <w:sz w:val="24"/>
              </w:rPr>
              <w:t>-</w:t>
            </w:r>
          </w:p>
        </w:tc>
        <w:tc>
          <w:tcPr>
            <w:vAlign w:val="center"/>
          </w:tcPr>
          <w:p>
            <w:pPr>
              <w:jc w:val="center"/>
            </w:pPr>
            <w:r>
              <w:rPr>
                <w:color w:themeColor="text1" w:val="000000"/>
                <w:sz w:val="24"/>
              </w:rPr>
              <w:t>RI FP</w:t>
            </w:r>
          </w:p>
        </w:tc>
        <w:tc>
          <w:tcPr>
            <w:vAlign w:val="center"/>
          </w:tcPr>
          <w:p>
            <w:pPr>
              <w:jc w:val="center"/>
            </w:pPr>
            <w:r>
              <w:rPr>
                <w:color w:themeColor="text1" w:val="000000"/>
                <w:sz w:val="24"/>
              </w:rPr>
              <w:t>泛欧证券交易所</w:t>
            </w:r>
          </w:p>
        </w:tc>
        <w:tc>
          <w:tcPr>
            <w:vAlign w:val="center"/>
          </w:tcPr>
          <w:p>
            <w:pPr>
              <w:jc w:val="center"/>
            </w:pPr>
            <w:r>
              <w:rPr>
                <w:color w:themeColor="text1" w:val="000000"/>
                <w:sz w:val="24"/>
              </w:rPr>
              <w:t>法国</w:t>
            </w:r>
          </w:p>
        </w:tc>
        <w:tc>
          <w:tcPr>
            <w:vAlign w:val="center"/>
          </w:tcPr>
          <w:p>
            <w:pPr>
              <w:jc w:val="right"/>
            </w:pPr>
            <w:r>
              <w:rPr>
                <w:color w:themeColor="text1" w:val="000000"/>
                <w:sz w:val="24"/>
              </w:rPr>
              <w:t>2,058</w:t>
            </w:r>
          </w:p>
        </w:tc>
        <w:tc>
          <w:tcPr>
            <w:vAlign w:val="center"/>
          </w:tcPr>
          <w:p>
            <w:pPr>
              <w:jc w:val="right"/>
            </w:pPr>
            <w:r>
              <w:rPr>
                <w:color w:themeColor="text1" w:val="000000"/>
                <w:sz w:val="24"/>
              </w:rPr>
              <w:t>2,294,542.51</w:t>
            </w:r>
          </w:p>
        </w:tc>
        <w:tc>
          <w:tcPr>
            <w:vAlign w:val="center"/>
          </w:tcPr>
          <w:p>
            <w:pPr>
              <w:jc w:val="right"/>
            </w:pPr>
            <w:r>
              <w:rPr>
                <w:color w:themeColor="text1" w:val="000000"/>
                <w:sz w:val="24"/>
              </w:rPr>
              <w:t>4.14</w:t>
            </w:r>
          </w:p>
        </w:tc>
      </w:tr>
    </w:tbl>
    <w:p w:rsidP="006C750F" w:rsidR="00521EDE" w:rsidRDefault="009B223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00B62914" w:rsidRPr="00A67563">
        <w:rPr>
          <w:color w:themeColor="text1" w:val="000000"/>
          <w:sz w:val="24"/>
        </w:rPr>
        <w:t/>
      </w:r>
      <w:proofErr w:type="spellEnd"/>
      <w:proofErr w:type="gramEnd"/>
      <w:r w:rsidR="00E73C41" w:rsidRPr="00A67563">
        <w:rPr>
          <w:color w:themeColor="text1" w:val="000000"/>
          <w:sz w:val="24"/>
        </w:rPr>
        <w:t>注：此处所用证券代码的类别是当地市场代码。</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5</w:t>
      </w:r>
      <w:r w:rsidR="0076518F" w:rsidRPr="00A67563">
        <w:rPr>
          <w:b/>
          <w:color w:themeColor="text1" w:val="000000"/>
          <w:kern w:val="0"/>
          <w:sz w:val="24"/>
        </w:rPr>
        <w:t xml:space="preserve"> </w:t>
      </w:r>
      <w:r w:rsidR="0076518F" w:rsidRPr="00A67563">
        <w:rPr>
          <w:b/>
          <w:color w:themeColor="text1" w:val="000000"/>
          <w:kern w:val="0"/>
          <w:sz w:val="24"/>
        </w:rPr>
        <w:t>报告期末按债券信用等级分类的债券投资组合</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本基金本报告期末未持有债券。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6</w:t>
      </w:r>
      <w:r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w:t>
      </w:r>
      <w:r w:rsidR="00B26CF4">
        <w:rPr>
          <w:rFonts w:hint="eastAsia"/>
          <w:b/>
          <w:color w:themeColor="text1" w:val="000000"/>
          <w:kern w:val="0"/>
          <w:sz w:val="24"/>
        </w:rPr>
        <w:t>序</w:t>
      </w:r>
      <w:r w:rsidR="0076518F" w:rsidRPr="00A67563">
        <w:rPr>
          <w:b/>
          <w:color w:themeColor="text1" w:val="000000"/>
          <w:kern w:val="0"/>
          <w:sz w:val="24"/>
        </w:rPr>
        <w:t>的前五名债券投资明细</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本基金本报告期末未持有债券。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r w:rsidR="002A0FA2" w:rsidRPr="00A67563">
        <w:rPr>
          <w:b/>
          <w:color w:themeColor="text1" w:val="000000"/>
          <w:kern w:val="0"/>
          <w:sz w:val="24"/>
        </w:rPr>
        <w:t>7</w:t>
      </w:r>
      <w:r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w:t>
      </w:r>
      <w:r w:rsidR="00B26CF4">
        <w:rPr>
          <w:rFonts w:hint="eastAsia"/>
          <w:b/>
          <w:color w:themeColor="text1" w:val="000000"/>
          <w:kern w:val="0"/>
          <w:sz w:val="24"/>
        </w:rPr>
        <w:t>序</w:t>
      </w:r>
      <w:r w:rsidR="0076518F" w:rsidRPr="00A67563">
        <w:rPr>
          <w:b/>
          <w:color w:themeColor="text1" w:val="000000"/>
          <w:kern w:val="0"/>
          <w:sz w:val="24"/>
        </w:rPr>
        <w:t>的前十名资产支持证券投资明细</w:t>
      </w:r>
    </w:p>
    <w:p w:rsidP="002D6955" w:rsidR="00521EDE" w:rsidRDefault="00521EDE"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本基金本报告期末未持有资产支持证券。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w:t>
      </w:r>
      <w:proofErr w:type="gramStart"/>
      <w:r w:rsidRPr="00A67563">
        <w:rPr>
          <w:b/>
          <w:color w:themeColor="text1" w:val="000000"/>
          <w:kern w:val="0"/>
          <w:sz w:val="24"/>
        </w:rPr>
        <w:t>.</w:t>
      </w:r>
      <w:r w:rsidR="002A0FA2" w:rsidRPr="00A67563">
        <w:rPr>
          <w:b/>
          <w:color w:themeColor="text1" w:val="000000"/>
          <w:kern w:val="0"/>
          <w:sz w:val="24"/>
        </w:rPr>
        <w:t/>
      </w:r>
      <w:proofErr w:type="gramEnd"/>
      <w:r w:rsidR="002A0FA2" w:rsidRPr="00A67563">
        <w:rPr>
          <w:b/>
          <w:color w:themeColor="text1" w:val="000000"/>
          <w:kern w:val="0"/>
          <w:sz w:val="24"/>
        </w:rPr>
        <w:t/>
      </w:r>
      <w:r w:rsidRPr="00A67563">
        <w:rPr>
          <w:b/>
          <w:color w:themeColor="text1" w:val="000000"/>
          <w:kern w:val="0"/>
          <w:sz w:val="24"/>
        </w:rPr>
        <w:t>8</w:t>
      </w:r>
      <w:r w:rsidR="0076518F" w:rsidRPr="00A67563">
        <w:rPr>
          <w:b/>
          <w:color w:themeColor="text1" w:val="000000"/>
          <w:kern w:val="0"/>
          <w:sz w:val="24"/>
        </w:rPr>
        <w:t xml:space="preserve"> </w:t>
      </w:r>
      <w:r w:rsidR="0076518F" w:rsidRPr="00A67563">
        <w:rPr>
          <w:b/>
          <w:color w:themeColor="text1" w:val="000000"/>
          <w:kern w:val="0"/>
          <w:sz w:val="24"/>
        </w:rPr>
        <w:t>报告期末按公允价值占基金资产净值比例大小排</w:t>
      </w:r>
      <w:r w:rsidR="00B26CF4">
        <w:rPr>
          <w:rFonts w:hint="eastAsia"/>
          <w:b/>
          <w:color w:themeColor="text1" w:val="000000"/>
          <w:kern w:val="0"/>
          <w:sz w:val="24"/>
        </w:rPr>
        <w:t>序</w:t>
      </w:r>
      <w:r w:rsidR="0076518F" w:rsidRPr="00A67563">
        <w:rPr>
          <w:b/>
          <w:color w:themeColor="text1" w:val="000000"/>
          <w:kern w:val="0"/>
          <w:sz w:val="24"/>
        </w:rPr>
        <w:t>的前五名金融衍生品投资明细</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本基金本报告期末未持有金融衍生品。</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00B22A61" w:rsidRPr="00A67563">
        <w:rPr>
          <w:b/>
          <w:color w:themeColor="text1" w:val="000000"/>
          <w:kern w:val="0"/>
          <w:sz w:val="24"/>
        </w:rPr>
        <w:t>5.</w:t>
      </w:r>
      <w:r w:rsidRPr="00A67563">
        <w:rPr>
          <w:b/>
          <w:color w:themeColor="text1" w:val="000000"/>
          <w:kern w:val="0"/>
          <w:sz w:val="24"/>
        </w:rPr>
        <w:t/>
      </w:r>
      <w:r w:rsidR="00B22A61" w:rsidRPr="00A67563">
        <w:rPr>
          <w:b/>
          <w:color w:themeColor="text1" w:val="000000"/>
          <w:kern w:val="0"/>
          <w:sz w:val="24"/>
        </w:rPr>
        <w:t>9</w:t>
      </w:r>
      <w:r w:rsidR="0076518F" w:rsidRPr="00A67563">
        <w:rPr>
          <w:b/>
          <w:color w:themeColor="text1" w:val="000000"/>
          <w:kern w:val="0"/>
          <w:sz w:val="24"/>
        </w:rPr>
        <w:t>报告期末按公允价值占基金资产净值比例大小排序的前十名基金投资明细</w:t>
      </w:r>
    </w:p>
    <w:p w:rsidP="006C750F" w:rsidR="0076518F" w:rsidRDefault="00521EDE" w:rsidRPr="00A67563">
      <w:pPr>
        <w:autoSpaceDE w:val="0"/>
        <w:autoSpaceDN w:val="0"/>
        <w:adjustRightInd w:val="0"/>
        <w:spacing w:line="360" w:lineRule="auto"/>
        <w:ind w:firstLine="480" w:firstLineChars="200"/>
        <w:jc w:val="left"/>
        <w:rPr>
          <w:color w:themeColor="text1" w:val="000000"/>
          <w:kern w:val="0"/>
          <w:sz w:val="24"/>
        </w:rPr>
      </w:pPr>
      <w:r w:rsidRPr="00A67563">
        <w:rPr>
          <w:color w:themeColor="text1" w:val="000000"/>
          <w:sz w:val="24"/>
        </w:rPr>
        <w:lastRenderedPageBreak/>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本基金本报告期末未持有基金。</w:t>
      </w:r>
    </w:p>
    <w:p w:rsidP="0049659A" w:rsidR="0076518F" w:rsidRDefault="00B22A61"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00B55EA7" w:rsidRPr="00A67563">
        <w:rPr>
          <w:b/>
          <w:color w:themeColor="text1" w:val="000000"/>
          <w:kern w:val="0"/>
          <w:sz w:val="24"/>
        </w:rPr>
        <w:t>5</w:t>
      </w:r>
      <w:r w:rsidR="0076518F" w:rsidRPr="00A67563">
        <w:rPr>
          <w:b/>
          <w:color w:themeColor="text1" w:val="000000"/>
          <w:kern w:val="0"/>
          <w:sz w:val="24"/>
        </w:rPr>
        <w:t>.</w:t>
      </w:r>
      <w:r w:rsidRPr="00A67563">
        <w:rPr>
          <w:b/>
          <w:color w:themeColor="text1" w:val="000000"/>
          <w:kern w:val="0"/>
          <w:sz w:val="24"/>
        </w:rPr>
        <w:t/>
      </w:r>
      <w:r w:rsidR="00B55EA7" w:rsidRPr="00A67563">
        <w:rPr>
          <w:b/>
          <w:color w:themeColor="text1" w:val="000000"/>
          <w:kern w:val="0"/>
          <w:sz w:val="24"/>
        </w:rPr>
        <w:t>10</w:t>
      </w:r>
      <w:r w:rsidR="0076518F" w:rsidRPr="00A67563">
        <w:rPr>
          <w:b/>
          <w:color w:themeColor="text1" w:val="000000"/>
          <w:kern w:val="0"/>
          <w:sz w:val="24"/>
        </w:rPr>
        <w:t xml:space="preserve"> </w:t>
      </w:r>
      <w:r w:rsidR="0076518F" w:rsidRPr="00A67563">
        <w:rPr>
          <w:b/>
          <w:color w:themeColor="text1" w:val="000000"/>
          <w:kern w:val="0"/>
          <w:sz w:val="24"/>
        </w:rPr>
        <w:t>投资组合报告附注</w:t>
      </w:r>
    </w:p>
    <w:p w:rsidP="000E3F11" w:rsidR="00B55EA7" w:rsidRDefault="00B55EA7" w:rsidRPr="00A67563">
      <w:pPr>
        <w:widowControl/>
        <w:spacing w:line="360" w:lineRule="auto"/>
        <w:ind w:hanging="120" w:hangingChars="50" w:left="120"/>
        <w:rPr>
          <w:color w:themeColor="text1" w:val="000000"/>
          <w:sz w:val="24"/>
        </w:rPr>
      </w:pPr>
      <w:r w:rsidRPr="00A67563">
        <w:rPr>
          <w:color w:themeColor="text1" w:val="000000"/>
          <w:sz w:val="24"/>
        </w:rPr>
        <w:t>5.10.1</w:t>
      </w:r>
      <w:r w:rsidR="008212BF">
        <w:rPr>
          <w:rFonts w:hint="eastAsia"/>
          <w:color w:themeColor="text1" w:val="000000"/>
          <w:sz w:val="24"/>
        </w:rPr>
        <w:t xml:space="preserve"> </w:t>
      </w:r>
      <w:r w:rsidRPr="00A67563">
        <w:rPr>
          <w:color w:themeColor="text1" w:val="000000"/>
          <w:sz w:val="24"/>
        </w:rPr>
        <w:t>2020年2月19日，美国证券交易委员会（SEC）针对帝亚吉欧公司北美业务财务业绩的“误导性描述”，对其处以500万美元的罚款。</w:t>
      </w:r>
    </w:p>
    <w:p>
      <w:pPr>
        <w:widowControl/>
        <w:spacing w:line="360" w:lineRule="auto"/>
        <w:ind w:hanging="120" w:hangingChars="50" w:left="120"/>
        <w:rPr>
          <w:color w:themeColor="text1" w:val="000000"/>
          <w:sz w:val="24"/>
        </w:rPr>
      </w:pPr>
      <w:r>
        <w:rPr>
          <w:color w:themeColor="text1" w:val="000000"/>
          <w:sz w:val="24"/>
        </w:rPr>
        <w:t>本基金投资帝亚吉欧的投资决策程序符合公司投资制度的规定。</w:t>
      </w:r>
    </w:p>
    <w:p>
      <w:pPr>
        <w:widowControl/>
        <w:spacing w:line="360" w:lineRule="auto"/>
        <w:ind w:hanging="120" w:hangingChars="50" w:left="120"/>
        <w:rPr>
          <w:color w:themeColor="text1" w:val="000000"/>
          <w:sz w:val="24"/>
        </w:rPr>
      </w:pPr>
      <w:r>
        <w:rPr>
          <w:color w:themeColor="text1" w:val="000000"/>
          <w:sz w:val="24"/>
        </w:rPr>
        <w:t>除帝亚吉欧外，本基金投资的前十名证券的发行主体本期没有出现被监管部门立案调查，或在报告编制日前一年内受到公开谴责、处罚的情形。</w:t>
      </w:r>
    </w:p>
    <w:p w:rsidP="00B55EA7" w:rsidR="00B55EA7" w:rsidRDefault="00B55EA7" w:rsidRPr="00A67563">
      <w:pPr>
        <w:widowControl/>
        <w:spacing w:line="360" w:lineRule="auto"/>
        <w:rPr>
          <w:color w:themeColor="text1" w:val="000000"/>
          <w:sz w:val="24"/>
        </w:rPr>
      </w:pPr>
      <w:r w:rsidRPr="00A67563">
        <w:rPr>
          <w:color w:themeColor="text1" w:val="000000"/>
          <w:sz w:val="24"/>
        </w:rPr>
        <w:t/>
      </w:r>
      <w:proofErr w:type="gramStart"/>
      <w:r w:rsidRPr="00A67563">
        <w:rPr>
          <w:color w:themeColor="text1" w:val="000000"/>
          <w:sz w:val="24"/>
        </w:rPr>
        <w:t/>
      </w:r>
      <w:proofErr w:type="gramEnd"/>
      <w:r w:rsidRPr="00A67563">
        <w:rPr>
          <w:color w:themeColor="text1" w:val="000000"/>
          <w:sz w:val="24"/>
        </w:rPr>
        <w:t>5.10.2</w:t>
      </w:r>
      <w:r w:rsidR="008212BF">
        <w:rPr>
          <w:rFonts w:hint="eastAsia"/>
          <w:color w:themeColor="text1" w:val="000000"/>
          <w:sz w:val="24"/>
        </w:rPr>
        <w:t xml:space="preserve"> </w:t>
      </w:r>
      <w:r w:rsidRPr="00A67563">
        <w:rPr>
          <w:color w:themeColor="text1" w:val="000000"/>
          <w:sz w:val="24"/>
        </w:rPr>
        <w:t>本基金投资的前十名股票没有超出基金合同规定的备选股票库。</w:t>
      </w:r>
    </w:p>
    <w:p w:rsidP="0049659A"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5.1</w:t>
      </w:r>
      <w:r w:rsidR="002A0FA2" w:rsidRPr="00A67563">
        <w:rPr>
          <w:b/>
          <w:color w:themeColor="text1" w:val="000000"/>
          <w:kern w:val="0"/>
          <w:sz w:val="24"/>
        </w:rPr>
        <w:t>0</w:t>
      </w:r>
      <w:r w:rsidR="0076518F" w:rsidRPr="00A67563">
        <w:rPr>
          <w:b/>
          <w:color w:themeColor="text1" w:val="000000"/>
          <w:kern w:val="0"/>
          <w:sz w:val="24"/>
        </w:rPr>
        <w:t>.3</w:t>
      </w:r>
      <w:r w:rsidR="0076518F" w:rsidRPr="00A67563">
        <w:rPr>
          <w:b/>
          <w:color w:themeColor="text1" w:val="000000"/>
          <w:kern w:val="0"/>
          <w:sz w:val="24"/>
        </w:rPr>
        <w:t>其他</w:t>
      </w:r>
      <w:bookmarkStart w:id="2" w:name="_GoBack"/>
      <w:bookmarkEnd w:id="2"/>
      <w:r w:rsidR="0076518F" w:rsidRPr="00A67563">
        <w:rPr>
          <w:b/>
          <w:color w:themeColor="text1" w:val="000000"/>
          <w:kern w:val="0"/>
          <w:sz w:val="24"/>
        </w:rPr>
        <w:t>资产构成</w:t>
      </w:r>
    </w:p>
    <w:tbl>
      <w:tblPr>
        <w:tblStyle w:val="af7"/>
        <w:tblW w:type="auto" w:w="0"/>
        <w:tblInd w:type="dxa" w:w="15"/>
        <w:tblLayout w:type="fixed"/>
        <w:tblLook w:firstColumn="1" w:firstRow="1" w:lastColumn="0" w:lastRow="0" w:noHBand="0" w:noVBand="1" w:val="04A0"/>
      </w:tblPr>
      <w:tblGrid>
        <w:gridCol w:w="802"/>
        <w:gridCol w:w="2903"/>
        <w:gridCol w:w="4808"/>
      </w:tblGrid>
      <w:tr w:rsidR="008277FF" w:rsidRPr="00A67563" w:rsidTr="004C05F3">
        <w:tc>
          <w:tcPr>
            <w:tcW w:type="dxa" w:w="802"/>
            <w:vAlign w:val="center"/>
          </w:tcPr>
          <w:p w:rsidP="00797DD2" w:rsidR="002C2678" w:rsidRDefault="002C2678"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序号</w:t>
            </w:r>
          </w:p>
        </w:tc>
        <w:tc>
          <w:tcPr>
            <w:tcW w:type="dxa" w:w="2903"/>
            <w:vAlign w:val="center"/>
          </w:tcPr>
          <w:p w:rsidP="00797DD2" w:rsidR="002C2678" w:rsidRDefault="002C2678"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名称</w:t>
            </w:r>
          </w:p>
        </w:tc>
        <w:tc>
          <w:tcPr>
            <w:tcW w:type="dxa" w:w="4808"/>
            <w:vAlign w:val="center"/>
          </w:tcPr>
          <w:p w:rsidP="00797DD2" w:rsidR="002C2678" w:rsidRDefault="002C2678"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金额</w:t>
            </w:r>
            <w:r w:rsidRPr="00A67563">
              <w:rPr>
                <w:color w:themeColor="text1" w:val="000000"/>
                <w:kern w:val="0"/>
                <w:sz w:val="24"/>
              </w:rPr>
              <w:t>(</w:t>
            </w:r>
            <w:r w:rsidR="00C42431" w:rsidRPr="00A67563">
              <w:rPr>
                <w:color w:themeColor="text1" w:val="000000"/>
                <w:kern w:val="0"/>
                <w:sz w:val="24"/>
              </w:rPr>
              <w:t>人民币</w:t>
            </w:r>
            <w:r w:rsidRPr="00A67563">
              <w:rPr>
                <w:color w:themeColor="text1" w:val="000000"/>
                <w:kern w:val="0"/>
                <w:sz w:val="24"/>
              </w:rPr>
              <w:t>元</w:t>
            </w:r>
            <w:r w:rsidRPr="00A67563">
              <w:rPr>
                <w:color w:themeColor="text1" w:val="000000"/>
                <w:kern w:val="0"/>
                <w:sz w:val="24"/>
              </w:rPr>
              <w:t>)</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kern w:val="0"/>
                <w:sz w:val="24"/>
              </w:rPr>
            </w:pPr>
            <w:r w:rsidRPr="00A67563">
              <w:rPr>
                <w:color w:themeColor="text1" w:val="000000"/>
                <w:sz w:val="24"/>
              </w:rPr>
              <w:t>1</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存出保证金</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2</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应收证券清算款</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3</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应收股利</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24,337.93</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4</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应收利息</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125.61</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5</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应收申购款</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730,067.55</w:t>
            </w:r>
          </w:p>
        </w:tc>
      </w:tr>
      <w:tr w:rsidR="008277FF" w:rsidRPr="00A67563" w:rsidTr="009E3391">
        <w:tc>
          <w:tcPr>
            <w:tcW w:type="dxa" w:w="802"/>
            <w:vAlign w:val="center"/>
          </w:tcPr>
          <w:p w:rsidP="00797DD2" w:rsidR="002C2678" w:rsidRDefault="002C2678"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6</w:t>
            </w:r>
          </w:p>
        </w:tc>
        <w:tc>
          <w:tcPr>
            <w:tcW w:type="dxa" w:w="2903"/>
            <w:vAlign w:val="center"/>
          </w:tcPr>
          <w:p w:rsidP="009E3391" w:rsidR="002C2678" w:rsidRDefault="002C2678"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其他应收款</w:t>
            </w:r>
          </w:p>
        </w:tc>
        <w:tc>
          <w:tcPr>
            <w:tcW w:type="dxa" w:w="4808"/>
            <w:vAlign w:val="center"/>
          </w:tcPr>
          <w:p w:rsidP="00797DD2" w:rsidR="002C2678" w:rsidRDefault="002C2678"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F951CF" w:rsidRDefault="00F951CF"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7</w:t>
            </w:r>
          </w:p>
        </w:tc>
        <w:tc>
          <w:tcPr>
            <w:tcW w:type="dxa" w:w="2903"/>
            <w:vAlign w:val="center"/>
          </w:tcPr>
          <w:p w:rsidP="009E3391" w:rsidR="00F951CF" w:rsidRDefault="00F951CF" w:rsidRPr="00A67563">
            <w:pPr>
              <w:autoSpaceDE w:val="0"/>
              <w:autoSpaceDN w:val="0"/>
              <w:adjustRightInd w:val="0"/>
              <w:spacing w:before="29" w:line="360" w:lineRule="auto"/>
              <w:ind w:left="15"/>
              <w:rPr>
                <w:color w:themeColor="text1" w:val="000000"/>
                <w:sz w:val="24"/>
              </w:rPr>
            </w:pPr>
            <w:r w:rsidRPr="00A67563">
              <w:rPr>
                <w:color w:themeColor="text1" w:val="000000"/>
                <w:sz w:val="24"/>
              </w:rPr>
              <w:t>待摊费用</w:t>
            </w:r>
          </w:p>
        </w:tc>
        <w:tc>
          <w:tcPr>
            <w:tcW w:type="dxa" w:w="4808"/>
            <w:vAlign w:val="center"/>
          </w:tcPr>
          <w:p w:rsidP="00797DD2" w:rsidR="00F951CF" w:rsidRDefault="00F951CF" w:rsidRPr="00A67563">
            <w:pPr>
              <w:autoSpaceDE w:val="0"/>
              <w:autoSpaceDN w:val="0"/>
              <w:adjustRightInd w:val="0"/>
              <w:spacing w:before="29" w:line="360" w:lineRule="auto"/>
              <w:ind w:left="15"/>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r>
      <w:tr w:rsidR="008277FF" w:rsidRPr="00A67563" w:rsidTr="009E3391">
        <w:tc>
          <w:tcPr>
            <w:tcW w:type="dxa" w:w="802"/>
            <w:vAlign w:val="center"/>
          </w:tcPr>
          <w:p w:rsidP="00797DD2" w:rsidR="00F951CF" w:rsidRDefault="00F951CF"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8</w:t>
            </w:r>
          </w:p>
        </w:tc>
        <w:tc>
          <w:tcPr>
            <w:tcW w:type="dxa" w:w="2903"/>
            <w:vAlign w:val="center"/>
          </w:tcPr>
          <w:p w:rsidP="009E3391" w:rsidR="00F951CF" w:rsidRDefault="00F951CF"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其他</w:t>
            </w:r>
          </w:p>
        </w:tc>
        <w:tc>
          <w:tcPr>
            <w:tcW w:type="dxa" w:w="4808"/>
            <w:vAlign w:val="center"/>
          </w:tcPr>
          <w:p w:rsidP="00797DD2" w:rsidR="00F951CF" w:rsidRDefault="00F951C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w:t>
            </w:r>
          </w:p>
        </w:tc>
      </w:tr>
      <w:tr w:rsidR="008277FF" w:rsidRPr="00A67563" w:rsidTr="009E3391">
        <w:tc>
          <w:tcPr>
            <w:tcW w:type="dxa" w:w="802"/>
            <w:vAlign w:val="center"/>
          </w:tcPr>
          <w:p w:rsidP="00797DD2" w:rsidR="00F951CF" w:rsidRDefault="00F951CF" w:rsidRPr="00A67563">
            <w:pPr>
              <w:autoSpaceDE w:val="0"/>
              <w:autoSpaceDN w:val="0"/>
              <w:adjustRightInd w:val="0"/>
              <w:spacing w:before="29" w:line="360" w:lineRule="auto"/>
              <w:ind w:left="15"/>
              <w:jc w:val="center"/>
              <w:rPr>
                <w:color w:themeColor="text1" w:val="000000"/>
                <w:sz w:val="24"/>
              </w:rPr>
            </w:pPr>
            <w:r w:rsidRPr="00A67563">
              <w:rPr>
                <w:color w:themeColor="text1" w:val="000000"/>
                <w:sz w:val="24"/>
              </w:rPr>
              <w:t>9</w:t>
            </w:r>
          </w:p>
        </w:tc>
        <w:tc>
          <w:tcPr>
            <w:tcW w:type="dxa" w:w="2903"/>
            <w:vAlign w:val="center"/>
          </w:tcPr>
          <w:p w:rsidP="009E3391" w:rsidR="00F951CF" w:rsidRDefault="00F951CF" w:rsidRPr="00A67563">
            <w:pPr>
              <w:autoSpaceDE w:val="0"/>
              <w:autoSpaceDN w:val="0"/>
              <w:adjustRightInd w:val="0"/>
              <w:spacing w:before="29" w:line="360" w:lineRule="auto"/>
              <w:ind w:left="15"/>
              <w:rPr>
                <w:color w:themeColor="text1" w:val="000000"/>
                <w:kern w:val="0"/>
                <w:sz w:val="24"/>
              </w:rPr>
            </w:pPr>
            <w:r w:rsidRPr="00A67563">
              <w:rPr>
                <w:color w:themeColor="text1" w:val="000000"/>
                <w:kern w:val="0"/>
                <w:sz w:val="24"/>
              </w:rPr>
              <w:t>合计</w:t>
            </w:r>
          </w:p>
        </w:tc>
        <w:tc>
          <w:tcPr>
            <w:tcW w:type="dxa" w:w="4808"/>
            <w:vAlign w:val="center"/>
          </w:tcPr>
          <w:p w:rsidP="00797DD2" w:rsidR="00F951CF" w:rsidRDefault="00F951C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754,531.09</w:t>
            </w:r>
          </w:p>
        </w:tc>
      </w:tr>
    </w:tbl>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5.1</w:t>
      </w:r>
      <w:r w:rsidR="002A0FA2" w:rsidRPr="00A67563">
        <w:rPr>
          <w:b/>
          <w:color w:themeColor="text1" w:val="000000"/>
          <w:kern w:val="0"/>
          <w:sz w:val="24"/>
        </w:rPr>
        <w:t>0</w:t>
      </w:r>
      <w:r w:rsidR="0076518F" w:rsidRPr="00A67563">
        <w:rPr>
          <w:b/>
          <w:color w:themeColor="text1" w:val="000000"/>
          <w:kern w:val="0"/>
          <w:sz w:val="24"/>
        </w:rPr>
        <w:t>.4</w:t>
      </w:r>
      <w:r w:rsidR="0076518F" w:rsidRPr="00A67563">
        <w:rPr>
          <w:b/>
          <w:color w:themeColor="text1" w:val="000000"/>
          <w:kern w:val="0"/>
          <w:sz w:val="24"/>
        </w:rPr>
        <w:t>报告期末持有的处于转股期的可转换债券明细</w:t>
      </w:r>
    </w:p>
    <w:p w:rsidP="006C750F" w:rsidR="009E3391" w:rsidRDefault="000A55B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本基金本报告期末未持有处于转股期的可转换债券。</w:t>
      </w:r>
    </w:p>
    <w:p w:rsidP="00EC4BA3" w:rsidR="0076518F" w:rsidRDefault="008C71EB"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5.1</w:t>
      </w:r>
      <w:r w:rsidR="002A0FA2" w:rsidRPr="00A67563">
        <w:rPr>
          <w:b/>
          <w:color w:themeColor="text1" w:val="000000"/>
          <w:kern w:val="0"/>
          <w:sz w:val="24"/>
        </w:rPr>
        <w:t>0</w:t>
      </w:r>
      <w:r w:rsidR="0076518F" w:rsidRPr="00A67563">
        <w:rPr>
          <w:b/>
          <w:color w:themeColor="text1" w:val="000000"/>
          <w:kern w:val="0"/>
          <w:sz w:val="24"/>
        </w:rPr>
        <w:t xml:space="preserve">.5 </w:t>
      </w:r>
      <w:r w:rsidR="0076518F" w:rsidRPr="00A67563">
        <w:rPr>
          <w:b/>
          <w:color w:themeColor="text1" w:val="000000"/>
          <w:kern w:val="0"/>
          <w:sz w:val="24"/>
        </w:rPr>
        <w:t>报告</w:t>
      </w:r>
      <w:proofErr w:type="gramStart"/>
      <w:r w:rsidR="0076518F" w:rsidRPr="00A67563">
        <w:rPr>
          <w:b/>
          <w:color w:themeColor="text1" w:val="000000"/>
          <w:kern w:val="0"/>
          <w:sz w:val="24"/>
        </w:rPr>
        <w:t>期末前</w:t>
      </w:r>
      <w:proofErr w:type="gramEnd"/>
      <w:r w:rsidR="0076518F" w:rsidRPr="00A67563">
        <w:rPr>
          <w:b/>
          <w:color w:themeColor="text1" w:val="000000"/>
          <w:kern w:val="0"/>
          <w:sz w:val="24"/>
        </w:rPr>
        <w:t>十名股票中存在流通受限情况的说明</w:t>
      </w:r>
    </w:p>
    <w:p w:rsidP="002D6955" w:rsidR="000A55BD" w:rsidRDefault="000A55B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本基金本报告期末前十名股票中不存在流通受限情况。</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§6  </w:t>
      </w:r>
      <w:r w:rsidRPr="00A67563">
        <w:rPr>
          <w:color w:themeColor="text1" w:val="000000"/>
          <w:kern w:val="0"/>
          <w:sz w:val="24"/>
          <w:szCs w:val="24"/>
        </w:rPr>
        <w:t>开放式基金份额变动</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单位：份</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225051" w:rsidRPr="00A67563" w:rsidTr="006C750F">
        <w:trPr>
          <w:jc w:val="center"/>
        </w:trPr>
        <w:tc>
          <w:tcPr>
            <w:tcW w:type="dxa" w:w="3900"/>
            <w:vAlign w:val="center"/>
          </w:tcPr>
          <w:p w:rsidP="00845292" w:rsidR="00225051" w:rsidRDefault="00225051"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项目</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易方达标普消费品指数增强（QDII）A</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t/>
            </w:r>
            <w:r w:rsidRPr="00A67563">
              <w:rPr>
                <w:color w:themeColor="text1" w:val="000000"/>
                <w:sz w:val="24"/>
              </w:rPr>
              <w:t>易方达标普消费品指数增强（QDII）C</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lastRenderedPageBreak/>
              <w:t>报告期期</w:t>
            </w:r>
            <w:proofErr w:type="gramStart"/>
            <w:r w:rsidRPr="00A67563">
              <w:rPr>
                <w:color w:themeColor="text1" w:val="000000"/>
                <w:kern w:val="0"/>
                <w:sz w:val="24"/>
              </w:rPr>
              <w:t>初基金</w:t>
            </w:r>
            <w:proofErr w:type="gramEnd"/>
            <w:r w:rsidRPr="00A67563">
              <w:rPr>
                <w:color w:themeColor="text1" w:val="000000"/>
                <w:kern w:val="0"/>
                <w:sz w:val="24"/>
              </w:rPr>
              <w:t>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24,473,189.90</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3,670,998.16</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基金总申购份额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5,456,613.43</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5,278,791.12</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减：</w:t>
            </w: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基金总赎回份额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7,801,103.32</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3,501,987.09</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基金拆分变动份额</w:t>
            </w:r>
            <w:r w:rsidR="00A40508">
              <w:rPr>
                <w:rFonts w:hint="eastAsia"/>
                <w:color w:val="000000"/>
                <w:kern w:val="0"/>
                <w:sz w:val="24"/>
              </w:rPr>
              <w:t>（份额减少以“</w:t>
            </w:r>
            <w:r w:rsidR="00A40508">
              <w:rPr>
                <w:color w:val="000000"/>
                <w:kern w:val="0"/>
                <w:sz w:val="24"/>
              </w:rPr>
              <w:t>-</w:t>
            </w:r>
            <w:r w:rsidR="00A40508">
              <w:rPr>
                <w:rFonts w:hint="eastAsia"/>
                <w:color w:val="000000"/>
                <w:kern w:val="0"/>
                <w:sz w:val="24"/>
              </w:rPr>
              <w:t>”填列）</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w:t>
            </w:r>
          </w:p>
        </w:tc>
      </w:tr>
      <w:tr w:rsidR="00550511" w:rsidRPr="00A67563" w:rsidTr="006C750F">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报告期期末基金份额总额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22,128,700.01</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5,447,802.19</w:t>
            </w:r>
          </w:p>
        </w:tc>
      </w:tr>
    </w:tbl>
    <w:p w:rsidP="002D6955" w:rsidR="00322A5E" w:rsidRDefault="00322A5E" w:rsidRPr="00A67563">
      <w:pPr>
        <w:autoSpaceDE w:val="0"/>
        <w:autoSpaceDN w:val="0"/>
        <w:adjustRightInd w:val="0"/>
        <w:spacing w:line="360" w:lineRule="auto"/>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注：易方达标普消费品指数增强（QDII）A份额变动含A类人民币份额及A类美元现汇份额；易方达标普消费品指数增强（QDII）C份额变动含C类人民币份额。</w:t>
      </w:r>
    </w:p>
    <w:p w:rsidP="00775284" w:rsidR="00BB5F3D" w:rsidRDefault="00BB5F3D" w:rsidRPr="00A67563">
      <w:pPr>
        <w:pStyle w:val="1"/>
        <w:tabs>
          <w:tab w:pos="4156" w:val="center"/>
          <w:tab w:pos="8312" w:val="right"/>
        </w:tabs>
        <w:spacing w:after="312" w:afterLines="100" w:before="312" w:beforeLines="100" w:line="360" w:lineRule="auto"/>
        <w:jc w:val="center"/>
        <w:rPr>
          <w:color w:themeColor="text1" w:val="000000"/>
          <w:sz w:val="24"/>
        </w:rPr>
      </w:pPr>
      <w:r w:rsidRPr="00A67563">
        <w:rPr>
          <w:color w:themeColor="text1" w:val="000000"/>
          <w:kern w:val="0"/>
          <w:sz w:val="24"/>
          <w:szCs w:val="24"/>
        </w:rPr>
        <w:t/>
      </w:r>
      <w:proofErr w:type="spellStart"/>
      <w:r w:rsidRPr="00A67563">
        <w:rPr>
          <w:color w:themeColor="text1" w:val="000000"/>
          <w:kern w:val="0"/>
          <w:sz w:val="24"/>
          <w:szCs w:val="24"/>
        </w:rPr>
        <w:t/>
      </w:r>
      <w:proofErr w:type="spellEnd"/>
      <w:r w:rsidRPr="00A67563">
        <w:rPr>
          <w:color w:themeColor="text1" w:val="000000"/>
          <w:kern w:val="0"/>
          <w:sz w:val="24"/>
          <w:szCs w:val="24"/>
        </w:rPr>
        <w:t>§</w:t>
      </w:r>
      <w:r w:rsidR="007D62A3" w:rsidRPr="00A67563">
        <w:rPr>
          <w:color w:themeColor="text1" w:val="000000"/>
          <w:kern w:val="0"/>
          <w:sz w:val="24"/>
          <w:szCs w:val="24"/>
        </w:rPr>
        <w:t/>
      </w:r>
      <w:r w:rsidRPr="00A67563">
        <w:rPr>
          <w:color w:themeColor="text1" w:val="000000"/>
          <w:kern w:val="0"/>
          <w:sz w:val="24"/>
          <w:szCs w:val="24"/>
        </w:rPr>
        <w:t xml:space="preserve">7  </w:t>
      </w:r>
      <w:r w:rsidRPr="00A67563">
        <w:rPr>
          <w:color w:themeColor="text1" w:val="000000"/>
          <w:sz w:val="24"/>
          <w:szCs w:val="24"/>
        </w:rPr>
        <w:t>基金管理人运用固有资金投资本基金</w:t>
      </w:r>
      <w:r w:rsidR="00775284">
        <w:rPr>
          <w:rFonts w:hint="eastAsia"/>
          <w:color w:val="000000"/>
          <w:kern w:val="0"/>
          <w:sz w:val="24"/>
        </w:rPr>
        <w:t>交易明细</w:t>
      </w:r>
    </w:p>
    <w:p w:rsidP="00E2281D" w:rsidR="005E64DA" w:rsidRDefault="00BB5F3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本报告期内基金管理人未运用固有资金申购、赎回、买卖本基金份额。</w:t>
      </w:r>
    </w:p>
    <w:p w:rsidP="00775284"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w:t>
      </w:r>
      <w:r w:rsidR="002711AA" w:rsidRPr="00A67563">
        <w:rPr>
          <w:color w:themeColor="text1" w:val="000000"/>
          <w:kern w:val="0"/>
          <w:sz w:val="24"/>
          <w:szCs w:val="24"/>
        </w:rPr>
        <w:t/>
      </w:r>
      <w:r w:rsidR="00376A15" w:rsidRPr="00A67563">
        <w:rPr>
          <w:color w:themeColor="text1" w:val="000000"/>
          <w:kern w:val="0"/>
          <w:sz w:val="24"/>
          <w:szCs w:val="24"/>
        </w:rPr>
        <w:t/>
      </w:r>
      <w:r w:rsidR="00AE7D44" w:rsidRPr="00A67563">
        <w:rPr>
          <w:color w:themeColor="text1" w:val="000000"/>
          <w:kern w:val="0"/>
          <w:sz w:val="24"/>
          <w:szCs w:val="24"/>
        </w:rPr>
        <w:t/>
      </w:r>
      <w:r w:rsidR="00B111B9" w:rsidRPr="00A67563">
        <w:rPr>
          <w:color w:themeColor="text1" w:val="000000"/>
          <w:kern w:val="0"/>
          <w:sz w:val="24"/>
          <w:szCs w:val="24"/>
        </w:rPr>
        <w:t/>
      </w:r>
      <w:r w:rsidR="002711AA" w:rsidRPr="00A67563">
        <w:rPr>
          <w:color w:themeColor="text1" w:val="000000"/>
          <w:kern w:val="0"/>
          <w:sz w:val="24"/>
          <w:szCs w:val="24"/>
        </w:rPr>
        <w:t>8</w:t>
      </w:r>
      <w:r w:rsidR="00BD7FC1" w:rsidRPr="00A67563">
        <w:rPr>
          <w:bCs w:val="0"/>
          <w:color w:themeColor="text1" w:val="000000"/>
          <w:kern w:val="2"/>
          <w:sz w:val="24"/>
          <w:szCs w:val="24"/>
        </w:rPr>
        <w:t xml:space="preserve">  </w:t>
      </w:r>
      <w:r w:rsidRPr="00A67563">
        <w:rPr>
          <w:color w:themeColor="text1" w:val="000000"/>
          <w:kern w:val="0"/>
          <w:sz w:val="24"/>
          <w:szCs w:val="24"/>
        </w:rPr>
        <w:t>备查文件目录</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
      </w:r>
      <w:r w:rsidR="008975BC" w:rsidRPr="00A67563">
        <w:rPr>
          <w:b/>
          <w:bCs/>
          <w:color w:themeColor="text1" w:val="000000"/>
          <w:kern w:val="0"/>
          <w:sz w:val="24"/>
        </w:rPr>
        <w:t/>
      </w:r>
      <w:r w:rsidR="00376A15" w:rsidRPr="00A67563">
        <w:rPr>
          <w:b/>
          <w:bCs/>
          <w:color w:themeColor="text1" w:val="000000"/>
          <w:kern w:val="0"/>
          <w:sz w:val="24"/>
        </w:rPr>
        <w:t>1</w:t>
      </w:r>
      <w:r w:rsidR="008975BC" w:rsidRPr="00A67563">
        <w:rPr>
          <w:b/>
          <w:bCs/>
          <w:color w:themeColor="text1" w:val="000000"/>
          <w:kern w:val="0"/>
          <w:sz w:val="24"/>
        </w:rPr>
        <w:t xml:space="preserve"> </w:t>
      </w:r>
      <w:r w:rsidR="008975BC" w:rsidRPr="00A67563">
        <w:rPr>
          <w:b/>
          <w:bCs/>
          <w:color w:themeColor="text1" w:val="000000"/>
          <w:kern w:val="0"/>
          <w:sz w:val="24"/>
        </w:rPr>
        <w:t>备查文件目录</w:t>
      </w:r>
    </w:p>
    <w:p>
      <w:pPr>
        <w:spacing w:line="360" w:lineRule="auto"/>
        <w:ind w:firstLine="480" w:firstLineChars="200"/>
        <w:rPr>
          <w:color w:themeColor="text1" w:val="000000"/>
          <w:sz w:val="24"/>
        </w:rPr>
      </w:pPr>
      <w:r>
        <w:rPr>
          <w:color w:themeColor="text1" w:val="000000"/>
          <w:sz w:val="24"/>
        </w:rPr>
        <w:t>1.中国证监会核准易方达标普全球高端消费品指数增强型证券投资基金募集的文件；</w:t>
      </w:r>
    </w:p>
    <w:p>
      <w:pPr>
        <w:spacing w:line="360" w:lineRule="auto"/>
        <w:ind w:firstLine="480" w:firstLineChars="200"/>
        <w:rPr>
          <w:color w:themeColor="text1" w:val="000000"/>
          <w:sz w:val="24"/>
        </w:rPr>
      </w:pPr>
      <w:r>
        <w:rPr>
          <w:color w:themeColor="text1" w:val="000000"/>
          <w:sz w:val="24"/>
        </w:rPr>
        <w:t>2.《易方达标普全球高端消费品指数增强型证券投资基金基金合同》；</w:t>
      </w:r>
    </w:p>
    <w:p>
      <w:pPr>
        <w:spacing w:line="360" w:lineRule="auto"/>
        <w:ind w:firstLine="480" w:firstLineChars="200"/>
        <w:rPr>
          <w:color w:themeColor="text1" w:val="000000"/>
          <w:sz w:val="24"/>
        </w:rPr>
      </w:pPr>
      <w:r>
        <w:rPr>
          <w:color w:themeColor="text1" w:val="000000"/>
          <w:sz w:val="24"/>
        </w:rPr>
        <w:t>3.《易方达标普全球高端消费品指数增强型证券投资基金托管协议》；</w:t>
      </w:r>
    </w:p>
    <w:p>
      <w:pPr>
        <w:spacing w:line="360" w:lineRule="auto"/>
        <w:ind w:firstLine="480" w:firstLineChars="200"/>
        <w:rPr>
          <w:color w:themeColor="text1" w:val="000000"/>
          <w:sz w:val="24"/>
        </w:rPr>
      </w:pPr>
      <w:r>
        <w:rPr>
          <w:color w:themeColor="text1" w:val="000000"/>
          <w:sz w:val="24"/>
        </w:rPr>
        <w:t>4.《易方达基金管理有限公司开放式基金业务规则》；</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5.基金管理人业务资格批件和营业执照。</w:t>
      </w:r>
    </w:p>
    <w:p w:rsidP="000C7596" w:rsidR="008A2EC6" w:rsidRDefault="008A2EC6" w:rsidRPr="00A67563">
      <w:pPr>
        <w:spacing w:line="360" w:lineRule="auto"/>
        <w:ind w:firstLine="480" w:firstLineChars="200"/>
        <w:rPr>
          <w:color w:themeColor="text1" w:val="000000"/>
          <w:sz w:val="24"/>
        </w:rPr>
      </w:pP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2</w:t>
      </w:r>
      <w:r w:rsidR="008975BC" w:rsidRPr="00A67563">
        <w:rPr>
          <w:b/>
          <w:bCs/>
          <w:color w:themeColor="text1" w:val="000000"/>
          <w:kern w:val="0"/>
          <w:sz w:val="24"/>
        </w:rPr>
        <w:t xml:space="preserve"> </w:t>
      </w:r>
      <w:r w:rsidR="008975BC" w:rsidRPr="00A67563">
        <w:rPr>
          <w:b/>
          <w:bCs/>
          <w:color w:themeColor="text1" w:val="000000"/>
          <w:kern w:val="0"/>
          <w:sz w:val="24"/>
        </w:rPr>
        <w:t>存放地点</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广州市天河区珠江新城珠江东路30号广州银行大厦40-43楼。</w:t>
      </w:r>
    </w:p>
    <w:p w:rsidP="000C7596" w:rsidR="008A2EC6" w:rsidRDefault="008A2EC6" w:rsidRPr="00A67563">
      <w:pPr>
        <w:spacing w:line="360" w:lineRule="auto"/>
        <w:ind w:firstLine="480" w:firstLineChars="200"/>
        <w:rPr>
          <w:color w:themeColor="text1" w:val="000000"/>
          <w:sz w:val="24"/>
        </w:rPr>
      </w:pP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3</w:t>
      </w:r>
      <w:r w:rsidR="008975BC" w:rsidRPr="00A67563">
        <w:rPr>
          <w:b/>
          <w:bCs/>
          <w:color w:themeColor="text1" w:val="000000"/>
          <w:kern w:val="0"/>
          <w:sz w:val="24"/>
        </w:rPr>
        <w:t xml:space="preserve"> </w:t>
      </w:r>
      <w:r w:rsidR="008975BC" w:rsidRPr="00A67563">
        <w:rPr>
          <w:b/>
          <w:bCs/>
          <w:color w:themeColor="text1" w:val="000000"/>
          <w:kern w:val="0"/>
          <w:sz w:val="24"/>
        </w:rPr>
        <w:t>查阅方式</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投资者可在营业时间免费查阅，也可按工本费购买复印件。</w:t>
      </w:r>
    </w:p>
    <w:p w:rsidP="008B6A4A" w:rsidR="0076518F" w:rsidRDefault="0076518F" w:rsidRPr="00A67563">
      <w:pPr>
        <w:spacing w:line="360" w:lineRule="auto"/>
        <w:ind w:firstLine="480" w:firstLineChars="200"/>
        <w:rPr>
          <w:color w:themeColor="text1" w:val="000000"/>
          <w:sz w:val="24"/>
        </w:rPr>
      </w:pPr>
    </w:p>
    <w:p w:rsidP="008B6A4A" w:rsidR="008A2EC6" w:rsidRDefault="008A2EC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76518F" w:rsidRDefault="0076518F" w:rsidRPr="00A67563">
      <w:pPr>
        <w:spacing w:line="360" w:lineRule="auto"/>
        <w:ind w:firstLine="480" w:firstLineChars="200"/>
        <w:rPr>
          <w:color w:themeColor="text1" w:val="000000"/>
          <w:sz w:val="24"/>
        </w:rPr>
      </w:pPr>
    </w:p>
    <w:p w:rsidP="000C7596" w:rsidR="008975BC" w:rsidRDefault="008975BC"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易方达基金管理有限公司</w:t>
      </w:r>
    </w:p>
    <w:p w:rsidP="000C7596" w:rsidR="0076518F" w:rsidRDefault="00623556"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二〇二〇年七月二十一日</w:t>
      </w:r>
    </w:p>
    <w:sectPr w:rsidR="0076518F" w:rsidRPr="00A67563" w:rsidSect="00DB4450">
      <w:headerReference r:id="rId12" w:type="even"/>
      <w:footerReference r:id="rId13" w:type="even"/>
      <w:footerReference r:id="rId14" w:type="default"/>
      <w:headerReference r:id="rId15" w:type="first"/>
      <w:footerReference r:id="rId16"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8A3" w:rsidRDefault="00F008A3">
      <w:r>
        <w:separator/>
      </w:r>
    </w:p>
  </w:endnote>
  <w:endnote w:type="continuationSeparator" w:id="0">
    <w:p w:rsidR="00F008A3" w:rsidRDefault="00F0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3A661A" w:rsidRDefault="003A661A" w:rsidRPr="001D0DB0">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C273E">
      <w:rPr>
        <w:noProof/>
        <w:kern w:val="0"/>
        <w:szCs w:val="21"/>
      </w:rPr>
      <w:t>1</w:t>
    </w:r>
    <w:r>
      <w:rPr>
        <w:kern w:val="0"/>
        <w:szCs w:val="21"/>
      </w:rPr>
      <w:fldChar w:fldCharType="end"/>
    </w:r>
    <w:proofErr w:type="gramStart"/>
    <w:r>
      <w:rPr>
        <w:rFonts w:hint="eastAsia"/>
        <w:kern w:val="0"/>
        <w:szCs w:val="21"/>
      </w:rPr>
      <w:t>页共</w:t>
    </w:r>
    <w:proofErr w:type="gramEnd"/>
    <w:r>
      <w:rPr>
        <w:kern w:val="0"/>
        <w:szCs w:val="21"/>
      </w:rPr>
      <w:fldChar w:fldCharType="begin"/>
    </w:r>
    <w:r>
      <w:rPr>
        <w:kern w:val="0"/>
        <w:szCs w:val="21"/>
      </w:rPr>
      <w:instrText xml:space="preserve"> NUMPAGES </w:instrText>
    </w:r>
    <w:r>
      <w:rPr>
        <w:kern w:val="0"/>
        <w:szCs w:val="21"/>
      </w:rPr>
      <w:fldChar w:fldCharType="separate"/>
    </w:r>
    <w:r w:rsidR="007C273E">
      <w:rPr>
        <w:noProof/>
        <w:kern w:val="0"/>
        <w:szCs w:val="21"/>
      </w:rPr>
      <w:t>24</w:t>
    </w:r>
    <w:r>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end"/>
    </w:r>
  </w:p>
  <w:p w:rsidR="003A661A" w:rsidRDefault="003A661A">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separate"/>
    </w:r>
    <w:r w:rsidR="007C273E">
      <w:rPr>
        <w:rStyle w:val="a7"/>
        <w:noProof/>
      </w:rPr>
      <w:t>17</w:t>
    </w:r>
    <w:r>
      <w:rPr>
        <w:rStyle w:val="a7"/>
      </w:rPr>
      <w:fldChar w:fldCharType="end"/>
    </w:r>
  </w:p>
  <w:p w:rsidR="003A661A" w:rsidRDefault="003A661A">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F008A3" w:rsidRDefault="00F008A3">
      <w:r>
        <w:separator/>
      </w:r>
    </w:p>
  </w:footnote>
  <w:footnote w:id="0" w:type="continuationSeparator">
    <w:p w:rsidR="00F008A3" w:rsidRDefault="00F008A3">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3A661A" w:rsidRDefault="003A661A" w:rsidRPr="006669C9">
    <w:pPr>
      <w:pStyle w:val="a9"/>
      <w:pBdr>
        <w:bottom w:color="auto" w:space="0" w:sz="6" w:val="single"/>
      </w:pBdr>
      <w:jc w:val="right"/>
    </w:pPr>
    <w:r w:rsidRPr="006669C9">
      <w:t/>
    </w:r>
    <w:proofErr w:type="spellStart"/>
    <w:proofErr w:type="gramStart"/>
    <w:r w:rsidRPr="006669C9">
      <w:t/>
    </w:r>
    <w:proofErr w:type="spellEnd"/>
    <w:proofErr w:type="gramEnd"/>
    <w:r w:rsidRPr="006669C9">
      <w:t>易方达标普全球高端消费品指数增强型证券投资基金</w:t>
    </w:r>
    <w:proofErr w:type="spellStart"/>
    <w:r w:rsidRPr="006669C9">
      <w:t/>
    </w:r>
    <w:proofErr w:type="spellEnd"/>
    <w:r w:rsidRPr="006669C9">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A661A" w:rsidRDefault="003A661A">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doNotDisplayPageBoundaries/>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7FB4"/>
    <w:rsid w:val="0000403B"/>
    <w:rsid w:val="00005911"/>
    <w:rsid w:val="00010A83"/>
    <w:rsid w:val="00010A8E"/>
    <w:rsid w:val="00010AC3"/>
    <w:rsid w:val="00011D4F"/>
    <w:rsid w:val="00011E10"/>
    <w:rsid w:val="00011EB5"/>
    <w:rsid w:val="00017581"/>
    <w:rsid w:val="00017739"/>
    <w:rsid w:val="00020583"/>
    <w:rsid w:val="00021DD4"/>
    <w:rsid w:val="0002303F"/>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610C"/>
    <w:rsid w:val="000876A0"/>
    <w:rsid w:val="00087CF7"/>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76"/>
    <w:rsid w:val="000C7596"/>
    <w:rsid w:val="000D01F4"/>
    <w:rsid w:val="000D121F"/>
    <w:rsid w:val="000D1519"/>
    <w:rsid w:val="000E1F7C"/>
    <w:rsid w:val="000E26E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7F4"/>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325A"/>
    <w:rsid w:val="00184DA0"/>
    <w:rsid w:val="00186199"/>
    <w:rsid w:val="0018734E"/>
    <w:rsid w:val="001928F7"/>
    <w:rsid w:val="00194537"/>
    <w:rsid w:val="00194F40"/>
    <w:rsid w:val="001A21A9"/>
    <w:rsid w:val="001A2E94"/>
    <w:rsid w:val="001A59D8"/>
    <w:rsid w:val="001A5FA6"/>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55D4"/>
    <w:rsid w:val="00265865"/>
    <w:rsid w:val="00267D54"/>
    <w:rsid w:val="002711AA"/>
    <w:rsid w:val="00273F86"/>
    <w:rsid w:val="002758B5"/>
    <w:rsid w:val="00276834"/>
    <w:rsid w:val="002774F0"/>
    <w:rsid w:val="00280566"/>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09D1"/>
    <w:rsid w:val="0031104D"/>
    <w:rsid w:val="00311094"/>
    <w:rsid w:val="0031598C"/>
    <w:rsid w:val="00316339"/>
    <w:rsid w:val="003204E9"/>
    <w:rsid w:val="00321E8C"/>
    <w:rsid w:val="00322A5E"/>
    <w:rsid w:val="00322A86"/>
    <w:rsid w:val="00323AE8"/>
    <w:rsid w:val="00324548"/>
    <w:rsid w:val="003251F4"/>
    <w:rsid w:val="003303E3"/>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61E7E"/>
    <w:rsid w:val="00363E15"/>
    <w:rsid w:val="00370AA4"/>
    <w:rsid w:val="00371FF4"/>
    <w:rsid w:val="003745DA"/>
    <w:rsid w:val="0037468D"/>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BC4"/>
    <w:rsid w:val="003A458A"/>
    <w:rsid w:val="003A661A"/>
    <w:rsid w:val="003B2F13"/>
    <w:rsid w:val="003B405E"/>
    <w:rsid w:val="003B57D3"/>
    <w:rsid w:val="003C1F58"/>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1E6A"/>
    <w:rsid w:val="00443C8F"/>
    <w:rsid w:val="00450AA3"/>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6C8B"/>
    <w:rsid w:val="00497079"/>
    <w:rsid w:val="00497E38"/>
    <w:rsid w:val="004A0BD6"/>
    <w:rsid w:val="004A1493"/>
    <w:rsid w:val="004A1BBA"/>
    <w:rsid w:val="004A3039"/>
    <w:rsid w:val="004A3E3C"/>
    <w:rsid w:val="004B0E6D"/>
    <w:rsid w:val="004B16E8"/>
    <w:rsid w:val="004B254D"/>
    <w:rsid w:val="004B327C"/>
    <w:rsid w:val="004B38A1"/>
    <w:rsid w:val="004B3F56"/>
    <w:rsid w:val="004B6250"/>
    <w:rsid w:val="004B76B1"/>
    <w:rsid w:val="004C0057"/>
    <w:rsid w:val="004C0541"/>
    <w:rsid w:val="004C05F3"/>
    <w:rsid w:val="004C2C46"/>
    <w:rsid w:val="004C30D5"/>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0D90"/>
    <w:rsid w:val="00521EDE"/>
    <w:rsid w:val="00525E59"/>
    <w:rsid w:val="005318CC"/>
    <w:rsid w:val="005346F1"/>
    <w:rsid w:val="005349B1"/>
    <w:rsid w:val="005374BC"/>
    <w:rsid w:val="00543367"/>
    <w:rsid w:val="00543BFA"/>
    <w:rsid w:val="0054649D"/>
    <w:rsid w:val="00547D9C"/>
    <w:rsid w:val="00547DA1"/>
    <w:rsid w:val="00550511"/>
    <w:rsid w:val="0055513C"/>
    <w:rsid w:val="00560C94"/>
    <w:rsid w:val="0056133A"/>
    <w:rsid w:val="0056291C"/>
    <w:rsid w:val="00565A63"/>
    <w:rsid w:val="00566588"/>
    <w:rsid w:val="00571BD3"/>
    <w:rsid w:val="0057275D"/>
    <w:rsid w:val="005749DF"/>
    <w:rsid w:val="005800A9"/>
    <w:rsid w:val="00580488"/>
    <w:rsid w:val="0058074D"/>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68CB"/>
    <w:rsid w:val="005F7085"/>
    <w:rsid w:val="005F79F9"/>
    <w:rsid w:val="00602ACD"/>
    <w:rsid w:val="006033E3"/>
    <w:rsid w:val="00605748"/>
    <w:rsid w:val="00610C82"/>
    <w:rsid w:val="0061321C"/>
    <w:rsid w:val="0062145B"/>
    <w:rsid w:val="00623556"/>
    <w:rsid w:val="0062386E"/>
    <w:rsid w:val="00623F01"/>
    <w:rsid w:val="00624407"/>
    <w:rsid w:val="0062493E"/>
    <w:rsid w:val="00626E2D"/>
    <w:rsid w:val="00627D94"/>
    <w:rsid w:val="00630B42"/>
    <w:rsid w:val="0063181A"/>
    <w:rsid w:val="00636CF5"/>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094A"/>
    <w:rsid w:val="00671124"/>
    <w:rsid w:val="006727B0"/>
    <w:rsid w:val="0067307E"/>
    <w:rsid w:val="00686EC0"/>
    <w:rsid w:val="00687AD5"/>
    <w:rsid w:val="00691153"/>
    <w:rsid w:val="00695251"/>
    <w:rsid w:val="00695ADE"/>
    <w:rsid w:val="00695C0D"/>
    <w:rsid w:val="00696356"/>
    <w:rsid w:val="006A1DAE"/>
    <w:rsid w:val="006A2C8E"/>
    <w:rsid w:val="006A72C6"/>
    <w:rsid w:val="006B02DA"/>
    <w:rsid w:val="006B077E"/>
    <w:rsid w:val="006B1FD1"/>
    <w:rsid w:val="006B2065"/>
    <w:rsid w:val="006B2E18"/>
    <w:rsid w:val="006B2F2B"/>
    <w:rsid w:val="006B3940"/>
    <w:rsid w:val="006B47D1"/>
    <w:rsid w:val="006C0411"/>
    <w:rsid w:val="006C124D"/>
    <w:rsid w:val="006C168D"/>
    <w:rsid w:val="006C1D52"/>
    <w:rsid w:val="006C4E16"/>
    <w:rsid w:val="006C55C8"/>
    <w:rsid w:val="006C5E36"/>
    <w:rsid w:val="006C642C"/>
    <w:rsid w:val="006C6FC6"/>
    <w:rsid w:val="006C750F"/>
    <w:rsid w:val="006D00D5"/>
    <w:rsid w:val="006E0BCB"/>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284"/>
    <w:rsid w:val="007756ED"/>
    <w:rsid w:val="007870FC"/>
    <w:rsid w:val="00787CD0"/>
    <w:rsid w:val="00791053"/>
    <w:rsid w:val="00791A3A"/>
    <w:rsid w:val="00791BB9"/>
    <w:rsid w:val="00794196"/>
    <w:rsid w:val="00794251"/>
    <w:rsid w:val="00795592"/>
    <w:rsid w:val="00796EC9"/>
    <w:rsid w:val="00797637"/>
    <w:rsid w:val="00797DD2"/>
    <w:rsid w:val="007A3680"/>
    <w:rsid w:val="007A59B8"/>
    <w:rsid w:val="007A75F5"/>
    <w:rsid w:val="007B2862"/>
    <w:rsid w:val="007B662A"/>
    <w:rsid w:val="007B73ED"/>
    <w:rsid w:val="007C273E"/>
    <w:rsid w:val="007D1292"/>
    <w:rsid w:val="007D28C9"/>
    <w:rsid w:val="007D3CC8"/>
    <w:rsid w:val="007D5584"/>
    <w:rsid w:val="007D62A3"/>
    <w:rsid w:val="007D62F9"/>
    <w:rsid w:val="007D63A4"/>
    <w:rsid w:val="007E1AA2"/>
    <w:rsid w:val="007E303C"/>
    <w:rsid w:val="007E4C1F"/>
    <w:rsid w:val="007F0759"/>
    <w:rsid w:val="007F25C0"/>
    <w:rsid w:val="007F26D5"/>
    <w:rsid w:val="007F4CD3"/>
    <w:rsid w:val="007F5F52"/>
    <w:rsid w:val="007F768B"/>
    <w:rsid w:val="007F77C6"/>
    <w:rsid w:val="008003A1"/>
    <w:rsid w:val="008006B7"/>
    <w:rsid w:val="00800FDB"/>
    <w:rsid w:val="00801249"/>
    <w:rsid w:val="00802081"/>
    <w:rsid w:val="00806461"/>
    <w:rsid w:val="0081096D"/>
    <w:rsid w:val="00810EAD"/>
    <w:rsid w:val="00811833"/>
    <w:rsid w:val="008118B6"/>
    <w:rsid w:val="008174D4"/>
    <w:rsid w:val="00820FE6"/>
    <w:rsid w:val="008212BF"/>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712A3"/>
    <w:rsid w:val="00871E07"/>
    <w:rsid w:val="00872CE4"/>
    <w:rsid w:val="00877B62"/>
    <w:rsid w:val="00877D98"/>
    <w:rsid w:val="00881015"/>
    <w:rsid w:val="008810B0"/>
    <w:rsid w:val="008819B6"/>
    <w:rsid w:val="00881AAC"/>
    <w:rsid w:val="0088256A"/>
    <w:rsid w:val="008836B7"/>
    <w:rsid w:val="008841D3"/>
    <w:rsid w:val="00884359"/>
    <w:rsid w:val="00887C7E"/>
    <w:rsid w:val="00887DE6"/>
    <w:rsid w:val="00890172"/>
    <w:rsid w:val="008911D2"/>
    <w:rsid w:val="00893048"/>
    <w:rsid w:val="00894C2A"/>
    <w:rsid w:val="008975BC"/>
    <w:rsid w:val="00897708"/>
    <w:rsid w:val="00897D88"/>
    <w:rsid w:val="00897E6F"/>
    <w:rsid w:val="008A2EC6"/>
    <w:rsid w:val="008A2F16"/>
    <w:rsid w:val="008A6D69"/>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2509"/>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545C"/>
    <w:rsid w:val="00985BF7"/>
    <w:rsid w:val="00990071"/>
    <w:rsid w:val="00991EA9"/>
    <w:rsid w:val="00992BA2"/>
    <w:rsid w:val="00992F83"/>
    <w:rsid w:val="00993250"/>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4AE3"/>
    <w:rsid w:val="00A16675"/>
    <w:rsid w:val="00A22CD6"/>
    <w:rsid w:val="00A22D4B"/>
    <w:rsid w:val="00A234EC"/>
    <w:rsid w:val="00A2417A"/>
    <w:rsid w:val="00A27804"/>
    <w:rsid w:val="00A32FDA"/>
    <w:rsid w:val="00A35A8D"/>
    <w:rsid w:val="00A36AB5"/>
    <w:rsid w:val="00A37DDA"/>
    <w:rsid w:val="00A40508"/>
    <w:rsid w:val="00A411D1"/>
    <w:rsid w:val="00A41566"/>
    <w:rsid w:val="00A421B6"/>
    <w:rsid w:val="00A43389"/>
    <w:rsid w:val="00A43C40"/>
    <w:rsid w:val="00A43E71"/>
    <w:rsid w:val="00A45753"/>
    <w:rsid w:val="00A47B15"/>
    <w:rsid w:val="00A47E47"/>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5C5"/>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26CF4"/>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EFD"/>
    <w:rsid w:val="00C013E1"/>
    <w:rsid w:val="00C01611"/>
    <w:rsid w:val="00C01C01"/>
    <w:rsid w:val="00C02C6D"/>
    <w:rsid w:val="00C02D59"/>
    <w:rsid w:val="00C030B6"/>
    <w:rsid w:val="00C03284"/>
    <w:rsid w:val="00C04855"/>
    <w:rsid w:val="00C050D7"/>
    <w:rsid w:val="00C05B5F"/>
    <w:rsid w:val="00C0667A"/>
    <w:rsid w:val="00C104CC"/>
    <w:rsid w:val="00C130C1"/>
    <w:rsid w:val="00C147DA"/>
    <w:rsid w:val="00C152FE"/>
    <w:rsid w:val="00C16739"/>
    <w:rsid w:val="00C22CCE"/>
    <w:rsid w:val="00C23BA2"/>
    <w:rsid w:val="00C2458C"/>
    <w:rsid w:val="00C25D0C"/>
    <w:rsid w:val="00C32AF2"/>
    <w:rsid w:val="00C33204"/>
    <w:rsid w:val="00C338EB"/>
    <w:rsid w:val="00C33E2E"/>
    <w:rsid w:val="00C3465D"/>
    <w:rsid w:val="00C379E9"/>
    <w:rsid w:val="00C37E98"/>
    <w:rsid w:val="00C412BF"/>
    <w:rsid w:val="00C42431"/>
    <w:rsid w:val="00C439FB"/>
    <w:rsid w:val="00C43F23"/>
    <w:rsid w:val="00C442A1"/>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A4F"/>
    <w:rsid w:val="00CA3977"/>
    <w:rsid w:val="00CA5927"/>
    <w:rsid w:val="00CA79EC"/>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63FA"/>
    <w:rsid w:val="00E012CC"/>
    <w:rsid w:val="00E02B71"/>
    <w:rsid w:val="00E02DEB"/>
    <w:rsid w:val="00E042A1"/>
    <w:rsid w:val="00E104FA"/>
    <w:rsid w:val="00E1082A"/>
    <w:rsid w:val="00E11166"/>
    <w:rsid w:val="00E13182"/>
    <w:rsid w:val="00E15383"/>
    <w:rsid w:val="00E1738C"/>
    <w:rsid w:val="00E174D4"/>
    <w:rsid w:val="00E2281D"/>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5548D"/>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08A3"/>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F00"/>
    <w:rsid w:val="00F23155"/>
    <w:rsid w:val="00F24E0E"/>
    <w:rsid w:val="00F26693"/>
    <w:rsid w:val="00F36130"/>
    <w:rsid w:val="00F40444"/>
    <w:rsid w:val="00F423BD"/>
    <w:rsid w:val="00F432FF"/>
    <w:rsid w:val="00F4715C"/>
    <w:rsid w:val="00F47E2F"/>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6E0"/>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D1C3C"/>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qFormat/>
    <w:rsid w:val="00EB72C1"/>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rsid w:val="00EB72C1"/>
    <w:pPr>
      <w:ind w:firstLine="420" w:firstLineChars="200"/>
    </w:pPr>
  </w:style>
  <w:style w:styleId="a4" w:type="paragraph">
    <w:name w:val="Body Text Indent"/>
    <w:basedOn w:val="a"/>
    <w:rsid w:val="00EB72C1"/>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EB72C1"/>
    <w:rPr>
      <w:rFonts w:ascii="宋体" w:hAnsi="Courier New"/>
      <w:szCs w:val="21"/>
    </w:rPr>
  </w:style>
  <w:style w:styleId="20" w:type="paragraph">
    <w:name w:val="Body Text Indent 2"/>
    <w:basedOn w:val="a"/>
    <w:rsid w:val="00EB72C1"/>
    <w:pPr>
      <w:spacing w:line="560" w:lineRule="exact"/>
      <w:ind w:firstLine="480" w:firstLineChars="200"/>
    </w:pPr>
    <w:rPr>
      <w:rFonts w:ascii="宋体" w:hAnsi="宋体"/>
      <w:color w:val="FF0000"/>
      <w:sz w:val="24"/>
    </w:rPr>
  </w:style>
  <w:style w:styleId="a6" w:type="paragraph">
    <w:name w:val="footer"/>
    <w:basedOn w:val="a"/>
    <w:rsid w:val="00EB72C1"/>
    <w:pPr>
      <w:tabs>
        <w:tab w:pos="4153" w:val="center"/>
        <w:tab w:pos="8306" w:val="right"/>
      </w:tabs>
      <w:snapToGrid w:val="0"/>
      <w:jc w:val="left"/>
    </w:pPr>
    <w:rPr>
      <w:sz w:val="18"/>
      <w:szCs w:val="18"/>
    </w:rPr>
  </w:style>
  <w:style w:styleId="a7" w:type="character">
    <w:name w:val="page number"/>
    <w:basedOn w:val="a1"/>
    <w:rsid w:val="00EB72C1"/>
  </w:style>
  <w:style w:styleId="a8" w:type="character">
    <w:name w:val="Hyperlink"/>
    <w:rsid w:val="00EB72C1"/>
    <w:rPr>
      <w:color w:val="0000FF"/>
      <w:u w:val="single"/>
    </w:rPr>
  </w:style>
  <w:style w:styleId="3" w:type="paragraph">
    <w:name w:val="Body Text Indent 3"/>
    <w:basedOn w:val="a"/>
    <w:rsid w:val="00EB72C1"/>
    <w:pPr>
      <w:spacing w:line="560" w:lineRule="exact"/>
      <w:ind w:firstLine="420" w:firstLineChars="200"/>
    </w:pPr>
    <w:rPr>
      <w:rFonts w:ascii="Arial" w:cs="Arial" w:hAnsi="Arial"/>
      <w:color w:val="FF0000"/>
    </w:rPr>
  </w:style>
  <w:style w:styleId="a9" w:type="paragraph">
    <w:name w:val="header"/>
    <w:basedOn w:val="a"/>
    <w:link w:val="Char0"/>
    <w:uiPriority w:val="99"/>
    <w:rsid w:val="00EB72C1"/>
    <w:pPr>
      <w:pBdr>
        <w:bottom w:color="auto" w:space="1" w:sz="6" w:val="single"/>
      </w:pBdr>
      <w:tabs>
        <w:tab w:pos="4153" w:val="center"/>
        <w:tab w:pos="8306" w:val="right"/>
      </w:tabs>
      <w:snapToGrid w:val="0"/>
      <w:jc w:val="center"/>
    </w:pPr>
    <w:rPr>
      <w:sz w:val="18"/>
      <w:szCs w:val="18"/>
    </w:rPr>
  </w:style>
  <w:style w:styleId="aa" w:type="character">
    <w:name w:val="FollowedHyperlink"/>
    <w:rsid w:val="00EB72C1"/>
    <w:rPr>
      <w:color w:val="800080"/>
      <w:u w:val="single"/>
    </w:rPr>
  </w:style>
  <w:style w:styleId="ab" w:type="paragraph">
    <w:name w:val="List"/>
    <w:basedOn w:val="ac"/>
    <w:rsid w:val="00EB72C1"/>
    <w:pPr>
      <w:spacing w:after="220" w:line="220" w:lineRule="atLeast"/>
      <w:ind w:hanging="360" w:left="1440"/>
    </w:pPr>
    <w:rPr>
      <w:szCs w:val="20"/>
    </w:rPr>
  </w:style>
  <w:style w:styleId="ac" w:type="paragraph">
    <w:name w:val="Body Text"/>
    <w:basedOn w:val="a"/>
    <w:rsid w:val="00EB72C1"/>
    <w:pPr>
      <w:spacing w:after="120"/>
    </w:pPr>
  </w:style>
  <w:style w:styleId="ad" w:type="paragraph">
    <w:name w:val="Date"/>
    <w:basedOn w:val="a"/>
    <w:next w:val="a"/>
    <w:link w:val="Char1"/>
    <w:uiPriority w:val="99"/>
    <w:rsid w:val="00EB72C1"/>
    <w:rPr>
      <w:sz w:val="24"/>
      <w:szCs w:val="20"/>
    </w:rPr>
  </w:style>
  <w:style w:customStyle="1" w:styleId="c1" w:type="character">
    <w:name w:val="c1"/>
    <w:rsid w:val="00EB72C1"/>
    <w:rPr>
      <w:color w:val="000000"/>
      <w:sz w:val="18"/>
      <w:szCs w:val="18"/>
    </w:rPr>
  </w:style>
  <w:style w:styleId="10" w:type="paragraph">
    <w:name w:val="index 1"/>
    <w:basedOn w:val="a"/>
    <w:next w:val="a"/>
    <w:autoRedefine/>
    <w:semiHidden/>
    <w:rsid w:val="00EB72C1"/>
    <w:pPr>
      <w:jc w:val="right"/>
    </w:pPr>
    <w:rPr>
      <w:color w:val="008000"/>
    </w:rPr>
  </w:style>
  <w:style w:customStyle="1" w:styleId="font5" w:type="paragraph">
    <w:name w:val="font5"/>
    <w:basedOn w:val="a"/>
    <w:rsid w:val="00EB72C1"/>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semiHidden/>
    <w:rsid w:val="00EB72C1"/>
    <w:rPr>
      <w:sz w:val="18"/>
      <w:szCs w:val="18"/>
    </w:rPr>
  </w:style>
  <w:style w:styleId="af" w:type="character">
    <w:name w:val="annotation reference"/>
    <w:semiHidden/>
    <w:rsid w:val="00EB72C1"/>
    <w:rPr>
      <w:sz w:val="21"/>
      <w:szCs w:val="21"/>
    </w:rPr>
  </w:style>
  <w:style w:styleId="af0" w:type="paragraph">
    <w:name w:val="annotation text"/>
    <w:basedOn w:val="a"/>
    <w:semiHidden/>
    <w:rsid w:val="00EB72C1"/>
    <w:pPr>
      <w:jc w:val="left"/>
    </w:pPr>
  </w:style>
  <w:style w:styleId="af1" w:type="paragraph">
    <w:name w:val="annotation subject"/>
    <w:basedOn w:val="af0"/>
    <w:next w:val="af0"/>
    <w:semiHidden/>
    <w:rsid w:val="00EB72C1"/>
    <w:rPr>
      <w:b/>
      <w:bCs/>
    </w:rPr>
  </w:style>
  <w:style w:customStyle="1" w:styleId="Char2" w:type="paragraph">
    <w:name w:val="Char"/>
    <w:basedOn w:val="a"/>
    <w:rsid w:val="00EB72C1"/>
  </w:style>
  <w:style w:styleId="af2" w:type="paragraph">
    <w:name w:val="Document Map"/>
    <w:basedOn w:val="a"/>
    <w:semiHidden/>
    <w:rsid w:val="000A549A"/>
    <w:pPr>
      <w:shd w:color="auto" w:fill="000080" w:val="clear"/>
    </w:pPr>
  </w:style>
  <w:style w:customStyle="1" w:styleId="af3" w:type="paragraph">
    <w:name w:val="正文 + (符号) 宋体"/>
    <w:aliases w:val="小四,紧缩量  0.2 磅"/>
    <w:basedOn w:val="a"/>
    <w:rsid w:val="00C22CCE"/>
    <w:pPr>
      <w:autoSpaceDE w:val="0"/>
      <w:autoSpaceDN w:val="0"/>
      <w:adjustRightInd w:val="0"/>
      <w:ind w:firstLine="1229" w:firstLineChars="512" w:right="1409" w:rightChars="671"/>
      <w:jc w:val="distribute"/>
    </w:pPr>
    <w:rPr>
      <w:sz w:val="24"/>
    </w:rPr>
  </w:style>
  <w:style w:styleId="af4" w:type="paragraph">
    <w:name w:val="footnote text"/>
    <w:basedOn w:val="a"/>
    <w:semiHidden/>
    <w:rsid w:val="00547D9C"/>
    <w:pPr>
      <w:snapToGrid w:val="0"/>
      <w:jc w:val="left"/>
    </w:pPr>
    <w:rPr>
      <w:sz w:val="18"/>
      <w:szCs w:val="18"/>
    </w:rPr>
  </w:style>
  <w:style w:styleId="af5" w:type="character">
    <w:name w:val="footnote reference"/>
    <w:semiHidden/>
    <w:rsid w:val="00547D9C"/>
    <w:rPr>
      <w:vertAlign w:val="superscript"/>
    </w:rPr>
  </w:style>
  <w:style w:styleId="af6" w:type="paragraph">
    <w:name w:val="Normal (Web)"/>
    <w:basedOn w:val="a"/>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3" w:type="paragraph">
    <w:name w:val="Char"/>
    <w:basedOn w:val="a"/>
    <w:rsid w:val="00043ABF"/>
  </w:style>
  <w:style w:customStyle="1" w:styleId="CharCharCharCharCharChar1CharCharChar" w:type="paragraph">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customStyle="1" w:styleId="Char" w:type="character">
    <w:name w:val="纯文本 Char"/>
    <w:link w:val="a5"/>
    <w:uiPriority w:val="99"/>
    <w:rsid w:val="00A96FD9"/>
    <w:rPr>
      <w:rFonts w:ascii="宋体" w:hAnsi="Courier New"/>
      <w:kern w:val="2"/>
      <w:sz w:val="21"/>
      <w:szCs w:val="21"/>
    </w:rPr>
  </w:style>
  <w:style w:customStyle="1" w:styleId="Char0" w:type="character">
    <w:name w:val="页眉 Char"/>
    <w:basedOn w:val="a1"/>
    <w:link w:val="a9"/>
    <w:uiPriority w:val="99"/>
    <w:rsid w:val="001D1356"/>
    <w:rPr>
      <w:kern w:val="2"/>
      <w:sz w:val="18"/>
      <w:szCs w:val="18"/>
    </w:rPr>
  </w:style>
  <w:style w:customStyle="1" w:styleId="1Char" w:type="character">
    <w:name w:val="标题 1 Char"/>
    <w:basedOn w:val="a1"/>
    <w:link w:val="1"/>
    <w:rsid w:val="00A7634D"/>
    <w:rPr>
      <w:b/>
      <w:bCs/>
      <w:kern w:val="44"/>
      <w:sz w:val="44"/>
      <w:szCs w:val="44"/>
    </w:rPr>
  </w:style>
  <w:style w:customStyle="1" w:styleId="Char1" w:type="character">
    <w:name w:val="日期 Char"/>
    <w:basedOn w:val="a1"/>
    <w:link w:val="ad"/>
    <w:uiPriority w:val="99"/>
    <w:rsid w:val="00C503D3"/>
    <w:rPr>
      <w:kern w:val="2"/>
      <w:sz w:val="24"/>
    </w:rPr>
  </w:style>
  <w:style w:styleId="af8" w:type="character">
    <w:name w:val="Strong"/>
    <w:basedOn w:val="a1"/>
    <w:uiPriority w:val="22"/>
    <w:qFormat/>
    <w:rsid w:val="009779F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648">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73522549">
      <w:bodyDiv w:val="1"/>
      <w:marLeft w:val="0"/>
      <w:marRight w:val="0"/>
      <w:marTop w:val="0"/>
      <w:marBottom w:val="0"/>
      <w:divBdr>
        <w:top w:val="none" w:sz="0" w:space="0" w:color="auto"/>
        <w:left w:val="none" w:sz="0" w:space="0" w:color="auto"/>
        <w:bottom w:val="none" w:sz="0" w:space="0" w:color="auto"/>
        <w:right w:val="none" w:sz="0" w:space="0" w:color="auto"/>
      </w:divBdr>
    </w:div>
    <w:div w:id="4967272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64007311">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5093356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776706476">
      <w:bodyDiv w:val="1"/>
      <w:marLeft w:val="0"/>
      <w:marRight w:val="0"/>
      <w:marTop w:val="0"/>
      <w:marBottom w:val="0"/>
      <w:divBdr>
        <w:top w:val="none" w:sz="0" w:space="0" w:color="auto"/>
        <w:left w:val="none" w:sz="0" w:space="0" w:color="auto"/>
        <w:bottom w:val="none" w:sz="0" w:space="0" w:color="auto"/>
        <w:right w:val="none" w:sz="0" w:space="0" w:color="auto"/>
      </w:divBdr>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03641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header2.xml" Type="http://schemas.openxmlformats.org/officeDocument/2006/relationships/header"/>
<Relationship Id="rId13" Target="footer2.xml" Type="http://schemas.openxmlformats.org/officeDocument/2006/relationships/footer"/>
<Relationship Id="rId14" Target="footer3.xml" Type="http://schemas.openxmlformats.org/officeDocument/2006/relationships/footer"/>
<Relationship Id="rId15" Target="header3.xml" Type="http://schemas.openxmlformats.org/officeDocument/2006/relationships/header"/>
<Relationship Id="rId16" Target="footer4.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207</TotalTime>
  <Pages>24</Pages>
  <Words>3470</Words>
  <Characters>19781</Characters>
  <Application>Microsoft Office Word</Application>
  <DocSecurity>0</DocSecurity>
  <Lines>164</Lines>
  <Paragraphs>46</Paragraphs>
  <ScaleCrop>false</ScaleCrop>
  <Company>TRT. Ltd. Co.</Company>
  <LinksUpToDate>false</LinksUpToDate>
  <CharactersWithSpaces>23205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2014-12-16T02:40:00Z</dcterms:created>
  <dc:creator>bonnieliu</dc:creator>
  <cp:lastModifiedBy>sirong han</cp:lastModifiedBy>
  <cp:lastPrinted>2007-07-19T00:46:00Z</cp:lastPrinted>
  <dcterms:modified xsi:type="dcterms:W3CDTF">2020-07-09T02:50:00Z</dcterms:modified>
  <cp:revision>67</cp:revision>
</cp:coreProperties>
</file>