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4061AC" w:rsidR="00750D48" w:rsidRDefault="00750D48" w:rsidRPr="00264E55">
      <w:pPr>
        <w:autoSpaceDE w:val="0"/>
        <w:autoSpaceDN w:val="0"/>
        <w:adjustRightInd w:val="0"/>
        <w:spacing w:line="360" w:lineRule="auto"/>
        <w:jc w:val="left"/>
        <w:rPr>
          <w:rFonts w:ascii="宋体"/>
          <w:color w:val="000000"/>
          <w:kern w:val="0"/>
          <w:sz w:val="24"/>
          <w:szCs w:val="24"/>
        </w:rPr>
      </w:pPr>
    </w:p>
    <w:p w:rsidP="00542546" w:rsidR="00750D48" w:rsidRDefault="00750D48" w:rsidRPr="00264E55">
      <w:pPr>
        <w:spacing w:line="360" w:lineRule="auto"/>
        <w:jc w:val="center"/>
        <w:rPr>
          <w:rFonts w:ascii="宋体" w:hAnsi="宋体"/>
          <w:b/>
          <w:sz w:val="36"/>
          <w:szCs w:val="36"/>
        </w:rPr>
      </w:pPr>
      <w:r w:rsidRPr="00264E55">
        <w:rPr>
          <w:rFonts w:ascii="宋体"/>
          <w:b/>
          <w:sz w:val="36"/>
          <w:szCs w:val="36"/>
        </w:rPr>
        <w:t/>
      </w:r>
      <w:proofErr w:type="spellStart"/>
      <w:proofErr w:type="gramStart"/>
      <w:r w:rsidRPr="00264E55">
        <w:rPr>
          <w:rFonts w:ascii="宋体" w:hAnsi="宋体"/>
          <w:b/>
          <w:sz w:val="36"/>
          <w:szCs w:val="36"/>
        </w:rPr>
        <w:t/>
      </w:r>
      <w:proofErr w:type="spellEnd"/>
      <w:proofErr w:type="gramEnd"/>
      <w:r w:rsidRPr="00264E55">
        <w:rPr>
          <w:rFonts w:ascii="宋体" w:hAnsi="宋体"/>
          <w:b/>
          <w:sz w:val="36"/>
          <w:szCs w:val="36"/>
        </w:rPr>
        <w:t>易方达策略成长二号混合型证券投资基金</w:t>
      </w:r>
    </w:p>
    <w:p w:rsidP="00542546" w:rsidR="00750D48" w:rsidRDefault="00750D48" w:rsidRPr="00264E55">
      <w:pPr>
        <w:spacing w:line="360" w:lineRule="auto"/>
        <w:jc w:val="center"/>
        <w:rPr>
          <w:rFonts w:ascii="宋体" w:hAnsi="宋体"/>
          <w:b/>
          <w:sz w:val="36"/>
          <w:szCs w:val="36"/>
        </w:rPr>
      </w:pPr>
      <w:r w:rsidRPr="00264E55">
        <w:rPr>
          <w:rFonts w:ascii="宋体" w:hAnsi="宋体"/>
          <w:b/>
          <w:sz w:val="36"/>
          <w:szCs w:val="36"/>
        </w:rPr>
        <w:t/>
      </w:r>
      <w:proofErr w:type="spellStart"/>
      <w:r w:rsidRPr="00264E55">
        <w:rPr>
          <w:rFonts w:ascii="宋体" w:hAnsi="宋体"/>
          <w:b/>
          <w:sz w:val="36"/>
          <w:szCs w:val="36"/>
        </w:rPr>
        <w:t/>
      </w:r>
      <w:proofErr w:type="spellEnd"/>
      <w:r w:rsidRPr="00264E55">
        <w:rPr>
          <w:rFonts w:ascii="宋体" w:hAnsi="宋体"/>
          <w:b/>
          <w:sz w:val="36"/>
          <w:szCs w:val="36"/>
        </w:rPr>
        <w:t>2020年第2季度报告</w:t>
      </w:r>
    </w:p>
    <w:p w:rsidP="00542546" w:rsidR="00750D48" w:rsidRDefault="00750D48" w:rsidRPr="00093704">
      <w:pPr>
        <w:spacing w:line="360" w:lineRule="auto"/>
        <w:jc w:val="center"/>
        <w:rPr>
          <w:rFonts w:ascii="宋体" w:hAnsi="宋体"/>
          <w:b/>
          <w:sz w:val="24"/>
          <w:szCs w:val="24"/>
        </w:rPr>
      </w:pPr>
      <w:r w:rsidRPr="00093704">
        <w:rPr>
          <w:rFonts w:ascii="宋体"/>
          <w:b/>
          <w:sz w:val="24"/>
          <w:szCs w:val="24"/>
        </w:rPr>
        <w:t/>
      </w:r>
      <w:proofErr w:type="spellStart"/>
      <w:proofErr w:type="gramStart"/>
      <w:r w:rsidRPr="00093704">
        <w:rPr>
          <w:rFonts w:ascii="宋体" w:hAnsi="宋体"/>
          <w:b/>
          <w:sz w:val="24"/>
          <w:szCs w:val="24"/>
        </w:rPr>
        <w:t/>
      </w:r>
      <w:proofErr w:type="spellEnd"/>
      <w:proofErr w:type="gramEnd"/>
      <w:r w:rsidRPr="00093704">
        <w:rPr>
          <w:rFonts w:ascii="宋体" w:hAnsi="宋体"/>
          <w:b/>
          <w:sz w:val="24"/>
          <w:szCs w:val="24"/>
        </w:rPr>
        <w:t>2020年6月30日</w:t>
      </w: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jc w:val="center"/>
        <w:rPr>
          <w:rFonts w:ascii="宋体"/>
          <w:b/>
          <w:bCs/>
          <w:color w:val="000000"/>
          <w:sz w:val="24"/>
          <w:szCs w:val="24"/>
        </w:rPr>
      </w:pPr>
    </w:p>
    <w:p w:rsidP="004061AC" w:rsidR="00750D48" w:rsidRDefault="00750D48" w:rsidRPr="00264E55">
      <w:pPr>
        <w:spacing w:line="360" w:lineRule="auto"/>
        <w:rPr>
          <w:rFonts w:ascii="宋体"/>
          <w:b/>
          <w:bCs/>
          <w:color w:val="000000"/>
          <w:sz w:val="24"/>
          <w:szCs w:val="24"/>
        </w:rPr>
      </w:pP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基金管理人：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易方达基金管理有限公司</w:t>
      </w:r>
    </w:p>
    <w:p w:rsidP="00EB572F" w:rsidR="00750D48" w:rsidRDefault="00750D48" w:rsidRPr="00264E55">
      <w:pPr>
        <w:spacing w:line="360" w:lineRule="auto"/>
        <w:ind w:firstLine="2168" w:firstLineChars="900"/>
        <w:rPr>
          <w:rFonts w:ascii="宋体" w:hAnsi="宋体"/>
          <w:b/>
          <w:color w:val="000000"/>
          <w:sz w:val="24"/>
          <w:szCs w:val="24"/>
        </w:rPr>
      </w:pPr>
      <w:r w:rsidRPr="00264E55">
        <w:rPr>
          <w:rFonts w:ascii="宋体" w:hAnsi="宋体" w:hint="eastAsia"/>
          <w:b/>
          <w:color w:val="000000"/>
          <w:sz w:val="24"/>
          <w:szCs w:val="24"/>
        </w:rPr>
        <w:t>基金托管人：</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中国银行股份有限公司</w:t>
      </w:r>
    </w:p>
    <w:p w:rsidP="00EB572F" w:rsidR="00750D48" w:rsidRDefault="00750D48" w:rsidRPr="00264E55">
      <w:pPr>
        <w:spacing w:line="360" w:lineRule="auto"/>
        <w:ind w:firstLine="2168" w:firstLineChars="900"/>
        <w:rPr>
          <w:rFonts w:ascii="宋体" w:hAnsi="宋体"/>
          <w:b/>
          <w:color w:val="000000"/>
          <w:sz w:val="24"/>
          <w:szCs w:val="24"/>
        </w:rPr>
        <w:sectPr w:rsidR="00750D48" w:rsidRPr="00264E55" w:rsidSect="00304A12">
          <w:headerReference r:id="rId9" w:type="default"/>
          <w:footerReference r:id="rId10" w:type="default"/>
          <w:pgSz w:h="15840" w:w="11926"/>
          <w:pgMar w:bottom="851" w:footer="992" w:gutter="0" w:header="851" w:left="1418" w:right="1418" w:top="1418"/>
          <w:cols w:space="720"/>
          <w:noEndnote/>
        </w:sectPr>
      </w:pPr>
      <w:r w:rsidRPr="00264E55">
        <w:rPr>
          <w:rFonts w:ascii="宋体" w:hAnsi="宋体" w:hint="eastAsia"/>
          <w:b/>
          <w:color w:val="000000"/>
          <w:sz w:val="24"/>
          <w:szCs w:val="24"/>
        </w:rPr>
        <w:t>报告送出日期：</w:t>
      </w:r>
      <w:r w:rsidRPr="00264E55">
        <w:rPr>
          <w:rFonts w:ascii="宋体"/>
          <w:b/>
          <w:color w:val="000000"/>
          <w:sz w:val="24"/>
          <w:szCs w:val="24"/>
        </w:rPr>
        <w:t/>
      </w:r>
      <w:proofErr w:type="spellStart"/>
      <w:proofErr w:type="gramStart"/>
      <w:r w:rsidRPr="00264E55">
        <w:rPr>
          <w:rFonts w:ascii="宋体" w:hAnsi="宋体"/>
          <w:b/>
          <w:color w:val="000000"/>
          <w:sz w:val="24"/>
          <w:szCs w:val="24"/>
        </w:rPr>
        <w:t/>
      </w:r>
      <w:proofErr w:type="spellEnd"/>
      <w:proofErr w:type="gramEnd"/>
      <w:r w:rsidRPr="00264E55">
        <w:rPr>
          <w:rFonts w:ascii="宋体" w:hAnsi="宋体"/>
          <w:b/>
          <w:color w:val="000000"/>
          <w:sz w:val="24"/>
          <w:szCs w:val="24"/>
        </w:rPr>
        <w:t>二〇二〇年七月二十一日</w:t>
      </w:r>
    </w:p>
    <w:p w:rsidP="004D28A3" w:rsidR="00750D48" w:rsidRDefault="00750D48" w:rsidRPr="00264E55">
      <w:pPr>
        <w:pStyle w:val="1"/>
        <w:spacing w:after="312" w:afterLines="100" w:before="312" w:beforeLines="100" w:line="360" w:lineRule="auto"/>
        <w:jc w:val="center"/>
        <w:rPr>
          <w:rFonts w:ascii="宋体"/>
          <w:b w:val="0"/>
          <w:bCs w:val="0"/>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1  </w:t>
      </w:r>
      <w:r w:rsidRPr="00264E55">
        <w:rPr>
          <w:rFonts w:ascii="宋体" w:hAnsi="宋体" w:hint="eastAsia"/>
          <w:color w:val="000000"/>
          <w:kern w:val="0"/>
          <w:sz w:val="24"/>
          <w:szCs w:val="24"/>
        </w:rPr>
        <w:t>重要提示</w:t>
      </w:r>
    </w:p>
    <w:p>
      <w:pPr>
        <w:spacing w:line="360" w:lineRule="auto"/>
        <w:ind w:firstLine="480" w:firstLineChars="200"/>
        <w:rPr>
          <w:color w:val="000000"/>
          <w:sz w:val="24"/>
          <w:szCs w:val="24"/>
        </w:rPr>
      </w:pPr>
      <w:r>
        <w:rPr>
          <w:color w:val="000000"/>
          <w:sz w:val="24"/>
          <w:szCs w:val="24"/>
        </w:rPr>
        <w:t xml:space="preserve">基金管理人的董事会及董事保证本报告所载资料不存在虚假记载、误导性陈述或重大遗漏，并对其内容的真实性、准确性和完整性承担个别及连带责任。 </w:t>
      </w:r>
    </w:p>
    <w:p>
      <w:pPr>
        <w:spacing w:line="360" w:lineRule="auto"/>
        <w:ind w:firstLine="480" w:firstLineChars="200"/>
        <w:rPr>
          <w:color w:val="000000"/>
          <w:sz w:val="24"/>
          <w:szCs w:val="24"/>
        </w:rPr>
      </w:pPr>
      <w:r>
        <w:rPr>
          <w:color w:val="000000"/>
          <w:sz w:val="24"/>
          <w:szCs w:val="24"/>
        </w:rPr>
        <w:t xml:space="preserve">基金托管人中国银行股份有限公司根据本基金合同规定，于2020年7月17日复核了本报告中的财务指标、净值表现和投资组合报告等内容，保证复核内容不存在虚假记载、误导性陈述或者重大遗漏。 </w:t>
      </w:r>
    </w:p>
    <w:p>
      <w:pPr>
        <w:spacing w:line="360" w:lineRule="auto"/>
        <w:ind w:firstLine="480" w:firstLineChars="200"/>
        <w:rPr>
          <w:color w:val="000000"/>
          <w:sz w:val="24"/>
          <w:szCs w:val="24"/>
        </w:rPr>
      </w:pPr>
      <w:r>
        <w:rPr>
          <w:color w:val="000000"/>
          <w:sz w:val="24"/>
          <w:szCs w:val="24"/>
        </w:rPr>
        <w:t xml:space="preserve">基金管理人承诺以诚实信用、勤勉尽责的原则管理和运用基金资产，但不保证基金一定盈利。 </w:t>
      </w:r>
    </w:p>
    <w:p>
      <w:pPr>
        <w:spacing w:line="360" w:lineRule="auto"/>
        <w:ind w:firstLine="480" w:firstLineChars="200"/>
        <w:rPr>
          <w:color w:val="000000"/>
          <w:sz w:val="24"/>
          <w:szCs w:val="24"/>
        </w:rPr>
      </w:pPr>
      <w:r>
        <w:rPr>
          <w:color w:val="000000"/>
          <w:sz w:val="24"/>
          <w:szCs w:val="24"/>
        </w:rPr>
        <w:t xml:space="preserve">基金的过往业绩并不代表其未来表现。投资有风险，投资者在作出投资决策前应仔细阅读本基金的招募说明书。 </w:t>
      </w:r>
    </w:p>
    <w:p>
      <w:pPr>
        <w:spacing w:line="360" w:lineRule="auto"/>
        <w:ind w:firstLine="480" w:firstLineChars="200"/>
        <w:rPr>
          <w:color w:val="000000"/>
          <w:sz w:val="24"/>
          <w:szCs w:val="24"/>
        </w:rPr>
      </w:pPr>
      <w:r>
        <w:rPr>
          <w:color w:val="000000"/>
          <w:sz w:val="24"/>
          <w:szCs w:val="24"/>
        </w:rPr>
        <w:t>本报告中财务资料未经审计。</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proofErr w:type="gramStart"/>
      <w:r w:rsidRPr="006C56AA">
        <w:rPr>
          <w:color w:val="000000"/>
          <w:sz w:val="24"/>
          <w:szCs w:val="24"/>
        </w:rPr>
        <w:t/>
      </w:r>
      <w:proofErr w:type="spellEnd"/>
      <w:proofErr w:type="gramEnd"/>
      <w:r w:rsidRPr="006C56AA">
        <w:rPr>
          <w:color w:val="000000"/>
          <w:sz w:val="24"/>
          <w:szCs w:val="24"/>
        </w:rPr>
        <w:t>本报告期自2020年4月1日起至6月30日止。</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2  </w:t>
      </w:r>
      <w:r w:rsidRPr="00264E55">
        <w:rPr>
          <w:rFonts w:ascii="宋体" w:hAnsi="宋体" w:hint="eastAsia"/>
          <w:color w:val="000000"/>
          <w:kern w:val="0"/>
          <w:sz w:val="24"/>
          <w:szCs w:val="24"/>
        </w:rPr>
        <w:t>基金产品概况</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1" w:lastRow="1" w:noHBand="0" w:noVBand="0" w:val="01E0"/>
      </w:tblPr>
      <w:tblGrid>
        <w:gridCol w:w="2835"/>
        <w:gridCol w:w="2739"/>
        <w:gridCol w:w="2740"/>
      </w:tblGrid>
      <w:tr w:rsidR="00750D48" w:rsidRPr="00264E55" w:rsidTr="00500A03">
        <w:tc>
          <w:tcPr>
            <w:tcW w:type="dxa" w:w="2835"/>
          </w:tcPr>
          <w:p w:rsidP="007B5AFB" w:rsidR="00750D48" w:rsidRDefault="00750D48" w:rsidRPr="00232B03">
            <w:pPr>
              <w:adjustRightInd w:val="0"/>
              <w:spacing w:before="29" w:line="360" w:lineRule="auto"/>
              <w:ind w:left="17"/>
              <w:jc w:val="left"/>
              <w:rPr>
                <w:kern w:val="0"/>
                <w:sz w:val="24"/>
                <w:szCs w:val="24"/>
              </w:rPr>
            </w:pPr>
            <w:r w:rsidRPr="00232B03">
              <w:rPr>
                <w:kern w:val="0"/>
                <w:sz w:val="24"/>
                <w:szCs w:val="24"/>
              </w:rPr>
              <w:t>基金简称</w:t>
            </w:r>
          </w:p>
        </w:tc>
        <w:tc>
          <w:tcPr>
            <w:tcW w:type="dxa" w:w="5479"/>
            <w:gridSpan w:val="2"/>
          </w:tcPr>
          <w:p w:rsidP="007B5AFB"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易方达策略成长二号混合</w:t>
            </w:r>
          </w:p>
        </w:tc>
      </w:tr>
      <w:tr w:rsidR="00750D48" w:rsidRPr="00264E55" w:rsidTr="00D94B8D">
        <w:tc>
          <w:tcPr>
            <w:tcW w:type="dxa" w:w="2835"/>
          </w:tcPr>
          <w:p w:rsidR="00750D48" w:rsidRDefault="00750D48" w:rsidRPr="00232B03">
            <w:pPr>
              <w:adjustRightInd w:val="0"/>
              <w:spacing w:before="29" w:line="360" w:lineRule="auto"/>
              <w:ind w:left="17"/>
              <w:jc w:val="left"/>
              <w:rPr>
                <w:kern w:val="0"/>
                <w:sz w:val="24"/>
                <w:szCs w:val="24"/>
              </w:rPr>
            </w:pPr>
            <w:r w:rsidRPr="00232B03">
              <w:rPr>
                <w:kern w:val="0"/>
                <w:sz w:val="24"/>
                <w:szCs w:val="24"/>
              </w:rPr>
              <w:t>基金主代码</w:t>
            </w:r>
          </w:p>
        </w:tc>
        <w:tc>
          <w:tcPr>
            <w:tcW w:type="dxa" w:w="5479"/>
            <w:gridSpan w:val="2"/>
          </w:tcPr>
          <w:p w:rsidR="00750D48" w:rsidRDefault="00750D48" w:rsidRPr="00232B03">
            <w:pPr>
              <w:adjustRightInd w:val="0"/>
              <w:spacing w:before="29" w:line="360" w:lineRule="auto"/>
              <w:ind w:left="17"/>
              <w:jc w:val="lef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112002</w:t>
            </w:r>
          </w:p>
        </w:tc>
      </w:tr>
      <w:tr w:rsidR="00750D48" w:rsidRPr="00264E55" w:rsidTr="00D94B8D">
        <w:tc>
          <w:tcPr>
            <w:tcW w:type="dxa" w:w="2835"/>
          </w:tcPr>
          <w:p w:rsidP="00895A8A" w:rsidR="00750D48" w:rsidRDefault="00750D48" w:rsidRPr="00232B03">
            <w:pPr>
              <w:adjustRightInd w:val="0"/>
              <w:spacing w:before="29" w:line="360" w:lineRule="auto"/>
              <w:ind w:left="17"/>
              <w:jc w:val="left"/>
              <w:rPr>
                <w:kern w:val="0"/>
                <w:sz w:val="24"/>
                <w:szCs w:val="24"/>
              </w:rPr>
            </w:pPr>
            <w:r w:rsidRPr="00232B03">
              <w:rPr>
                <w:kern w:val="0"/>
                <w:sz w:val="24"/>
                <w:szCs w:val="24"/>
              </w:rPr>
              <w:t>交易代码</w:t>
            </w:r>
          </w:p>
        </w:tc>
        <w:tc>
          <w:tcPr>
            <w:tcW w:type="dxa" w:w="5479"/>
            <w:gridSpan w:val="2"/>
          </w:tcPr>
          <w:p w:rsidP="00895A8A" w:rsidR="00750D48" w:rsidRDefault="00750D48" w:rsidRPr="00232B03">
            <w:pPr>
              <w:adjustRightInd w:val="0"/>
              <w:spacing w:before="29" w:line="360" w:lineRule="auto"/>
              <w:ind w:left="17"/>
              <w:jc w:val="left"/>
              <w:rPr>
                <w:color w:val="000000"/>
                <w:kern w:val="0"/>
                <w:sz w:val="24"/>
                <w:szCs w:val="24"/>
              </w:rPr>
            </w:pPr>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
            </w:r>
            <w:proofErr w:type="spellStart"/>
            <w:r w:rsidRPr="00232B03">
              <w:rPr>
                <w:kern w:val="0"/>
                <w:sz w:val="24"/>
              </w:rPr>
              <w:t/>
            </w:r>
            <w:proofErr w:type="spellEnd"/>
            <w:r w:rsidRPr="00232B03">
              <w:rPr>
                <w:kern w:val="0"/>
                <w:sz w:val="24"/>
              </w:rPr>
              <w:t>112002</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基金运作方式</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契约型开放式</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基金合同生效日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2006年8月16日</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报告期末基金份额总额</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973,571,462.61</w:t>
            </w:r>
            <w:r w:rsidRPr="00232B03">
              <w:rPr>
                <w:color w:val="000000"/>
                <w:kern w:val="0"/>
                <w:sz w:val="24"/>
                <w:szCs w:val="24"/>
              </w:rPr>
              <w:t>份</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投资目标</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本基金通过投资兼具较高内在价值和良好成长性的股票，积极把握股票市场波动所带来的获利机会，努力为基金份额持有人追求较高的中长期资本增值。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投资策略</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投资的总体原则是在价值区域内把握波动，在波动中实现研究的“溢价”。基金采取相对稳定的资产配置策略，避免因过于主动的仓位调整带来额外的风险。同时，以雄厚的研究力量为依托，通过以价值成长比率（PEG）为核心的系统方法筛选出兼具较高内在价值及良好成长性的股票，并通过对相关行业和上市公司成长率变化的动态预测，积极把握行业/板块、个股的市场波动所带来的获利机会，为基金持有人追求较高的当期收益及长期资本增值。</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业绩比较基准</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上证A指收益率×75％+上证国债指数收益率×25％</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风险收益特征</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本基金为混合型基金，理论上其风险收益水平低于股票型基金，高于债券型基金及货币市场基金。</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基金管理人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易方达基金管理有限公司</w:t>
            </w:r>
          </w:p>
        </w:tc>
      </w:tr>
      <w:tr w:rsidR="00750D48" w:rsidRPr="00264E55" w:rsidTr="00500A03">
        <w:tc>
          <w:tcPr>
            <w:tcW w:type="dxa" w:w="2835"/>
          </w:tcPr>
          <w:p w:rsidP="007B5AFB" w:rsidR="00750D48" w:rsidRDefault="00750D48" w:rsidRPr="00232B03">
            <w:pPr>
              <w:adjustRightInd w:val="0"/>
              <w:spacing w:before="29" w:line="360" w:lineRule="auto"/>
              <w:ind w:left="17"/>
              <w:jc w:val="left"/>
              <w:rPr>
                <w:sz w:val="24"/>
                <w:szCs w:val="24"/>
              </w:rPr>
            </w:pPr>
            <w:r w:rsidRPr="00232B03">
              <w:rPr>
                <w:kern w:val="0"/>
                <w:sz w:val="24"/>
                <w:szCs w:val="24"/>
              </w:rPr>
              <w:t>基金托管人</w:t>
            </w:r>
          </w:p>
        </w:tc>
        <w:tc>
          <w:tcPr>
            <w:tcW w:type="dxa" w:w="5479"/>
            <w:gridSpan w:val="2"/>
          </w:tcPr>
          <w:p w:rsidP="007B5AFB" w:rsidR="00750D48" w:rsidRDefault="00750D48" w:rsidRPr="00232B03">
            <w:pPr>
              <w:adjustRightInd w:val="0"/>
              <w:spacing w:before="29" w:line="360" w:lineRule="auto"/>
              <w:ind w:left="17"/>
              <w:jc w:val="left"/>
              <w:rPr>
                <w:color w:val="00000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中国银行股份有限公司</w:t>
            </w:r>
          </w:p>
        </w:tc>
      </w:tr>
    </w:tbl>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lastRenderedPageBreak/>
        <w:t>§</w:t>
      </w:r>
      <w:r w:rsidRPr="00264E55">
        <w:rPr>
          <w:rFonts w:ascii="宋体" w:hAnsi="宋体"/>
          <w:color w:val="000000"/>
          <w:kern w:val="0"/>
          <w:sz w:val="24"/>
          <w:szCs w:val="24"/>
        </w:rPr>
        <w:t xml:space="preserve">3  </w:t>
      </w:r>
      <w:r w:rsidRPr="00264E55">
        <w:rPr>
          <w:rFonts w:ascii="宋体" w:hAnsi="宋体" w:hint="eastAsia"/>
          <w:color w:val="000000"/>
          <w:kern w:val="0"/>
          <w:sz w:val="24"/>
          <w:szCs w:val="24"/>
        </w:rPr>
        <w:t>主要财务指标和基金净值表现</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3.1 </w:t>
      </w:r>
      <w:r w:rsidRPr="00264E55">
        <w:rPr>
          <w:rFonts w:ascii="宋体" w:hAnsi="宋体" w:hint="eastAsia"/>
          <w:b/>
          <w:bCs/>
          <w:color w:val="000000"/>
          <w:kern w:val="0"/>
          <w:sz w:val="24"/>
          <w:szCs w:val="24"/>
        </w:rPr>
        <w:t>主要财务指标</w:t>
      </w:r>
    </w:p>
    <w:p w:rsidP="00392044" w:rsidR="00392044" w:rsidRDefault="00392044" w:rsidRPr="006506EF">
      <w:pPr>
        <w:autoSpaceDE w:val="0"/>
        <w:autoSpaceDN w:val="0"/>
        <w:adjustRightInd w:val="0"/>
        <w:spacing w:before="29" w:line="360" w:lineRule="auto"/>
        <w:ind w:left="15"/>
        <w:jc w:val="right"/>
        <w:rPr>
          <w:color w:val="000000"/>
          <w:kern w:val="0"/>
          <w:sz w:val="24"/>
        </w:rPr>
      </w:pPr>
      <w:r w:rsidRPr="006506EF">
        <w:rPr>
          <w:color w:val="000000"/>
          <w:kern w:val="0"/>
          <w:sz w:val="24"/>
        </w:rPr>
        <w:t>单位：人民币元</w:t>
      </w:r>
    </w:p>
    <w:tbl>
      <w:tblPr>
        <w:tblW w:type="dxa" w:w="8364"/>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0" w:firstRow="0" w:lastColumn="0" w:lastRow="0" w:noHBand="0" w:noVBand="0" w:val="0000"/>
      </w:tblPr>
      <w:tblGrid>
        <w:gridCol w:w="3402"/>
        <w:gridCol w:w="2552"/>
        <w:gridCol w:w="2410"/>
      </w:tblGrid>
      <w:tr w:rsidR="00392044" w:rsidRPr="006506EF" w:rsidTr="00C3442A">
        <w:tc>
          <w:tcPr>
            <w:tcW w:type="dxa" w:w="3402"/>
            <w:vAlign w:val="center"/>
          </w:tcPr>
          <w:p w:rsidP="00C3442A" w:rsidR="00392044" w:rsidRDefault="00392044" w:rsidRPr="006506EF">
            <w:pPr>
              <w:adjustRightInd w:val="0"/>
              <w:spacing w:before="29" w:line="360" w:lineRule="auto"/>
              <w:ind w:left="17"/>
              <w:jc w:val="center"/>
              <w:rPr>
                <w:kern w:val="0"/>
                <w:sz w:val="24"/>
              </w:rPr>
            </w:pPr>
            <w:r w:rsidRPr="006506EF">
              <w:rPr>
                <w:kern w:val="0"/>
                <w:sz w:val="24"/>
              </w:rPr>
              <w:t>主要财务指标</w:t>
            </w:r>
            <w:r w:rsidRPr="006506EF">
              <w:rPr>
                <w:kern w:val="0"/>
                <w:sz w:val="24"/>
              </w:rPr>
              <w:t/>
            </w:r>
            <w:proofErr w:type="spellStart"/>
            <w:r w:rsidRPr="006506EF">
              <w:rPr>
                <w:kern w:val="0"/>
                <w:sz w:val="24"/>
              </w:rPr>
              <w:t/>
            </w:r>
            <w:proofErr w:type="spellEnd"/>
            <w:r w:rsidRPr="006506EF">
              <w:rPr>
                <w:kern w:val="0"/>
                <w:sz w:val="24"/>
              </w:rPr>
              <w:t/>
            </w:r>
          </w:p>
        </w:tc>
        <w:tc>
          <w:tcPr>
            <w:tcW w:type="dxa" w:w="4962"/>
            <w:hMerge w:val="restart"/>
            <w:vAlign w:val="center"/>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报告期</w:t>
            </w:r>
          </w:p>
          <w:p w:rsidP="00C3442A" w:rsidR="00392044" w:rsidRDefault="00392044" w:rsidRPr="006506EF">
            <w:pPr>
              <w:adjustRightInd w:val="0"/>
              <w:spacing w:before="29" w:line="360" w:lineRule="auto"/>
              <w:ind w:left="17"/>
              <w:jc w:val="center"/>
              <w:rPr>
                <w:color w:val="000000"/>
                <w:sz w:val="24"/>
              </w:rPr>
            </w:pPr>
            <w:r w:rsidRPr="006506EF">
              <w:rPr>
                <w:color w:val="000000"/>
                <w:sz w:val="24"/>
              </w:rPr>
              <w:t>(</w:t>
            </w:r>
            <w:proofErr w:type="spellStart"/>
            <w:r w:rsidRPr="006506EF">
              <w:rPr>
                <w:color w:val="000000"/>
                <w:sz w:val="24"/>
              </w:rPr>
              <w:t/>
            </w:r>
            <w:proofErr w:type="spellEnd"/>
            <w:r w:rsidRPr="006506EF">
              <w:rPr>
                <w:color w:val="000000"/>
                <w:sz w:val="24"/>
              </w:rPr>
              <w:t>2020年4月1日-</w:t>
            </w:r>
            <w:proofErr w:type="spellStart"/>
            <w:r w:rsidRPr="006506EF">
              <w:rPr>
                <w:color w:val="000000"/>
                <w:sz w:val="24"/>
              </w:rPr>
              <w:t/>
            </w:r>
            <w:proofErr w:type="spellEnd"/>
            <w:r w:rsidRPr="006506EF">
              <w:rPr>
                <w:color w:val="000000"/>
                <w:sz w:val="24"/>
              </w:rPr>
              <w:t>2020年6月30日)</w:t>
            </w:r>
          </w:p>
        </w:tc>
        <w:tc>
          <w:tcPr>
            <w:tcW w:type="dxa" w:w="2410"/>
            <w:hMerge/>
          </w:tcPr>
          <w:p w:rsidP="00C3442A" w:rsidR="00392044" w:rsidRDefault="00392044" w:rsidRPr="006506EF">
            <w:pPr>
              <w:adjustRightInd w:val="0"/>
              <w:spacing w:before="29" w:line="360" w:lineRule="auto"/>
              <w:ind w:left="17"/>
              <w:jc w:val="center"/>
              <w:rPr>
                <w:color w:val="000000"/>
                <w:sz w:val="24"/>
              </w:rPr>
            </w:pPr>
            <w:r w:rsidRPr="006506EF">
              <w:rPr>
                <w:color w:val="000000"/>
                <w:sz w:val="24"/>
              </w:rPr>
              <w:t>上期金额</w:t>
            </w:r>
            <w:r w:rsidRPr="006506EF">
              <w:rPr>
                <w:color w:val="000000"/>
                <w:sz w:val="24"/>
              </w:rPr>
              <w:t/>
            </w:r>
            <w:proofErr w:type="spellStart"/>
            <w:r w:rsidRPr="006506EF">
              <w:rPr>
                <w:color w:val="000000"/>
                <w:sz w:val="24"/>
              </w:rPr>
              <w:t/>
            </w:r>
            <w:proofErr w:type="spellEnd"/>
            <w:r w:rsidRPr="006506EF">
              <w:rPr>
                <w:color w:val="000000"/>
                <w:sz w:val="24"/>
              </w:rPr>
              <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1.</w:t>
            </w:r>
            <w:r w:rsidRPr="006506EF">
              <w:rPr>
                <w:kern w:val="0"/>
                <w:sz w:val="24"/>
              </w:rPr>
              <w:t>本期已实现收益</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31,156,362.02</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2.</w:t>
            </w:r>
            <w:r w:rsidRPr="006506EF">
              <w:rPr>
                <w:kern w:val="0"/>
                <w:sz w:val="24"/>
              </w:rPr>
              <w:t>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249,004,941.65</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3.</w:t>
            </w:r>
            <w:r w:rsidRPr="006506EF">
              <w:rPr>
                <w:kern w:val="0"/>
                <w:sz w:val="24"/>
              </w:rPr>
              <w:t>加权平均基金份额本期利润</w:t>
            </w:r>
          </w:p>
        </w:tc>
        <w:tc>
          <w:tcPr>
            <w:tcW w:type="dxa" w:w="4962"/>
            <w:hMerge w:val="restart"/>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0.2487</w:t>
            </w:r>
          </w:p>
        </w:tc>
        <w:tc>
          <w:tcPr>
            <w:tcW w:type="dxa" w:w="2410"/>
            <w:hMerge/>
            <w:vAlign w:val="bottom"/>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4.</w:t>
            </w:r>
            <w:r w:rsidRPr="006506EF">
              <w:rPr>
                <w:kern w:val="0"/>
                <w:sz w:val="24"/>
              </w:rPr>
              <w:t>期末基金资产净值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1,201,585,177.34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r w:rsidR="00392044" w:rsidRPr="006506EF" w:rsidTr="00C3442A">
        <w:trPr>
          <w:trHeight w:val="158"/>
        </w:trPr>
        <w:tc>
          <w:tcPr>
            <w:tcW w:type="dxa" w:w="3402"/>
          </w:tcPr>
          <w:p w:rsidP="00C3442A" w:rsidR="00392044" w:rsidRDefault="00392044" w:rsidRPr="006506EF">
            <w:pPr>
              <w:adjustRightInd w:val="0"/>
              <w:spacing w:before="29" w:line="360" w:lineRule="auto"/>
              <w:ind w:left="17"/>
              <w:rPr>
                <w:kern w:val="0"/>
                <w:sz w:val="24"/>
              </w:rPr>
            </w:pPr>
            <w:r w:rsidRPr="006506EF">
              <w:rPr>
                <w:kern w:val="0"/>
                <w:sz w:val="24"/>
              </w:rPr>
              <w:t>5.</w:t>
            </w:r>
            <w:r w:rsidRPr="006506EF">
              <w:rPr>
                <w:kern w:val="0"/>
                <w:sz w:val="24"/>
              </w:rPr>
              <w:t>期末基金份额净值</w:t>
            </w:r>
          </w:p>
        </w:tc>
        <w:tc>
          <w:tcPr>
            <w:tcW w:type="dxa" w:w="4962"/>
            <w:hMerge w:val="restart"/>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
            </w:r>
            <w:proofErr w:type="spellStart"/>
            <w:r w:rsidRPr="006506EF">
              <w:rPr>
                <w:color w:val="000000"/>
                <w:sz w:val="24"/>
              </w:rPr>
              <w:t/>
            </w:r>
            <w:proofErr w:type="spellEnd"/>
            <w:r w:rsidRPr="006506EF">
              <w:rPr>
                <w:color w:val="000000"/>
                <w:sz w:val="24"/>
              </w:rPr>
              <w:t>1.234</w:t>
            </w:r>
          </w:p>
        </w:tc>
        <w:tc>
          <w:tcPr>
            <w:tcW w:type="dxa" w:w="2410"/>
            <w:hMerge/>
          </w:tcPr>
          <w:p w:rsidP="00C3442A" w:rsidR="00392044" w:rsidRDefault="00392044" w:rsidRPr="006506EF">
            <w:pPr>
              <w:adjustRightInd w:val="0"/>
              <w:spacing w:before="29" w:line="360" w:lineRule="auto"/>
              <w:ind w:left="17"/>
              <w:jc w:val="right"/>
              <w:rPr>
                <w:color w:val="000000"/>
                <w:sz w:val="24"/>
              </w:rPr>
            </w:pPr>
            <w:r w:rsidRPr="006506EF">
              <w:rPr>
                <w:color w:val="000000"/>
                <w:sz w:val="24"/>
              </w:rPr>
              <w:t>-</w:t>
            </w:r>
          </w:p>
        </w:tc>
      </w:tr>
    </w:tbl>
    <w:p>
      <w:pPr>
        <w:spacing w:line="360" w:lineRule="auto"/>
        <w:ind w:firstLine="480" w:firstLineChars="200"/>
        <w:rPr>
          <w:color w:val="000000"/>
          <w:sz w:val="24"/>
          <w:szCs w:val="24"/>
        </w:rPr>
      </w:pPr>
      <w:r>
        <w:rPr>
          <w:color w:val="000000"/>
          <w:sz w:val="24"/>
        </w:rPr>
        <w:t>注：1.所述基金业绩指标不包括持有人认购或交易基金的各项费用，计入费用后实际收益水平要低于所列数字。</w:t>
      </w:r>
    </w:p>
    <w:p w:rsidP="00232B03" w:rsidR="00750D48" w:rsidRDefault="00392044" w:rsidRPr="00232B03">
      <w:pPr>
        <w:spacing w:line="360" w:lineRule="auto"/>
        <w:ind w:firstLine="480" w:firstLineChars="200"/>
        <w:rPr>
          <w:color w:val="000000"/>
          <w:sz w:val="24"/>
          <w:szCs w:val="24"/>
        </w:rPr>
      </w:pPr>
      <w:r w:rsidRPr="006506EF">
        <w:rPr>
          <w:color w:val="000000"/>
          <w:sz w:val="24"/>
        </w:rPr>
        <w:t/>
      </w:r>
      <w:proofErr w:type="spellStart"/>
      <w:r w:rsidRPr="006506EF">
        <w:rPr>
          <w:color w:val="000000"/>
          <w:sz w:val="24"/>
        </w:rPr>
        <w:t/>
      </w:r>
      <w:proofErr w:type="spellEnd"/>
      <w:r w:rsidRPr="006506EF">
        <w:rPr>
          <w:color w:val="000000"/>
          <w:sz w:val="24"/>
        </w:rPr>
        <w:t/>
      </w:r>
      <w:proofErr w:type="spellStart"/>
      <w:proofErr w:type="gramStart"/>
      <w:r w:rsidRPr="006506EF">
        <w:rPr>
          <w:color w:val="000000"/>
          <w:sz w:val="24"/>
        </w:rPr>
        <w:t/>
      </w:r>
      <w:proofErr w:type="spellEnd"/>
      <w:proofErr w:type="gramEnd"/>
      <w:r w:rsidRPr="006506EF">
        <w:rPr>
          <w:color w:val="000000"/>
          <w:sz w:val="24"/>
        </w:rPr>
        <w:t>2.本期已实现收益指基金本期利息收入、投资收益、其他收入（不含公允价值变动收益）扣除相关费用后的余额，本期利润为本期已实现收益加上本期公允价值变动收益。</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3.2 </w:t>
      </w:r>
      <w:r w:rsidRPr="00264E55">
        <w:rPr>
          <w:rFonts w:ascii="宋体" w:hAnsi="宋体" w:hint="eastAsia"/>
          <w:b/>
          <w:bCs/>
          <w:color w:val="000000"/>
          <w:kern w:val="0"/>
          <w:sz w:val="24"/>
          <w:szCs w:val="24"/>
        </w:rPr>
        <w:t>基金净值表现</w:t>
      </w:r>
    </w:p>
    <w:p w:rsidP="009E7C6A" w:rsidR="00750D48" w:rsidRDefault="00750D48" w:rsidRPr="00264E55">
      <w:pPr>
        <w:autoSpaceDE w:val="0"/>
        <w:autoSpaceDN w:val="0"/>
        <w:adjustRightInd w:val="0"/>
        <w:spacing w:line="360" w:lineRule="auto"/>
        <w:jc w:val="left"/>
        <w:rPr>
          <w:rFonts w:ascii="宋体" w:cs="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3.2.1</w:t>
        </w:r>
      </w:smartTag>
      <w:r w:rsidRPr="00264E55">
        <w:rPr>
          <w:rFonts w:ascii="宋体" w:cs="宋体" w:hAnsi="宋体" w:hint="eastAsia"/>
          <w:b/>
          <w:bCs/>
          <w:color w:val="000000"/>
          <w:kern w:val="0"/>
          <w:sz w:val="24"/>
          <w:szCs w:val="24"/>
        </w:rPr>
        <w:t>本报告</w:t>
      </w:r>
      <w:proofErr w:type="gramStart"/>
      <w:r w:rsidRPr="00264E55">
        <w:rPr>
          <w:rFonts w:ascii="宋体" w:cs="宋体" w:hAnsi="宋体" w:hint="eastAsia"/>
          <w:b/>
          <w:bCs/>
          <w:color w:val="000000"/>
          <w:kern w:val="0"/>
          <w:sz w:val="24"/>
          <w:szCs w:val="24"/>
        </w:rPr>
        <w:t>期基金</w:t>
      </w:r>
      <w:proofErr w:type="gramEnd"/>
      <w:r w:rsidRPr="00264E55">
        <w:rPr>
          <w:rFonts w:ascii="宋体" w:cs="宋体" w:hAnsi="宋体" w:hint="eastAsia"/>
          <w:b/>
          <w:bCs/>
          <w:color w:val="000000"/>
          <w:kern w:val="0"/>
          <w:sz w:val="24"/>
          <w:szCs w:val="24"/>
        </w:rPr>
        <w:t>份额净值增长率及其与同期业绩比较基准收益率的比较</w:t>
      </w:r>
    </w:p>
    <w:tbl>
      <w:tblPr>
        <w:tblW w:type="auto" w:w="0"/>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395"/>
        <w:gridCol w:w="1092"/>
        <w:gridCol w:w="1161"/>
        <w:gridCol w:w="1181"/>
        <w:gridCol w:w="1188"/>
        <w:gridCol w:w="1199"/>
        <w:gridCol w:w="1204"/>
      </w:tblGrid>
      <w:tr w:rsidR="00750D48" w:rsidRPr="00264E55" w:rsidTr="00B05049">
        <w:tc>
          <w:tcPr>
            <w:tcW w:type="dxa" w:w="1395"/>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阶段</w:t>
            </w: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
            </w:r>
          </w:p>
        </w:tc>
        <w:tc>
          <w:tcPr>
            <w:tcW w:type="dxa" w:w="1092"/>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w:t>
            </w:r>
            <w:r w:rsidRPr="00232B03">
              <w:rPr>
                <w:rFonts w:ascii="宋体" w:cs="宋体" w:hAnsi="宋体" w:hint="eastAsia"/>
                <w:color w:val="000000"/>
                <w:kern w:val="0"/>
                <w:sz w:val="24"/>
                <w:szCs w:val="24"/>
              </w:rPr>
              <w:t>①</w:t>
            </w:r>
          </w:p>
        </w:tc>
        <w:tc>
          <w:tcPr>
            <w:tcW w:type="dxa" w:w="116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净值增长率标准差</w:t>
            </w:r>
            <w:r w:rsidRPr="00232B03">
              <w:rPr>
                <w:rFonts w:ascii="宋体" w:cs="宋体" w:hAnsi="宋体" w:hint="eastAsia"/>
                <w:color w:val="000000"/>
                <w:kern w:val="0"/>
                <w:sz w:val="24"/>
                <w:szCs w:val="24"/>
              </w:rPr>
              <w:t>②</w:t>
            </w:r>
          </w:p>
        </w:tc>
        <w:tc>
          <w:tcPr>
            <w:tcW w:type="dxa" w:w="1181"/>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业绩比较基准收益率</w:t>
            </w:r>
            <w:r w:rsidRPr="00232B03">
              <w:rPr>
                <w:rFonts w:ascii="宋体" w:cs="宋体" w:hAnsi="宋体" w:hint="eastAsia"/>
                <w:color w:val="000000"/>
                <w:kern w:val="0"/>
                <w:sz w:val="24"/>
                <w:szCs w:val="24"/>
              </w:rPr>
              <w:lastRenderedPageBreak/>
              <w:t>③</w:t>
            </w:r>
          </w:p>
        </w:tc>
        <w:tc>
          <w:tcPr>
            <w:tcW w:type="dxa" w:w="1188"/>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lastRenderedPageBreak/>
              <w:t>业绩比较基准收益率</w:t>
            </w:r>
            <w:r w:rsidRPr="00232B03">
              <w:rPr>
                <w:color w:val="000000"/>
                <w:kern w:val="0"/>
                <w:sz w:val="24"/>
                <w:szCs w:val="24"/>
              </w:rPr>
              <w:lastRenderedPageBreak/>
              <w:t>标准差</w:t>
            </w:r>
            <w:r w:rsidRPr="00232B03">
              <w:rPr>
                <w:rFonts w:ascii="宋体" w:cs="宋体" w:hAnsi="宋体" w:hint="eastAsia"/>
                <w:color w:val="000000"/>
                <w:kern w:val="0"/>
                <w:sz w:val="24"/>
                <w:szCs w:val="24"/>
              </w:rPr>
              <w:t>④</w:t>
            </w:r>
          </w:p>
        </w:tc>
        <w:tc>
          <w:tcPr>
            <w:tcW w:type="dxa" w:w="1199"/>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lastRenderedPageBreak/>
              <w:t>①</w:t>
            </w:r>
            <w:r w:rsidRPr="00232B03">
              <w:rPr>
                <w:color w:val="000000"/>
                <w:kern w:val="0"/>
                <w:sz w:val="24"/>
                <w:szCs w:val="24"/>
              </w:rPr>
              <w:t>-</w:t>
            </w:r>
            <w:r w:rsidRPr="00232B03">
              <w:rPr>
                <w:rFonts w:ascii="宋体" w:cs="宋体" w:hAnsi="宋体" w:hint="eastAsia"/>
                <w:color w:val="000000"/>
                <w:kern w:val="0"/>
                <w:sz w:val="24"/>
                <w:szCs w:val="24"/>
              </w:rPr>
              <w:t>③</w:t>
            </w:r>
          </w:p>
        </w:tc>
        <w:tc>
          <w:tcPr>
            <w:tcW w:type="dxa" w:w="1204"/>
            <w:vAlign w:val="center"/>
          </w:tcPr>
          <w:p w:rsidP="00B05049"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rFonts w:ascii="宋体" w:cs="宋体" w:hAnsi="宋体" w:hint="eastAsia"/>
                <w:color w:val="000000"/>
                <w:kern w:val="0"/>
                <w:sz w:val="24"/>
                <w:szCs w:val="24"/>
              </w:rPr>
              <w:t>②</w:t>
            </w:r>
            <w:r w:rsidRPr="00232B03">
              <w:rPr>
                <w:color w:val="000000"/>
                <w:kern w:val="0"/>
                <w:sz w:val="24"/>
                <w:szCs w:val="24"/>
              </w:rPr>
              <w:t>-</w:t>
            </w:r>
            <w:r w:rsidRPr="00232B03">
              <w:rPr>
                <w:rFonts w:ascii="宋体" w:cs="宋体" w:hAnsi="宋体" w:hint="eastAsia"/>
                <w:color w:val="000000"/>
                <w:kern w:val="0"/>
                <w:sz w:val="24"/>
                <w:szCs w:val="24"/>
              </w:rPr>
              <w:t>④</w:t>
            </w:r>
          </w:p>
        </w:tc>
      </w:tr>
      <w:tr>
        <w:tc>
          <w:tcPr>
            <w:vAlign w:val="center"/>
          </w:tcPr>
          <w:p>
            <w:pPr>
              <w:jc w:val="left"/>
            </w:pPr>
            <w:r>
              <w:rPr>
                <w:color w:val="000000"/>
                <w:kern w:val="0"/>
                <w:sz w:val="24"/>
                <w:szCs w:val="24"/>
              </w:rPr>
              <w:t>过去三个月</w:t>
            </w:r>
          </w:p>
        </w:tc>
        <w:tc>
          <w:tcPr>
            <w:vAlign w:val="center"/>
          </w:tcPr>
          <w:p>
            <w:pPr>
              <w:jc w:val="center"/>
            </w:pPr>
            <w:r>
              <w:rPr>
                <w:color w:val="000000"/>
                <w:kern w:val="0"/>
                <w:sz w:val="24"/>
                <w:szCs w:val="24"/>
              </w:rPr>
              <w:t>25.41%</w:t>
            </w:r>
          </w:p>
        </w:tc>
        <w:tc>
          <w:tcPr>
            <w:vAlign w:val="center"/>
          </w:tcPr>
          <w:p>
            <w:pPr>
              <w:jc w:val="center"/>
            </w:pPr>
            <w:r>
              <w:rPr>
                <w:color w:val="000000"/>
                <w:kern w:val="0"/>
                <w:sz w:val="24"/>
                <w:szCs w:val="24"/>
              </w:rPr>
              <w:t>1.26%</w:t>
            </w:r>
          </w:p>
        </w:tc>
        <w:tc>
          <w:tcPr>
            <w:vAlign w:val="center"/>
          </w:tcPr>
          <w:p>
            <w:pPr>
              <w:jc w:val="center"/>
            </w:pPr>
            <w:r>
              <w:rPr>
                <w:color w:val="000000"/>
                <w:kern w:val="0"/>
                <w:sz w:val="24"/>
                <w:szCs w:val="24"/>
              </w:rPr>
              <w:t>6.56%</w:t>
            </w:r>
          </w:p>
        </w:tc>
        <w:tc>
          <w:tcPr>
            <w:vAlign w:val="center"/>
          </w:tcPr>
          <w:p>
            <w:pPr>
              <w:jc w:val="center"/>
            </w:pPr>
            <w:r>
              <w:rPr>
                <w:color w:val="000000"/>
                <w:kern w:val="0"/>
                <w:sz w:val="24"/>
                <w:szCs w:val="24"/>
              </w:rPr>
              <w:t>0.59%</w:t>
            </w:r>
          </w:p>
        </w:tc>
        <w:tc>
          <w:tcPr>
            <w:vAlign w:val="center"/>
          </w:tcPr>
          <w:p>
            <w:pPr>
              <w:jc w:val="center"/>
            </w:pPr>
            <w:r>
              <w:rPr>
                <w:color w:val="000000"/>
                <w:kern w:val="0"/>
                <w:sz w:val="24"/>
                <w:szCs w:val="24"/>
              </w:rPr>
              <w:t>18.85%</w:t>
            </w:r>
          </w:p>
        </w:tc>
        <w:tc>
          <w:tcPr>
            <w:vAlign w:val="center"/>
          </w:tcPr>
          <w:p>
            <w:pPr>
              <w:jc w:val="center"/>
            </w:pPr>
            <w:r>
              <w:rPr>
                <w:color w:val="000000"/>
                <w:kern w:val="0"/>
                <w:sz w:val="24"/>
                <w:szCs w:val="24"/>
              </w:rPr>
              <w:t>0.67%</w:t>
            </w:r>
          </w:p>
        </w:tc>
      </w:tr>
      <w:tr>
        <w:tc>
          <w:tcPr>
            <w:vAlign w:val="center"/>
          </w:tcPr>
          <w:p>
            <w:pPr>
              <w:jc w:val="left"/>
            </w:pPr>
            <w:r>
              <w:rPr>
                <w:color w:val="000000"/>
                <w:kern w:val="0"/>
                <w:sz w:val="24"/>
                <w:szCs w:val="24"/>
              </w:rPr>
              <w:t>过去六个月</w:t>
            </w:r>
          </w:p>
        </w:tc>
        <w:tc>
          <w:tcPr>
            <w:vAlign w:val="center"/>
          </w:tcPr>
          <w:p>
            <w:pPr>
              <w:jc w:val="center"/>
            </w:pPr>
            <w:r>
              <w:rPr>
                <w:color w:val="000000"/>
                <w:kern w:val="0"/>
                <w:sz w:val="24"/>
                <w:szCs w:val="24"/>
              </w:rPr>
              <w:t>22.36%</w:t>
            </w:r>
          </w:p>
        </w:tc>
        <w:tc>
          <w:tcPr>
            <w:vAlign w:val="center"/>
          </w:tcPr>
          <w:p>
            <w:pPr>
              <w:jc w:val="center"/>
            </w:pPr>
            <w:r>
              <w:rPr>
                <w:color w:val="000000"/>
                <w:kern w:val="0"/>
                <w:sz w:val="24"/>
                <w:szCs w:val="24"/>
              </w:rPr>
              <w:t>1.76%</w:t>
            </w:r>
          </w:p>
        </w:tc>
        <w:tc>
          <w:tcPr>
            <w:vAlign w:val="center"/>
          </w:tcPr>
          <w:p>
            <w:pPr>
              <w:jc w:val="center"/>
            </w:pPr>
            <w:r>
              <w:rPr>
                <w:color w:val="000000"/>
                <w:kern w:val="0"/>
                <w:sz w:val="24"/>
                <w:szCs w:val="24"/>
              </w:rPr>
              <w:t>-0.86%</w:t>
            </w:r>
          </w:p>
        </w:tc>
        <w:tc>
          <w:tcPr>
            <w:vAlign w:val="center"/>
          </w:tcPr>
          <w:p>
            <w:pPr>
              <w:jc w:val="center"/>
            </w:pPr>
            <w:r>
              <w:rPr>
                <w:color w:val="000000"/>
                <w:kern w:val="0"/>
                <w:sz w:val="24"/>
                <w:szCs w:val="24"/>
              </w:rPr>
              <w:t>1.02%</w:t>
            </w:r>
          </w:p>
        </w:tc>
        <w:tc>
          <w:tcPr>
            <w:vAlign w:val="center"/>
          </w:tcPr>
          <w:p>
            <w:pPr>
              <w:jc w:val="center"/>
            </w:pPr>
            <w:r>
              <w:rPr>
                <w:color w:val="000000"/>
                <w:kern w:val="0"/>
                <w:sz w:val="24"/>
                <w:szCs w:val="24"/>
              </w:rPr>
              <w:t>23.22%</w:t>
            </w:r>
          </w:p>
        </w:tc>
        <w:tc>
          <w:tcPr>
            <w:vAlign w:val="center"/>
          </w:tcPr>
          <w:p>
            <w:pPr>
              <w:jc w:val="center"/>
            </w:pPr>
            <w:r>
              <w:rPr>
                <w:color w:val="000000"/>
                <w:kern w:val="0"/>
                <w:sz w:val="24"/>
                <w:szCs w:val="24"/>
              </w:rPr>
              <w:t>0.74%</w:t>
            </w:r>
          </w:p>
        </w:tc>
      </w:tr>
      <w:tr>
        <w:tc>
          <w:tcPr>
            <w:vAlign w:val="center"/>
          </w:tcPr>
          <w:p>
            <w:pPr>
              <w:jc w:val="left"/>
            </w:pPr>
            <w:r>
              <w:rPr>
                <w:color w:val="000000"/>
                <w:kern w:val="0"/>
                <w:sz w:val="24"/>
                <w:szCs w:val="24"/>
              </w:rPr>
              <w:t>过去一年</w:t>
            </w:r>
          </w:p>
        </w:tc>
        <w:tc>
          <w:tcPr>
            <w:vAlign w:val="center"/>
          </w:tcPr>
          <w:p>
            <w:pPr>
              <w:jc w:val="center"/>
            </w:pPr>
            <w:r>
              <w:rPr>
                <w:color w:val="000000"/>
                <w:kern w:val="0"/>
                <w:sz w:val="24"/>
                <w:szCs w:val="24"/>
              </w:rPr>
              <w:t>40.17%</w:t>
            </w:r>
          </w:p>
        </w:tc>
        <w:tc>
          <w:tcPr>
            <w:vAlign w:val="center"/>
          </w:tcPr>
          <w:p>
            <w:pPr>
              <w:jc w:val="center"/>
            </w:pPr>
            <w:r>
              <w:rPr>
                <w:color w:val="000000"/>
                <w:kern w:val="0"/>
                <w:sz w:val="24"/>
                <w:szCs w:val="24"/>
              </w:rPr>
              <w:t>1.44%</w:t>
            </w:r>
          </w:p>
        </w:tc>
        <w:tc>
          <w:tcPr>
            <w:vAlign w:val="center"/>
          </w:tcPr>
          <w:p>
            <w:pPr>
              <w:jc w:val="center"/>
            </w:pPr>
            <w:r>
              <w:rPr>
                <w:color w:val="000000"/>
                <w:kern w:val="0"/>
                <w:sz w:val="24"/>
                <w:szCs w:val="24"/>
              </w:rPr>
              <w:t>1.52%</w:t>
            </w:r>
          </w:p>
        </w:tc>
        <w:tc>
          <w:tcPr>
            <w:vAlign w:val="center"/>
          </w:tcPr>
          <w:p>
            <w:pPr>
              <w:jc w:val="center"/>
            </w:pPr>
            <w:r>
              <w:rPr>
                <w:color w:val="000000"/>
                <w:kern w:val="0"/>
                <w:sz w:val="24"/>
                <w:szCs w:val="24"/>
              </w:rPr>
              <w:t>0.83%</w:t>
            </w:r>
          </w:p>
        </w:tc>
        <w:tc>
          <w:tcPr>
            <w:vAlign w:val="center"/>
          </w:tcPr>
          <w:p>
            <w:pPr>
              <w:jc w:val="center"/>
            </w:pPr>
            <w:r>
              <w:rPr>
                <w:color w:val="000000"/>
                <w:kern w:val="0"/>
                <w:sz w:val="24"/>
                <w:szCs w:val="24"/>
              </w:rPr>
              <w:t>38.65%</w:t>
            </w:r>
          </w:p>
        </w:tc>
        <w:tc>
          <w:tcPr>
            <w:vAlign w:val="center"/>
          </w:tcPr>
          <w:p>
            <w:pPr>
              <w:jc w:val="center"/>
            </w:pPr>
            <w:r>
              <w:rPr>
                <w:color w:val="000000"/>
                <w:kern w:val="0"/>
                <w:sz w:val="24"/>
                <w:szCs w:val="24"/>
              </w:rPr>
              <w:t>0.61%</w:t>
            </w:r>
          </w:p>
        </w:tc>
      </w:tr>
      <w:tr>
        <w:tc>
          <w:tcPr>
            <w:vAlign w:val="center"/>
          </w:tcPr>
          <w:p>
            <w:pPr>
              <w:jc w:val="left"/>
            </w:pPr>
            <w:r>
              <w:rPr>
                <w:color w:val="000000"/>
                <w:kern w:val="0"/>
                <w:sz w:val="24"/>
                <w:szCs w:val="24"/>
              </w:rPr>
              <w:t>过去三年</w:t>
            </w:r>
          </w:p>
        </w:tc>
        <w:tc>
          <w:tcPr>
            <w:vAlign w:val="center"/>
          </w:tcPr>
          <w:p>
            <w:pPr>
              <w:jc w:val="center"/>
            </w:pPr>
            <w:r>
              <w:rPr>
                <w:color w:val="000000"/>
                <w:kern w:val="0"/>
                <w:sz w:val="24"/>
                <w:szCs w:val="24"/>
              </w:rPr>
              <w:t>29.22%</w:t>
            </w:r>
          </w:p>
        </w:tc>
        <w:tc>
          <w:tcPr>
            <w:vAlign w:val="center"/>
          </w:tcPr>
          <w:p>
            <w:pPr>
              <w:jc w:val="center"/>
            </w:pPr>
            <w:r>
              <w:rPr>
                <w:color w:val="000000"/>
                <w:kern w:val="0"/>
                <w:sz w:val="24"/>
                <w:szCs w:val="24"/>
              </w:rPr>
              <w:t>1.42%</w:t>
            </w:r>
          </w:p>
        </w:tc>
        <w:tc>
          <w:tcPr>
            <w:vAlign w:val="center"/>
          </w:tcPr>
          <w:p>
            <w:pPr>
              <w:jc w:val="center"/>
            </w:pPr>
            <w:r>
              <w:rPr>
                <w:color w:val="000000"/>
                <w:kern w:val="0"/>
                <w:sz w:val="24"/>
                <w:szCs w:val="24"/>
              </w:rPr>
              <w:t>-1.39%</w:t>
            </w:r>
          </w:p>
        </w:tc>
        <w:tc>
          <w:tcPr>
            <w:vAlign w:val="center"/>
          </w:tcPr>
          <w:p>
            <w:pPr>
              <w:jc w:val="center"/>
            </w:pPr>
            <w:r>
              <w:rPr>
                <w:color w:val="000000"/>
                <w:kern w:val="0"/>
                <w:sz w:val="24"/>
                <w:szCs w:val="24"/>
              </w:rPr>
              <w:t>0.85%</w:t>
            </w:r>
          </w:p>
        </w:tc>
        <w:tc>
          <w:tcPr>
            <w:vAlign w:val="center"/>
          </w:tcPr>
          <w:p>
            <w:pPr>
              <w:jc w:val="center"/>
            </w:pPr>
            <w:r>
              <w:rPr>
                <w:color w:val="000000"/>
                <w:kern w:val="0"/>
                <w:sz w:val="24"/>
                <w:szCs w:val="24"/>
              </w:rPr>
              <w:t>30.61%</w:t>
            </w:r>
          </w:p>
        </w:tc>
        <w:tc>
          <w:tcPr>
            <w:vAlign w:val="center"/>
          </w:tcPr>
          <w:p>
            <w:pPr>
              <w:jc w:val="center"/>
            </w:pPr>
            <w:r>
              <w:rPr>
                <w:color w:val="000000"/>
                <w:kern w:val="0"/>
                <w:sz w:val="24"/>
                <w:szCs w:val="24"/>
              </w:rPr>
              <w:t>0.57%</w:t>
            </w:r>
          </w:p>
        </w:tc>
      </w:tr>
      <w:tr>
        <w:tc>
          <w:tcPr>
            <w:vAlign w:val="center"/>
          </w:tcPr>
          <w:p>
            <w:pPr>
              <w:jc w:val="left"/>
            </w:pPr>
            <w:r>
              <w:rPr>
                <w:color w:val="000000"/>
                <w:kern w:val="0"/>
                <w:sz w:val="24"/>
                <w:szCs w:val="24"/>
              </w:rPr>
              <w:t>过去五年</w:t>
            </w:r>
          </w:p>
        </w:tc>
        <w:tc>
          <w:tcPr>
            <w:vAlign w:val="center"/>
          </w:tcPr>
          <w:p>
            <w:pPr>
              <w:jc w:val="center"/>
            </w:pPr>
            <w:r>
              <w:rPr>
                <w:color w:val="000000"/>
                <w:kern w:val="0"/>
                <w:sz w:val="24"/>
                <w:szCs w:val="24"/>
              </w:rPr>
              <w:t>-13.43%</w:t>
            </w:r>
          </w:p>
        </w:tc>
        <w:tc>
          <w:tcPr>
            <w:vAlign w:val="center"/>
          </w:tcPr>
          <w:p>
            <w:pPr>
              <w:jc w:val="center"/>
            </w:pPr>
            <w:r>
              <w:rPr>
                <w:color w:val="000000"/>
                <w:kern w:val="0"/>
                <w:sz w:val="24"/>
                <w:szCs w:val="24"/>
              </w:rPr>
              <w:t>1.70%</w:t>
            </w:r>
          </w:p>
        </w:tc>
        <w:tc>
          <w:tcPr>
            <w:vAlign w:val="center"/>
          </w:tcPr>
          <w:p>
            <w:pPr>
              <w:jc w:val="center"/>
            </w:pPr>
            <w:r>
              <w:rPr>
                <w:color w:val="000000"/>
                <w:kern w:val="0"/>
                <w:sz w:val="24"/>
                <w:szCs w:val="24"/>
              </w:rPr>
              <w:t>-17.15%</w:t>
            </w:r>
          </w:p>
        </w:tc>
        <w:tc>
          <w:tcPr>
            <w:vAlign w:val="center"/>
          </w:tcPr>
          <w:p>
            <w:pPr>
              <w:jc w:val="center"/>
            </w:pPr>
            <w:r>
              <w:rPr>
                <w:color w:val="000000"/>
                <w:kern w:val="0"/>
                <w:sz w:val="24"/>
                <w:szCs w:val="24"/>
              </w:rPr>
              <w:t>1.04%</w:t>
            </w:r>
          </w:p>
        </w:tc>
        <w:tc>
          <w:tcPr>
            <w:vAlign w:val="center"/>
          </w:tcPr>
          <w:p>
            <w:pPr>
              <w:jc w:val="center"/>
            </w:pPr>
            <w:r>
              <w:rPr>
                <w:color w:val="000000"/>
                <w:kern w:val="0"/>
                <w:sz w:val="24"/>
                <w:szCs w:val="24"/>
              </w:rPr>
              <w:t>3.72%</w:t>
            </w:r>
          </w:p>
        </w:tc>
        <w:tc>
          <w:tcPr>
            <w:vAlign w:val="center"/>
          </w:tcPr>
          <w:p>
            <w:pPr>
              <w:jc w:val="center"/>
            </w:pPr>
            <w:r>
              <w:rPr>
                <w:color w:val="000000"/>
                <w:kern w:val="0"/>
                <w:sz w:val="24"/>
                <w:szCs w:val="24"/>
              </w:rPr>
              <w:t>0.66%</w:t>
            </w:r>
          </w:p>
        </w:tc>
      </w:tr>
      <w:tr>
        <w:tc>
          <w:tcPr>
            <w:vAlign w:val="center"/>
          </w:tcPr>
          <w:p>
            <w:pPr>
              <w:jc w:val="left"/>
            </w:pPr>
            <w:r>
              <w:rPr>
                <w:color w:val="000000"/>
                <w:kern w:val="0"/>
                <w:sz w:val="24"/>
                <w:szCs w:val="24"/>
              </w:rPr>
              <w:t>自基金合同生效起至今</w:t>
            </w:r>
          </w:p>
        </w:tc>
        <w:tc>
          <w:tcPr>
            <w:vAlign w:val="center"/>
          </w:tcPr>
          <w:p>
            <w:pPr>
              <w:jc w:val="center"/>
            </w:pPr>
            <w:r>
              <w:rPr>
                <w:color w:val="000000"/>
                <w:kern w:val="0"/>
                <w:sz w:val="24"/>
                <w:szCs w:val="24"/>
              </w:rPr>
              <w:t>289.61%</w:t>
            </w:r>
          </w:p>
        </w:tc>
        <w:tc>
          <w:tcPr>
            <w:vAlign w:val="center"/>
          </w:tcPr>
          <w:p>
            <w:pPr>
              <w:jc w:val="center"/>
            </w:pPr>
            <w:r>
              <w:rPr>
                <w:color w:val="000000"/>
                <w:kern w:val="0"/>
                <w:sz w:val="24"/>
                <w:szCs w:val="24"/>
              </w:rPr>
              <w:t>1.58%</w:t>
            </w:r>
          </w:p>
        </w:tc>
        <w:tc>
          <w:tcPr>
            <w:vAlign w:val="center"/>
          </w:tcPr>
          <w:p>
            <w:pPr>
              <w:jc w:val="center"/>
            </w:pPr>
            <w:r>
              <w:rPr>
                <w:color w:val="000000"/>
                <w:kern w:val="0"/>
                <w:sz w:val="24"/>
                <w:szCs w:val="24"/>
              </w:rPr>
              <w:t>81.37%</w:t>
            </w:r>
          </w:p>
        </w:tc>
        <w:tc>
          <w:tcPr>
            <w:vAlign w:val="center"/>
          </w:tcPr>
          <w:p>
            <w:pPr>
              <w:jc w:val="center"/>
            </w:pPr>
            <w:r>
              <w:rPr>
                <w:color w:val="000000"/>
                <w:kern w:val="0"/>
                <w:sz w:val="24"/>
                <w:szCs w:val="24"/>
              </w:rPr>
              <w:t>1.22%</w:t>
            </w:r>
          </w:p>
        </w:tc>
        <w:tc>
          <w:tcPr>
            <w:vAlign w:val="center"/>
          </w:tcPr>
          <w:p>
            <w:pPr>
              <w:jc w:val="center"/>
            </w:pPr>
            <w:r>
              <w:rPr>
                <w:color w:val="000000"/>
                <w:kern w:val="0"/>
                <w:sz w:val="24"/>
                <w:szCs w:val="24"/>
              </w:rPr>
              <w:t>208.24%</w:t>
            </w:r>
          </w:p>
        </w:tc>
        <w:tc>
          <w:tcPr>
            <w:vAlign w:val="center"/>
          </w:tcPr>
          <w:p>
            <w:pPr>
              <w:jc w:val="center"/>
            </w:pPr>
            <w:r>
              <w:rPr>
                <w:color w:val="000000"/>
                <w:kern w:val="0"/>
                <w:sz w:val="24"/>
                <w:szCs w:val="24"/>
              </w:rPr>
              <w:t>0.36%</w:t>
            </w:r>
          </w:p>
        </w:tc>
      </w:tr>
    </w:tbl>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b/>
            <w:bCs/>
            <w:color w:val="000000"/>
            <w:kern w:val="0"/>
            <w:sz w:val="24"/>
            <w:szCs w:val="24"/>
          </w:rPr>
          <w:t>3.2.2</w:t>
        </w:r>
        <w:r w:rsidR="00D87469" w:rsidRPr="00370BEA">
          <w:rPr>
            <w:rStyle w:val="afb"/>
            <w:rFonts w:hint="eastAsia"/>
            <w:color w:val="000000"/>
            <w:sz w:val="24"/>
            <w:shd w:color="auto" w:fill="FFFFFF" w:val="clear"/>
          </w:rPr>
          <w:t/>
        </w:r>
        <w:proofErr w:type="spellStart"/>
        <w:r w:rsidR="00D87469" w:rsidRPr="00370BEA">
          <w:rPr>
            <w:rStyle w:val="afb"/>
            <w:rFonts w:hint="eastAsia"/>
            <w:color w:val="000000"/>
            <w:sz w:val="24"/>
            <w:shd w:color="auto" w:fill="FFFFFF" w:val="clear"/>
          </w:rPr>
          <w:t/>
        </w:r>
        <w:proofErr w:type="spellEnd"/>
        <w:r w:rsidR="00D87469" w:rsidRPr="00370BEA">
          <w:rPr>
            <w:rStyle w:val="afb"/>
            <w:rFonts w:hint="eastAsia"/>
            <w:color w:val="000000"/>
            <w:sz w:val="24"/>
            <w:shd w:color="auto" w:fill="FFFFFF" w:val="clear"/>
          </w:rPr>
          <w:t>自基金合同生效以来</w:t>
        </w:r>
      </w:smartTag>
      <w:r w:rsidRPr="00264E55">
        <w:rPr>
          <w:rFonts w:ascii="宋体" w:hAnsi="宋体" w:hint="eastAsia"/>
          <w:b/>
          <w:bCs/>
          <w:color w:val="000000"/>
          <w:kern w:val="0"/>
          <w:sz w:val="24"/>
          <w:szCs w:val="24"/>
        </w:rPr>
        <w:t>基金累计净值增长率变动及其与同期业绩比较基准收益率变动的比较</w:t>
      </w:r>
    </w:p>
    <w:p w:rsidP="009E7C6A" w:rsidR="00750D48" w:rsidRDefault="00750D48" w:rsidRPr="0074694E">
      <w:pPr>
        <w:spacing w:line="360" w:lineRule="auto"/>
        <w:jc w:val="center"/>
        <w:rPr>
          <w:color w:val="000000"/>
          <w:sz w:val="24"/>
          <w:szCs w:val="24"/>
        </w:rPr>
      </w:pPr>
      <w:r w:rsidRPr="0074694E">
        <w:rPr>
          <w:color w:val="000000"/>
          <w:sz w:val="24"/>
          <w:szCs w:val="24"/>
        </w:rPr>
        <w:t/>
      </w:r>
      <w:proofErr w:type="spellStart"/>
      <w:r w:rsidRPr="0074694E">
        <w:rPr>
          <w:color w:val="000000"/>
          <w:sz w:val="24"/>
          <w:szCs w:val="24"/>
        </w:rPr>
        <w:t/>
      </w:r>
      <w:proofErr w:type="spellEnd"/>
      <w:r w:rsidRPr="0074694E">
        <w:rPr>
          <w:color w:val="000000"/>
          <w:sz w:val="24"/>
          <w:szCs w:val="24"/>
        </w:rPr>
        <w:t>易方达策略成长二号混合型证券投资基金</w:t>
      </w:r>
    </w:p>
    <w:p w:rsidP="009E7C6A" w:rsidR="00750D48" w:rsidRDefault="00750D48" w:rsidRPr="0074694E">
      <w:pPr>
        <w:pStyle w:val="a5"/>
        <w:snapToGrid w:val="0"/>
        <w:spacing w:line="360" w:lineRule="auto"/>
        <w:jc w:val="center"/>
        <w:rPr>
          <w:rFonts w:ascii="Times New Roman" w:hAnsi="Times New Roman"/>
          <w:color w:val="000000"/>
          <w:sz w:val="24"/>
          <w:szCs w:val="24"/>
        </w:rPr>
      </w:pPr>
      <w:r w:rsidRPr="0074694E">
        <w:rPr>
          <w:rFonts w:ascii="Times New Roman" w:hAnsi="Times New Roman"/>
          <w:color w:val="000000"/>
          <w:sz w:val="24"/>
          <w:szCs w:val="24"/>
        </w:rPr>
        <w:t>累计净值增长率与业绩比较基准收益率的历史走势对比图</w:t>
      </w:r>
    </w:p>
    <w:p w:rsidP="009E7C6A" w:rsidR="00750D48" w:rsidRDefault="005F7917" w:rsidRPr="0074694E">
      <w:pPr>
        <w:pStyle w:val="a5"/>
        <w:snapToGrid w:val="0"/>
        <w:spacing w:line="360" w:lineRule="auto"/>
        <w:ind w:firstLine="480"/>
        <w:jc w:val="center"/>
        <w:rPr>
          <w:rFonts w:ascii="Times New Roman" w:hAnsi="Times New Roman"/>
          <w:sz w:val="24"/>
          <w:szCs w:val="24"/>
        </w:rPr>
      </w:pPr>
      <w:r w:rsidRPr="0074694E">
        <w:rPr>
          <w:rFonts w:ascii="Times New Roman" w:hAnsi="Times New Roman"/>
          <w:sz w:val="24"/>
          <w:szCs w:val="24"/>
        </w:rPr>
        <w:t>（</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2006年8月16日</w:t>
      </w:r>
      <w:r w:rsidRPr="0074694E">
        <w:rPr>
          <w:rFonts w:ascii="Times New Roman" w:hAnsi="Times New Roman"/>
          <w:sz w:val="24"/>
          <w:szCs w:val="24"/>
        </w:rPr>
        <w:t>至</w:t>
      </w:r>
      <w:r w:rsidRPr="0074694E">
        <w:rPr>
          <w:rFonts w:ascii="Times New Roman" w:hAnsi="Times New Roman"/>
          <w:sz w:val="24"/>
          <w:szCs w:val="24"/>
        </w:rPr>
        <w:t/>
      </w:r>
      <w:proofErr w:type="spellStart"/>
      <w:r w:rsidRPr="0074694E">
        <w:rPr>
          <w:rFonts w:ascii="Times New Roman" w:hAnsi="Times New Roman"/>
          <w:sz w:val="24"/>
          <w:szCs w:val="24"/>
        </w:rPr>
        <w:t/>
      </w:r>
      <w:proofErr w:type="spellEnd"/>
      <w:r w:rsidRPr="0074694E">
        <w:rPr>
          <w:rFonts w:ascii="Times New Roman" w:hAnsi="Times New Roman"/>
          <w:sz w:val="24"/>
          <w:szCs w:val="24"/>
        </w:rPr>
        <w:t>2020年6月30日</w:t>
      </w:r>
      <w:r w:rsidRPr="0074694E">
        <w:rPr>
          <w:rFonts w:ascii="Times New Roman" w:hAnsi="Times New Roman"/>
          <w:sz w:val="24"/>
          <w:szCs w:val="24"/>
        </w:rPr>
        <w:t>）</w:t>
      </w:r>
    </w:p>
    <w:p w:rsidP="004061AC" w:rsidR="00750D48" w:rsidRDefault="00B371D4" w:rsidRPr="00264E55">
      <w:pPr>
        <w:pStyle w:val="a5"/>
        <w:snapToGrid w:val="0"/>
        <w:spacing w:before="120" w:line="360" w:lineRule="auto"/>
        <w:jc w:val="center"/>
        <w:rPr>
          <w:rFonts w:hAnsi="宋体"/>
          <w:color w:val="000000"/>
          <w:sz w:val="24"/>
          <w:szCs w:val="24"/>
        </w:rPr>
      </w:pPr>
      <w:r>
        <w:rPr>
          <w:rFonts w:hAnsi="宋体"/>
          <w:noProof/>
          <w:color w:val="000000"/>
          <w:sz w:val="24"/>
          <w:szCs w:val="24"/>
        </w:rPr>
        <w:pict>
          <v:shapetype coordsize="21600,21600" filled="f" id="_x0000_t75" o:preferrelative="t" o:spt="75" path="m@4@5l@4@11@9@11@9@5xe"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id="图片 1" o:spid="_x0000_i1025" style="width:412.5pt;height:241.5pt;visibility:visible" type="#_x0000_t75">
            <v:imagedata o:title="" r:id="rId11"/>
          </v:shape>
        </w:pic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注：自基金合同生效至报告期末，基金份额净值增长率为289.61%，同期业绩比较基准收益率为81.37%。</w:t>
      </w:r>
    </w:p>
    <w:p w:rsidP="00693843" w:rsidR="00750D48" w:rsidRDefault="00750D48" w:rsidRPr="00232B03">
      <w:pPr>
        <w:tabs>
          <w:tab w:pos="1800" w:val="left"/>
        </w:tabs>
        <w:spacing w:line="288" w:lineRule="auto"/>
        <w:rPr>
          <w:color w:val="000000"/>
          <w:sz w:val="24"/>
          <w:szCs w:val="24"/>
        </w:rPr>
      </w:pP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4  </w:t>
      </w:r>
      <w:r w:rsidRPr="00264E55">
        <w:rPr>
          <w:rFonts w:ascii="宋体" w:hAnsi="宋体" w:hint="eastAsia"/>
          <w:color w:val="000000"/>
          <w:kern w:val="0"/>
          <w:sz w:val="24"/>
          <w:szCs w:val="24"/>
        </w:rPr>
        <w:t>管理人报告</w:t>
      </w:r>
    </w:p>
    <w:p w:rsidP="004D28A3" w:rsidR="004D28A3" w:rsidRDefault="00750D48" w:rsidRPr="0078105B">
      <w:pPr>
        <w:autoSpaceDE w:val="0"/>
        <w:autoSpaceDN w:val="0"/>
        <w:adjustRightInd w:val="0"/>
        <w:spacing w:line="360" w:lineRule="auto"/>
        <w:jc w:val="left"/>
        <w:rPr>
          <w:rFonts w:ascii="宋体" w:cs="Arial"/>
          <w:b/>
          <w:color w:val="000000"/>
          <w:kern w:val="0"/>
          <w:sz w:val="24"/>
        </w:rPr>
      </w:pPr>
      <w:r w:rsidRPr="00264E55">
        <w:rPr>
          <w:rFonts w:ascii="宋体" w:hAnsi="宋体"/>
          <w:b/>
          <w:bCs/>
          <w:color w:val="000000"/>
          <w:kern w:val="0"/>
          <w:sz w:val="24"/>
          <w:szCs w:val="24"/>
        </w:rPr>
        <w:t xml:space="preserve">4.1 </w:t>
      </w:r>
      <w:r w:rsidRPr="00264E55">
        <w:rPr>
          <w:rFonts w:ascii="宋体" w:hAnsi="宋体" w:hint="eastAsia"/>
          <w:b/>
          <w:bCs/>
          <w:color w:val="000000"/>
          <w:kern w:val="0"/>
          <w:sz w:val="24"/>
          <w:szCs w:val="24"/>
        </w:rPr>
        <w:t>基金经理</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或基金经理小组</w:t>
      </w:r>
      <w:r w:rsidRPr="00264E55">
        <w:rPr>
          <w:rFonts w:ascii="宋体" w:hAnsi="宋体"/>
          <w:b/>
          <w:bCs/>
          <w:color w:val="000000"/>
          <w:kern w:val="0"/>
          <w:sz w:val="24"/>
          <w:szCs w:val="24"/>
        </w:rPr>
        <w:t>)</w:t>
      </w:r>
      <w:r w:rsidRPr="00264E55">
        <w:rPr>
          <w:rFonts w:ascii="宋体" w:hAnsi="宋体" w:hint="eastAsia"/>
          <w:b/>
          <w:bCs/>
          <w:color w:val="000000"/>
          <w:kern w:val="0"/>
          <w:sz w:val="24"/>
          <w:szCs w:val="24"/>
        </w:rPr>
        <w:t>简介</w:t>
      </w:r>
    </w:p>
    <w:tbl>
      <w:tblPr>
        <w:tblW w:type="dxa" w:w="8931"/>
        <w:tblInd w:type="dxa" w:w="108"/>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567"/>
        <w:gridCol w:w="2835"/>
        <w:gridCol w:w="851"/>
        <w:gridCol w:w="850"/>
        <w:gridCol w:w="851"/>
        <w:gridCol w:w="2977"/>
      </w:tblGrid>
      <w:tr w:rsidR="004D28A3" w:rsidRPr="0078105B" w:rsidTr="003328D9">
        <w:trPr>
          <w:cantSplit/>
        </w:trPr>
        <w:tc>
          <w:tcPr>
            <w:tcW w:type="dxa" w:w="56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姓名</w:t>
            </w:r>
          </w:p>
        </w:tc>
        <w:tc>
          <w:tcPr>
            <w:tcW w:type="dxa" w:w="2835"/>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职务</w:t>
            </w:r>
          </w:p>
        </w:tc>
        <w:tc>
          <w:tcPr>
            <w:tcW w:type="dxa" w:w="1701"/>
            <w:gridSpan w:val="2"/>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任本基金的基金经理期限</w:t>
            </w:r>
          </w:p>
        </w:tc>
        <w:tc>
          <w:tcPr>
            <w:tcW w:type="dxa" w:w="851"/>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证券从业年限</w:t>
            </w:r>
          </w:p>
        </w:tc>
        <w:tc>
          <w:tcPr>
            <w:tcW w:type="dxa" w:w="2977"/>
            <w:vMerge w:val="restart"/>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说明</w:t>
            </w:r>
          </w:p>
        </w:tc>
      </w:tr>
      <w:tr w:rsidR="004D28A3" w:rsidRPr="0078105B" w:rsidTr="003328D9">
        <w:trPr>
          <w:cantSplit/>
        </w:trPr>
        <w:tc>
          <w:tcPr>
            <w:tcW w:type="dxa" w:w="56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835"/>
            <w:vMerge/>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851"/>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任职日期</w:t>
            </w:r>
          </w:p>
        </w:tc>
        <w:tc>
          <w:tcPr>
            <w:tcW w:type="dxa" w:w="850"/>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r w:rsidRPr="00FA472B">
              <w:rPr>
                <w:color w:val="000000"/>
                <w:kern w:val="0"/>
                <w:sz w:val="24"/>
              </w:rPr>
              <w:t>离任日期</w:t>
            </w:r>
          </w:p>
        </w:tc>
        <w:tc>
          <w:tcPr>
            <w:tcW w:type="dxa" w:w="851"/>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c>
          <w:tcPr>
            <w:tcW w:type="dxa" w:w="2977"/>
            <w:vMerge/>
            <w:vAlign w:val="center"/>
          </w:tcPr>
          <w:p w:rsidP="003328D9" w:rsidR="004D28A3" w:rsidRDefault="004D28A3" w:rsidRPr="00FA472B">
            <w:pPr>
              <w:autoSpaceDE w:val="0"/>
              <w:autoSpaceDN w:val="0"/>
              <w:adjustRightInd w:val="0"/>
              <w:spacing w:before="29" w:line="288" w:lineRule="auto"/>
              <w:ind w:left="15"/>
              <w:jc w:val="center"/>
              <w:rPr>
                <w:color w:val="000000"/>
                <w:kern w:val="0"/>
                <w:sz w:val="24"/>
              </w:rPr>
            </w:pPr>
          </w:p>
        </w:tc>
      </w:tr>
      <w:tr>
        <w:tc>
          <w:tcPr>
            <w:vAlign w:val="center"/>
          </w:tcPr>
          <w:p>
            <w:pPr>
              <w:jc w:val="center"/>
            </w:pPr>
            <w:r>
              <w:rPr>
                <w:color w:val="000000"/>
                <w:sz w:val="24"/>
              </w:rPr>
              <w:t>梁裕宁</w:t>
            </w:r>
          </w:p>
        </w:tc>
        <w:tc>
          <w:tcPr>
            <w:vAlign w:val="center"/>
          </w:tcPr>
          <w:p>
            <w:pPr>
              <w:jc w:val="left"/>
            </w:pPr>
            <w:r>
              <w:rPr>
                <w:color w:val="000000"/>
                <w:sz w:val="24"/>
              </w:rPr>
              <w:t>本基金的基金经理、易方达策略成长证券投资基金的基金经理（自2017年02月17日至2020年06月05日）</w:t>
            </w:r>
          </w:p>
        </w:tc>
        <w:tc>
          <w:tcPr>
            <w:vAlign w:val="center"/>
          </w:tcPr>
          <w:p>
            <w:pPr>
              <w:jc w:val="center"/>
            </w:pPr>
            <w:r>
              <w:rPr>
                <w:color w:val="000000"/>
                <w:sz w:val="24"/>
              </w:rPr>
              <w:t>2017-02-17</w:t>
            </w:r>
          </w:p>
        </w:tc>
        <w:tc>
          <w:tcPr>
            <w:vAlign w:val="center"/>
          </w:tcPr>
          <w:p>
            <w:pPr>
              <w:jc w:val="center"/>
            </w:pPr>
            <w:r>
              <w:rPr>
                <w:color w:val="000000"/>
                <w:sz w:val="24"/>
              </w:rPr>
              <w:t>2020-06-06</w:t>
            </w:r>
          </w:p>
        </w:tc>
        <w:tc>
          <w:tcPr>
            <w:vAlign w:val="center"/>
          </w:tcPr>
          <w:p>
            <w:pPr>
              <w:jc w:val="center"/>
            </w:pPr>
            <w:r>
              <w:rPr>
                <w:color w:val="000000"/>
                <w:sz w:val="24"/>
              </w:rPr>
              <w:t>10年</w:t>
            </w:r>
          </w:p>
        </w:tc>
        <w:tc>
          <w:tcPr>
            <w:vAlign w:val="center"/>
          </w:tcPr>
          <w:p>
            <w:pPr>
              <w:jc w:val="both"/>
            </w:pPr>
            <w:r>
              <w:rPr>
                <w:color w:val="000000"/>
                <w:sz w:val="24"/>
              </w:rPr>
              <w:t>硕士研究生，具有基金从业资格。曾任普华永道会计师事务所高级审计师，中山华通五金制品有限公司总裁助理，QQ Distinction Pty Ltd董事、财务负责人，易方达基金管理有限公司行业研究员、投资经理、易方达瑞享灵活配置混合型证券投资基金基金经理。</w:t>
            </w:r>
          </w:p>
        </w:tc>
      </w:tr>
      <w:tr>
        <w:tc>
          <w:tcPr>
            <w:vAlign w:val="center"/>
          </w:tcPr>
          <w:p>
            <w:pPr>
              <w:jc w:val="center"/>
            </w:pPr>
            <w:r>
              <w:rPr>
                <w:color w:val="000000"/>
                <w:sz w:val="24"/>
              </w:rPr>
              <w:t>蔡荣成</w:t>
            </w:r>
          </w:p>
        </w:tc>
        <w:tc>
          <w:tcPr>
            <w:vAlign w:val="center"/>
          </w:tcPr>
          <w:p>
            <w:pPr>
              <w:jc w:val="left"/>
            </w:pPr>
            <w:r>
              <w:rPr>
                <w:color w:val="000000"/>
                <w:sz w:val="24"/>
              </w:rPr>
              <w:t>本基金的基金经理、易方达科技创新混合型证券投资基金的基金经理（自2019年04月29日至2020年06月05日）、易方达策略成长证券投资基金的基金经理、易方达新丝路灵活配置混合型证券投资基金的基金经理助理（自2019年11月28日至2020年06月05日）、行业研究员</w:t>
            </w:r>
          </w:p>
        </w:tc>
        <w:tc>
          <w:tcPr>
            <w:vAlign w:val="center"/>
          </w:tcPr>
          <w:p>
            <w:pPr>
              <w:jc w:val="center"/>
            </w:pPr>
            <w:r>
              <w:rPr>
                <w:color w:val="000000"/>
                <w:sz w:val="24"/>
              </w:rPr>
              <w:t>2020-06-06</w:t>
            </w:r>
          </w:p>
        </w:tc>
        <w:tc>
          <w:tcPr>
            <w:vAlign w:val="center"/>
          </w:tcPr>
          <w:p>
            <w:pPr>
              <w:jc w:val="center"/>
            </w:pPr>
            <w:r>
              <w:rPr>
                <w:color w:val="000000"/>
                <w:sz w:val="24"/>
              </w:rPr>
              <w:t>-</w:t>
            </w:r>
          </w:p>
        </w:tc>
        <w:tc>
          <w:tcPr>
            <w:vAlign w:val="center"/>
          </w:tcPr>
          <w:p>
            <w:pPr>
              <w:jc w:val="center"/>
            </w:pPr>
            <w:r>
              <w:rPr>
                <w:color w:val="000000"/>
                <w:sz w:val="24"/>
              </w:rPr>
              <w:t>5年</w:t>
            </w:r>
          </w:p>
        </w:tc>
        <w:tc>
          <w:tcPr>
            <w:vAlign w:val="center"/>
          </w:tcPr>
          <w:p>
            <w:pPr>
              <w:jc w:val="both"/>
            </w:pPr>
            <w:r>
              <w:rPr>
                <w:color w:val="000000"/>
                <w:sz w:val="24"/>
              </w:rPr>
              <w:t>硕士研究生，具有基金从业资格。</w:t>
            </w:r>
          </w:p>
        </w:tc>
      </w:tr>
    </w:tbl>
    <w:p>
      <w:pPr>
        <w:spacing w:line="360" w:lineRule="auto"/>
        <w:ind w:firstLine="480" w:firstLineChars="200"/>
        <w:rPr>
          <w:color w:val="000000"/>
          <w:sz w:val="24"/>
          <w:szCs w:val="24"/>
        </w:rPr>
      </w:pPr>
      <w:r>
        <w:rPr>
          <w:color w:val="000000"/>
          <w:sz w:val="24"/>
          <w:szCs w:val="24"/>
        </w:rPr>
        <w:t>注：1.对基金的首任基金经理，其“任职日期”为基金合同生效日，“离任日期”为根据公司决定确定的解聘日期；对此后的非首任基金经理，“任职日期”和“离任日期”分别指根据公司决定确定的聘任日期和解聘日期。</w:t>
      </w:r>
    </w:p>
    <w:p w:rsidP="004D28A3" w:rsidR="00750D48" w:rsidRDefault="004D28A3" w:rsidRPr="00232B03">
      <w:pPr>
        <w:spacing w:line="360" w:lineRule="auto"/>
        <w:ind w:firstLine="480" w:firstLineChars="200"/>
        <w:rPr>
          <w:color w:val="000000"/>
          <w:sz w:val="24"/>
          <w:szCs w:val="24"/>
        </w:rPr>
      </w:pPr>
      <w:r w:rsidRPr="004D28A3">
        <w:rPr>
          <w:color w:val="000000"/>
          <w:sz w:val="24"/>
          <w:szCs w:val="24"/>
        </w:rPr>
        <w:t>2.证券从业的含义遵从《证券业从业人员资格管理办法》的相关规定。</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4.2 </w:t>
      </w:r>
      <w:r w:rsidRPr="00264E55">
        <w:rPr>
          <w:rFonts w:ascii="宋体" w:hAnsi="宋体" w:hint="eastAsia"/>
          <w:b/>
          <w:bCs/>
          <w:color w:val="000000"/>
          <w:kern w:val="0"/>
          <w:sz w:val="24"/>
          <w:szCs w:val="24"/>
        </w:rPr>
        <w:t>管理人对报告期内本基金运作遵规守信情况的说明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本基金管理人严格遵守《证券投资基金法》等有关法律法规及基金合同、基金招募说明书等有关基金法律文件的规定，以取信于市场、取信于社会投资公众为宗旨，本着诚实信用、勤勉尽责的原则管理和运用基金资产，在控制风险的前提下，为基金份额持有人谋求最大利益。在本报告期内，基金运作合法合规，无损害基金份额持有人利益的行为。</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4.3 </w:t>
      </w:r>
      <w:r w:rsidRPr="00264E55">
        <w:rPr>
          <w:rFonts w:ascii="宋体" w:hAnsi="宋体" w:hint="eastAsia"/>
          <w:b/>
          <w:bCs/>
          <w:color w:val="000000"/>
          <w:kern w:val="0"/>
          <w:sz w:val="24"/>
          <w:szCs w:val="24"/>
        </w:rPr>
        <w:t>公平交易专项说明</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4.3.1</w:t>
        </w:r>
      </w:smartTag>
      <w:r w:rsidRPr="00264E55">
        <w:rPr>
          <w:rFonts w:ascii="宋体" w:hAnsi="宋体" w:hint="eastAsia"/>
          <w:color w:val="000000"/>
          <w:sz w:val="24"/>
          <w:szCs w:val="24"/>
        </w:rPr>
        <w:t>公平交易制度的执行情况</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管理人主要通过建立有纪律、规范化的投资研究和决策流程、交易流程，以及强化事后监控分析来确保公平对待不同投资组合，切实防范利益输送。本基金管理人制定了严格的投资权限管理制度、投资备选库管理制度和集中交易制度等，并重视交易执行环节的公平交易措施，以“时间优先、价格优先”作为执行指令的基本原则，通过投资交易系统中的公平交易模块，以尽可能确保公平对待各投资组合。本报告期内，公平交易制度总体执行情况良好。</w:t>
      </w:r>
    </w:p>
    <w:p w:rsidP="009E7C6A" w:rsidR="00750D48" w:rsidRDefault="00750D48" w:rsidRPr="00264E55">
      <w:pPr>
        <w:spacing w:line="360" w:lineRule="auto"/>
        <w:rPr>
          <w:rFonts w:ascii="宋体"/>
          <w:color w:val="000000"/>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hAnsi="宋体"/>
            <w:color w:val="000000"/>
            <w:sz w:val="24"/>
            <w:szCs w:val="24"/>
          </w:rPr>
          <w:t>4.3.2</w:t>
        </w:r>
      </w:smartTag>
      <w:r w:rsidRPr="00264E55">
        <w:rPr>
          <w:rFonts w:ascii="宋体" w:hAnsi="宋体" w:hint="eastAsia"/>
          <w:color w:val="000000"/>
          <w:sz w:val="24"/>
          <w:szCs w:val="24"/>
        </w:rPr>
        <w:t>异常交易行为的专项说明</w:t>
      </w:r>
    </w:p>
    <w:p>
      <w:pPr>
        <w:spacing w:line="360" w:lineRule="auto"/>
        <w:ind w:firstLine="480" w:firstLineChars="200"/>
        <w:rPr>
          <w:color w:val="000000"/>
          <w:sz w:val="24"/>
          <w:szCs w:val="24"/>
        </w:rPr>
      </w:pPr>
      <w:r>
        <w:rPr>
          <w:color w:val="000000"/>
          <w:sz w:val="24"/>
          <w:szCs w:val="24"/>
        </w:rPr>
        <w:t>本报告期内，公司旗下所有投资组合参与的交易所公开竞价交易中，同日反向交易成交较少的单边交易量超过该证券当日成交量的5%的交易共42次，均为指数量化投资组合因投资策略需要和其他组合发生的反向交易。</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lastRenderedPageBreak/>
        <w:t/>
      </w:r>
      <w:proofErr w:type="spellStart"/>
      <w:r w:rsidRPr="006C56AA">
        <w:rPr>
          <w:color w:val="000000"/>
          <w:sz w:val="24"/>
          <w:szCs w:val="24"/>
        </w:rPr>
        <w:t/>
      </w:r>
      <w:proofErr w:type="spellEnd"/>
      <w:r w:rsidRPr="006C56AA">
        <w:rPr>
          <w:color w:val="000000"/>
          <w:sz w:val="24"/>
          <w:szCs w:val="24"/>
        </w:rPr>
        <w:t>本报告期内，未发现本基金有可能导致不公平交易和利益输送的异常交易。</w:t>
      </w:r>
    </w:p>
    <w:p w:rsidP="009E7C6A"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4.4 </w:t>
      </w:r>
      <w:r w:rsidRPr="00264E55">
        <w:rPr>
          <w:rFonts w:ascii="宋体" w:hAnsi="宋体" w:hint="eastAsia"/>
          <w:b/>
          <w:bCs/>
          <w:color w:val="000000"/>
          <w:kern w:val="0"/>
          <w:sz w:val="24"/>
          <w:szCs w:val="24"/>
        </w:rPr>
        <w:t>报告期内基金的投资策略和业绩表现说明</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4.4.1</w:t>
        </w:r>
      </w:smartTag>
      <w:r w:rsidRPr="00264E55">
        <w:rPr>
          <w:rFonts w:ascii="宋体" w:cs="宋体" w:hAnsi="宋体" w:hint="eastAsia"/>
          <w:sz w:val="24"/>
          <w:szCs w:val="24"/>
        </w:rPr>
        <w:t>报告期内基金投资策略和运作分析</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受国际形势及海外疫情不确定性影响，2020年二季度初，A股回落到低位。与此同时，由于中国疫情控制得力，经济基本面相对有韧性，市场出现了较好的结构性机遇。 疫情带动了线上化的趋势，更多的线下场景(购物、教育、办公、娱乐等)加速往线上迁移。并且从某种程度来看，这个趋势是不可逆的。流量的爆发加大了对硬件的需求，信息化和数字化转型又带动了软件和云计算的需求。基于以上判断，本季度组合进一步向TMT板块集中和配置。</w:t>
      </w:r>
    </w:p>
    <w:p w:rsidP="009E7C6A" w:rsidR="00750D48" w:rsidRDefault="00750D48" w:rsidRPr="00264E55">
      <w:pPr>
        <w:spacing w:line="360" w:lineRule="auto"/>
        <w:rPr>
          <w:rFonts w:ascii="宋体"/>
          <w:sz w:val="24"/>
          <w:szCs w:val="24"/>
        </w:rPr>
      </w:pPr>
      <w:smartTag w:element="chsdate" w:uri="urn:schemas-microsoft-com:office:smarttags">
        <w:smartTagPr>
          <w:attr w:name="IsROCDate" w:val="False"/>
          <w:attr w:name="IsLunarDate" w:val="False"/>
          <w:attr w:name="Day" w:val="30"/>
          <w:attr w:name="Month" w:val="12"/>
          <w:attr w:name="Year" w:val="1899"/>
        </w:smartTagPr>
        <w:r w:rsidRPr="00264E55">
          <w:rPr>
            <w:rFonts w:ascii="宋体" w:cs="宋体" w:hAnsi="宋体"/>
            <w:sz w:val="24"/>
            <w:szCs w:val="24"/>
          </w:rPr>
          <w:t>4.4.2</w:t>
        </w:r>
      </w:smartTag>
      <w:r w:rsidRPr="00264E55">
        <w:rPr>
          <w:rFonts w:ascii="宋体" w:cs="宋体" w:hAnsi="宋体" w:hint="eastAsia"/>
          <w:sz w:val="24"/>
          <w:szCs w:val="24"/>
        </w:rPr>
        <w:t>报告期内基金的业绩表现</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截至报告期末，本基金份额净值为1.234元，本报告期份额净值增长率为25.41%，同期业绩比较基准收益率为6.56%。</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5  </w:t>
      </w:r>
      <w:r w:rsidRPr="00264E55">
        <w:rPr>
          <w:rFonts w:ascii="宋体" w:hAnsi="宋体" w:hint="eastAsia"/>
          <w:color w:val="000000"/>
          <w:kern w:val="0"/>
          <w:sz w:val="24"/>
          <w:szCs w:val="24"/>
        </w:rPr>
        <w:t>投资组合报告</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5.1 </w:t>
      </w:r>
      <w:r w:rsidRPr="00264E55">
        <w:rPr>
          <w:rFonts w:ascii="宋体" w:hAnsi="宋体" w:hint="eastAsia"/>
          <w:b/>
          <w:bCs/>
          <w:color w:val="000000"/>
          <w:kern w:val="0"/>
          <w:sz w:val="24"/>
          <w:szCs w:val="24"/>
        </w:rPr>
        <w:t>报告期末基金资产组合情况</w:t>
      </w:r>
    </w:p>
    <w:tbl>
      <w:tblPr>
        <w:tblW w:type="dxa" w:w="8897"/>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720"/>
        <w:gridCol w:w="3357"/>
        <w:gridCol w:w="2977"/>
        <w:gridCol w:w="1843"/>
      </w:tblGrid>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3357"/>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项目</w:t>
            </w:r>
          </w:p>
        </w:tc>
        <w:tc>
          <w:tcPr>
            <w:tcW w:type="dxa" w:w="2977"/>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金额</w:t>
            </w:r>
            <w:r w:rsidR="005F7917" w:rsidRPr="00232B03">
              <w:rPr>
                <w:color w:val="000000"/>
                <w:kern w:val="0"/>
                <w:sz w:val="24"/>
                <w:szCs w:val="24"/>
              </w:rPr>
              <w:t>（元）</w:t>
            </w:r>
          </w:p>
        </w:tc>
        <w:tc>
          <w:tcPr>
            <w:tcW w:type="dxa" w:w="1843"/>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占基金总资产的比例</w:t>
            </w:r>
            <w:r w:rsidR="005F7917" w:rsidRPr="00232B03">
              <w:rPr>
                <w:color w:val="000000"/>
                <w:kern w:val="0"/>
                <w:sz w:val="24"/>
                <w:szCs w:val="24"/>
              </w:rPr>
              <w:t>（</w:t>
            </w:r>
            <w:r w:rsidR="005F7917" w:rsidRPr="00232B03">
              <w:rPr>
                <w:color w:val="000000"/>
                <w:kern w:val="0"/>
                <w:sz w:val="24"/>
                <w:szCs w:val="24"/>
              </w:rPr>
              <w:t>%</w:t>
            </w:r>
            <w:r w:rsidR="005F7917"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1</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权益投资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1,017,433,741.22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81.93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其中：股票</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1,017,433,741.22</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81.93</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2</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固定收益投资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140,519,326.20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11.32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其中：债券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140,519,326.20</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11.32</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autoSpaceDE w:val="0"/>
              <w:autoSpaceDN w:val="0"/>
              <w:adjustRightInd w:val="0"/>
              <w:spacing w:before="29" w:line="360" w:lineRule="auto"/>
              <w:ind w:left="17"/>
              <w:jc w:val="left"/>
              <w:rPr>
                <w:color w:val="000000"/>
                <w:kern w:val="0"/>
                <w:sz w:val="24"/>
                <w:szCs w:val="24"/>
              </w:rPr>
            </w:pPr>
            <w:r w:rsidRPr="00232B03">
              <w:rPr>
                <w:color w:val="000000"/>
                <w:kern w:val="0"/>
                <w:sz w:val="24"/>
                <w:szCs w:val="24"/>
              </w:rPr>
              <w:t>资产支持证券</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3</w:t>
            </w:r>
          </w:p>
        </w:tc>
        <w:tc>
          <w:tcPr>
            <w:tcW w:type="dxa" w:w="3357"/>
          </w:tcPr>
          <w:p w:rsidP="00EB572F" w:rsidR="00750D48" w:rsidRDefault="00750D48" w:rsidRPr="00232B03">
            <w:pPr>
              <w:spacing w:before="29" w:line="360" w:lineRule="auto"/>
              <w:ind w:left="105" w:leftChars="50"/>
              <w:rPr>
                <w:color w:val="000000"/>
                <w:kern w:val="0"/>
                <w:sz w:val="24"/>
                <w:szCs w:val="24"/>
              </w:rPr>
            </w:pPr>
            <w:r w:rsidRPr="00232B03">
              <w:rPr>
                <w:color w:val="000000"/>
                <w:kern w:val="0"/>
                <w:sz w:val="24"/>
                <w:szCs w:val="24"/>
              </w:rPr>
              <w:t>贵金属投资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4</w:t>
            </w:r>
          </w:p>
        </w:tc>
        <w:tc>
          <w:tcPr>
            <w:tcW w:type="dxa" w:w="3357"/>
            <w:vAlign w:val="center"/>
          </w:tcPr>
          <w:p w:rsidP="00B05049" w:rsidR="00750D48" w:rsidRDefault="00750D48" w:rsidRPr="00232B03">
            <w:pPr>
              <w:spacing w:before="29" w:line="360" w:lineRule="auto"/>
              <w:ind w:left="17"/>
              <w:jc w:val="left"/>
              <w:rPr>
                <w:color w:val="000000"/>
                <w:kern w:val="0"/>
                <w:sz w:val="24"/>
                <w:szCs w:val="24"/>
              </w:rPr>
            </w:pPr>
            <w:r w:rsidRPr="00232B03">
              <w:rPr>
                <w:color w:val="000000"/>
                <w:kern w:val="0"/>
                <w:sz w:val="24"/>
                <w:szCs w:val="24"/>
              </w:rPr>
              <w:t>金融衍生品投资</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5</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r w:rsidRPr="00232B03">
              <w:rPr>
                <w:color w:val="000000"/>
                <w:kern w:val="0"/>
                <w:sz w:val="24"/>
                <w:szCs w:val="24"/>
              </w:rPr>
              <w:lastRenderedPageBreak/>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其中：买断式回购的买入返售金融资产</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6</w:t>
            </w:r>
          </w:p>
        </w:tc>
        <w:tc>
          <w:tcPr>
            <w:tcW w:type="dxa" w:w="3357"/>
            <w:vAlign w:val="center"/>
          </w:tcPr>
          <w:p w:rsidP="00B05049" w:rsidR="00750D48" w:rsidRDefault="00750D48" w:rsidRPr="00232B03">
            <w:pPr>
              <w:spacing w:before="29" w:line="360" w:lineRule="auto"/>
              <w:ind w:left="17"/>
              <w:jc w:val="left"/>
              <w:rPr>
                <w:kern w:val="0"/>
                <w:sz w:val="24"/>
                <w:szCs w:val="24"/>
              </w:rPr>
            </w:pPr>
            <w:r w:rsidRPr="00232B03">
              <w:rPr>
                <w:color w:val="000000"/>
                <w:kern w:val="0"/>
                <w:sz w:val="24"/>
                <w:szCs w:val="24"/>
              </w:rPr>
              <w:t>银行存款和结算备付金合计</w:t>
            </w:r>
          </w:p>
        </w:tc>
        <w:tc>
          <w:tcPr>
            <w:tcW w:type="dxa" w:w="2977"/>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82,025,776.04</w:t>
            </w:r>
          </w:p>
        </w:tc>
        <w:tc>
          <w:tcPr>
            <w:tcW w:type="dxa" w:w="1843"/>
            <w:vAlign w:val="center"/>
          </w:tcPr>
          <w:p w:rsidP="00B05049" w:rsidR="00750D48" w:rsidRDefault="00750D48" w:rsidRPr="00232B03">
            <w:pPr>
              <w:spacing w:before="29" w:line="360" w:lineRule="auto"/>
              <w:ind w:left="17"/>
              <w:jc w:val="right"/>
              <w:rPr>
                <w:color w:val="000000"/>
                <w:kern w:val="0"/>
                <w:sz w:val="24"/>
                <w:szCs w:val="24"/>
              </w:rPr>
            </w:pPr>
            <w:r w:rsidRPr="00232B03">
              <w:rPr>
                <w:color w:val="000000"/>
                <w:kern w:val="0"/>
                <w:sz w:val="24"/>
                <w:szCs w:val="24"/>
              </w:rPr>
              <w:t>6.61</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7</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其他资产</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1,894,578.29</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0.15</w:t>
            </w:r>
          </w:p>
        </w:tc>
      </w:tr>
      <w:tr w:rsidR="00750D48" w:rsidRPr="00264E55" w:rsidTr="00B05049">
        <w:trPr>
          <w:jc w:val="center"/>
        </w:trPr>
        <w:tc>
          <w:tcPr>
            <w:tcW w:type="dxa" w:w="720"/>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8</w:t>
            </w:r>
          </w:p>
        </w:tc>
        <w:tc>
          <w:tcPr>
            <w:tcW w:type="dxa" w:w="3357"/>
            <w:vAlign w:val="center"/>
          </w:tcPr>
          <w:p w:rsidP="00B05049" w:rsidR="00750D48" w:rsidRDefault="00750D48" w:rsidRPr="00232B03">
            <w:pPr>
              <w:jc w:val="left"/>
              <w:rPr>
                <w:kern w:val="0"/>
                <w:sz w:val="24"/>
                <w:szCs w:val="24"/>
              </w:rPr>
            </w:pPr>
            <w:r w:rsidRPr="00232B03">
              <w:rPr>
                <w:color w:val="000000"/>
                <w:kern w:val="0"/>
                <w:sz w:val="24"/>
                <w:szCs w:val="24"/>
              </w:rPr>
              <w:t>合计</w:t>
            </w:r>
          </w:p>
        </w:tc>
        <w:tc>
          <w:tcPr>
            <w:tcW w:type="dxa" w:w="2977"/>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1,241,873,421.75</w:t>
            </w:r>
          </w:p>
        </w:tc>
        <w:tc>
          <w:tcPr>
            <w:tcW w:type="dxa" w:w="1843"/>
            <w:vAlign w:val="center"/>
          </w:tcPr>
          <w:p w:rsidP="00B05049" w:rsidR="00750D48" w:rsidRDefault="00750D48" w:rsidRPr="00232B03">
            <w:pPr>
              <w:jc w:val="right"/>
              <w:rPr>
                <w:color w:val="000000"/>
                <w:kern w:val="0"/>
                <w:sz w:val="24"/>
                <w:szCs w:val="24"/>
              </w:rPr>
            </w:pPr>
            <w:r w:rsidRPr="00232B03">
              <w:rPr>
                <w:color w:val="000000"/>
                <w:kern w:val="0"/>
                <w:sz w:val="24"/>
                <w:szCs w:val="24"/>
              </w:rPr>
              <w:t/>
            </w:r>
            <w:proofErr w:type="spellStart"/>
            <w:r w:rsidRPr="00232B03">
              <w:rPr>
                <w:color w:val="000000"/>
                <w:kern w:val="0"/>
                <w:sz w:val="24"/>
                <w:szCs w:val="24"/>
              </w:rPr>
              <w:t/>
            </w:r>
            <w:proofErr w:type="spellEnd"/>
            <w:r w:rsidRPr="00232B03">
              <w:rPr>
                <w:color w:val="000000"/>
                <w:kern w:val="0"/>
                <w:sz w:val="24"/>
                <w:szCs w:val="24"/>
              </w:rPr>
              <w:t>100.00</w:t>
            </w:r>
          </w:p>
        </w:tc>
      </w:tr>
    </w:tbl>
    <w:p w:rsidP="008C2A4F" w:rsidR="008C2A4F" w:rsidRDefault="008C2A4F" w:rsidRPr="00220C32">
      <w:pPr>
        <w:autoSpaceDE w:val="0"/>
        <w:autoSpaceDN w:val="0"/>
        <w:adjustRightInd w:val="0"/>
        <w:spacing w:line="360" w:lineRule="auto"/>
        <w:jc w:val="left"/>
        <w:rPr>
          <w:rFonts w:asciiTheme="minorEastAsia" w:eastAsiaTheme="minorEastAsia" w:hAnsiTheme="minorEastAsia"/>
          <w:b/>
          <w:bCs/>
          <w:color w:themeColor="text1" w:val="000000"/>
          <w:kern w:val="0"/>
          <w:sz w:val="24"/>
          <w:szCs w:val="24"/>
        </w:rPr>
      </w:pPr>
      <w:r w:rsidRPr="00220C32">
        <w:rPr>
          <w:rFonts w:asciiTheme="minorEastAsia" w:eastAsiaTheme="minorEastAsia" w:hAnsiTheme="minorEastAsia"/>
          <w:b/>
          <w:bCs/>
          <w:color w:themeColor="text1" w:val="000000"/>
          <w:kern w:val="0"/>
          <w:sz w:val="24"/>
          <w:szCs w:val="24"/>
        </w:rPr>
        <w:lastRenderedPageBreak/>
        <w:t xml:space="preserve">5.2 </w:t>
      </w:r>
      <w:r w:rsidRPr="00220C32">
        <w:rPr>
          <w:rFonts w:asciiTheme="minorEastAsia" w:eastAsiaTheme="minorEastAsia" w:hAnsiTheme="minorEastAsia" w:hint="eastAsia"/>
          <w:b/>
          <w:bCs/>
          <w:color w:themeColor="text1" w:val="000000"/>
          <w:kern w:val="0"/>
          <w:sz w:val="24"/>
          <w:szCs w:val="24"/>
        </w:rPr>
        <w:t>报告期末按行业分类的股票投资组合</w:t>
      </w:r>
    </w:p>
    <w:p w:rsidP="008C2A4F" w:rsidR="008C2A4F" w:rsidRDefault="008C2A4F" w:rsidRPr="000D7474">
      <w:pPr>
        <w:rPr>
          <w:rFonts w:asciiTheme="minorEastAsia" w:eastAsiaTheme="minorEastAsia" w:hAnsiTheme="minorEastAsia"/>
          <w:b/>
          <w:bCs/>
          <w:color w:themeColor="text1" w:val="000000"/>
          <w:kern w:val="0"/>
          <w:sz w:val="24"/>
          <w:szCs w:val="24"/>
        </w:rPr>
      </w:pPr>
      <w:r w:rsidRPr="000D7474">
        <w:rPr>
          <w:rFonts w:asciiTheme="minorEastAsia" w:eastAsiaTheme="minorEastAsia" w:hAnsiTheme="minorEastAsia"/>
          <w:b/>
          <w:bCs/>
          <w:color w:themeColor="text1" w:val="000000"/>
          <w:kern w:val="0"/>
          <w:sz w:val="24"/>
          <w:szCs w:val="24"/>
        </w:rPr>
        <w:t/>
      </w:r>
      <w:proofErr w:type="spellStart"/>
      <w:r w:rsidRPr="000D7474">
        <w:rPr>
          <w:rFonts w:asciiTheme="minorEastAsia" w:eastAsiaTheme="minorEastAsia" w:hAnsiTheme="minorEastAsia"/>
          <w:b/>
          <w:bCs/>
          <w:color w:themeColor="text1" w:val="000000"/>
          <w:kern w:val="0"/>
          <w:sz w:val="24"/>
          <w:szCs w:val="24"/>
        </w:rPr>
        <w:t/>
      </w:r>
      <w:proofErr w:type="spellEnd"/>
      <w:r w:rsidRPr="000D7474">
        <w:rPr>
          <w:rFonts w:asciiTheme="minorEastAsia" w:eastAsiaTheme="minorEastAsia" w:hAnsiTheme="minorEastAsia"/>
          <w:b/>
          <w:bCs/>
          <w:color w:themeColor="text1" w:val="000000"/>
          <w:kern w:val="0"/>
          <w:sz w:val="24"/>
          <w:szCs w:val="24"/>
        </w:rPr>
        <w:t/>
      </w:r>
      <w:r w:rsidRPr="000D7474">
        <w:rPr>
          <w:rFonts w:asciiTheme="minorEastAsia" w:eastAsiaTheme="minorEastAsia" w:hAnsiTheme="minorEastAsia" w:hint="eastAsia"/>
          <w:b/>
          <w:bCs/>
          <w:color w:themeColor="text1" w:val="000000"/>
          <w:kern w:val="0"/>
          <w:sz w:val="24"/>
          <w:szCs w:val="24"/>
        </w:rPr>
        <w:t>5.2.1报告期末按行业分类的境内股票投资组合</w:t>
      </w:r>
    </w:p>
    <w:tbl>
      <w:tblPr>
        <w:tblW w:type="dxa" w:w="8789"/>
        <w:tblInd w:type="dxa" w:w="-137"/>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CellMar>
          <w:left w:type="dxa" w:w="0"/>
          <w:right w:type="dxa" w:w="0"/>
        </w:tblCellMar>
        <w:tblLook w:firstColumn="0" w:firstRow="0" w:lastColumn="0" w:lastRow="0" w:noHBand="0" w:noVBand="0" w:val="0000"/>
      </w:tblPr>
      <w:tblGrid>
        <w:gridCol w:w="709"/>
        <w:gridCol w:w="3544"/>
        <w:gridCol w:w="2977"/>
        <w:gridCol w:w="1559"/>
      </w:tblGrid>
      <w:tr w:rsidR="008C2A4F" w:rsidRPr="008C2A4F" w:rsidTr="003B5535">
        <w:trPr>
          <w:trHeight w:val="390"/>
        </w:trPr>
        <w:tc>
          <w:tcPr>
            <w:tcW w:type="dxa" w:w="709"/>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代码</w:t>
            </w: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行业类别</w:t>
            </w:r>
          </w:p>
        </w:tc>
        <w:tc>
          <w:tcPr>
            <w:tcW w:type="dxa" w:w="2977"/>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公允价值（元）</w:t>
            </w:r>
          </w:p>
        </w:tc>
        <w:tc>
          <w:tcPr>
            <w:tcW w:type="dxa" w:w="155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占基金资产净值比例（％）</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A</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农、林、牧、渔业</w:t>
            </w:r>
          </w:p>
        </w:tc>
        <w:tc>
          <w:tcPr>
            <w:tcW w:type="dxa" w:w="2977"/>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autoSpaceDE w:val="0"/>
              <w:autoSpaceDN w:val="0"/>
              <w:adjustRightInd w:val="0"/>
              <w:spacing w:before="29" w:line="360" w:lineRule="auto"/>
              <w:ind w:left="15"/>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B</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采矿业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p w:rsidP="003328D9" w:rsidR="008C2A4F" w:rsidRDefault="008C2A4F" w:rsidRPr="008C2A4F">
            <w:pPr>
              <w:jc w:val="right"/>
              <w:rPr>
                <w:rFonts w:eastAsiaTheme="minorEastAsia"/>
                <w:color w:themeColor="text1" w:val="000000"/>
                <w:kern w:val="0"/>
                <w:sz w:val="24"/>
                <w:szCs w:val="24"/>
              </w:rPr>
            </w:pP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C</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制造业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681,960,042.35</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56.76</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D</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电力、热力、燃气及水生产和供应业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E</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建筑业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F</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批发和零售业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G</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交通运输、仓储和邮政业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5,593,327.12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0.47</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H</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住宿和餐饮业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I</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信息传输、软件和信息技术服务业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311,719,130.09</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25.94</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J</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金融业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K</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房地产业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18,662.00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L</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租赁和商务服务业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18,135,363.00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1.51</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M</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科学研究和技术服务业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408.66</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N</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水利、环境和公共设施管理业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O</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居民服务、修理和其他服务业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P</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教育</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lastRenderedPageBreak/>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lastRenderedPageBreak/>
              <w:t>Q</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卫生和社会工作</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R</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文化、体育和娱乐业</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r w:rsidRPr="008C2A4F">
              <w:rPr>
                <w:rFonts w:eastAsiaTheme="minorEastAsia"/>
                <w:color w:themeColor="text1" w:val="000000"/>
                <w:kern w:val="0"/>
                <w:sz w:val="24"/>
                <w:szCs w:val="24"/>
              </w:rPr>
              <w:t>S</w:t>
            </w: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综合</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6,808.00</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0.00</w:t>
            </w:r>
          </w:p>
        </w:tc>
      </w:tr>
      <w:tr w:rsidR="008C2A4F" w:rsidRPr="008C2A4F" w:rsidTr="003B5535">
        <w:trPr>
          <w:trHeight w:val="285"/>
        </w:trPr>
        <w:tc>
          <w:tcPr>
            <w:tcW w:type="dxa" w:w="709"/>
            <w:tcMar>
              <w:top w:type="dxa" w:w="15"/>
              <w:left w:type="dxa" w:w="15"/>
              <w:bottom w:type="dxa" w:w="0"/>
              <w:right w:type="dxa" w:w="15"/>
            </w:tcMar>
            <w:vAlign w:val="center"/>
          </w:tcPr>
          <w:p w:rsidP="003328D9" w:rsidR="008C2A4F" w:rsidRDefault="008C2A4F" w:rsidRPr="008C2A4F">
            <w:pPr>
              <w:adjustRightInd w:val="0"/>
              <w:snapToGrid w:val="0"/>
              <w:spacing w:line="400" w:lineRule="exact"/>
              <w:jc w:val="center"/>
              <w:rPr>
                <w:rFonts w:eastAsiaTheme="minorEastAsia"/>
                <w:color w:themeColor="text1" w:val="000000"/>
                <w:kern w:val="0"/>
                <w:sz w:val="24"/>
                <w:szCs w:val="24"/>
              </w:rPr>
            </w:pPr>
          </w:p>
        </w:tc>
        <w:tc>
          <w:tcPr>
            <w:tcW w:type="dxa" w:w="3544"/>
            <w:tcMar>
              <w:top w:type="dxa" w:w="15"/>
              <w:left w:type="dxa" w:w="15"/>
              <w:bottom w:type="dxa" w:w="0"/>
              <w:right w:type="dxa" w:w="15"/>
            </w:tcMar>
            <w:vAlign w:val="center"/>
          </w:tcPr>
          <w:p w:rsidP="003328D9" w:rsidR="008C2A4F" w:rsidRDefault="008C2A4F" w:rsidRPr="008C2A4F">
            <w:pPr>
              <w:adjustRightInd w:val="0"/>
              <w:snapToGrid w:val="0"/>
              <w:spacing w:line="400" w:lineRule="exact"/>
              <w:rPr>
                <w:rFonts w:eastAsiaTheme="minorEastAsia"/>
                <w:color w:themeColor="text1" w:val="000000"/>
                <w:kern w:val="0"/>
                <w:sz w:val="24"/>
                <w:szCs w:val="24"/>
              </w:rPr>
            </w:pPr>
            <w:r w:rsidRPr="008C2A4F">
              <w:rPr>
                <w:rFonts w:eastAsiaTheme="minorEastAsia"/>
                <w:color w:themeColor="text1" w:val="000000"/>
                <w:kern w:val="0"/>
                <w:sz w:val="24"/>
                <w:szCs w:val="24"/>
              </w:rPr>
              <w:t>合计</w:t>
            </w:r>
          </w:p>
        </w:tc>
        <w:tc>
          <w:tcPr>
            <w:tcW w:type="dxa" w:w="2977"/>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1,017,433,741.22</w:t>
            </w:r>
          </w:p>
        </w:tc>
        <w:tc>
          <w:tcPr>
            <w:tcW w:type="dxa" w:w="1559"/>
            <w:tcMar>
              <w:top w:type="dxa" w:w="15"/>
              <w:left w:type="dxa" w:w="15"/>
              <w:bottom w:type="dxa" w:w="0"/>
              <w:right w:type="dxa" w:w="15"/>
            </w:tcMar>
            <w:vAlign w:val="center"/>
          </w:tcPr>
          <w:p w:rsidP="003328D9" w:rsidR="008C2A4F" w:rsidRDefault="008C2A4F" w:rsidRPr="008C2A4F">
            <w:pPr>
              <w:jc w:val="right"/>
              <w:rPr>
                <w:rFonts w:eastAsiaTheme="minorEastAsia"/>
                <w:color w:themeColor="text1" w:val="000000"/>
                <w:kern w:val="0"/>
                <w:sz w:val="24"/>
                <w:szCs w:val="24"/>
              </w:rPr>
            </w:pPr>
            <w:r w:rsidRPr="008C2A4F">
              <w:rPr>
                <w:rFonts w:eastAsiaTheme="minorEastAsia"/>
                <w:color w:themeColor="text1" w:val="000000"/>
                <w:kern w:val="0"/>
                <w:sz w:val="24"/>
                <w:szCs w:val="24"/>
              </w:rPr>
              <w:t/>
            </w:r>
            <w:proofErr w:type="spellStart"/>
            <w:r w:rsidRPr="008C2A4F">
              <w:rPr>
                <w:rFonts w:eastAsiaTheme="minorEastAsia"/>
                <w:color w:themeColor="text1" w:val="000000"/>
                <w:kern w:val="0"/>
                <w:sz w:val="24"/>
                <w:szCs w:val="24"/>
              </w:rPr>
              <w:t/>
            </w:r>
            <w:proofErr w:type="spellEnd"/>
            <w:r w:rsidRPr="008C2A4F">
              <w:rPr>
                <w:rFonts w:eastAsiaTheme="minorEastAsia"/>
                <w:color w:themeColor="text1" w:val="000000"/>
                <w:kern w:val="0"/>
                <w:sz w:val="24"/>
                <w:szCs w:val="24"/>
              </w:rPr>
              <w:t>84.67</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5.3 </w:t>
      </w:r>
      <w:r w:rsidRPr="00264E55">
        <w:rPr>
          <w:rFonts w:ascii="宋体" w:hAnsi="宋体" w:hint="eastAsia"/>
          <w:b/>
          <w:bCs/>
          <w:color w:val="000000"/>
          <w:kern w:val="0"/>
          <w:sz w:val="24"/>
          <w:szCs w:val="24"/>
        </w:rPr>
        <w:t>报告期末按公允价值占基金资产净值比例大小排序的前十名股票投资明细</w:t>
      </w:r>
    </w:p>
    <w:tbl>
      <w:tblPr>
        <w:tblW w:type="dxa" w:w="8789"/>
        <w:tblInd w:type="dxa" w:w="-176"/>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851"/>
        <w:gridCol w:w="1276"/>
        <w:gridCol w:w="1418"/>
        <w:gridCol w:w="1701"/>
        <w:gridCol w:w="1984"/>
        <w:gridCol w:w="1559"/>
      </w:tblGrid>
      <w:tr w:rsidR="00750D48" w:rsidRPr="00264E55" w:rsidTr="00191BDE">
        <w:tc>
          <w:tcPr>
            <w:tcW w:type="dxa" w:w="851"/>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股票代码</w:t>
            </w:r>
          </w:p>
        </w:tc>
        <w:tc>
          <w:tcPr>
            <w:tcW w:type="dxa" w:w="1418"/>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股票名称</w:t>
            </w:r>
          </w:p>
        </w:tc>
        <w:tc>
          <w:tcPr>
            <w:tcW w:type="dxa" w:w="1701"/>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（股）</w:t>
            </w:r>
          </w:p>
        </w:tc>
        <w:tc>
          <w:tcPr>
            <w:tcW w:type="dxa" w:w="1984"/>
            <w:vAlign w:val="center"/>
          </w:tcPr>
          <w:p w:rsidP="005F7917" w:rsidR="00750D48" w:rsidRDefault="00750D48" w:rsidRPr="00232B03">
            <w:pPr>
              <w:autoSpaceDE w:val="0"/>
              <w:autoSpaceDN w:val="0"/>
              <w:adjustRightInd w:val="0"/>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559"/>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300502</w:t>
            </w:r>
          </w:p>
        </w:tc>
        <w:tc>
          <w:tcPr>
            <w:vAlign w:val="center"/>
          </w:tcPr>
          <w:p>
            <w:pPr>
              <w:jc w:val="center"/>
            </w:pPr>
            <w:r>
              <w:rPr>
                <w:color w:val="000000"/>
                <w:kern w:val="0"/>
                <w:sz w:val="24"/>
                <w:szCs w:val="24"/>
              </w:rPr>
              <w:t>新易盛</w:t>
            </w:r>
          </w:p>
        </w:tc>
        <w:tc>
          <w:tcPr>
            <w:vAlign w:val="center"/>
          </w:tcPr>
          <w:p>
            <w:pPr>
              <w:jc w:val="right"/>
            </w:pPr>
            <w:r>
              <w:rPr>
                <w:color w:val="000000"/>
                <w:kern w:val="0"/>
                <w:sz w:val="24"/>
                <w:szCs w:val="24"/>
              </w:rPr>
              <w:t>901,320</w:t>
            </w:r>
          </w:p>
        </w:tc>
        <w:tc>
          <w:tcPr>
            <w:vAlign w:val="center"/>
          </w:tcPr>
          <w:p>
            <w:pPr>
              <w:jc w:val="right"/>
            </w:pPr>
            <w:r>
              <w:rPr>
                <w:color w:val="000000"/>
                <w:kern w:val="0"/>
                <w:sz w:val="24"/>
                <w:szCs w:val="24"/>
              </w:rPr>
              <w:t>56,891,318.40</w:t>
            </w:r>
          </w:p>
        </w:tc>
        <w:tc>
          <w:tcPr>
            <w:vAlign w:val="center"/>
          </w:tcPr>
          <w:p>
            <w:pPr>
              <w:jc w:val="right"/>
            </w:pPr>
            <w:r>
              <w:rPr>
                <w:color w:val="000000"/>
                <w:kern w:val="0"/>
                <w:sz w:val="24"/>
                <w:szCs w:val="24"/>
              </w:rPr>
              <w:t>4.73</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002384</w:t>
            </w:r>
          </w:p>
        </w:tc>
        <w:tc>
          <w:tcPr>
            <w:vAlign w:val="center"/>
          </w:tcPr>
          <w:p>
            <w:pPr>
              <w:jc w:val="center"/>
            </w:pPr>
            <w:r>
              <w:rPr>
                <w:color w:val="000000"/>
                <w:kern w:val="0"/>
                <w:sz w:val="24"/>
                <w:szCs w:val="24"/>
              </w:rPr>
              <w:t>东山精密</w:t>
            </w:r>
          </w:p>
        </w:tc>
        <w:tc>
          <w:tcPr>
            <w:vAlign w:val="center"/>
          </w:tcPr>
          <w:p>
            <w:pPr>
              <w:jc w:val="right"/>
            </w:pPr>
            <w:r>
              <w:rPr>
                <w:color w:val="000000"/>
                <w:kern w:val="0"/>
                <w:sz w:val="24"/>
                <w:szCs w:val="24"/>
              </w:rPr>
              <w:t>1,414,910</w:t>
            </w:r>
          </w:p>
        </w:tc>
        <w:tc>
          <w:tcPr>
            <w:vAlign w:val="center"/>
          </w:tcPr>
          <w:p>
            <w:pPr>
              <w:jc w:val="right"/>
            </w:pPr>
            <w:r>
              <w:rPr>
                <w:color w:val="000000"/>
                <w:kern w:val="0"/>
                <w:sz w:val="24"/>
                <w:szCs w:val="24"/>
              </w:rPr>
              <w:t>42,376,554.50</w:t>
            </w:r>
          </w:p>
        </w:tc>
        <w:tc>
          <w:tcPr>
            <w:vAlign w:val="center"/>
          </w:tcPr>
          <w:p>
            <w:pPr>
              <w:jc w:val="right"/>
            </w:pPr>
            <w:r>
              <w:rPr>
                <w:color w:val="000000"/>
                <w:kern w:val="0"/>
                <w:sz w:val="24"/>
                <w:szCs w:val="24"/>
              </w:rPr>
              <w:t>3.53</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688029</w:t>
            </w:r>
          </w:p>
        </w:tc>
        <w:tc>
          <w:tcPr>
            <w:vAlign w:val="center"/>
          </w:tcPr>
          <w:p>
            <w:pPr>
              <w:jc w:val="center"/>
            </w:pPr>
            <w:r>
              <w:rPr>
                <w:color w:val="000000"/>
                <w:kern w:val="0"/>
                <w:sz w:val="24"/>
                <w:szCs w:val="24"/>
              </w:rPr>
              <w:t>南微医学</w:t>
            </w:r>
          </w:p>
        </w:tc>
        <w:tc>
          <w:tcPr>
            <w:vAlign w:val="center"/>
          </w:tcPr>
          <w:p>
            <w:pPr>
              <w:jc w:val="right"/>
            </w:pPr>
            <w:r>
              <w:rPr>
                <w:color w:val="000000"/>
                <w:kern w:val="0"/>
                <w:sz w:val="24"/>
                <w:szCs w:val="24"/>
              </w:rPr>
              <w:t>168,541</w:t>
            </w:r>
          </w:p>
        </w:tc>
        <w:tc>
          <w:tcPr>
            <w:vAlign w:val="center"/>
          </w:tcPr>
          <w:p>
            <w:pPr>
              <w:jc w:val="right"/>
            </w:pPr>
            <w:r>
              <w:rPr>
                <w:color w:val="000000"/>
                <w:kern w:val="0"/>
                <w:sz w:val="24"/>
                <w:szCs w:val="24"/>
              </w:rPr>
              <w:t>40,877,934.14</w:t>
            </w:r>
          </w:p>
        </w:tc>
        <w:tc>
          <w:tcPr>
            <w:vAlign w:val="center"/>
          </w:tcPr>
          <w:p>
            <w:pPr>
              <w:jc w:val="right"/>
            </w:pPr>
            <w:r>
              <w:rPr>
                <w:color w:val="000000"/>
                <w:kern w:val="0"/>
                <w:sz w:val="24"/>
                <w:szCs w:val="24"/>
              </w:rPr>
              <w:t>3.40</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603712</w:t>
            </w:r>
          </w:p>
        </w:tc>
        <w:tc>
          <w:tcPr>
            <w:vAlign w:val="center"/>
          </w:tcPr>
          <w:p>
            <w:pPr>
              <w:jc w:val="center"/>
            </w:pPr>
            <w:r>
              <w:rPr>
                <w:color w:val="000000"/>
                <w:kern w:val="0"/>
                <w:sz w:val="24"/>
                <w:szCs w:val="24"/>
              </w:rPr>
              <w:t>七一二</w:t>
            </w:r>
          </w:p>
        </w:tc>
        <w:tc>
          <w:tcPr>
            <w:vAlign w:val="center"/>
          </w:tcPr>
          <w:p>
            <w:pPr>
              <w:jc w:val="right"/>
            </w:pPr>
            <w:r>
              <w:rPr>
                <w:color w:val="000000"/>
                <w:kern w:val="0"/>
                <w:sz w:val="24"/>
                <w:szCs w:val="24"/>
              </w:rPr>
              <w:t>977,299</w:t>
            </w:r>
          </w:p>
        </w:tc>
        <w:tc>
          <w:tcPr>
            <w:vAlign w:val="center"/>
          </w:tcPr>
          <w:p>
            <w:pPr>
              <w:jc w:val="right"/>
            </w:pPr>
            <w:r>
              <w:rPr>
                <w:color w:val="000000"/>
                <w:kern w:val="0"/>
                <w:sz w:val="24"/>
                <w:szCs w:val="24"/>
              </w:rPr>
              <w:t>37,508,735.62</w:t>
            </w:r>
          </w:p>
        </w:tc>
        <w:tc>
          <w:tcPr>
            <w:vAlign w:val="center"/>
          </w:tcPr>
          <w:p>
            <w:pPr>
              <w:jc w:val="right"/>
            </w:pPr>
            <w:r>
              <w:rPr>
                <w:color w:val="000000"/>
                <w:kern w:val="0"/>
                <w:sz w:val="24"/>
                <w:szCs w:val="24"/>
              </w:rPr>
              <w:t>3.12</w:t>
            </w:r>
          </w:p>
        </w:tc>
      </w:tr>
      <w:tr>
        <w:tc>
          <w:tcPr>
            <w:vAlign w:val="center"/>
          </w:tcPr>
          <w:p>
            <w:pPr>
              <w:jc w:val="center"/>
            </w:pPr>
            <w:r>
              <w:rPr>
                <w:color w:val="000000"/>
                <w:kern w:val="0"/>
                <w:sz w:val="24"/>
                <w:szCs w:val="24"/>
              </w:rPr>
              <w:t>5</w:t>
            </w:r>
          </w:p>
        </w:tc>
        <w:tc>
          <w:tcPr>
            <w:vAlign w:val="center"/>
          </w:tcPr>
          <w:p>
            <w:pPr>
              <w:jc w:val="center"/>
            </w:pPr>
            <w:r>
              <w:rPr>
                <w:color w:val="000000"/>
                <w:kern w:val="0"/>
                <w:sz w:val="24"/>
                <w:szCs w:val="24"/>
              </w:rPr>
              <w:t>002402</w:t>
            </w:r>
          </w:p>
        </w:tc>
        <w:tc>
          <w:tcPr>
            <w:vAlign w:val="center"/>
          </w:tcPr>
          <w:p>
            <w:pPr>
              <w:jc w:val="center"/>
            </w:pPr>
            <w:r>
              <w:rPr>
                <w:color w:val="000000"/>
                <w:kern w:val="0"/>
                <w:sz w:val="24"/>
                <w:szCs w:val="24"/>
              </w:rPr>
              <w:t>和而泰</w:t>
            </w:r>
          </w:p>
        </w:tc>
        <w:tc>
          <w:tcPr>
            <w:vAlign w:val="center"/>
          </w:tcPr>
          <w:p>
            <w:pPr>
              <w:jc w:val="right"/>
            </w:pPr>
            <w:r>
              <w:rPr>
                <w:color w:val="000000"/>
                <w:kern w:val="0"/>
                <w:sz w:val="24"/>
                <w:szCs w:val="24"/>
              </w:rPr>
              <w:t>2,220,800</w:t>
            </w:r>
          </w:p>
        </w:tc>
        <w:tc>
          <w:tcPr>
            <w:vAlign w:val="center"/>
          </w:tcPr>
          <w:p>
            <w:pPr>
              <w:jc w:val="right"/>
            </w:pPr>
            <w:r>
              <w:rPr>
                <w:color w:val="000000"/>
                <w:kern w:val="0"/>
                <w:sz w:val="24"/>
                <w:szCs w:val="24"/>
              </w:rPr>
              <w:t>35,999,168.00</w:t>
            </w:r>
          </w:p>
        </w:tc>
        <w:tc>
          <w:tcPr>
            <w:vAlign w:val="center"/>
          </w:tcPr>
          <w:p>
            <w:pPr>
              <w:jc w:val="right"/>
            </w:pPr>
            <w:r>
              <w:rPr>
                <w:color w:val="000000"/>
                <w:kern w:val="0"/>
                <w:sz w:val="24"/>
                <w:szCs w:val="24"/>
              </w:rPr>
              <w:t>3.00</w:t>
            </w:r>
          </w:p>
        </w:tc>
      </w:tr>
      <w:tr>
        <w:tc>
          <w:tcPr>
            <w:vAlign w:val="center"/>
          </w:tcPr>
          <w:p>
            <w:pPr>
              <w:jc w:val="center"/>
            </w:pPr>
            <w:r>
              <w:rPr>
                <w:color w:val="000000"/>
                <w:kern w:val="0"/>
                <w:sz w:val="24"/>
                <w:szCs w:val="24"/>
              </w:rPr>
              <w:t>6</w:t>
            </w:r>
          </w:p>
        </w:tc>
        <w:tc>
          <w:tcPr>
            <w:vAlign w:val="center"/>
          </w:tcPr>
          <w:p>
            <w:pPr>
              <w:jc w:val="center"/>
            </w:pPr>
            <w:r>
              <w:rPr>
                <w:color w:val="000000"/>
                <w:kern w:val="0"/>
                <w:sz w:val="24"/>
                <w:szCs w:val="24"/>
              </w:rPr>
              <w:t>300226</w:t>
            </w:r>
          </w:p>
        </w:tc>
        <w:tc>
          <w:tcPr>
            <w:vAlign w:val="center"/>
          </w:tcPr>
          <w:p>
            <w:pPr>
              <w:jc w:val="center"/>
            </w:pPr>
            <w:r>
              <w:rPr>
                <w:color w:val="000000"/>
                <w:kern w:val="0"/>
                <w:sz w:val="24"/>
                <w:szCs w:val="24"/>
              </w:rPr>
              <w:t>上海钢联</w:t>
            </w:r>
          </w:p>
        </w:tc>
        <w:tc>
          <w:tcPr>
            <w:vAlign w:val="center"/>
          </w:tcPr>
          <w:p>
            <w:pPr>
              <w:jc w:val="right"/>
            </w:pPr>
            <w:r>
              <w:rPr>
                <w:color w:val="000000"/>
                <w:kern w:val="0"/>
                <w:sz w:val="24"/>
                <w:szCs w:val="24"/>
              </w:rPr>
              <w:t>432,000</w:t>
            </w:r>
          </w:p>
        </w:tc>
        <w:tc>
          <w:tcPr>
            <w:vAlign w:val="center"/>
          </w:tcPr>
          <w:p>
            <w:pPr>
              <w:jc w:val="right"/>
            </w:pPr>
            <w:r>
              <w:rPr>
                <w:color w:val="000000"/>
                <w:kern w:val="0"/>
                <w:sz w:val="24"/>
                <w:szCs w:val="24"/>
              </w:rPr>
              <w:t>33,955,200.00</w:t>
            </w:r>
          </w:p>
        </w:tc>
        <w:tc>
          <w:tcPr>
            <w:vAlign w:val="center"/>
          </w:tcPr>
          <w:p>
            <w:pPr>
              <w:jc w:val="right"/>
            </w:pPr>
            <w:r>
              <w:rPr>
                <w:color w:val="000000"/>
                <w:kern w:val="0"/>
                <w:sz w:val="24"/>
                <w:szCs w:val="24"/>
              </w:rPr>
              <w:t>2.83</w:t>
            </w:r>
          </w:p>
        </w:tc>
      </w:tr>
      <w:tr>
        <w:tc>
          <w:tcPr>
            <w:vAlign w:val="center"/>
          </w:tcPr>
          <w:p>
            <w:pPr>
              <w:jc w:val="center"/>
            </w:pPr>
            <w:r>
              <w:rPr>
                <w:color w:val="000000"/>
                <w:kern w:val="0"/>
                <w:sz w:val="24"/>
                <w:szCs w:val="24"/>
              </w:rPr>
              <w:t>7</w:t>
            </w:r>
          </w:p>
        </w:tc>
        <w:tc>
          <w:tcPr>
            <w:vAlign w:val="center"/>
          </w:tcPr>
          <w:p>
            <w:pPr>
              <w:jc w:val="center"/>
            </w:pPr>
            <w:r>
              <w:rPr>
                <w:color w:val="000000"/>
                <w:kern w:val="0"/>
                <w:sz w:val="24"/>
                <w:szCs w:val="24"/>
              </w:rPr>
              <w:t>600570</w:t>
            </w:r>
          </w:p>
        </w:tc>
        <w:tc>
          <w:tcPr>
            <w:vAlign w:val="center"/>
          </w:tcPr>
          <w:p>
            <w:pPr>
              <w:jc w:val="center"/>
            </w:pPr>
            <w:r>
              <w:rPr>
                <w:color w:val="000000"/>
                <w:kern w:val="0"/>
                <w:sz w:val="24"/>
                <w:szCs w:val="24"/>
              </w:rPr>
              <w:t>恒生电子</w:t>
            </w:r>
          </w:p>
        </w:tc>
        <w:tc>
          <w:tcPr>
            <w:vAlign w:val="center"/>
          </w:tcPr>
          <w:p>
            <w:pPr>
              <w:jc w:val="right"/>
            </w:pPr>
            <w:r>
              <w:rPr>
                <w:color w:val="000000"/>
                <w:kern w:val="0"/>
                <w:sz w:val="24"/>
                <w:szCs w:val="24"/>
              </w:rPr>
              <w:t>301,533</w:t>
            </w:r>
          </w:p>
        </w:tc>
        <w:tc>
          <w:tcPr>
            <w:vAlign w:val="center"/>
          </w:tcPr>
          <w:p>
            <w:pPr>
              <w:jc w:val="right"/>
            </w:pPr>
            <w:r>
              <w:rPr>
                <w:color w:val="000000"/>
                <w:kern w:val="0"/>
                <w:sz w:val="24"/>
                <w:szCs w:val="24"/>
              </w:rPr>
              <w:t>32,475,104.10</w:t>
            </w:r>
          </w:p>
        </w:tc>
        <w:tc>
          <w:tcPr>
            <w:vAlign w:val="center"/>
          </w:tcPr>
          <w:p>
            <w:pPr>
              <w:jc w:val="right"/>
            </w:pPr>
            <w:r>
              <w:rPr>
                <w:color w:val="000000"/>
                <w:kern w:val="0"/>
                <w:sz w:val="24"/>
                <w:szCs w:val="24"/>
              </w:rPr>
              <w:t>2.70</w:t>
            </w:r>
          </w:p>
        </w:tc>
      </w:tr>
      <w:tr>
        <w:tc>
          <w:tcPr>
            <w:vAlign w:val="center"/>
          </w:tcPr>
          <w:p>
            <w:pPr>
              <w:jc w:val="center"/>
            </w:pPr>
            <w:r>
              <w:rPr>
                <w:color w:val="000000"/>
                <w:kern w:val="0"/>
                <w:sz w:val="24"/>
                <w:szCs w:val="24"/>
              </w:rPr>
              <w:t>8</w:t>
            </w:r>
          </w:p>
        </w:tc>
        <w:tc>
          <w:tcPr>
            <w:vAlign w:val="center"/>
          </w:tcPr>
          <w:p>
            <w:pPr>
              <w:jc w:val="center"/>
            </w:pPr>
            <w:r>
              <w:rPr>
                <w:color w:val="000000"/>
                <w:kern w:val="0"/>
                <w:sz w:val="24"/>
                <w:szCs w:val="24"/>
              </w:rPr>
              <w:t>000725</w:t>
            </w:r>
          </w:p>
        </w:tc>
        <w:tc>
          <w:tcPr>
            <w:vAlign w:val="center"/>
          </w:tcPr>
          <w:p>
            <w:pPr>
              <w:jc w:val="center"/>
            </w:pPr>
            <w:r>
              <w:rPr>
                <w:color w:val="000000"/>
                <w:kern w:val="0"/>
                <w:sz w:val="24"/>
                <w:szCs w:val="24"/>
              </w:rPr>
              <w:t>京东方A</w:t>
            </w:r>
          </w:p>
        </w:tc>
        <w:tc>
          <w:tcPr>
            <w:vAlign w:val="center"/>
          </w:tcPr>
          <w:p>
            <w:pPr>
              <w:jc w:val="right"/>
            </w:pPr>
            <w:r>
              <w:rPr>
                <w:color w:val="000000"/>
                <w:kern w:val="0"/>
                <w:sz w:val="24"/>
                <w:szCs w:val="24"/>
              </w:rPr>
              <w:t>6,693,400</w:t>
            </w:r>
          </w:p>
        </w:tc>
        <w:tc>
          <w:tcPr>
            <w:vAlign w:val="center"/>
          </w:tcPr>
          <w:p>
            <w:pPr>
              <w:jc w:val="right"/>
            </w:pPr>
            <w:r>
              <w:rPr>
                <w:color w:val="000000"/>
                <w:kern w:val="0"/>
                <w:sz w:val="24"/>
                <w:szCs w:val="24"/>
              </w:rPr>
              <w:t>31,258,178.00</w:t>
            </w:r>
          </w:p>
        </w:tc>
        <w:tc>
          <w:tcPr>
            <w:vAlign w:val="center"/>
          </w:tcPr>
          <w:p>
            <w:pPr>
              <w:jc w:val="right"/>
            </w:pPr>
            <w:r>
              <w:rPr>
                <w:color w:val="000000"/>
                <w:kern w:val="0"/>
                <w:sz w:val="24"/>
                <w:szCs w:val="24"/>
              </w:rPr>
              <w:t>2.60</w:t>
            </w:r>
          </w:p>
        </w:tc>
      </w:tr>
      <w:tr>
        <w:tc>
          <w:tcPr>
            <w:vAlign w:val="center"/>
          </w:tcPr>
          <w:p>
            <w:pPr>
              <w:jc w:val="center"/>
            </w:pPr>
            <w:r>
              <w:rPr>
                <w:color w:val="000000"/>
                <w:kern w:val="0"/>
                <w:sz w:val="24"/>
                <w:szCs w:val="24"/>
              </w:rPr>
              <w:t>9</w:t>
            </w:r>
          </w:p>
        </w:tc>
        <w:tc>
          <w:tcPr>
            <w:vAlign w:val="center"/>
          </w:tcPr>
          <w:p>
            <w:pPr>
              <w:jc w:val="center"/>
            </w:pPr>
            <w:r>
              <w:rPr>
                <w:color w:val="000000"/>
                <w:kern w:val="0"/>
                <w:sz w:val="24"/>
                <w:szCs w:val="24"/>
              </w:rPr>
              <w:t>603232</w:t>
            </w:r>
          </w:p>
        </w:tc>
        <w:tc>
          <w:tcPr>
            <w:vAlign w:val="center"/>
          </w:tcPr>
          <w:p>
            <w:pPr>
              <w:jc w:val="center"/>
            </w:pPr>
            <w:r>
              <w:rPr>
                <w:color w:val="000000"/>
                <w:kern w:val="0"/>
                <w:sz w:val="24"/>
                <w:szCs w:val="24"/>
              </w:rPr>
              <w:t>格尔软件</w:t>
            </w:r>
          </w:p>
        </w:tc>
        <w:tc>
          <w:tcPr>
            <w:vAlign w:val="center"/>
          </w:tcPr>
          <w:p>
            <w:pPr>
              <w:jc w:val="right"/>
            </w:pPr>
            <w:r>
              <w:rPr>
                <w:color w:val="000000"/>
                <w:kern w:val="0"/>
                <w:sz w:val="24"/>
                <w:szCs w:val="24"/>
              </w:rPr>
              <w:t>997,166</w:t>
            </w:r>
          </w:p>
        </w:tc>
        <w:tc>
          <w:tcPr>
            <w:vAlign w:val="center"/>
          </w:tcPr>
          <w:p>
            <w:pPr>
              <w:jc w:val="right"/>
            </w:pPr>
            <w:r>
              <w:rPr>
                <w:color w:val="000000"/>
                <w:kern w:val="0"/>
                <w:sz w:val="24"/>
                <w:szCs w:val="24"/>
              </w:rPr>
              <w:t>30,712,712.80</w:t>
            </w:r>
          </w:p>
        </w:tc>
        <w:tc>
          <w:tcPr>
            <w:vAlign w:val="center"/>
          </w:tcPr>
          <w:p>
            <w:pPr>
              <w:jc w:val="right"/>
            </w:pPr>
            <w:r>
              <w:rPr>
                <w:color w:val="000000"/>
                <w:kern w:val="0"/>
                <w:sz w:val="24"/>
                <w:szCs w:val="24"/>
              </w:rPr>
              <w:t>2.56</w:t>
            </w:r>
          </w:p>
        </w:tc>
      </w:tr>
      <w:tr>
        <w:tc>
          <w:tcPr>
            <w:vAlign w:val="center"/>
          </w:tcPr>
          <w:p>
            <w:pPr>
              <w:jc w:val="center"/>
            </w:pPr>
            <w:r>
              <w:rPr>
                <w:color w:val="000000"/>
                <w:kern w:val="0"/>
                <w:sz w:val="24"/>
                <w:szCs w:val="24"/>
              </w:rPr>
              <w:t>10</w:t>
            </w:r>
          </w:p>
        </w:tc>
        <w:tc>
          <w:tcPr>
            <w:vAlign w:val="center"/>
          </w:tcPr>
          <w:p>
            <w:pPr>
              <w:jc w:val="center"/>
            </w:pPr>
            <w:r>
              <w:rPr>
                <w:color w:val="000000"/>
                <w:kern w:val="0"/>
                <w:sz w:val="24"/>
                <w:szCs w:val="24"/>
              </w:rPr>
              <w:t>300014</w:t>
            </w:r>
          </w:p>
        </w:tc>
        <w:tc>
          <w:tcPr>
            <w:vAlign w:val="center"/>
          </w:tcPr>
          <w:p>
            <w:pPr>
              <w:jc w:val="center"/>
            </w:pPr>
            <w:r>
              <w:rPr>
                <w:color w:val="000000"/>
                <w:kern w:val="0"/>
                <w:sz w:val="24"/>
                <w:szCs w:val="24"/>
              </w:rPr>
              <w:t>亿纬锂能</w:t>
            </w:r>
          </w:p>
        </w:tc>
        <w:tc>
          <w:tcPr>
            <w:vAlign w:val="center"/>
          </w:tcPr>
          <w:p>
            <w:pPr>
              <w:jc w:val="right"/>
            </w:pPr>
            <w:r>
              <w:rPr>
                <w:color w:val="000000"/>
                <w:kern w:val="0"/>
                <w:sz w:val="24"/>
                <w:szCs w:val="24"/>
              </w:rPr>
              <w:t>636,812</w:t>
            </w:r>
          </w:p>
        </w:tc>
        <w:tc>
          <w:tcPr>
            <w:vAlign w:val="center"/>
          </w:tcPr>
          <w:p>
            <w:pPr>
              <w:jc w:val="right"/>
            </w:pPr>
            <w:r>
              <w:rPr>
                <w:color w:val="000000"/>
                <w:kern w:val="0"/>
                <w:sz w:val="24"/>
                <w:szCs w:val="24"/>
              </w:rPr>
              <w:t>30,471,454.20</w:t>
            </w:r>
          </w:p>
        </w:tc>
        <w:tc>
          <w:tcPr>
            <w:vAlign w:val="center"/>
          </w:tcPr>
          <w:p>
            <w:pPr>
              <w:jc w:val="right"/>
            </w:pPr>
            <w:r>
              <w:rPr>
                <w:color w:val="000000"/>
                <w:kern w:val="0"/>
                <w:sz w:val="24"/>
                <w:szCs w:val="24"/>
              </w:rPr>
              <w:t>2.54</w:t>
            </w:r>
          </w:p>
        </w:tc>
      </w:tr>
    </w:tbl>
    <w:p w:rsidP="00CA4677" w:rsidR="00CA4677" w:rsidRDefault="00750D48" w:rsidRPr="00283CAD">
      <w:pPr>
        <w:autoSpaceDE w:val="0"/>
        <w:autoSpaceDN w:val="0"/>
        <w:adjustRightInd w:val="0"/>
        <w:spacing w:line="360" w:lineRule="auto"/>
        <w:jc w:val="left"/>
        <w:rPr>
          <w:rFonts w:eastAsiaTheme="minorEastAsia"/>
          <w:b/>
          <w:bCs/>
          <w:color w:themeColor="text1" w:val="000000"/>
          <w:kern w:val="0"/>
          <w:sz w:val="24"/>
          <w:szCs w:val="24"/>
        </w:rPr>
      </w:pPr>
      <w:r w:rsidRPr="00264E55">
        <w:rPr>
          <w:rFonts w:ascii="宋体" w:hAnsi="宋体"/>
          <w:b/>
          <w:bCs/>
          <w:color w:val="000000"/>
          <w:kern w:val="0"/>
          <w:sz w:val="24"/>
          <w:szCs w:val="24"/>
        </w:rPr>
        <w:t xml:space="preserve">5.4 </w:t>
      </w:r>
      <w:r w:rsidRPr="00264E55">
        <w:rPr>
          <w:rFonts w:ascii="宋体" w:hAnsi="宋体" w:hint="eastAsia"/>
          <w:b/>
          <w:bCs/>
          <w:color w:val="000000"/>
          <w:kern w:val="0"/>
          <w:sz w:val="24"/>
          <w:szCs w:val="24"/>
        </w:rPr>
        <w:t>报告期末按债券品种分类的债券投资组合</w:t>
      </w:r>
    </w:p>
    <w:tbl>
      <w:tblPr>
        <w:tblStyle w:val="af7"/>
        <w:tblW w:type="dxa" w:w="8755"/>
        <w:jc w:val="center"/>
        <w:tblLayout w:type="fixed"/>
        <w:tblLook w:firstColumn="1" w:firstRow="1" w:lastColumn="0" w:lastRow="0" w:noHBand="0" w:noVBand="1" w:val="04A0"/>
      </w:tblPr>
      <w:tblGrid>
        <w:gridCol w:w="817"/>
        <w:gridCol w:w="3260"/>
        <w:gridCol w:w="2949"/>
        <w:gridCol w:w="1729"/>
      </w:tblGrid>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序号</w:t>
            </w:r>
          </w:p>
        </w:tc>
        <w:tc>
          <w:tcPr>
            <w:tcW w:type="dxa" w:w="3260"/>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债券品种</w:t>
            </w: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
            </w:r>
          </w:p>
        </w:tc>
        <w:tc>
          <w:tcPr>
            <w:tcW w:type="dxa" w:w="294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公允价值</w:t>
            </w:r>
            <w:r w:rsidRPr="00283CAD">
              <w:rPr>
                <w:rFonts w:eastAsiaTheme="minorEastAsia"/>
                <w:color w:themeColor="text1" w:val="000000"/>
                <w:sz w:val="24"/>
                <w:szCs w:val="24"/>
              </w:rPr>
              <w:t>(</w:t>
            </w:r>
            <w:r w:rsidRPr="00283CAD">
              <w:rPr>
                <w:rFonts w:eastAsiaTheme="minorEastAsia"/>
                <w:color w:themeColor="text1" w:val="000000"/>
                <w:sz w:val="24"/>
                <w:szCs w:val="24"/>
              </w:rPr>
              <w:t>元</w:t>
            </w:r>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占基金资产净值比例</w:t>
            </w:r>
            <w:r w:rsidRPr="00283CAD">
              <w:rPr>
                <w:rFonts w:eastAsiaTheme="minorEastAsia"/>
                <w:color w:themeColor="text1" w:val="000000"/>
                <w:sz w:val="24"/>
                <w:szCs w:val="24"/>
              </w:rPr>
              <w:t>(</w:t>
            </w:r>
            <w:r w:rsidRPr="00283CAD">
              <w:rPr>
                <w:rFonts w:eastAsiaTheme="minorEastAsia"/>
                <w:color w:themeColor="text1" w:val="000000"/>
                <w:sz w:val="24"/>
                <w:szCs w:val="24"/>
              </w:rPr>
              <w:t>％</w:t>
            </w: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国家债券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139,489,000.00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11.61</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2</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央行票据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3</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金融债券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其中：政策性金融债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4</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企业债券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5</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企业短期融资券</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6</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中期票据</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7</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可转债</w:t>
            </w:r>
            <w:r w:rsidR="004B5343" w:rsidRPr="004B5343">
              <w:rPr>
                <w:rFonts w:eastAsiaTheme="minorEastAsia" w:hint="eastAsia"/>
                <w:color w:themeColor="text1" w:val="000000"/>
                <w:sz w:val="24"/>
                <w:szCs w:val="24"/>
              </w:rPr>
              <w:t>（可交换债）</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1,030,326.20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lastRenderedPageBreak/>
              <w:t/>
            </w:r>
            <w:proofErr w:type="spellStart"/>
            <w:r w:rsidRPr="00283CAD">
              <w:rPr>
                <w:rFonts w:eastAsiaTheme="minorEastAsia"/>
                <w:color w:themeColor="text1" w:val="000000"/>
                <w:sz w:val="24"/>
                <w:szCs w:val="24"/>
              </w:rPr>
              <w:t/>
            </w:r>
            <w:r w:rsidRPr="00283CAD">
              <w:rPr>
                <w:rFonts w:eastAsiaTheme="minorEastAsia"/>
                <w:color w:themeColor="text1" w:val="000000"/>
                <w:sz w:val="24"/>
                <w:szCs w:val="24"/>
              </w:rPr>
              <w:lastRenderedPageBreak/>
              <w:t/>
            </w:r>
            <w:proofErr w:type="spellEnd"/>
            <w:r w:rsidRPr="00283CAD">
              <w:rPr>
                <w:rFonts w:eastAsiaTheme="minorEastAsia"/>
                <w:color w:themeColor="text1" w:val="000000"/>
                <w:sz w:val="24"/>
                <w:szCs w:val="24"/>
              </w:rPr>
              <w:t>0.09</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lastRenderedPageBreak/>
              <w:t>8</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同业存单</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9</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其他</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w:t>
            </w:r>
          </w:p>
        </w:tc>
      </w:tr>
      <w:tr w:rsidR="00CA4677" w:rsidRPr="00283CAD" w:rsidTr="003328D9">
        <w:trPr>
          <w:jc w:val="center"/>
        </w:trPr>
        <w:tc>
          <w:tcPr>
            <w:tcW w:type="dxa" w:w="817"/>
            <w:vAlign w:val="center"/>
          </w:tcPr>
          <w:p w:rsidP="003328D9" w:rsidR="00CA4677" w:rsidRDefault="00CA4677" w:rsidRPr="00283CAD">
            <w:pPr>
              <w:spacing w:before="29" w:line="360" w:lineRule="auto"/>
              <w:ind w:left="17"/>
              <w:jc w:val="center"/>
              <w:rPr>
                <w:rFonts w:eastAsiaTheme="minorEastAsia"/>
                <w:color w:themeColor="text1" w:val="000000"/>
                <w:sz w:val="24"/>
                <w:szCs w:val="24"/>
              </w:rPr>
            </w:pPr>
            <w:r w:rsidRPr="00283CAD">
              <w:rPr>
                <w:rFonts w:eastAsiaTheme="minorEastAsia"/>
                <w:color w:themeColor="text1" w:val="000000"/>
                <w:sz w:val="24"/>
                <w:szCs w:val="24"/>
              </w:rPr>
              <w:t>10</w:t>
            </w:r>
          </w:p>
        </w:tc>
        <w:tc>
          <w:tcPr>
            <w:tcW w:type="dxa" w:w="3260"/>
            <w:vAlign w:val="center"/>
          </w:tcPr>
          <w:p w:rsidP="003328D9" w:rsidR="00CA4677" w:rsidRDefault="00CA4677" w:rsidRPr="00283CAD">
            <w:pPr>
              <w:spacing w:before="29" w:line="360" w:lineRule="auto"/>
              <w:ind w:left="17"/>
              <w:jc w:val="left"/>
              <w:rPr>
                <w:rFonts w:eastAsiaTheme="minorEastAsia"/>
                <w:color w:themeColor="text1" w:val="000000"/>
                <w:sz w:val="24"/>
                <w:szCs w:val="24"/>
              </w:rPr>
            </w:pPr>
            <w:r w:rsidRPr="00283CAD">
              <w:rPr>
                <w:rFonts w:eastAsiaTheme="minorEastAsia"/>
                <w:color w:themeColor="text1" w:val="000000"/>
                <w:sz w:val="24"/>
                <w:szCs w:val="24"/>
              </w:rPr>
              <w:t>合计</w:t>
            </w:r>
          </w:p>
        </w:tc>
        <w:tc>
          <w:tcPr>
            <w:tcW w:type="dxa" w:w="294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140,519,326.20</w:t>
            </w:r>
          </w:p>
        </w:tc>
        <w:tc>
          <w:tcPr>
            <w:tcW w:type="dxa" w:w="1729"/>
            <w:vAlign w:val="center"/>
          </w:tcPr>
          <w:p w:rsidP="003328D9" w:rsidR="00CA4677" w:rsidRDefault="00CA4677" w:rsidRPr="00283CAD">
            <w:pPr>
              <w:spacing w:before="29" w:line="360" w:lineRule="auto"/>
              <w:ind w:left="17"/>
              <w:jc w:val="right"/>
              <w:rPr>
                <w:rFonts w:eastAsiaTheme="minorEastAsia"/>
                <w:color w:themeColor="text1" w:val="000000"/>
                <w:sz w:val="24"/>
                <w:szCs w:val="24"/>
              </w:rPr>
            </w:pPr>
            <w:r w:rsidRPr="00283CAD">
              <w:rPr>
                <w:rFonts w:eastAsiaTheme="minorEastAsia"/>
                <w:color w:themeColor="text1" w:val="000000"/>
                <w:sz w:val="24"/>
                <w:szCs w:val="24"/>
              </w:rPr>
              <w:t/>
            </w:r>
            <w:proofErr w:type="spellStart"/>
            <w:r w:rsidRPr="00283CAD">
              <w:rPr>
                <w:rFonts w:eastAsiaTheme="minorEastAsia"/>
                <w:color w:themeColor="text1" w:val="000000"/>
                <w:sz w:val="24"/>
                <w:szCs w:val="24"/>
              </w:rPr>
              <w:t/>
            </w:r>
            <w:proofErr w:type="spellEnd"/>
            <w:r w:rsidRPr="00283CAD">
              <w:rPr>
                <w:rFonts w:eastAsiaTheme="minorEastAsia"/>
                <w:color w:themeColor="text1" w:val="000000"/>
                <w:sz w:val="24"/>
                <w:szCs w:val="24"/>
              </w:rPr>
              <w:t>11.69</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5.5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的前五名债券投资明细</w:t>
      </w:r>
    </w:p>
    <w:tbl>
      <w:tblPr>
        <w:tblW w:type="auto"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959"/>
        <w:gridCol w:w="1276"/>
        <w:gridCol w:w="1275"/>
        <w:gridCol w:w="1560"/>
        <w:gridCol w:w="1984"/>
        <w:gridCol w:w="1474"/>
      </w:tblGrid>
      <w:tr w:rsidR="00750D48" w:rsidRPr="00264E55" w:rsidTr="005602F3">
        <w:tc>
          <w:tcPr>
            <w:tcW w:type="dxa" w:w="959"/>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序号</w:t>
            </w:r>
          </w:p>
        </w:tc>
        <w:tc>
          <w:tcPr>
            <w:tcW w:type="dxa" w:w="1276"/>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债券代码</w:t>
            </w:r>
          </w:p>
        </w:tc>
        <w:tc>
          <w:tcPr>
            <w:tcW w:type="dxa" w:w="1275"/>
            <w:vAlign w:val="center"/>
          </w:tcPr>
          <w:p w:rsidP="00B05049"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债券名称</w:t>
            </w:r>
          </w:p>
        </w:tc>
        <w:tc>
          <w:tcPr>
            <w:tcW w:type="dxa" w:w="1560"/>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数量</w:t>
            </w:r>
            <w:r w:rsidR="005F7917" w:rsidRPr="00232B03">
              <w:rPr>
                <w:color w:val="000000"/>
                <w:kern w:val="0"/>
                <w:sz w:val="24"/>
                <w:szCs w:val="24"/>
              </w:rPr>
              <w:t>（张）</w:t>
            </w:r>
          </w:p>
        </w:tc>
        <w:tc>
          <w:tcPr>
            <w:tcW w:type="dxa" w:w="198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公允价值</w:t>
            </w:r>
            <w:r w:rsidR="005F7917" w:rsidRPr="00232B03">
              <w:rPr>
                <w:color w:val="000000"/>
                <w:kern w:val="0"/>
                <w:sz w:val="24"/>
                <w:szCs w:val="24"/>
              </w:rPr>
              <w:t>（元）</w:t>
            </w:r>
          </w:p>
        </w:tc>
        <w:tc>
          <w:tcPr>
            <w:tcW w:type="dxa" w:w="1474"/>
            <w:vAlign w:val="center"/>
          </w:tcPr>
          <w:p w:rsidP="005F7917" w:rsidR="00750D48" w:rsidRDefault="00750D48" w:rsidRPr="00232B03">
            <w:pPr>
              <w:spacing w:before="29" w:line="360" w:lineRule="auto"/>
              <w:ind w:left="17"/>
              <w:jc w:val="center"/>
              <w:rPr>
                <w:color w:val="000000"/>
                <w:kern w:val="0"/>
                <w:sz w:val="24"/>
                <w:szCs w:val="24"/>
              </w:rPr>
            </w:pPr>
            <w:r w:rsidRPr="00232B03">
              <w:rPr>
                <w:color w:val="000000"/>
                <w:kern w:val="0"/>
                <w:sz w:val="24"/>
                <w:szCs w:val="24"/>
              </w:rPr>
              <w:t>占基金资产净值比例</w:t>
            </w:r>
            <w:r w:rsidR="005F7917" w:rsidRPr="00232B03">
              <w:rPr>
                <w:color w:val="000000"/>
                <w:kern w:val="0"/>
                <w:sz w:val="24"/>
                <w:szCs w:val="24"/>
              </w:rPr>
              <w:lastRenderedPageBreak/>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209922</w:t>
            </w:r>
          </w:p>
        </w:tc>
        <w:tc>
          <w:tcPr>
            <w:vAlign w:val="center"/>
          </w:tcPr>
          <w:p>
            <w:pPr>
              <w:jc w:val="center"/>
            </w:pPr>
            <w:r>
              <w:rPr>
                <w:color w:val="000000"/>
                <w:kern w:val="0"/>
                <w:sz w:val="24"/>
                <w:szCs w:val="24"/>
              </w:rPr>
              <w:t>20贴现国债22</w:t>
            </w:r>
          </w:p>
        </w:tc>
        <w:tc>
          <w:tcPr>
            <w:vAlign w:val="center"/>
          </w:tcPr>
          <w:p>
            <w:pPr>
              <w:jc w:val="right"/>
            </w:pPr>
            <w:r>
              <w:rPr>
                <w:color w:val="000000"/>
                <w:kern w:val="0"/>
                <w:sz w:val="24"/>
                <w:szCs w:val="24"/>
              </w:rPr>
              <w:t>900,000</w:t>
            </w:r>
          </w:p>
        </w:tc>
        <w:tc>
          <w:tcPr>
            <w:vAlign w:val="center"/>
          </w:tcPr>
          <w:p>
            <w:pPr>
              <w:jc w:val="right"/>
            </w:pPr>
            <w:r>
              <w:rPr>
                <w:color w:val="000000"/>
                <w:kern w:val="0"/>
                <w:sz w:val="24"/>
                <w:szCs w:val="24"/>
              </w:rPr>
              <w:t>89,694,000.00</w:t>
            </w:r>
          </w:p>
        </w:tc>
        <w:tc>
          <w:tcPr>
            <w:vAlign w:val="center"/>
          </w:tcPr>
          <w:p>
            <w:pPr>
              <w:jc w:val="right"/>
            </w:pPr>
            <w:r>
              <w:rPr>
                <w:color w:val="000000"/>
                <w:kern w:val="0"/>
                <w:sz w:val="24"/>
                <w:szCs w:val="24"/>
              </w:rPr>
              <w:t>7.46</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209925</w:t>
            </w:r>
          </w:p>
        </w:tc>
        <w:tc>
          <w:tcPr>
            <w:vAlign w:val="center"/>
          </w:tcPr>
          <w:p>
            <w:pPr>
              <w:jc w:val="center"/>
            </w:pPr>
            <w:r>
              <w:rPr>
                <w:color w:val="000000"/>
                <w:kern w:val="0"/>
                <w:sz w:val="24"/>
                <w:szCs w:val="24"/>
              </w:rPr>
              <w:t>20贴现国债25</w:t>
            </w:r>
          </w:p>
        </w:tc>
        <w:tc>
          <w:tcPr>
            <w:vAlign w:val="center"/>
          </w:tcPr>
          <w:p>
            <w:pPr>
              <w:jc w:val="right"/>
            </w:pPr>
            <w:r>
              <w:rPr>
                <w:color w:val="000000"/>
                <w:kern w:val="0"/>
                <w:sz w:val="24"/>
                <w:szCs w:val="24"/>
              </w:rPr>
              <w:t>500,000</w:t>
            </w:r>
          </w:p>
        </w:tc>
        <w:tc>
          <w:tcPr>
            <w:vAlign w:val="center"/>
          </w:tcPr>
          <w:p>
            <w:pPr>
              <w:jc w:val="right"/>
            </w:pPr>
            <w:r>
              <w:rPr>
                <w:color w:val="000000"/>
                <w:kern w:val="0"/>
                <w:sz w:val="24"/>
                <w:szCs w:val="24"/>
              </w:rPr>
              <w:t>49,795,000.00</w:t>
            </w:r>
          </w:p>
        </w:tc>
        <w:tc>
          <w:tcPr>
            <w:vAlign w:val="center"/>
          </w:tcPr>
          <w:p>
            <w:pPr>
              <w:jc w:val="right"/>
            </w:pPr>
            <w:r>
              <w:rPr>
                <w:color w:val="000000"/>
                <w:kern w:val="0"/>
                <w:sz w:val="24"/>
                <w:szCs w:val="24"/>
              </w:rPr>
              <w:t>4.14</w:t>
            </w:r>
          </w:p>
        </w:tc>
      </w:tr>
      <w:tr>
        <w:tc>
          <w:tcPr>
            <w:vAlign w:val="center"/>
          </w:tcPr>
          <w:p>
            <w:pPr>
              <w:jc w:val="center"/>
            </w:pPr>
            <w:r>
              <w:rPr>
                <w:color w:val="000000"/>
                <w:kern w:val="0"/>
                <w:sz w:val="24"/>
                <w:szCs w:val="24"/>
              </w:rPr>
              <w:t>3</w:t>
            </w:r>
          </w:p>
        </w:tc>
        <w:tc>
          <w:tcPr>
            <w:vAlign w:val="center"/>
          </w:tcPr>
          <w:p>
            <w:pPr>
              <w:jc w:val="center"/>
            </w:pPr>
            <w:r>
              <w:rPr>
                <w:color w:val="000000"/>
                <w:kern w:val="0"/>
                <w:sz w:val="24"/>
                <w:szCs w:val="24"/>
              </w:rPr>
              <w:t>113552</w:t>
            </w:r>
          </w:p>
        </w:tc>
        <w:tc>
          <w:tcPr>
            <w:vAlign w:val="center"/>
          </w:tcPr>
          <w:p>
            <w:pPr>
              <w:jc w:val="center"/>
            </w:pPr>
            <w:r>
              <w:rPr>
                <w:color w:val="000000"/>
                <w:kern w:val="0"/>
                <w:sz w:val="24"/>
                <w:szCs w:val="24"/>
              </w:rPr>
              <w:t>克来转债</w:t>
            </w:r>
          </w:p>
        </w:tc>
        <w:tc>
          <w:tcPr>
            <w:vAlign w:val="center"/>
          </w:tcPr>
          <w:p>
            <w:pPr>
              <w:jc w:val="right"/>
            </w:pPr>
            <w:r>
              <w:rPr>
                <w:color w:val="000000"/>
                <w:kern w:val="0"/>
                <w:sz w:val="24"/>
                <w:szCs w:val="24"/>
              </w:rPr>
              <w:t>3,730</w:t>
            </w:r>
          </w:p>
        </w:tc>
        <w:tc>
          <w:tcPr>
            <w:vAlign w:val="center"/>
          </w:tcPr>
          <w:p>
            <w:pPr>
              <w:jc w:val="right"/>
            </w:pPr>
            <w:r>
              <w:rPr>
                <w:color w:val="000000"/>
                <w:kern w:val="0"/>
                <w:sz w:val="24"/>
                <w:szCs w:val="24"/>
              </w:rPr>
              <w:t>526,452.20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4</w:t>
            </w:r>
          </w:p>
        </w:tc>
        <w:tc>
          <w:tcPr>
            <w:vAlign w:val="center"/>
          </w:tcPr>
          <w:p>
            <w:pPr>
              <w:jc w:val="center"/>
            </w:pPr>
            <w:r>
              <w:rPr>
                <w:color w:val="000000"/>
                <w:kern w:val="0"/>
                <w:sz w:val="24"/>
                <w:szCs w:val="24"/>
              </w:rPr>
              <w:t>113553</w:t>
            </w:r>
          </w:p>
        </w:tc>
        <w:tc>
          <w:tcPr>
            <w:vAlign w:val="center"/>
          </w:tcPr>
          <w:p>
            <w:pPr>
              <w:jc w:val="center"/>
            </w:pPr>
            <w:r>
              <w:rPr>
                <w:color w:val="000000"/>
                <w:kern w:val="0"/>
                <w:sz w:val="24"/>
                <w:szCs w:val="24"/>
              </w:rPr>
              <w:t>金牌转债</w:t>
            </w:r>
          </w:p>
        </w:tc>
        <w:tc>
          <w:tcPr>
            <w:vAlign w:val="center"/>
          </w:tcPr>
          <w:p>
            <w:pPr>
              <w:jc w:val="right"/>
            </w:pPr>
            <w:r>
              <w:rPr>
                <w:color w:val="000000"/>
                <w:kern w:val="0"/>
                <w:sz w:val="24"/>
                <w:szCs w:val="24"/>
              </w:rPr>
              <w:t>4,200</w:t>
            </w:r>
          </w:p>
        </w:tc>
        <w:tc>
          <w:tcPr>
            <w:vAlign w:val="center"/>
          </w:tcPr>
          <w:p>
            <w:pPr>
              <w:jc w:val="right"/>
            </w:pPr>
            <w:r>
              <w:rPr>
                <w:color w:val="000000"/>
                <w:kern w:val="0"/>
                <w:sz w:val="24"/>
                <w:szCs w:val="24"/>
              </w:rPr>
              <w:t>503,874.00</w:t>
            </w:r>
          </w:p>
        </w:tc>
        <w:tc>
          <w:tcPr>
            <w:vAlign w:val="center"/>
          </w:tcPr>
          <w:p>
            <w:pPr>
              <w:jc w:val="right"/>
            </w:pPr>
            <w:r>
              <w:rPr>
                <w:color w:val="000000"/>
                <w:kern w:val="0"/>
                <w:sz w:val="24"/>
                <w:szCs w:val="24"/>
              </w:rPr>
              <w:t>0.04</w:t>
            </w:r>
          </w:p>
        </w:tc>
      </w:tr>
    </w:tbl>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hAnsi="宋体"/>
          <w:b/>
          <w:bCs/>
          <w:color w:val="000000"/>
          <w:kern w:val="0"/>
          <w:sz w:val="24"/>
          <w:szCs w:val="24"/>
        </w:rPr>
        <w:t xml:space="preserve">5.6 </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的前十名资产支持证券投资明细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本基金本报告期末未持有资产支持证券。</w:t>
      </w:r>
    </w:p>
    <w:p w:rsidP="001D63BB" w:rsidR="00750D48" w:rsidRDefault="00750D48" w:rsidRPr="001D63BB">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r w:rsidRPr="001B0A62">
        <w:rPr>
          <w:rFonts w:ascii="宋体" w:hAnsi="宋体"/>
          <w:b/>
          <w:bCs/>
          <w:color w:val="000000"/>
          <w:kern w:val="0"/>
          <w:sz w:val="24"/>
          <w:szCs w:val="24"/>
        </w:rPr>
        <w:t>5.</w:t>
      </w:r>
      <w:r>
        <w:rPr>
          <w:rFonts w:ascii="宋体" w:hAnsi="宋体"/>
          <w:b/>
          <w:bCs/>
          <w:color w:val="000000"/>
          <w:kern w:val="0"/>
          <w:sz w:val="24"/>
          <w:szCs w:val="24"/>
        </w:rPr>
        <w:t/>
      </w:r>
      <w:r w:rsidRPr="001B0A62">
        <w:rPr>
          <w:rFonts w:ascii="宋体"/>
          <w:b/>
          <w:bCs/>
          <w:color w:val="000000"/>
          <w:kern w:val="0"/>
          <w:sz w:val="24"/>
          <w:szCs w:val="24"/>
        </w:rPr>
        <w:t>7</w:t>
      </w:r>
      <w:r w:rsidRPr="001D63BB">
        <w:rPr>
          <w:rFonts w:ascii="宋体" w:hAnsi="宋体" w:hint="eastAsia"/>
          <w:b/>
          <w:bCs/>
          <w:color w:val="000000"/>
          <w:kern w:val="0"/>
          <w:sz w:val="24"/>
          <w:szCs w:val="24"/>
        </w:rPr>
        <w:t>报告期末按公允价值占基金资产净值比例大小排序的前五名贵金属投资明细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本基金本报告期末未持有贵金属。</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Pr>
          <w:rFonts w:asci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5.</w:t>
      </w:r>
      <w:r w:rsidRPr="001B0A62">
        <w:rPr>
          <w:rFonts w:ascii="宋体" w:hAnsi="宋体"/>
          <w:b/>
          <w:bCs/>
          <w:color w:val="000000"/>
          <w:kern w:val="0"/>
          <w:sz w:val="24"/>
          <w:szCs w:val="24"/>
        </w:rPr>
        <w:t/>
      </w:r>
      <w:r>
        <w:rPr>
          <w:rFonts w:ascii="宋体" w:hAnsi="宋体"/>
          <w:b/>
          <w:bCs/>
          <w:color w:val="000000"/>
          <w:kern w:val="0"/>
          <w:sz w:val="24"/>
          <w:szCs w:val="24"/>
        </w:rPr>
        <w:t/>
      </w:r>
      <w:r w:rsidRPr="001B0A62">
        <w:rPr>
          <w:rFonts w:ascii="宋体"/>
          <w:b/>
          <w:bCs/>
          <w:color w:val="000000"/>
          <w:kern w:val="0"/>
          <w:sz w:val="24"/>
          <w:szCs w:val="24"/>
        </w:rPr>
        <w:t>8</w:t>
      </w:r>
      <w:r w:rsidRPr="00264E55">
        <w:rPr>
          <w:rFonts w:ascii="宋体" w:hAnsi="宋体" w:hint="eastAsia"/>
          <w:b/>
          <w:bCs/>
          <w:color w:val="000000"/>
          <w:kern w:val="0"/>
          <w:sz w:val="24"/>
          <w:szCs w:val="24"/>
        </w:rPr>
        <w:t>报告期末按公允价值占基金资产净值比例大小排</w:t>
      </w:r>
      <w:r>
        <w:rPr>
          <w:rFonts w:ascii="宋体" w:hAnsi="宋体" w:hint="eastAsia"/>
          <w:b/>
          <w:bCs/>
          <w:color w:val="000000"/>
          <w:kern w:val="0"/>
          <w:sz w:val="24"/>
          <w:szCs w:val="24"/>
        </w:rPr>
        <w:t>序</w:t>
      </w:r>
      <w:r w:rsidRPr="00264E55">
        <w:rPr>
          <w:rFonts w:ascii="宋体" w:hAnsi="宋体" w:hint="eastAsia"/>
          <w:b/>
          <w:bCs/>
          <w:color w:val="000000"/>
          <w:kern w:val="0"/>
          <w:sz w:val="24"/>
          <w:szCs w:val="24"/>
        </w:rPr>
        <w:t>的前五名权证投资明细</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本基金本报告期末未持有权证。</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w:t>
      </w:r>
      <w:r>
        <w:rPr>
          <w:rFonts w:ascii="宋体"/>
          <w:b/>
          <w:bCs/>
          <w:color w:val="000000"/>
          <w:kern w:val="0"/>
          <w:sz w:val="24"/>
          <w:szCs w:val="24"/>
        </w:rPr>
        <w:t>.</w:t>
      </w:r>
      <w:r>
        <w:rPr>
          <w:rFonts w:ascii="宋体" w:hAnsi="宋体"/>
          <w:b/>
          <w:bCs/>
          <w:color w:val="000000"/>
          <w:kern w:val="0"/>
          <w:sz w:val="24"/>
          <w:szCs w:val="24"/>
        </w:rPr>
        <w:t/>
      </w:r>
      <w:r w:rsidRPr="001B0A62">
        <w:rPr>
          <w:rFonts w:ascii="宋体"/>
          <w:b/>
          <w:bCs/>
          <w:color w:val="000000"/>
          <w:kern w:val="0"/>
          <w:sz w:val="24"/>
          <w:szCs w:val="24"/>
        </w:rPr>
        <w:t>9</w:t>
      </w:r>
      <w:r w:rsidRPr="001B0A62">
        <w:rPr>
          <w:rFonts w:ascii="宋体" w:hAnsi="宋体" w:hint="eastAsia"/>
          <w:b/>
          <w:bCs/>
          <w:color w:val="000000"/>
          <w:kern w:val="0"/>
          <w:sz w:val="24"/>
          <w:szCs w:val="24"/>
        </w:rPr>
        <w:t>报告期末本基金投资的股指期货交易情况说明</w:t>
      </w:r>
    </w:p>
    <w:p w:rsidP="00277FAE" w:rsidR="00277FAE" w:rsidRDefault="00277FAE">
      <w:pPr>
        <w:spacing w:line="360" w:lineRule="auto"/>
        <w:ind w:firstLine="480" w:firstLineChars="200"/>
        <w:rPr>
          <w:rFonts w:eastAsiaTheme="minorEastAsia"/>
          <w:color w:themeColor="text1" w:val="000000"/>
          <w:sz w:val="24"/>
        </w:rPr>
      </w:pPr>
      <w:r>
        <w:rPr>
          <w:color w:val="000000"/>
          <w:sz w:val="24"/>
        </w:rPr>
        <w:t/>
      </w:r>
      <w:proofErr w:type="spellStart"/>
      <w:r>
        <w:rPr>
          <w:color w:val="000000"/>
          <w:sz w:val="24"/>
        </w:rPr>
        <w:t/>
      </w:r>
      <w:proofErr w:type="spellEnd"/>
      <w:r>
        <w:rPr>
          <w:color w:val="000000"/>
          <w:sz w:val="24"/>
        </w:rPr>
        <w:t/>
      </w:r>
      <w:proofErr w:type="spellStart"/>
      <w:r>
        <w:rPr>
          <w:color w:val="000000"/>
          <w:sz w:val="24"/>
        </w:rPr>
        <w:t/>
      </w:r>
      <w:r>
        <w:rPr>
          <w:rFonts w:eastAsiaTheme="minorEastAsia"/>
          <w:color w:themeColor="text1" w:val="000000"/>
          <w:sz w:val="24"/>
        </w:rPr>
        <w:t/>
      </w:r>
      <w:proofErr w:type="spellEnd"/>
      <w:r>
        <w:rPr>
          <w:rFonts w:eastAsiaTheme="minorEastAsia"/>
          <w:color w:themeColor="text1" w:val="000000"/>
          <w:sz w:val="24"/>
        </w:rPr>
        <w:t>本基金本报告期末未投资股指期货。</w:t>
      </w:r>
    </w:p>
    <w:p w:rsidP="001B0A62" w:rsidR="00750D48" w:rsidRDefault="00750D48" w:rsidRPr="001B0A62">
      <w:pPr>
        <w:autoSpaceDE w:val="0"/>
        <w:autoSpaceDN w:val="0"/>
        <w:adjustRightInd w:val="0"/>
        <w:spacing w:line="360" w:lineRule="auto"/>
        <w:jc w:val="left"/>
        <w:rPr>
          <w:rFonts w:ascii="宋体"/>
          <w:b/>
          <w:bCs/>
          <w:color w:val="000000"/>
          <w:kern w:val="0"/>
          <w:sz w:val="24"/>
          <w:szCs w:val="24"/>
        </w:rPr>
      </w:pPr>
      <w:r w:rsidRPr="001B0A62">
        <w:rPr>
          <w:rFonts w:ascii="宋体"/>
          <w:b/>
          <w:bCs/>
          <w:color w:val="000000"/>
          <w:kern w:val="0"/>
          <w:sz w:val="24"/>
          <w:szCs w:val="24"/>
        </w:rPr>
        <w:t/>
      </w:r>
      <w:proofErr w:type="spellStart"/>
      <w:r w:rsidRPr="001B0A62">
        <w:rPr>
          <w:rFonts w:ascii="宋体" w:hAnsi="宋体"/>
          <w:b/>
          <w:bCs/>
          <w:color w:val="000000"/>
          <w:kern w:val="0"/>
          <w:sz w:val="24"/>
          <w:szCs w:val="24"/>
        </w:rPr>
        <w:t/>
      </w:r>
      <w:proofErr w:type="spellEnd"/>
      <w:r w:rsidRPr="001B0A62">
        <w:rPr>
          <w:rFonts w:ascii="宋体" w:hAnsi="宋体"/>
          <w:b/>
          <w:bCs/>
          <w:color w:val="000000"/>
          <w:kern w:val="0"/>
          <w:sz w:val="24"/>
          <w:szCs w:val="24"/>
        </w:rPr>
        <w:t>5.10</w:t>
      </w:r>
      <w:r w:rsidRPr="001B0A62">
        <w:rPr>
          <w:rFonts w:ascii="宋体" w:hAnsi="宋体" w:hint="eastAsia"/>
          <w:b/>
          <w:bCs/>
          <w:color w:val="000000"/>
          <w:kern w:val="0"/>
          <w:sz w:val="24"/>
          <w:szCs w:val="24"/>
        </w:rPr>
        <w:t>报告期末本基金投资的国债期货交易情况说明</w:t>
      </w:r>
    </w:p>
    <w:p w:rsidP="00277FAE" w:rsidR="00277FAE" w:rsidRDefault="00277FAE">
      <w:pPr>
        <w:spacing w:line="360" w:lineRule="auto"/>
        <w:ind w:firstLine="480" w:firstLineChars="200"/>
      </w:pPr>
      <w:r>
        <w:rPr>
          <w:color w:val="000000"/>
          <w:sz w:val="24"/>
        </w:rPr>
        <w:t/>
      </w:r>
      <w:proofErr w:type="spellStart"/>
      <w:r>
        <w:rPr>
          <w:color w:val="000000"/>
          <w:sz w:val="24"/>
        </w:rPr>
        <w:t/>
      </w:r>
      <w:proofErr w:type="spellEnd"/>
      <w:r>
        <w:rPr>
          <w:color w:val="000000"/>
          <w:sz w:val="24"/>
        </w:rPr>
        <w:t/>
      </w:r>
      <w:proofErr w:type="spellStart"/>
      <w:r>
        <w:rPr>
          <w:color w:val="000000"/>
          <w:sz w:val="24"/>
        </w:rPr>
        <w:t/>
      </w:r>
      <w:proofErr w:type="spellEnd"/>
      <w:r>
        <w:rPr>
          <w:color w:val="000000"/>
          <w:sz w:val="24"/>
        </w:rPr>
        <w:t>本基金本报告期末未投资国债期货。</w:t>
      </w:r>
    </w:p>
    <w:p w:rsidP="001B0A62"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5.11 </w:t>
      </w:r>
      <w:r w:rsidRPr="00264E55">
        <w:rPr>
          <w:rFonts w:ascii="宋体" w:hAnsi="宋体" w:hint="eastAsia"/>
          <w:b/>
          <w:bCs/>
          <w:color w:val="000000"/>
          <w:kern w:val="0"/>
          <w:sz w:val="24"/>
          <w:szCs w:val="24"/>
        </w:rPr>
        <w:t>投资组合报告附注</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r w:rsidR="00750D48" w:rsidRPr="00264E55">
        <w:rPr>
          <w:rFonts w:ascii="宋体"/>
          <w:color w:val="000000"/>
          <w:sz w:val="24"/>
          <w:szCs w:val="24"/>
        </w:rPr>
        <w:t/>
      </w:r>
      <w:r w:rsidR="00750D48" w:rsidRPr="00264E55">
        <w:rPr>
          <w:rFonts w:ascii="宋体" w:hAnsi="宋体"/>
          <w:color w:val="000000"/>
          <w:sz w:val="24"/>
          <w:szCs w:val="24"/>
        </w:rPr>
        <w:t>5.11.1</w:t>
      </w:r>
      <w:r w:rsidR="00065E3C">
        <w:rPr>
          <w:rFonts w:ascii="宋体" w:hAnsi="宋体" w:hint="eastAsia"/>
          <w:color w:val="000000"/>
          <w:sz w:val="24"/>
          <w:szCs w:val="24"/>
        </w:rPr>
        <w:t xml:space="preserve"> </w:t>
      </w:r>
      <w:r w:rsidR="00750D48" w:rsidRPr="00264E55">
        <w:rPr>
          <w:rFonts w:ascii="宋体" w:hAnsi="宋体"/>
          <w:color w:val="000000"/>
          <w:sz w:val="24"/>
          <w:szCs w:val="24"/>
        </w:rPr>
        <w:t xml:space="preserve">本基金投资的前十名证券的发行主体本期没有出现被监管部门立案调查，或在报告编制日前一年内受到公开谴责、处罚的情形。 </w:t>
      </w:r>
    </w:p>
    <w:p w:rsidP="001B0A62" w:rsidR="00750D48" w:rsidRDefault="002C5960" w:rsidRPr="00264E55">
      <w:pPr>
        <w:spacing w:line="360" w:lineRule="auto"/>
        <w:rPr>
          <w:rFonts w:ascii="宋体" w:hAnsi="宋体"/>
          <w:color w:val="000000"/>
          <w:sz w:val="24"/>
          <w:szCs w:val="24"/>
        </w:rPr>
      </w:pPr>
      <w:r>
        <w:rPr>
          <w:rFonts w:hint="eastAsia"/>
          <w:color w:val="000000"/>
          <w:sz w:val="24"/>
        </w:rPr>
        <w:t/>
      </w:r>
      <w:proofErr w:type="spellStart"/>
      <w:r>
        <w:rPr>
          <w:rFonts w:hint="eastAsia"/>
          <w:color w:val="000000"/>
          <w:sz w:val="24"/>
        </w:rPr>
        <w:t/>
      </w:r>
      <w:proofErr w:type="spellEnd"/>
      <w:r>
        <w:rPr>
          <w:rFonts w:hint="eastAsia"/>
          <w:color w:val="000000"/>
          <w:sz w:val="24"/>
        </w:rPr>
        <w:t/>
      </w:r>
      <w:r w:rsidR="00750D48" w:rsidRPr="00264E55">
        <w:rPr>
          <w:rFonts w:ascii="宋体" w:hAnsi="宋体"/>
          <w:color w:val="000000"/>
          <w:sz w:val="24"/>
          <w:szCs w:val="24"/>
        </w:rPr>
        <w:t/>
      </w:r>
      <w:proofErr w:type="gramStart"/>
      <w:r w:rsidR="00750D48" w:rsidRPr="00264E55">
        <w:rPr>
          <w:rFonts w:ascii="宋体" w:hAnsi="宋体"/>
          <w:color w:val="000000"/>
          <w:sz w:val="24"/>
          <w:szCs w:val="24"/>
        </w:rPr>
        <w:t/>
      </w:r>
      <w:proofErr w:type="gramEnd"/>
      <w:r w:rsidR="00750D48" w:rsidRPr="00264E55">
        <w:rPr>
          <w:rFonts w:ascii="宋体" w:hAnsi="宋体"/>
          <w:color w:val="000000"/>
          <w:sz w:val="24"/>
          <w:szCs w:val="24"/>
        </w:rPr>
        <w:t>5.11.2</w:t>
      </w:r>
      <w:r w:rsidR="00065E3C">
        <w:rPr>
          <w:rFonts w:ascii="宋体" w:hAnsi="宋体" w:hint="eastAsia"/>
          <w:color w:val="000000"/>
          <w:sz w:val="24"/>
          <w:szCs w:val="24"/>
        </w:rPr>
        <w:t xml:space="preserve"> </w:t>
      </w:r>
      <w:r w:rsidR="00750D48" w:rsidRPr="00264E55">
        <w:rPr>
          <w:rFonts w:ascii="宋体" w:hAnsi="宋体"/>
          <w:color w:val="000000"/>
          <w:sz w:val="24"/>
          <w:szCs w:val="24"/>
        </w:rPr>
        <w:t>本基金投资的前十名股票没有超出基金合同规定的备选股票库。</w:t>
      </w:r>
    </w:p>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 xml:space="preserve">5.11.3 </w:t>
      </w:r>
      <w:r w:rsidR="00B371D4">
        <w:rPr>
          <w:rFonts w:ascii="宋体" w:hAnsi="宋体" w:hint="eastAsia"/>
          <w:bCs/>
          <w:color w:val="000000"/>
          <w:kern w:val="0"/>
          <w:sz w:val="24"/>
          <w:szCs w:val="24"/>
        </w:rPr>
        <w:t>其他</w:t>
      </w:r>
      <w:bookmarkStart w:id="2" w:name="_GoBack"/>
      <w:bookmarkEnd w:id="2"/>
      <w:r w:rsidRPr="001C7E00">
        <w:rPr>
          <w:rFonts w:ascii="宋体" w:hAnsi="宋体" w:hint="eastAsia"/>
          <w:bCs/>
          <w:color w:val="000000"/>
          <w:kern w:val="0"/>
          <w:sz w:val="24"/>
          <w:szCs w:val="24"/>
        </w:rPr>
        <w:t>资产构成</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ook w:firstColumn="1" w:firstRow="1" w:lastColumn="0" w:lastRow="0" w:noHBand="0" w:noVBand="0" w:val="00A0"/>
      </w:tblPr>
      <w:tblGrid>
        <w:gridCol w:w="1235"/>
        <w:gridCol w:w="2470"/>
        <w:gridCol w:w="4808"/>
      </w:tblGrid>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序号</w:t>
            </w:r>
          </w:p>
        </w:tc>
        <w:tc>
          <w:tcPr>
            <w:tcW w:type="dxa" w:w="2470"/>
            <w:vAlign w:val="center"/>
          </w:tcPr>
          <w:p w:rsidP="00B05049"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名称</w:t>
            </w:r>
          </w:p>
        </w:tc>
        <w:tc>
          <w:tcPr>
            <w:tcW w:type="dxa" w:w="4808"/>
            <w:vAlign w:val="center"/>
          </w:tcPr>
          <w:p w:rsidP="005F7917" w:rsidR="00750D48" w:rsidRDefault="00750D48" w:rsidRPr="00B227EA">
            <w:pPr>
              <w:autoSpaceDE w:val="0"/>
              <w:autoSpaceDN w:val="0"/>
              <w:adjustRightInd w:val="0"/>
              <w:spacing w:before="29" w:line="360" w:lineRule="auto"/>
              <w:ind w:left="17"/>
              <w:jc w:val="center"/>
              <w:rPr>
                <w:color w:val="000000"/>
                <w:kern w:val="0"/>
                <w:sz w:val="24"/>
                <w:szCs w:val="24"/>
              </w:rPr>
            </w:pPr>
            <w:r w:rsidRPr="00B227EA">
              <w:rPr>
                <w:color w:val="000000"/>
                <w:kern w:val="0"/>
                <w:sz w:val="24"/>
                <w:szCs w:val="24"/>
              </w:rPr>
              <w:t>金额</w:t>
            </w:r>
            <w:r w:rsidR="005F7917" w:rsidRPr="00B227EA">
              <w:rPr>
                <w:color w:val="000000"/>
                <w:kern w:val="0"/>
                <w:sz w:val="24"/>
                <w:szCs w:val="24"/>
              </w:rPr>
              <w:t>（元）</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lastRenderedPageBreak/>
              <w:t>1</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存出保证金</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221,124.92</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2</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应收证券清算款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673,795.70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3</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应收股利</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4</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应收利息</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166,566.60</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5</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应收申购款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833,091.07</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6</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其他应收款</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7</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待摊费用</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8</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其他</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w:t>
            </w:r>
          </w:p>
        </w:tc>
      </w:tr>
      <w:tr w:rsidR="00750D48" w:rsidRPr="00264E55" w:rsidTr="00B05049">
        <w:tc>
          <w:tcPr>
            <w:tcW w:type="dxa" w:w="1235"/>
            <w:vAlign w:val="center"/>
          </w:tcPr>
          <w:p w:rsidP="00B05049" w:rsidR="00750D48" w:rsidRDefault="00750D48" w:rsidRPr="00B227EA">
            <w:pPr>
              <w:autoSpaceDE w:val="0"/>
              <w:autoSpaceDN w:val="0"/>
              <w:adjustRightInd w:val="0"/>
              <w:spacing w:before="29" w:line="360" w:lineRule="auto"/>
              <w:ind w:left="15"/>
              <w:jc w:val="center"/>
              <w:rPr>
                <w:color w:val="000000"/>
                <w:kern w:val="0"/>
                <w:sz w:val="24"/>
                <w:szCs w:val="24"/>
              </w:rPr>
            </w:pPr>
            <w:r w:rsidRPr="00B227EA">
              <w:rPr>
                <w:color w:val="000000"/>
                <w:kern w:val="0"/>
                <w:sz w:val="24"/>
                <w:szCs w:val="24"/>
              </w:rPr>
              <w:t>9</w:t>
            </w:r>
          </w:p>
        </w:tc>
        <w:tc>
          <w:tcPr>
            <w:tcW w:type="dxa" w:w="2470"/>
            <w:vAlign w:val="center"/>
          </w:tcPr>
          <w:p w:rsidP="00B05049" w:rsidR="00750D48" w:rsidRDefault="00750D48" w:rsidRPr="00B227EA">
            <w:pPr>
              <w:autoSpaceDE w:val="0"/>
              <w:autoSpaceDN w:val="0"/>
              <w:adjustRightInd w:val="0"/>
              <w:spacing w:before="29" w:line="360" w:lineRule="auto"/>
              <w:ind w:left="15"/>
              <w:jc w:val="left"/>
              <w:rPr>
                <w:color w:val="000000"/>
                <w:kern w:val="0"/>
                <w:sz w:val="24"/>
                <w:szCs w:val="24"/>
              </w:rPr>
            </w:pPr>
            <w:r w:rsidRPr="00B227EA">
              <w:rPr>
                <w:color w:val="000000"/>
                <w:kern w:val="0"/>
                <w:sz w:val="24"/>
                <w:szCs w:val="24"/>
              </w:rPr>
              <w:t>合计</w:t>
            </w:r>
          </w:p>
        </w:tc>
        <w:tc>
          <w:tcPr>
            <w:tcW w:type="dxa" w:w="4808"/>
            <w:vAlign w:val="center"/>
          </w:tcPr>
          <w:p w:rsidP="00B05049" w:rsidR="00750D48" w:rsidRDefault="00750D48" w:rsidRPr="00B227EA">
            <w:pPr>
              <w:autoSpaceDE w:val="0"/>
              <w:autoSpaceDN w:val="0"/>
              <w:adjustRightInd w:val="0"/>
              <w:spacing w:before="29" w:line="360" w:lineRule="auto"/>
              <w:ind w:left="15"/>
              <w:jc w:val="righ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1,894,578.29</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5.11.4</w:t>
      </w:r>
      <w:r w:rsidRPr="001C7E00">
        <w:rPr>
          <w:rFonts w:ascii="宋体" w:hAnsi="宋体" w:hint="eastAsia"/>
          <w:bCs/>
          <w:color w:val="000000"/>
          <w:kern w:val="0"/>
          <w:sz w:val="24"/>
          <w:szCs w:val="24"/>
        </w:rPr>
        <w:t>报告期末持有的处于转股期的可转换债券明细</w:t>
      </w:r>
    </w:p>
    <w:tbl>
      <w:tblPr>
        <w:tblW w:type="auto" w:w="0"/>
        <w:tblInd w:type="dxa" w:w="15"/>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Layout w:type="fixed"/>
        <w:tblLook w:firstColumn="1" w:firstRow="1" w:lastColumn="0" w:lastRow="0" w:noHBand="0" w:noVBand="0" w:val="00A0"/>
      </w:tblPr>
      <w:tblGrid>
        <w:gridCol w:w="1808"/>
        <w:gridCol w:w="1729"/>
        <w:gridCol w:w="1658"/>
        <w:gridCol w:w="1697"/>
        <w:gridCol w:w="1621"/>
      </w:tblGrid>
      <w:tr w:rsidR="00750D48" w:rsidRPr="00264E55" w:rsidTr="00B05049">
        <w:tc>
          <w:tcPr>
            <w:tcW w:type="dxa" w:w="180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序号</w:t>
            </w:r>
          </w:p>
        </w:tc>
        <w:tc>
          <w:tcPr>
            <w:tcW w:type="dxa" w:w="1729"/>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债券代码</w:t>
            </w:r>
          </w:p>
        </w:tc>
        <w:tc>
          <w:tcPr>
            <w:tcW w:type="dxa" w:w="1658"/>
            <w:vAlign w:val="center"/>
          </w:tcPr>
          <w:p w:rsidP="00B05049"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债券名称</w:t>
            </w:r>
          </w:p>
        </w:tc>
        <w:tc>
          <w:tcPr>
            <w:tcW w:type="dxa" w:w="1697"/>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公允价值</w:t>
            </w:r>
            <w:r w:rsidR="005F7917" w:rsidRPr="00B227EA">
              <w:rPr>
                <w:color w:val="000000"/>
                <w:kern w:val="0"/>
                <w:sz w:val="24"/>
                <w:szCs w:val="24"/>
              </w:rPr>
              <w:t>（元）</w:t>
            </w:r>
          </w:p>
        </w:tc>
        <w:tc>
          <w:tcPr>
            <w:tcW w:type="dxa" w:w="1621"/>
            <w:vAlign w:val="center"/>
          </w:tcPr>
          <w:p w:rsidP="005F7917" w:rsidR="00750D48" w:rsidRDefault="00750D48" w:rsidRPr="00B227EA">
            <w:pPr>
              <w:spacing w:before="29" w:line="360" w:lineRule="auto"/>
              <w:ind w:left="17"/>
              <w:jc w:val="center"/>
              <w:rPr>
                <w:color w:val="000000"/>
                <w:kern w:val="0"/>
                <w:sz w:val="24"/>
                <w:szCs w:val="24"/>
              </w:rPr>
            </w:pPr>
            <w:r w:rsidRPr="00B227EA">
              <w:rPr>
                <w:color w:val="000000"/>
                <w:kern w:val="0"/>
                <w:sz w:val="24"/>
                <w:szCs w:val="24"/>
              </w:rPr>
              <w:t>占基金资产净值比例</w:t>
            </w:r>
            <w:r w:rsidR="005F7917" w:rsidRPr="00B227EA">
              <w:rPr>
                <w:color w:val="000000"/>
                <w:kern w:val="0"/>
                <w:sz w:val="24"/>
                <w:szCs w:val="24"/>
              </w:rPr>
              <w:t>（</w:t>
            </w:r>
            <w:r w:rsidR="005F7917" w:rsidRPr="00B227EA">
              <w:rPr>
                <w:color w:val="000000"/>
                <w:kern w:val="0"/>
                <w:sz w:val="24"/>
                <w:szCs w:val="24"/>
              </w:rPr>
              <w:t>%</w:t>
            </w:r>
            <w:r w:rsidR="005F7917" w:rsidRPr="00B227EA">
              <w:rPr>
                <w:color w:val="000000"/>
                <w:kern w:val="0"/>
                <w:sz w:val="24"/>
                <w:szCs w:val="24"/>
              </w:rPr>
              <w:t>）</w:t>
            </w:r>
          </w:p>
        </w:tc>
      </w:tr>
      <w:tr>
        <w:tc>
          <w:tcPr>
            <w:vAlign w:val="center"/>
          </w:tcPr>
          <w:p>
            <w:pPr>
              <w:jc w:val="center"/>
            </w:pPr>
            <w:r>
              <w:rPr>
                <w:color w:val="000000"/>
                <w:kern w:val="0"/>
                <w:sz w:val="24"/>
                <w:szCs w:val="24"/>
              </w:rPr>
              <w:t>1</w:t>
            </w:r>
          </w:p>
        </w:tc>
        <w:tc>
          <w:tcPr>
            <w:vAlign w:val="center"/>
          </w:tcPr>
          <w:p>
            <w:pPr>
              <w:jc w:val="center"/>
            </w:pPr>
            <w:r>
              <w:rPr>
                <w:color w:val="000000"/>
                <w:kern w:val="0"/>
                <w:sz w:val="24"/>
                <w:szCs w:val="24"/>
              </w:rPr>
              <w:t>113552</w:t>
            </w:r>
          </w:p>
        </w:tc>
        <w:tc>
          <w:tcPr>
            <w:vAlign w:val="center"/>
          </w:tcPr>
          <w:p>
            <w:pPr>
              <w:jc w:val="center"/>
            </w:pPr>
            <w:r>
              <w:rPr>
                <w:color w:val="000000"/>
                <w:kern w:val="0"/>
                <w:sz w:val="24"/>
                <w:szCs w:val="24"/>
              </w:rPr>
              <w:t>克来转债</w:t>
            </w:r>
          </w:p>
        </w:tc>
        <w:tc>
          <w:tcPr>
            <w:vAlign w:val="center"/>
          </w:tcPr>
          <w:p>
            <w:pPr>
              <w:jc w:val="right"/>
            </w:pPr>
            <w:r>
              <w:rPr>
                <w:color w:val="000000"/>
                <w:kern w:val="0"/>
                <w:sz w:val="24"/>
                <w:szCs w:val="24"/>
              </w:rPr>
              <w:t>526,452.20</w:t>
            </w:r>
          </w:p>
        </w:tc>
        <w:tc>
          <w:tcPr>
            <w:vAlign w:val="center"/>
          </w:tcPr>
          <w:p>
            <w:pPr>
              <w:jc w:val="right"/>
            </w:pPr>
            <w:r>
              <w:rPr>
                <w:color w:val="000000"/>
                <w:kern w:val="0"/>
                <w:sz w:val="24"/>
                <w:szCs w:val="24"/>
              </w:rPr>
              <w:t>0.04</w:t>
            </w:r>
          </w:p>
        </w:tc>
      </w:tr>
      <w:tr>
        <w:tc>
          <w:tcPr>
            <w:vAlign w:val="center"/>
          </w:tcPr>
          <w:p>
            <w:pPr>
              <w:jc w:val="center"/>
            </w:pPr>
            <w:r>
              <w:rPr>
                <w:color w:val="000000"/>
                <w:kern w:val="0"/>
                <w:sz w:val="24"/>
                <w:szCs w:val="24"/>
              </w:rPr>
              <w:t>2</w:t>
            </w:r>
          </w:p>
        </w:tc>
        <w:tc>
          <w:tcPr>
            <w:vAlign w:val="center"/>
          </w:tcPr>
          <w:p>
            <w:pPr>
              <w:jc w:val="center"/>
            </w:pPr>
            <w:r>
              <w:rPr>
                <w:color w:val="000000"/>
                <w:kern w:val="0"/>
                <w:sz w:val="24"/>
                <w:szCs w:val="24"/>
              </w:rPr>
              <w:t>113553</w:t>
            </w:r>
          </w:p>
        </w:tc>
        <w:tc>
          <w:tcPr>
            <w:vAlign w:val="center"/>
          </w:tcPr>
          <w:p>
            <w:pPr>
              <w:jc w:val="center"/>
            </w:pPr>
            <w:r>
              <w:rPr>
                <w:color w:val="000000"/>
                <w:kern w:val="0"/>
                <w:sz w:val="24"/>
                <w:szCs w:val="24"/>
              </w:rPr>
              <w:t>金牌转债</w:t>
            </w:r>
          </w:p>
        </w:tc>
        <w:tc>
          <w:tcPr>
            <w:vAlign w:val="center"/>
          </w:tcPr>
          <w:p>
            <w:pPr>
              <w:jc w:val="right"/>
            </w:pPr>
            <w:r>
              <w:rPr>
                <w:color w:val="000000"/>
                <w:kern w:val="0"/>
                <w:sz w:val="24"/>
                <w:szCs w:val="24"/>
              </w:rPr>
              <w:t>503,874.00</w:t>
            </w:r>
          </w:p>
        </w:tc>
        <w:tc>
          <w:tcPr>
            <w:vAlign w:val="center"/>
          </w:tcPr>
          <w:p>
            <w:pPr>
              <w:jc w:val="right"/>
            </w:pPr>
            <w:r>
              <w:rPr>
                <w:color w:val="000000"/>
                <w:kern w:val="0"/>
                <w:sz w:val="24"/>
                <w:szCs w:val="24"/>
              </w:rPr>
              <w:t>0.04</w:t>
            </w:r>
          </w:p>
        </w:tc>
      </w:tr>
    </w:tbl>
    <w:p w:rsidP="001B0A62" w:rsidR="00750D48" w:rsidRDefault="00750D48" w:rsidRPr="001C7E00">
      <w:pPr>
        <w:autoSpaceDE w:val="0"/>
        <w:autoSpaceDN w:val="0"/>
        <w:adjustRightInd w:val="0"/>
        <w:spacing w:line="360" w:lineRule="auto"/>
        <w:jc w:val="left"/>
        <w:rPr>
          <w:rFonts w:ascii="宋体"/>
          <w:bCs/>
          <w:color w:val="000000"/>
          <w:kern w:val="0"/>
          <w:sz w:val="24"/>
          <w:szCs w:val="24"/>
        </w:rPr>
      </w:pPr>
      <w:r w:rsidRPr="001C7E00">
        <w:rPr>
          <w:rFonts w:ascii="宋体"/>
          <w:bCs/>
          <w:color w:val="000000"/>
          <w:kern w:val="0"/>
          <w:sz w:val="24"/>
          <w:szCs w:val="24"/>
        </w:rPr>
        <w:t/>
      </w:r>
      <w:r w:rsidRPr="001C7E00">
        <w:rPr>
          <w:rFonts w:ascii="宋体" w:hAnsi="宋体"/>
          <w:bCs/>
          <w:color w:val="000000"/>
          <w:kern w:val="0"/>
          <w:sz w:val="24"/>
          <w:szCs w:val="24"/>
        </w:rPr>
        <w:t>5.11.5</w:t>
      </w:r>
      <w:r w:rsidRPr="001C7E00">
        <w:rPr>
          <w:rFonts w:ascii="宋体" w:hAnsi="宋体" w:hint="eastAsia"/>
          <w:bCs/>
          <w:color w:val="000000"/>
          <w:kern w:val="0"/>
          <w:sz w:val="24"/>
          <w:szCs w:val="24"/>
        </w:rPr>
        <w:t>报告期末前十名股票中存在流通受限情况的说明</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本基金本报告期末前十名股票中不存在流通受限情况。</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hAnsi="宋体"/>
          <w:color w:val="000000"/>
          <w:kern w:val="0"/>
          <w:sz w:val="24"/>
          <w:szCs w:val="24"/>
        </w:rPr>
        <w:t xml:space="preserve">6  </w:t>
      </w:r>
      <w:r w:rsidRPr="00264E55">
        <w:rPr>
          <w:rFonts w:ascii="宋体" w:hAnsi="宋体" w:hint="eastAsia"/>
          <w:color w:val="000000"/>
          <w:kern w:val="0"/>
          <w:sz w:val="24"/>
          <w:szCs w:val="24"/>
        </w:rPr>
        <w:t>开放式基金份额变动</w:t>
      </w:r>
    </w:p>
    <w:p w:rsidP="004061AC" w:rsidR="00750D48" w:rsidRDefault="00750D48" w:rsidRPr="00264E55">
      <w:pPr>
        <w:autoSpaceDE w:val="0"/>
        <w:autoSpaceDN w:val="0"/>
        <w:adjustRightInd w:val="0"/>
        <w:spacing w:before="29" w:line="360" w:lineRule="auto"/>
        <w:ind w:left="15"/>
        <w:jc w:val="right"/>
        <w:rPr>
          <w:rFonts w:ascii="宋体"/>
          <w:color w:val="000000"/>
          <w:kern w:val="0"/>
          <w:sz w:val="24"/>
          <w:szCs w:val="24"/>
        </w:rPr>
      </w:pPr>
      <w:r w:rsidRPr="00264E55">
        <w:rPr>
          <w:rFonts w:ascii="宋体" w:cs="宋体" w:hAnsi="宋体" w:hint="eastAsia"/>
          <w:color w:val="000000"/>
          <w:kern w:val="0"/>
          <w:sz w:val="24"/>
          <w:szCs w:val="24"/>
        </w:rPr>
        <w:t>单位：份</w:t>
      </w:r>
    </w:p>
    <w:tbl>
      <w:tblPr>
        <w:tblW w:type="auto" w:w="0"/>
        <w:tblInd w:type="dxa" w:w="-106"/>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firstColumn="0" w:firstRow="0" w:lastColumn="0" w:lastRow="0" w:noHBand="0" w:noVBand="0" w:val="0000"/>
      </w:tblPr>
      <w:tblGrid>
        <w:gridCol w:w="4609"/>
        <w:gridCol w:w="4025"/>
      </w:tblGrid>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报告期期初基金份额总额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1,017,618,466.70</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基金总申购份额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15,987,422.97</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减：</w:t>
            </w: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基金总赎回份额</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60,034,427.06</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
            </w:r>
            <w:proofErr w:type="spellStart"/>
            <w:r w:rsidRPr="00B227EA">
              <w:rPr>
                <w:color w:val="000000"/>
                <w:kern w:val="0"/>
                <w:sz w:val="24"/>
                <w:szCs w:val="24"/>
              </w:rPr>
              <w:t/>
            </w:r>
            <w:proofErr w:type="spellEnd"/>
            <w:r w:rsidRPr="00B227EA">
              <w:rPr>
                <w:color w:val="000000"/>
                <w:kern w:val="0"/>
                <w:sz w:val="24"/>
                <w:szCs w:val="24"/>
              </w:rPr>
              <w:t>报告期</w:t>
            </w:r>
            <w:r w:rsidRPr="00B227EA">
              <w:rPr>
                <w:color w:val="000000"/>
                <w:kern w:val="0"/>
                <w:sz w:val="24"/>
                <w:szCs w:val="24"/>
              </w:rPr>
              <w:t>基金拆分变动份额</w:t>
            </w:r>
            <w:r w:rsidR="00921BFA" w:rsidRPr="00921BFA">
              <w:rPr>
                <w:rFonts w:hint="eastAsia"/>
                <w:color w:val="000000"/>
                <w:kern w:val="0"/>
                <w:sz w:val="24"/>
                <w:szCs w:val="24"/>
              </w:rPr>
              <w:t>（份额减少以“</w:t>
            </w:r>
            <w:r w:rsidR="00921BFA" w:rsidRPr="00921BFA">
              <w:rPr>
                <w:rFonts w:hint="eastAsia"/>
                <w:color w:val="000000"/>
                <w:kern w:val="0"/>
                <w:sz w:val="24"/>
                <w:szCs w:val="24"/>
              </w:rPr>
              <w:t>-</w:t>
            </w:r>
            <w:r w:rsidR="00921BFA" w:rsidRPr="00921BFA">
              <w:rPr>
                <w:rFonts w:hint="eastAsia"/>
                <w:color w:val="000000"/>
                <w:kern w:val="0"/>
                <w:sz w:val="24"/>
                <w:szCs w:val="24"/>
              </w:rPr>
              <w:t>”填列）</w:t>
            </w:r>
          </w:p>
        </w:tc>
        <w:tc>
          <w:tcPr>
            <w:tcW w:type="dxa" w:w="4025"/>
            <w:vAlign w:val="center"/>
          </w:tcPr>
          <w:p w:rsidP="00924582"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w:t>
            </w:r>
          </w:p>
        </w:tc>
      </w:tr>
      <w:tr w:rsidR="00750D48" w:rsidRPr="00264E55" w:rsidTr="003B5535">
        <w:tc>
          <w:tcPr>
            <w:tcW w:type="dxa" w:w="4609"/>
            <w:vAlign w:val="center"/>
          </w:tcPr>
          <w:p w:rsidP="00924582" w:rsidR="00750D48" w:rsidRDefault="00750D48" w:rsidRPr="00B227EA">
            <w:pPr>
              <w:autoSpaceDE w:val="0"/>
              <w:autoSpaceDN w:val="0"/>
              <w:adjustRightInd w:val="0"/>
              <w:spacing w:before="29" w:line="360" w:lineRule="auto"/>
              <w:ind w:left="17"/>
              <w:jc w:val="left"/>
              <w:rPr>
                <w:color w:val="000000"/>
                <w:kern w:val="0"/>
                <w:sz w:val="24"/>
                <w:szCs w:val="24"/>
              </w:rPr>
            </w:pPr>
            <w:r w:rsidRPr="00B227EA">
              <w:rPr>
                <w:color w:val="000000"/>
                <w:kern w:val="0"/>
                <w:sz w:val="24"/>
                <w:szCs w:val="24"/>
              </w:rPr>
              <w:t>报告期期末基金份额总额</w:t>
            </w:r>
          </w:p>
        </w:tc>
        <w:tc>
          <w:tcPr>
            <w:tcW w:type="dxa" w:w="4025"/>
            <w:vAlign w:val="center"/>
          </w:tcPr>
          <w:p w:rsidP="000A2B53" w:rsidR="00750D48" w:rsidRDefault="00750D48" w:rsidRPr="00B227EA">
            <w:pPr>
              <w:autoSpaceDE w:val="0"/>
              <w:autoSpaceDN w:val="0"/>
              <w:adjustRightInd w:val="0"/>
              <w:spacing w:before="29" w:line="360" w:lineRule="auto"/>
              <w:ind w:left="17"/>
              <w:jc w:val="right"/>
              <w:rPr>
                <w:color w:val="000000"/>
                <w:sz w:val="24"/>
                <w:szCs w:val="24"/>
              </w:rPr>
            </w:pPr>
            <w:r w:rsidRPr="00B227EA">
              <w:rPr>
                <w:color w:val="000000"/>
                <w:sz w:val="24"/>
                <w:szCs w:val="24"/>
              </w:rPr>
              <w:t/>
            </w:r>
            <w:proofErr w:type="spellStart"/>
            <w:r w:rsidRPr="00B227EA">
              <w:rPr>
                <w:color w:val="000000"/>
                <w:sz w:val="24"/>
                <w:szCs w:val="24"/>
              </w:rPr>
              <w:t/>
            </w:r>
            <w:proofErr w:type="spellEnd"/>
            <w:r w:rsidRPr="00B227EA">
              <w:rPr>
                <w:color w:val="000000"/>
                <w:sz w:val="24"/>
                <w:szCs w:val="24"/>
              </w:rPr>
              <w:t>973,571,462.61</w:t>
            </w:r>
          </w:p>
        </w:tc>
      </w:tr>
    </w:tbl>
    <w:p w:rsidP="004D28A3" w:rsidR="00750D48" w:rsidRDefault="00750D48">
      <w:pPr>
        <w:pStyle w:val="1"/>
        <w:tabs>
          <w:tab w:pos="4156" w:val="center"/>
          <w:tab w:pos="8312" w:val="right"/>
        </w:tabs>
        <w:spacing w:after="312" w:afterLines="100" w:before="312" w:beforeLines="100" w:line="360" w:lineRule="auto"/>
        <w:jc w:val="center"/>
        <w:rPr>
          <w:rFonts w:ascii="方正仿宋简体"/>
          <w:sz w:val="24"/>
          <w:szCs w:val="24"/>
        </w:rPr>
      </w:pPr>
      <w:r>
        <w:rPr>
          <w:rFonts w:ascii="宋体" w:cs="Arial" w:hAnsi="宋体" w:hint="eastAsia"/>
          <w:color w:val="000000"/>
          <w:kern w:val="0"/>
          <w:sz w:val="24"/>
          <w:szCs w:val="24"/>
        </w:rPr>
        <w:lastRenderedPageBreak/>
        <w:t>§</w:t>
      </w:r>
      <w:r>
        <w:rPr>
          <w:rFonts w:ascii="宋体" w:cs="Arial"/>
          <w:color w:val="000000"/>
          <w:kern w:val="0"/>
          <w:sz w:val="24"/>
          <w:szCs w:val="24"/>
        </w:rPr>
        <w:t/>
      </w:r>
      <w:r>
        <w:rPr>
          <w:rFonts w:ascii="宋体" w:cs="Arial" w:hAnsi="宋体"/>
          <w:color w:val="000000"/>
          <w:kern w:val="0"/>
          <w:sz w:val="24"/>
          <w:szCs w:val="24"/>
        </w:rPr>
        <w:t xml:space="preserve">7  </w:t>
      </w:r>
      <w:r>
        <w:rPr>
          <w:rFonts w:ascii="方正仿宋简体" w:hint="eastAsia"/>
          <w:sz w:val="24"/>
          <w:szCs w:val="24"/>
        </w:rPr>
        <w:t>基金管理人运用固有资金投资本基金情况</w:t>
      </w:r>
    </w:p>
    <w:p w:rsidP="00EB374A" w:rsidR="00750D48" w:rsidRDefault="00750D48">
      <w:pPr>
        <w:spacing w:line="360" w:lineRule="auto"/>
        <w:jc w:val="left"/>
        <w:rPr>
          <w:sz w:val="24"/>
          <w:szCs w:val="24"/>
        </w:rPr>
      </w:pPr>
      <w:r>
        <w:rPr>
          <w:b/>
          <w:sz w:val="24"/>
        </w:rPr>
        <w:t/>
      </w:r>
      <w:proofErr w:type="spellStart"/>
      <w:r>
        <w:rPr>
          <w:b/>
          <w:sz w:val="24"/>
        </w:rPr>
        <w:t/>
      </w:r>
      <w:proofErr w:type="spellEnd"/>
      <w:r>
        <w:rPr>
          <w:b/>
          <w:sz w:val="24"/>
        </w:rPr>
        <w:t xml:space="preserve">7.1 </w:t>
      </w:r>
      <w:r>
        <w:rPr>
          <w:rFonts w:hint="eastAsia"/>
          <w:b/>
          <w:sz w:val="24"/>
        </w:rPr>
        <w:t>基金管理人持有本基金份额变动情况</w:t>
      </w:r>
    </w:p>
    <w:p w:rsidP="00232B03" w:rsidR="00750D48" w:rsidRDefault="00AC11B0" w:rsidRPr="00232B03">
      <w:pPr>
        <w:spacing w:line="360" w:lineRule="auto"/>
        <w:ind w:firstLine="480" w:firstLineChars="200"/>
        <w:rPr>
          <w:color w:val="000000"/>
          <w:sz w:val="24"/>
          <w:szCs w:val="24"/>
        </w:rPr>
      </w:pPr>
      <w:r w:rsidRPr="00403A06">
        <w:rPr>
          <w:color w:val="000000"/>
          <w:sz w:val="24"/>
          <w:szCs w:val="24"/>
        </w:rPr>
        <w:t/>
      </w:r>
      <w:proofErr w:type="spellStart"/>
      <w:r w:rsidRPr="00403A06">
        <w:rPr>
          <w:color w:val="000000"/>
          <w:sz w:val="24"/>
          <w:szCs w:val="24"/>
        </w:rPr>
        <w:t/>
      </w:r>
      <w:proofErr w:type="spellEnd"/>
      <w:r w:rsidRPr="00403A06">
        <w:rPr>
          <w:color w:val="000000"/>
          <w:sz w:val="24"/>
          <w:szCs w:val="24"/>
        </w:rPr>
        <w:t>本报告期内基金管理人未持有本基金份额。</w:t>
      </w:r>
    </w:p>
    <w:p w:rsidP="00EB374A" w:rsidR="00750D48" w:rsidRDefault="00750D48">
      <w:pPr>
        <w:spacing w:line="360" w:lineRule="auto"/>
        <w:jc w:val="left"/>
        <w:rPr>
          <w:sz w:val="24"/>
        </w:rPr>
      </w:pPr>
      <w:r>
        <w:rPr>
          <w:b/>
          <w:sz w:val="24"/>
        </w:rPr>
        <w:t/>
      </w:r>
      <w:proofErr w:type="spellStart"/>
      <w:r>
        <w:rPr>
          <w:b/>
          <w:sz w:val="24"/>
        </w:rPr>
        <w:t/>
      </w:r>
      <w:proofErr w:type="spellEnd"/>
      <w:r>
        <w:rPr>
          <w:b/>
          <w:sz w:val="24"/>
        </w:rPr>
        <w:t xml:space="preserve">7.2 </w:t>
      </w:r>
      <w:r>
        <w:rPr>
          <w:rFonts w:hint="eastAsia"/>
          <w:b/>
          <w:sz w:val="24"/>
        </w:rPr>
        <w:t>基金管理人运用固有资金投资本基金交易明细</w:t>
      </w:r>
    </w:p>
    <w:p w:rsidP="006C56AA"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本报告期内基金管理人未运用固有资金申购、赎回、买卖本基金份额。</w:t>
      </w:r>
    </w:p>
    <w:p w:rsidP="004D28A3" w:rsidR="00750D48" w:rsidRDefault="00750D48" w:rsidRPr="00264E55">
      <w:pPr>
        <w:pStyle w:val="1"/>
        <w:spacing w:after="312" w:afterLines="100" w:before="312" w:beforeLines="100" w:line="360" w:lineRule="auto"/>
        <w:jc w:val="center"/>
        <w:rPr>
          <w:rFonts w:ascii="宋体"/>
          <w:color w:val="000000"/>
          <w:kern w:val="0"/>
          <w:sz w:val="24"/>
          <w:szCs w:val="24"/>
        </w:rPr>
      </w:pPr>
      <w:r w:rsidRPr="00264E55">
        <w:rPr>
          <w:rFonts w:ascii="宋体" w:hAnsi="宋体" w:hint="eastAsia"/>
          <w:color w:val="000000"/>
          <w:kern w:val="0"/>
          <w:sz w:val="24"/>
          <w:szCs w:val="24"/>
        </w:rPr>
        <w:t>§</w:t>
      </w:r>
      <w:r w:rsidRPr="00264E55">
        <w:rPr>
          <w:rFonts w:ascii="宋体"/>
          <w:color w:val="000000"/>
          <w:kern w:val="0"/>
          <w:sz w:val="24"/>
          <w:szCs w:val="24"/>
        </w:rPr>
        <w:t/>
      </w:r>
      <w:r w:rsidRPr="00264E55">
        <w:rPr>
          <w:rFonts w:ascii="宋体" w:hAnsi="宋体"/>
          <w:color w:val="000000"/>
          <w:kern w:val="0"/>
          <w:sz w:val="24"/>
          <w:szCs w:val="24"/>
        </w:rPr>
        <w:t xml:space="preserve">8  </w:t>
      </w:r>
      <w:r w:rsidRPr="00264E55">
        <w:rPr>
          <w:rFonts w:ascii="宋体" w:hAnsi="宋体" w:hint="eastAsia"/>
          <w:color w:val="000000"/>
          <w:kern w:val="0"/>
          <w:sz w:val="24"/>
          <w:szCs w:val="24"/>
        </w:rPr>
        <w:t>备查文件目录</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8.1 </w:t>
      </w:r>
      <w:r w:rsidRPr="00264E55">
        <w:rPr>
          <w:rFonts w:ascii="宋体" w:hAnsi="宋体" w:hint="eastAsia"/>
          <w:b/>
          <w:bCs/>
          <w:color w:val="000000"/>
          <w:kern w:val="0"/>
          <w:sz w:val="24"/>
          <w:szCs w:val="24"/>
        </w:rPr>
        <w:t>备查文件目录</w:t>
      </w:r>
    </w:p>
    <w:p>
      <w:pPr>
        <w:spacing w:line="360" w:lineRule="auto"/>
        <w:ind w:firstLine="480" w:firstLineChars="200"/>
        <w:rPr>
          <w:color w:val="000000"/>
          <w:sz w:val="24"/>
          <w:szCs w:val="24"/>
        </w:rPr>
      </w:pPr>
      <w:r>
        <w:rPr>
          <w:color w:val="000000"/>
          <w:sz w:val="24"/>
          <w:szCs w:val="24"/>
        </w:rPr>
        <w:t>1.中国证监会核准易方达策略成长二号混合型证券投资基金募集的文件；</w:t>
      </w:r>
    </w:p>
    <w:p>
      <w:pPr>
        <w:spacing w:line="360" w:lineRule="auto"/>
        <w:ind w:firstLine="480" w:firstLineChars="200"/>
        <w:rPr>
          <w:color w:val="000000"/>
          <w:sz w:val="24"/>
          <w:szCs w:val="24"/>
        </w:rPr>
      </w:pPr>
      <w:r>
        <w:rPr>
          <w:color w:val="000000"/>
          <w:sz w:val="24"/>
          <w:szCs w:val="24"/>
        </w:rPr>
        <w:t>2.《易方达策略成长二号混合型证券投资基金基金合同》；</w:t>
      </w:r>
    </w:p>
    <w:p>
      <w:pPr>
        <w:spacing w:line="360" w:lineRule="auto"/>
        <w:ind w:firstLine="480" w:firstLineChars="200"/>
        <w:rPr>
          <w:color w:val="000000"/>
          <w:sz w:val="24"/>
          <w:szCs w:val="24"/>
        </w:rPr>
      </w:pPr>
      <w:r>
        <w:rPr>
          <w:color w:val="000000"/>
          <w:sz w:val="24"/>
          <w:szCs w:val="24"/>
        </w:rPr>
        <w:t>3.《易方达策略成长二号混合型证券投资基金托管协议》；</w:t>
      </w:r>
    </w:p>
    <w:p>
      <w:pPr>
        <w:spacing w:line="360" w:lineRule="auto"/>
        <w:ind w:firstLine="480" w:firstLineChars="200"/>
        <w:rPr>
          <w:color w:val="000000"/>
          <w:sz w:val="24"/>
          <w:szCs w:val="24"/>
        </w:rPr>
      </w:pPr>
      <w:r>
        <w:rPr>
          <w:color w:val="000000"/>
          <w:sz w:val="24"/>
          <w:szCs w:val="24"/>
        </w:rPr>
        <w:t>4.《易方达基金管理有限公司开放式基金业务规则》；</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5.基金管理人业务资格批件和营业执照。</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8.2 </w:t>
      </w:r>
      <w:r w:rsidRPr="00264E55">
        <w:rPr>
          <w:rFonts w:ascii="宋体" w:hAnsi="宋体" w:hint="eastAsia"/>
          <w:b/>
          <w:bCs/>
          <w:color w:val="000000"/>
          <w:kern w:val="0"/>
          <w:sz w:val="24"/>
          <w:szCs w:val="24"/>
        </w:rPr>
        <w:t>存放地点</w:t>
      </w:r>
    </w:p>
    <w:p w:rsidP="00232B03" w:rsidR="00750D48" w:rsidRDefault="00750D48" w:rsidRPr="00232B03">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广州市天河区珠江新城珠江东路30号广州银行大厦40-43楼。</w:t>
      </w:r>
    </w:p>
    <w:p w:rsidP="00C71497" w:rsidR="00750D48" w:rsidRDefault="00750D48" w:rsidRPr="00264E55">
      <w:pPr>
        <w:autoSpaceDE w:val="0"/>
        <w:autoSpaceDN w:val="0"/>
        <w:adjustRightInd w:val="0"/>
        <w:spacing w:line="360" w:lineRule="auto"/>
        <w:jc w:val="left"/>
        <w:rPr>
          <w:rFonts w:ascii="宋体"/>
          <w:b/>
          <w:bCs/>
          <w:color w:val="000000"/>
          <w:kern w:val="0"/>
          <w:sz w:val="24"/>
          <w:szCs w:val="24"/>
        </w:rPr>
      </w:pPr>
      <w:r w:rsidRPr="00264E55">
        <w:rPr>
          <w:rFonts w:ascii="宋体"/>
          <w:b/>
          <w:bCs/>
          <w:color w:val="000000"/>
          <w:kern w:val="0"/>
          <w:sz w:val="24"/>
          <w:szCs w:val="24"/>
        </w:rPr>
        <w:t/>
      </w:r>
      <w:r w:rsidRPr="00264E55">
        <w:rPr>
          <w:rFonts w:ascii="宋体" w:hAnsi="宋体"/>
          <w:b/>
          <w:bCs/>
          <w:color w:val="000000"/>
          <w:kern w:val="0"/>
          <w:sz w:val="24"/>
          <w:szCs w:val="24"/>
        </w:rPr>
        <w:t xml:space="preserve">8.3 </w:t>
      </w:r>
      <w:r w:rsidRPr="00264E55">
        <w:rPr>
          <w:rFonts w:ascii="宋体" w:hAnsi="宋体" w:hint="eastAsia"/>
          <w:b/>
          <w:bCs/>
          <w:color w:val="000000"/>
          <w:kern w:val="0"/>
          <w:sz w:val="24"/>
          <w:szCs w:val="24"/>
        </w:rPr>
        <w:t>查阅方式</w:t>
      </w:r>
    </w:p>
    <w:p w:rsidP="00EB572F" w:rsidR="00750D48" w:rsidRDefault="00750D48" w:rsidRPr="006C56AA">
      <w:pPr>
        <w:spacing w:line="360" w:lineRule="auto"/>
        <w:ind w:firstLine="480" w:firstLineChars="200"/>
        <w:rPr>
          <w:color w:val="000000"/>
          <w:sz w:val="24"/>
          <w:szCs w:val="24"/>
        </w:rPr>
      </w:pPr>
      <w:r w:rsidRPr="006C56AA">
        <w:rPr>
          <w:color w:val="000000"/>
          <w:sz w:val="24"/>
          <w:szCs w:val="24"/>
        </w:rPr>
        <w:t/>
      </w:r>
      <w:proofErr w:type="spellStart"/>
      <w:r w:rsidRPr="006C56AA">
        <w:rPr>
          <w:color w:val="000000"/>
          <w:sz w:val="24"/>
          <w:szCs w:val="24"/>
        </w:rPr>
        <w:t/>
      </w:r>
      <w:proofErr w:type="spellEnd"/>
      <w:r w:rsidRPr="006C56AA">
        <w:rPr>
          <w:color w:val="000000"/>
          <w:sz w:val="24"/>
          <w:szCs w:val="24"/>
        </w:rPr>
        <w:t>投资者可在营业时间免费查阅，也可按工本费购买复印件。</w:t>
      </w: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4061AC" w:rsidR="00750D48" w:rsidRDefault="00750D48" w:rsidRPr="00264E55">
      <w:pPr>
        <w:spacing w:line="360" w:lineRule="auto"/>
        <w:ind w:left="840"/>
        <w:jc w:val="right"/>
        <w:rPr>
          <w:rFonts w:ascii="宋体"/>
          <w:color w:val="000000"/>
          <w:sz w:val="24"/>
          <w:szCs w:val="24"/>
        </w:rPr>
      </w:pPr>
    </w:p>
    <w:p w:rsidP="00C71497" w:rsidR="00750D48" w:rsidRDefault="00750D48" w:rsidRPr="00264E55">
      <w:pPr>
        <w:spacing w:line="360" w:lineRule="auto"/>
        <w:jc w:val="right"/>
        <w:rPr>
          <w:rFonts w:ascii="宋体" w:hAnsi="宋体"/>
          <w:b/>
          <w:bCs/>
          <w:sz w:val="24"/>
          <w:szCs w:val="24"/>
        </w:rPr>
      </w:pPr>
      <w:r w:rsidRPr="00264E55">
        <w:rPr>
          <w:rFonts w:asci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易方达基金管理有限公司</w:t>
      </w:r>
    </w:p>
    <w:p w:rsidP="00191817" w:rsidR="00750D48" w:rsidRDefault="00750D48" w:rsidRPr="00191817">
      <w:pPr>
        <w:spacing w:line="360" w:lineRule="auto"/>
        <w:jc w:val="right"/>
        <w:rPr>
          <w:rFonts w:ascii="宋体" w:hAnsi="宋体"/>
          <w:b/>
          <w:bCs/>
          <w:sz w:val="24"/>
          <w:szCs w:val="24"/>
        </w:rPr>
      </w:pPr>
      <w:r w:rsidRPr="00264E55">
        <w:rPr>
          <w:rFonts w:ascii="宋体" w:hAnsi="宋体"/>
          <w:b/>
          <w:bCs/>
          <w:sz w:val="24"/>
          <w:szCs w:val="24"/>
        </w:rPr>
        <w:t/>
      </w:r>
      <w:proofErr w:type="spellStart"/>
      <w:r w:rsidRPr="00264E55">
        <w:rPr>
          <w:rFonts w:ascii="宋体" w:hAnsi="宋体"/>
          <w:b/>
          <w:bCs/>
          <w:sz w:val="24"/>
          <w:szCs w:val="24"/>
        </w:rPr>
        <w:t/>
      </w:r>
      <w:proofErr w:type="spellEnd"/>
      <w:r w:rsidRPr="00264E55">
        <w:rPr>
          <w:rFonts w:ascii="宋体" w:hAnsi="宋体"/>
          <w:b/>
          <w:bCs/>
          <w:sz w:val="24"/>
          <w:szCs w:val="24"/>
        </w:rPr>
        <w:t>二〇二〇年七月二十一日</w:t>
      </w:r>
    </w:p>
    <w:sectPr w:rsidR="00750D48" w:rsidRPr="00191817" w:rsidSect="00304A12">
      <w:footerReference r:id="rId12" w:type="default"/>
      <w:pgSz w:code="9" w:h="16838" w:w="11906"/>
      <w:pgMar w:bottom="1440" w:footer="992" w:gutter="0" w:header="851" w:left="1797" w:right="1797" w:top="1440"/>
      <w:cols w:space="425"/>
      <w:docGrid w:linePitch="312" w:type="line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26" w:rsidRDefault="00BE5A26" w:rsidP="00876D65">
      <w:r>
        <w:separator/>
      </w:r>
    </w:p>
  </w:endnote>
  <w:endnote w:type="continuationSeparator" w:id="0">
    <w:p w:rsidR="00BE5A26" w:rsidRDefault="00BE5A26" w:rsidP="00876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FangSong">
    <w:altName w:val="Arial"/>
    <w:charset w:val="00"/>
    <w:family w:val="auto"/>
    <w:pitch w:val="default"/>
    <w:sig w:usb0="00000003" w:usb1="00000000" w:usb2="00000000" w:usb3="00000000" w:csb0="00000001" w:csb1="00000000"/>
  </w:font>
  <w:font w:name="方正仿宋简体">
    <w:altName w:val="宋体"/>
    <w:charset w:val="86"/>
    <w:family w:val="auto"/>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EF56B5"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w:t>
    </w:r>
    <w:r>
      <w:rPr>
        <w:rStyle w:val="a7"/>
      </w:rPr>
      <w:fldChar w:fldCharType="end"/>
    </w:r>
    <w:proofErr w:type="gramStart"/>
    <w:r>
      <w:rPr>
        <w:rStyle w:val="a7"/>
        <w:rFonts w:hint="eastAsia"/>
      </w:rPr>
      <w:t>页共</w:t>
    </w:r>
    <w:proofErr w:type="gramEnd"/>
    <w:r w:rsidR="00764C38">
      <w:fldChar w:fldCharType="begin"/>
    </w:r>
    <w:r w:rsidR="00764C38">
      <w:instrText xml:space="preserve"> NUMPAGES  \* Arabic  \* MERGEFORMAT </w:instrText>
    </w:r>
    <w:r w:rsidR="00764C38">
      <w:fldChar w:fldCharType="separate"/>
    </w:r>
    <w:r w:rsidR="00B371D4" w:rsidRPr="00B371D4">
      <w:rPr>
        <w:rStyle w:val="a7"/>
        <w:noProof/>
      </w:rPr>
      <w:t>27</w:t>
    </w:r>
    <w:r w:rsidR="00764C38">
      <w:rPr>
        <w:rStyle w:val="a7"/>
        <w:noProof/>
      </w:rPr>
      <w:fldChar w:fldCharType="end"/>
    </w:r>
    <w:r>
      <w:rPr>
        <w:rStyle w:val="a7"/>
        <w:rFonts w:hint="eastAsia"/>
      </w:rPr>
      <w:t>页</w:t>
    </w:r>
  </w:p>
  <w:p w:rsidP="00EF56B5" w:rsidR="003328D9" w:rsidRDefault="003328D9" w:rsidRPr="00EF56B5">
    <w:pPr>
      <w:pStyle w:val="a6"/>
    </w:pPr>
  </w:p>
</w:ftr>
</file>

<file path=word/footer2.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328D9" w:rsidRDefault="003328D9">
    <w:pPr>
      <w:pStyle w:val="a6"/>
      <w:framePr w:hAnchor="margin" w:vAnchor="text" w:wrap="auto" w:xAlign="center" w:y="1"/>
      <w:rPr>
        <w:rStyle w:val="a7"/>
      </w:rPr>
    </w:pPr>
    <w:r>
      <w:rPr>
        <w:rStyle w:val="a7"/>
        <w:rFonts w:hint="eastAsia"/>
      </w:rPr>
      <w:t>第</w:t>
    </w:r>
    <w:r>
      <w:rPr>
        <w:rStyle w:val="a7"/>
      </w:rPr>
      <w:fldChar w:fldCharType="begin"/>
    </w:r>
    <w:r>
      <w:rPr>
        <w:rStyle w:val="a7"/>
      </w:rPr>
      <w:instrText xml:space="preserve">PAGE  </w:instrText>
    </w:r>
    <w:r>
      <w:rPr>
        <w:rStyle w:val="a7"/>
      </w:rPr>
      <w:fldChar w:fldCharType="separate"/>
    </w:r>
    <w:r w:rsidR="00B371D4">
      <w:rPr>
        <w:rStyle w:val="a7"/>
        <w:noProof/>
      </w:rPr>
      <w:t>18</w:t>
    </w:r>
    <w:r>
      <w:rPr>
        <w:rStyle w:val="a7"/>
      </w:rPr>
      <w:fldChar w:fldCharType="end"/>
    </w:r>
    <w:proofErr w:type="gramStart"/>
    <w:r>
      <w:rPr>
        <w:rStyle w:val="a7"/>
        <w:rFonts w:hint="eastAsia"/>
      </w:rPr>
      <w:t>页共</w:t>
    </w:r>
    <w:proofErr w:type="gramEnd"/>
    <w:fldSimple w:instr=" NUMPAGES  \* Arabic  \* MERGEFORMAT ">
      <w:r w:rsidR="00B371D4" w:rsidRPr="00B371D4">
        <w:rPr>
          <w:rStyle w:val="a7"/>
          <w:noProof/>
        </w:rPr>
        <w:t>27</w:t>
      </w:r>
    </w:fldSimple>
    <w:r>
      <w:rPr>
        <w:rStyle w:val="a7"/>
        <w:rFonts w:hint="eastAsia"/>
      </w:rPr>
      <w:t>页</w:t>
    </w:r>
  </w:p>
  <w:p w:rsidR="003328D9" w:rsidRDefault="003328D9">
    <w:pPr>
      <w:pStyle w:val="a6"/>
    </w:pPr>
  </w:p>
</w:ftr>
</file>

<file path=word/footnotes.xml><?xml version="1.0" encoding="utf-8"?>
<w:footnote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footnote w:id="-1" w:type="separator">
    <w:p w:rsidP="00876D65" w:rsidR="00BE5A26" w:rsidRDefault="00BE5A26">
      <w:r>
        <w:separator/>
      </w:r>
    </w:p>
  </w:footnote>
  <w:footnote w:id="0" w:type="continuationSeparator">
    <w:p w:rsidP="00876D65" w:rsidR="00BE5A26" w:rsidRDefault="00BE5A26">
      <w:r>
        <w:continuationSeparator/>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P="00090A26" w:rsidR="003328D9" w:rsidRDefault="003328D9" w:rsidRPr="00093704">
    <w:pPr>
      <w:pStyle w:val="a9"/>
      <w:pBdr>
        <w:bottom w:color="auto" w:space="0" w:sz="6" w:val="single"/>
      </w:pBdr>
      <w:jc w:val="right"/>
    </w:pPr>
    <w:r w:rsidRPr="00093704">
      <w:t/>
    </w:r>
    <w:proofErr w:type="spellStart"/>
    <w:proofErr w:type="gramStart"/>
    <w:r w:rsidRPr="00093704">
      <w:t/>
    </w:r>
    <w:proofErr w:type="spellEnd"/>
    <w:proofErr w:type="gramEnd"/>
    <w:r w:rsidRPr="00093704">
      <w:t>易方达策略成长二号混合型证券投资基金</w:t>
    </w:r>
    <w:proofErr w:type="spellStart"/>
    <w:r w:rsidRPr="00093704">
      <w:t/>
    </w:r>
    <w:proofErr w:type="spellEnd"/>
    <w:r w:rsidRPr="00093704">
      <w:t>2020年第2季度报告</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abstractNum w:abstractNumId="0">
    <w:nsid w:val="17055987"/>
    <w:multiLevelType w:val="hybridMultilevel"/>
    <w:tmpl w:val="6DACDB38"/>
    <w:lvl w:ilvl="0" w:tplc="307C87E8">
      <w:start w:val="2006"/>
      <w:numFmt w:val="bullet"/>
      <w:lvlText w:val="●"/>
      <w:lvlJc w:val="left"/>
      <w:pPr>
        <w:tabs>
          <w:tab w:pos="780" w:val="num"/>
        </w:tabs>
        <w:ind w:hanging="360" w:left="780"/>
      </w:pPr>
      <w:rPr>
        <w:rFonts w:ascii="Times New Roman" w:eastAsia="宋体" w:hAnsi="Times New Roman" w:hint="default"/>
      </w:rPr>
    </w:lvl>
    <w:lvl w:ilvl="1" w:tplc="04090003">
      <w:start w:val="1"/>
      <w:numFmt w:val="bullet"/>
      <w:lvlText w:val=""/>
      <w:lvlJc w:val="left"/>
      <w:pPr>
        <w:tabs>
          <w:tab w:pos="1260" w:val="num"/>
        </w:tabs>
        <w:ind w:hanging="420" w:left="1260"/>
      </w:pPr>
      <w:rPr>
        <w:rFonts w:ascii="Wingdings" w:hAnsi="Wingdings" w:hint="default"/>
      </w:rPr>
    </w:lvl>
    <w:lvl w:ilvl="2" w:tplc="04090005">
      <w:start w:val="1"/>
      <w:numFmt w:val="bullet"/>
      <w:lvlText w:val=""/>
      <w:lvlJc w:val="left"/>
      <w:pPr>
        <w:tabs>
          <w:tab w:pos="1680" w:val="num"/>
        </w:tabs>
        <w:ind w:hanging="420" w:left="1680"/>
      </w:pPr>
      <w:rPr>
        <w:rFonts w:ascii="Wingdings" w:hAnsi="Wingdings" w:hint="default"/>
      </w:rPr>
    </w:lvl>
    <w:lvl w:ilvl="3" w:tplc="04090001">
      <w:start w:val="1"/>
      <w:numFmt w:val="bullet"/>
      <w:lvlText w:val=""/>
      <w:lvlJc w:val="left"/>
      <w:pPr>
        <w:tabs>
          <w:tab w:pos="2100" w:val="num"/>
        </w:tabs>
        <w:ind w:hanging="420" w:left="2100"/>
      </w:pPr>
      <w:rPr>
        <w:rFonts w:ascii="Wingdings" w:hAnsi="Wingdings" w:hint="default"/>
      </w:rPr>
    </w:lvl>
    <w:lvl w:ilvl="4" w:tplc="04090003">
      <w:start w:val="1"/>
      <w:numFmt w:val="bullet"/>
      <w:lvlText w:val=""/>
      <w:lvlJc w:val="left"/>
      <w:pPr>
        <w:tabs>
          <w:tab w:pos="2520" w:val="num"/>
        </w:tabs>
        <w:ind w:hanging="420" w:left="2520"/>
      </w:pPr>
      <w:rPr>
        <w:rFonts w:ascii="Wingdings" w:hAnsi="Wingdings" w:hint="default"/>
      </w:rPr>
    </w:lvl>
    <w:lvl w:ilvl="5" w:tplc="04090005">
      <w:start w:val="1"/>
      <w:numFmt w:val="bullet"/>
      <w:lvlText w:val=""/>
      <w:lvlJc w:val="left"/>
      <w:pPr>
        <w:tabs>
          <w:tab w:pos="2940" w:val="num"/>
        </w:tabs>
        <w:ind w:hanging="420" w:left="2940"/>
      </w:pPr>
      <w:rPr>
        <w:rFonts w:ascii="Wingdings" w:hAnsi="Wingdings" w:hint="default"/>
      </w:rPr>
    </w:lvl>
    <w:lvl w:ilvl="6" w:tplc="04090001">
      <w:start w:val="1"/>
      <w:numFmt w:val="bullet"/>
      <w:lvlText w:val=""/>
      <w:lvlJc w:val="left"/>
      <w:pPr>
        <w:tabs>
          <w:tab w:pos="3360" w:val="num"/>
        </w:tabs>
        <w:ind w:hanging="420" w:left="3360"/>
      </w:pPr>
      <w:rPr>
        <w:rFonts w:ascii="Wingdings" w:hAnsi="Wingdings" w:hint="default"/>
      </w:rPr>
    </w:lvl>
    <w:lvl w:ilvl="7" w:tplc="04090003">
      <w:start w:val="1"/>
      <w:numFmt w:val="bullet"/>
      <w:lvlText w:val=""/>
      <w:lvlJc w:val="left"/>
      <w:pPr>
        <w:tabs>
          <w:tab w:pos="3780" w:val="num"/>
        </w:tabs>
        <w:ind w:hanging="420" w:left="3780"/>
      </w:pPr>
      <w:rPr>
        <w:rFonts w:ascii="Wingdings" w:hAnsi="Wingdings" w:hint="default"/>
      </w:rPr>
    </w:lvl>
    <w:lvl w:ilvl="8" w:tplc="04090005">
      <w:start w:val="1"/>
      <w:numFmt w:val="bullet"/>
      <w:lvlText w:val=""/>
      <w:lvlJc w:val="left"/>
      <w:pPr>
        <w:tabs>
          <w:tab w:pos="4200" w:val="num"/>
        </w:tabs>
        <w:ind w:hanging="420" w:left="4200"/>
      </w:pPr>
      <w:rPr>
        <w:rFonts w:ascii="Wingdings" w:hAnsi="Wingdings" w:hint="default"/>
      </w:rPr>
    </w:lvl>
  </w:abstractNum>
  <w:abstractNum w:abstractNumId="1">
    <w:nsid w:val="57E8240C"/>
    <w:multiLevelType w:val="hybridMultilevel"/>
    <w:tmpl w:val="300A7112"/>
    <w:lvl w:ilvl="0" w:tplc="3782FDB8">
      <w:start w:val="1"/>
      <w:numFmt w:val="decimal"/>
      <w:lvlText w:val="（%1）"/>
      <w:lvlJc w:val="left"/>
      <w:pPr>
        <w:tabs>
          <w:tab w:pos="1200" w:val="num"/>
        </w:tabs>
        <w:ind w:hanging="720" w:left="1200"/>
      </w:pPr>
      <w:rPr>
        <w:rFonts w:cs="Times New Roman" w:hint="eastAsia"/>
        <w:sz w:val="24"/>
        <w:szCs w:val="24"/>
      </w:rPr>
    </w:lvl>
    <w:lvl w:ilvl="1" w:tplc="04090019">
      <w:start w:val="1"/>
      <w:numFmt w:val="lowerLetter"/>
      <w:lvlText w:val="%2)"/>
      <w:lvlJc w:val="left"/>
      <w:pPr>
        <w:tabs>
          <w:tab w:pos="1320" w:val="num"/>
        </w:tabs>
        <w:ind w:hanging="420" w:left="1320"/>
      </w:pPr>
      <w:rPr>
        <w:rFonts w:cs="Times New Roman"/>
      </w:rPr>
    </w:lvl>
    <w:lvl w:ilvl="2" w:tplc="0409001B">
      <w:start w:val="1"/>
      <w:numFmt w:val="lowerRoman"/>
      <w:lvlText w:val="%3."/>
      <w:lvlJc w:val="right"/>
      <w:pPr>
        <w:tabs>
          <w:tab w:pos="1740" w:val="num"/>
        </w:tabs>
        <w:ind w:hanging="420" w:left="1740"/>
      </w:pPr>
      <w:rPr>
        <w:rFonts w:cs="Times New Roman"/>
      </w:rPr>
    </w:lvl>
    <w:lvl w:ilvl="3" w:tplc="0409000F">
      <w:start w:val="1"/>
      <w:numFmt w:val="decimal"/>
      <w:lvlText w:val="%4."/>
      <w:lvlJc w:val="left"/>
      <w:pPr>
        <w:tabs>
          <w:tab w:pos="2160" w:val="num"/>
        </w:tabs>
        <w:ind w:hanging="420" w:left="2160"/>
      </w:pPr>
      <w:rPr>
        <w:rFonts w:cs="Times New Roman"/>
      </w:rPr>
    </w:lvl>
    <w:lvl w:ilvl="4" w:tplc="04090019">
      <w:start w:val="1"/>
      <w:numFmt w:val="lowerLetter"/>
      <w:lvlText w:val="%5)"/>
      <w:lvlJc w:val="left"/>
      <w:pPr>
        <w:tabs>
          <w:tab w:pos="2580" w:val="num"/>
        </w:tabs>
        <w:ind w:hanging="420" w:left="2580"/>
      </w:pPr>
      <w:rPr>
        <w:rFonts w:cs="Times New Roman"/>
      </w:rPr>
    </w:lvl>
    <w:lvl w:ilvl="5" w:tplc="0409001B">
      <w:start w:val="1"/>
      <w:numFmt w:val="lowerRoman"/>
      <w:lvlText w:val="%6."/>
      <w:lvlJc w:val="right"/>
      <w:pPr>
        <w:tabs>
          <w:tab w:pos="3000" w:val="num"/>
        </w:tabs>
        <w:ind w:hanging="420" w:left="3000"/>
      </w:pPr>
      <w:rPr>
        <w:rFonts w:cs="Times New Roman"/>
      </w:rPr>
    </w:lvl>
    <w:lvl w:ilvl="6" w:tplc="0409000F">
      <w:start w:val="1"/>
      <w:numFmt w:val="decimal"/>
      <w:lvlText w:val="%7."/>
      <w:lvlJc w:val="left"/>
      <w:pPr>
        <w:tabs>
          <w:tab w:pos="3420" w:val="num"/>
        </w:tabs>
        <w:ind w:hanging="420" w:left="3420"/>
      </w:pPr>
      <w:rPr>
        <w:rFonts w:cs="Times New Roman"/>
      </w:rPr>
    </w:lvl>
    <w:lvl w:ilvl="7" w:tplc="04090019">
      <w:start w:val="1"/>
      <w:numFmt w:val="lowerLetter"/>
      <w:lvlText w:val="%8)"/>
      <w:lvlJc w:val="left"/>
      <w:pPr>
        <w:tabs>
          <w:tab w:pos="3840" w:val="num"/>
        </w:tabs>
        <w:ind w:hanging="420" w:left="3840"/>
      </w:pPr>
      <w:rPr>
        <w:rFonts w:cs="Times New Roman"/>
      </w:rPr>
    </w:lvl>
    <w:lvl w:ilvl="8" w:tplc="0409001B">
      <w:start w:val="1"/>
      <w:numFmt w:val="lowerRoman"/>
      <w:lvlText w:val="%9."/>
      <w:lvlJc w:val="right"/>
      <w:pPr>
        <w:tabs>
          <w:tab w:pos="4260" w:val="num"/>
        </w:tabs>
        <w:ind w:hanging="420" w:left="4260"/>
      </w:pPr>
      <w:rPr>
        <w:rFonts w:cs="Times New Roman"/>
      </w:rPr>
    </w:lvl>
  </w:abstractNum>
  <w:abstractNum w:abstractNumId="2">
    <w:nsid w:val="7EC34207"/>
    <w:multiLevelType w:val="hybridMultilevel"/>
    <w:tmpl w:val="58FC50DE"/>
    <w:lvl w:ilvl="0" w:tplc="788C0680">
      <w:start w:val="1"/>
      <w:numFmt w:val="japaneseCounting"/>
      <w:lvlText w:val="%1、"/>
      <w:lvlJc w:val="left"/>
      <w:pPr>
        <w:tabs>
          <w:tab w:pos="480" w:val="num"/>
        </w:tabs>
        <w:ind w:hanging="480" w:left="480"/>
      </w:pPr>
      <w:rPr>
        <w:rFonts w:cs="Times New Roman" w:eastAsia="宋体" w:hint="eastAsia"/>
        <w:color w:val="auto"/>
      </w:rPr>
    </w:lvl>
    <w:lvl w:ilvl="1" w:tplc="D5ACC954">
      <w:start w:val="1"/>
      <w:numFmt w:val="japaneseCounting"/>
      <w:lvlText w:val="(%2)"/>
      <w:lvlJc w:val="left"/>
      <w:pPr>
        <w:tabs>
          <w:tab w:pos="810" w:val="num"/>
        </w:tabs>
        <w:ind w:hanging="390" w:left="810"/>
      </w:pPr>
      <w:rPr>
        <w:rFonts w:cs="Times New Roman" w:hint="eastAsia"/>
      </w:rPr>
    </w:lvl>
    <w:lvl w:ilvl="2" w:tplc="E2F6B948">
      <w:start w:val="1"/>
      <w:numFmt w:val="decimal"/>
      <w:lvlText w:val="%3、"/>
      <w:lvlJc w:val="left"/>
      <w:pPr>
        <w:tabs>
          <w:tab w:pos="1200" w:val="num"/>
        </w:tabs>
        <w:ind w:hanging="360" w:left="1200"/>
      </w:pPr>
      <w:rPr>
        <w:rFonts w:cs="Times New Roman" w:hint="eastAsia"/>
      </w:rPr>
    </w:lvl>
    <w:lvl w:ilvl="3" w:tplc="0409000F">
      <w:start w:val="1"/>
      <w:numFmt w:val="decimal"/>
      <w:lvlText w:val="%4."/>
      <w:lvlJc w:val="left"/>
      <w:pPr>
        <w:tabs>
          <w:tab w:pos="1680" w:val="num"/>
        </w:tabs>
        <w:ind w:hanging="420" w:left="1680"/>
      </w:pPr>
      <w:rPr>
        <w:rFonts w:cs="Times New Roman"/>
      </w:rPr>
    </w:lvl>
    <w:lvl w:ilvl="4" w:tplc="04090019">
      <w:start w:val="1"/>
      <w:numFmt w:val="lowerLetter"/>
      <w:lvlText w:val="%5)"/>
      <w:lvlJc w:val="left"/>
      <w:pPr>
        <w:tabs>
          <w:tab w:pos="2100" w:val="num"/>
        </w:tabs>
        <w:ind w:hanging="420" w:left="2100"/>
      </w:pPr>
      <w:rPr>
        <w:rFonts w:cs="Times New Roman"/>
      </w:rPr>
    </w:lvl>
    <w:lvl w:ilvl="5" w:tplc="0409001B">
      <w:start w:val="1"/>
      <w:numFmt w:val="lowerRoman"/>
      <w:lvlText w:val="%6."/>
      <w:lvlJc w:val="right"/>
      <w:pPr>
        <w:tabs>
          <w:tab w:pos="2520" w:val="num"/>
        </w:tabs>
        <w:ind w:hanging="420" w:left="2520"/>
      </w:pPr>
      <w:rPr>
        <w:rFonts w:cs="Times New Roman"/>
      </w:rPr>
    </w:lvl>
    <w:lvl w:ilvl="6" w:tplc="0409000F">
      <w:start w:val="1"/>
      <w:numFmt w:val="decimal"/>
      <w:lvlText w:val="%7."/>
      <w:lvlJc w:val="left"/>
      <w:pPr>
        <w:tabs>
          <w:tab w:pos="2940" w:val="num"/>
        </w:tabs>
        <w:ind w:hanging="420" w:left="2940"/>
      </w:pPr>
      <w:rPr>
        <w:rFonts w:cs="Times New Roman"/>
      </w:rPr>
    </w:lvl>
    <w:lvl w:ilvl="7" w:tplc="04090019">
      <w:start w:val="1"/>
      <w:numFmt w:val="lowerLetter"/>
      <w:lvlText w:val="%8)"/>
      <w:lvlJc w:val="left"/>
      <w:pPr>
        <w:tabs>
          <w:tab w:pos="3360" w:val="num"/>
        </w:tabs>
        <w:ind w:hanging="420" w:left="3360"/>
      </w:pPr>
      <w:rPr>
        <w:rFonts w:cs="Times New Roman"/>
      </w:rPr>
    </w:lvl>
    <w:lvl w:ilvl="8" w:tplc="0409001B">
      <w:start w:val="1"/>
      <w:numFmt w:val="lowerRoman"/>
      <w:lvlText w:val="%9."/>
      <w:lvlJc w:val="right"/>
      <w:pPr>
        <w:tabs>
          <w:tab w:pos="3780" w:val="num"/>
        </w:tabs>
        <w:ind w:hanging="420" w:left="3780"/>
      </w:pPr>
      <w:rPr>
        <w:rFonts w:cs="Times New Roman"/>
      </w:rPr>
    </w:lvl>
  </w:abstractNum>
  <w:num w:numId="1">
    <w:abstractNumId w:val="2"/>
  </w:num>
  <w:num w:numId="2">
    <w:abstractNumId w:val="1"/>
  </w:num>
  <w:num w:numId="3">
    <w:abstractNumId w:val="0"/>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mc="http://schemas.openxmlformats.org/markup-compatibility/2006"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xmlns:w14="http://schemas.microsoft.com/office/word/2010/wordml" mc:Ignorable="w14">
  <w:zoom w:percent="100"/>
  <w:bordersDoNotSurroundHeader/>
  <w:bordersDoNotSurroundFooter/>
  <w:proofState w:grammar="clean" w:spelling="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spidmax="2049" v:ext="edi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4061AC"/>
    <w:rsid w:val="00013E6E"/>
    <w:rsid w:val="00014099"/>
    <w:rsid w:val="000160C5"/>
    <w:rsid w:val="000210E7"/>
    <w:rsid w:val="000212F7"/>
    <w:rsid w:val="00031EBB"/>
    <w:rsid w:val="00033B8D"/>
    <w:rsid w:val="00043852"/>
    <w:rsid w:val="000450DD"/>
    <w:rsid w:val="000463DE"/>
    <w:rsid w:val="000553BD"/>
    <w:rsid w:val="00065E3C"/>
    <w:rsid w:val="0008313A"/>
    <w:rsid w:val="000875EA"/>
    <w:rsid w:val="000907D2"/>
    <w:rsid w:val="00090A26"/>
    <w:rsid w:val="00093704"/>
    <w:rsid w:val="00095F2A"/>
    <w:rsid w:val="000A2B53"/>
    <w:rsid w:val="000A438A"/>
    <w:rsid w:val="000B5257"/>
    <w:rsid w:val="000B624F"/>
    <w:rsid w:val="000B73C6"/>
    <w:rsid w:val="000C190B"/>
    <w:rsid w:val="000C1E17"/>
    <w:rsid w:val="000C493C"/>
    <w:rsid w:val="000C5216"/>
    <w:rsid w:val="000D0E6C"/>
    <w:rsid w:val="000D3ED4"/>
    <w:rsid w:val="000F2DE1"/>
    <w:rsid w:val="000F6CC8"/>
    <w:rsid w:val="00111261"/>
    <w:rsid w:val="00133843"/>
    <w:rsid w:val="00137452"/>
    <w:rsid w:val="00142CAF"/>
    <w:rsid w:val="00144F93"/>
    <w:rsid w:val="00147376"/>
    <w:rsid w:val="00150E7E"/>
    <w:rsid w:val="00154BE1"/>
    <w:rsid w:val="00154C17"/>
    <w:rsid w:val="00160EDC"/>
    <w:rsid w:val="0016180A"/>
    <w:rsid w:val="001675CD"/>
    <w:rsid w:val="00170435"/>
    <w:rsid w:val="00171EF0"/>
    <w:rsid w:val="001761D2"/>
    <w:rsid w:val="001830D7"/>
    <w:rsid w:val="00185A34"/>
    <w:rsid w:val="001878B0"/>
    <w:rsid w:val="0019049E"/>
    <w:rsid w:val="00191817"/>
    <w:rsid w:val="00191BDE"/>
    <w:rsid w:val="00196E6C"/>
    <w:rsid w:val="001A73E8"/>
    <w:rsid w:val="001B0A62"/>
    <w:rsid w:val="001B2F35"/>
    <w:rsid w:val="001B3C1C"/>
    <w:rsid w:val="001B6E7E"/>
    <w:rsid w:val="001C0993"/>
    <w:rsid w:val="001C79F2"/>
    <w:rsid w:val="001C7E00"/>
    <w:rsid w:val="001D0DB0"/>
    <w:rsid w:val="001D5B8F"/>
    <w:rsid w:val="001D63BB"/>
    <w:rsid w:val="001D6A4B"/>
    <w:rsid w:val="001D74DB"/>
    <w:rsid w:val="001E4630"/>
    <w:rsid w:val="001F0964"/>
    <w:rsid w:val="001F0EB2"/>
    <w:rsid w:val="001F30DA"/>
    <w:rsid w:val="001F5DC5"/>
    <w:rsid w:val="001F5F5D"/>
    <w:rsid w:val="00200FAB"/>
    <w:rsid w:val="00213821"/>
    <w:rsid w:val="00217B92"/>
    <w:rsid w:val="002279D3"/>
    <w:rsid w:val="00232B03"/>
    <w:rsid w:val="00240248"/>
    <w:rsid w:val="0024363B"/>
    <w:rsid w:val="00261111"/>
    <w:rsid w:val="00264E55"/>
    <w:rsid w:val="002661ED"/>
    <w:rsid w:val="00266337"/>
    <w:rsid w:val="00275745"/>
    <w:rsid w:val="0027688F"/>
    <w:rsid w:val="00276E44"/>
    <w:rsid w:val="00277FAE"/>
    <w:rsid w:val="00280C9F"/>
    <w:rsid w:val="00286BEF"/>
    <w:rsid w:val="00286FA2"/>
    <w:rsid w:val="002918E3"/>
    <w:rsid w:val="002973A9"/>
    <w:rsid w:val="002B1D1A"/>
    <w:rsid w:val="002C28F2"/>
    <w:rsid w:val="002C5960"/>
    <w:rsid w:val="002D6FB6"/>
    <w:rsid w:val="002E2255"/>
    <w:rsid w:val="002E3B09"/>
    <w:rsid w:val="002E4594"/>
    <w:rsid w:val="002E52B3"/>
    <w:rsid w:val="00303679"/>
    <w:rsid w:val="00304A12"/>
    <w:rsid w:val="00305636"/>
    <w:rsid w:val="00311662"/>
    <w:rsid w:val="00312A9F"/>
    <w:rsid w:val="00312F1C"/>
    <w:rsid w:val="00312F30"/>
    <w:rsid w:val="00315D5D"/>
    <w:rsid w:val="00316484"/>
    <w:rsid w:val="00316E01"/>
    <w:rsid w:val="00317067"/>
    <w:rsid w:val="00320300"/>
    <w:rsid w:val="00324508"/>
    <w:rsid w:val="003259C8"/>
    <w:rsid w:val="0032741D"/>
    <w:rsid w:val="003307FE"/>
    <w:rsid w:val="003328D9"/>
    <w:rsid w:val="003350A8"/>
    <w:rsid w:val="003376B7"/>
    <w:rsid w:val="00342369"/>
    <w:rsid w:val="003470E2"/>
    <w:rsid w:val="00352719"/>
    <w:rsid w:val="00354432"/>
    <w:rsid w:val="00355364"/>
    <w:rsid w:val="00364A60"/>
    <w:rsid w:val="00364CCB"/>
    <w:rsid w:val="0039085F"/>
    <w:rsid w:val="00392044"/>
    <w:rsid w:val="00394069"/>
    <w:rsid w:val="003A6061"/>
    <w:rsid w:val="003B5535"/>
    <w:rsid w:val="003B6FBC"/>
    <w:rsid w:val="003D7406"/>
    <w:rsid w:val="003D7FAF"/>
    <w:rsid w:val="003E62FB"/>
    <w:rsid w:val="003F39DF"/>
    <w:rsid w:val="003F63BE"/>
    <w:rsid w:val="00403A06"/>
    <w:rsid w:val="004061AC"/>
    <w:rsid w:val="00407DBB"/>
    <w:rsid w:val="004149AC"/>
    <w:rsid w:val="00415AEF"/>
    <w:rsid w:val="0042009D"/>
    <w:rsid w:val="00427F58"/>
    <w:rsid w:val="0043199A"/>
    <w:rsid w:val="00433805"/>
    <w:rsid w:val="0046668C"/>
    <w:rsid w:val="00466850"/>
    <w:rsid w:val="00467048"/>
    <w:rsid w:val="00471408"/>
    <w:rsid w:val="004858E0"/>
    <w:rsid w:val="004934E9"/>
    <w:rsid w:val="004943C2"/>
    <w:rsid w:val="004A11A7"/>
    <w:rsid w:val="004A4D5B"/>
    <w:rsid w:val="004B5343"/>
    <w:rsid w:val="004B7A92"/>
    <w:rsid w:val="004C0259"/>
    <w:rsid w:val="004C702F"/>
    <w:rsid w:val="004D28A3"/>
    <w:rsid w:val="004D495A"/>
    <w:rsid w:val="004D75CD"/>
    <w:rsid w:val="004E5975"/>
    <w:rsid w:val="004E790A"/>
    <w:rsid w:val="004F04C1"/>
    <w:rsid w:val="004F50FD"/>
    <w:rsid w:val="004F6891"/>
    <w:rsid w:val="00500A03"/>
    <w:rsid w:val="00501495"/>
    <w:rsid w:val="00507F99"/>
    <w:rsid w:val="00512200"/>
    <w:rsid w:val="005143CD"/>
    <w:rsid w:val="005144F2"/>
    <w:rsid w:val="005242A5"/>
    <w:rsid w:val="005249DD"/>
    <w:rsid w:val="00531BA5"/>
    <w:rsid w:val="00531F10"/>
    <w:rsid w:val="00532E86"/>
    <w:rsid w:val="00540B13"/>
    <w:rsid w:val="00542434"/>
    <w:rsid w:val="00542470"/>
    <w:rsid w:val="00542546"/>
    <w:rsid w:val="005425BA"/>
    <w:rsid w:val="005454FB"/>
    <w:rsid w:val="005602F3"/>
    <w:rsid w:val="005659E4"/>
    <w:rsid w:val="005761EE"/>
    <w:rsid w:val="00582D99"/>
    <w:rsid w:val="0058551C"/>
    <w:rsid w:val="00590656"/>
    <w:rsid w:val="0059076B"/>
    <w:rsid w:val="005973CB"/>
    <w:rsid w:val="00597E49"/>
    <w:rsid w:val="005A0F1F"/>
    <w:rsid w:val="005A2B83"/>
    <w:rsid w:val="005A478E"/>
    <w:rsid w:val="005A6675"/>
    <w:rsid w:val="005B2E9C"/>
    <w:rsid w:val="005B4F93"/>
    <w:rsid w:val="005B73D2"/>
    <w:rsid w:val="005C5E5B"/>
    <w:rsid w:val="005D2B36"/>
    <w:rsid w:val="005E1093"/>
    <w:rsid w:val="005E475E"/>
    <w:rsid w:val="005E78C0"/>
    <w:rsid w:val="005F3996"/>
    <w:rsid w:val="005F6AF6"/>
    <w:rsid w:val="005F7730"/>
    <w:rsid w:val="005F7917"/>
    <w:rsid w:val="005F7E00"/>
    <w:rsid w:val="00604C26"/>
    <w:rsid w:val="006066D2"/>
    <w:rsid w:val="0061286A"/>
    <w:rsid w:val="00613D7A"/>
    <w:rsid w:val="00614CC4"/>
    <w:rsid w:val="0062025E"/>
    <w:rsid w:val="00626998"/>
    <w:rsid w:val="006269FB"/>
    <w:rsid w:val="00631ED8"/>
    <w:rsid w:val="00635B05"/>
    <w:rsid w:val="00636DB7"/>
    <w:rsid w:val="0063783A"/>
    <w:rsid w:val="006423B9"/>
    <w:rsid w:val="00654B0D"/>
    <w:rsid w:val="00655CD8"/>
    <w:rsid w:val="006571DC"/>
    <w:rsid w:val="00660D4B"/>
    <w:rsid w:val="00664ECC"/>
    <w:rsid w:val="00670989"/>
    <w:rsid w:val="006757DC"/>
    <w:rsid w:val="00676095"/>
    <w:rsid w:val="006926A7"/>
    <w:rsid w:val="00693843"/>
    <w:rsid w:val="0069426C"/>
    <w:rsid w:val="00694DFB"/>
    <w:rsid w:val="006A1C62"/>
    <w:rsid w:val="006A48FD"/>
    <w:rsid w:val="006A67F8"/>
    <w:rsid w:val="006A7AF1"/>
    <w:rsid w:val="006B11BB"/>
    <w:rsid w:val="006B4C11"/>
    <w:rsid w:val="006C12B8"/>
    <w:rsid w:val="006C37FC"/>
    <w:rsid w:val="006C56AA"/>
    <w:rsid w:val="006C7EA3"/>
    <w:rsid w:val="006D07F3"/>
    <w:rsid w:val="006D39E9"/>
    <w:rsid w:val="006D3BE3"/>
    <w:rsid w:val="006D7004"/>
    <w:rsid w:val="006D789D"/>
    <w:rsid w:val="006D7FF8"/>
    <w:rsid w:val="006E042A"/>
    <w:rsid w:val="006E322B"/>
    <w:rsid w:val="006F49EE"/>
    <w:rsid w:val="006F5E68"/>
    <w:rsid w:val="00706D60"/>
    <w:rsid w:val="007075E3"/>
    <w:rsid w:val="00707F66"/>
    <w:rsid w:val="007125DB"/>
    <w:rsid w:val="00720D28"/>
    <w:rsid w:val="00722333"/>
    <w:rsid w:val="00722509"/>
    <w:rsid w:val="00727FCD"/>
    <w:rsid w:val="00733DDD"/>
    <w:rsid w:val="00744628"/>
    <w:rsid w:val="0074694E"/>
    <w:rsid w:val="00750CDF"/>
    <w:rsid w:val="00750D48"/>
    <w:rsid w:val="00752BA5"/>
    <w:rsid w:val="00755D86"/>
    <w:rsid w:val="00764C38"/>
    <w:rsid w:val="00767C98"/>
    <w:rsid w:val="00770971"/>
    <w:rsid w:val="00780186"/>
    <w:rsid w:val="0078089C"/>
    <w:rsid w:val="00787D16"/>
    <w:rsid w:val="00796CA8"/>
    <w:rsid w:val="00797305"/>
    <w:rsid w:val="007B035B"/>
    <w:rsid w:val="007B4C04"/>
    <w:rsid w:val="007B5AFB"/>
    <w:rsid w:val="007C1B9B"/>
    <w:rsid w:val="007C54B1"/>
    <w:rsid w:val="007C5862"/>
    <w:rsid w:val="007F31E6"/>
    <w:rsid w:val="008014F9"/>
    <w:rsid w:val="0080358B"/>
    <w:rsid w:val="008059BD"/>
    <w:rsid w:val="00812D46"/>
    <w:rsid w:val="00815999"/>
    <w:rsid w:val="00815A38"/>
    <w:rsid w:val="0082103F"/>
    <w:rsid w:val="008279FE"/>
    <w:rsid w:val="00831259"/>
    <w:rsid w:val="0083208A"/>
    <w:rsid w:val="0083218A"/>
    <w:rsid w:val="00832A00"/>
    <w:rsid w:val="00837845"/>
    <w:rsid w:val="008442C4"/>
    <w:rsid w:val="00846739"/>
    <w:rsid w:val="00853140"/>
    <w:rsid w:val="00854537"/>
    <w:rsid w:val="008606B6"/>
    <w:rsid w:val="008635E6"/>
    <w:rsid w:val="00866CF2"/>
    <w:rsid w:val="008700EC"/>
    <w:rsid w:val="00876D65"/>
    <w:rsid w:val="00891261"/>
    <w:rsid w:val="00895A8A"/>
    <w:rsid w:val="008A09E5"/>
    <w:rsid w:val="008A21B2"/>
    <w:rsid w:val="008B2FDD"/>
    <w:rsid w:val="008C2A4F"/>
    <w:rsid w:val="008C75E7"/>
    <w:rsid w:val="008C7CA8"/>
    <w:rsid w:val="008D09EC"/>
    <w:rsid w:val="008D799F"/>
    <w:rsid w:val="008E07EB"/>
    <w:rsid w:val="008E2DCB"/>
    <w:rsid w:val="008E326D"/>
    <w:rsid w:val="008F5A8D"/>
    <w:rsid w:val="008F5F67"/>
    <w:rsid w:val="008F60F2"/>
    <w:rsid w:val="0090217D"/>
    <w:rsid w:val="00904749"/>
    <w:rsid w:val="00905C5E"/>
    <w:rsid w:val="009078DC"/>
    <w:rsid w:val="00907B61"/>
    <w:rsid w:val="00910586"/>
    <w:rsid w:val="009161AF"/>
    <w:rsid w:val="00921AC7"/>
    <w:rsid w:val="00921BFA"/>
    <w:rsid w:val="00922880"/>
    <w:rsid w:val="00924582"/>
    <w:rsid w:val="00931291"/>
    <w:rsid w:val="00932DC0"/>
    <w:rsid w:val="0093367D"/>
    <w:rsid w:val="00933B24"/>
    <w:rsid w:val="009431FA"/>
    <w:rsid w:val="00943BB5"/>
    <w:rsid w:val="00945AF6"/>
    <w:rsid w:val="009510DE"/>
    <w:rsid w:val="00951C43"/>
    <w:rsid w:val="0095204B"/>
    <w:rsid w:val="0095280A"/>
    <w:rsid w:val="00954A4B"/>
    <w:rsid w:val="009550BE"/>
    <w:rsid w:val="00955531"/>
    <w:rsid w:val="00955BE8"/>
    <w:rsid w:val="00957594"/>
    <w:rsid w:val="00963F40"/>
    <w:rsid w:val="00965CFB"/>
    <w:rsid w:val="0098122D"/>
    <w:rsid w:val="00986596"/>
    <w:rsid w:val="00990685"/>
    <w:rsid w:val="00991411"/>
    <w:rsid w:val="00992238"/>
    <w:rsid w:val="009A0ABE"/>
    <w:rsid w:val="009B2D4B"/>
    <w:rsid w:val="009B3243"/>
    <w:rsid w:val="009C4E99"/>
    <w:rsid w:val="009C5186"/>
    <w:rsid w:val="009C60F7"/>
    <w:rsid w:val="009D0952"/>
    <w:rsid w:val="009D54EA"/>
    <w:rsid w:val="009E285B"/>
    <w:rsid w:val="009E31DA"/>
    <w:rsid w:val="009E402C"/>
    <w:rsid w:val="009E7C6A"/>
    <w:rsid w:val="009F7ED4"/>
    <w:rsid w:val="00A03AAC"/>
    <w:rsid w:val="00A047D1"/>
    <w:rsid w:val="00A22AD0"/>
    <w:rsid w:val="00A22DA8"/>
    <w:rsid w:val="00A234BE"/>
    <w:rsid w:val="00A31671"/>
    <w:rsid w:val="00A45320"/>
    <w:rsid w:val="00A52C6D"/>
    <w:rsid w:val="00A5612C"/>
    <w:rsid w:val="00A5689C"/>
    <w:rsid w:val="00A57AE4"/>
    <w:rsid w:val="00A63F19"/>
    <w:rsid w:val="00A66F3F"/>
    <w:rsid w:val="00A66F42"/>
    <w:rsid w:val="00A727C1"/>
    <w:rsid w:val="00A746EB"/>
    <w:rsid w:val="00A76625"/>
    <w:rsid w:val="00A82CBA"/>
    <w:rsid w:val="00A83500"/>
    <w:rsid w:val="00A90049"/>
    <w:rsid w:val="00A917BF"/>
    <w:rsid w:val="00A96A94"/>
    <w:rsid w:val="00AA257D"/>
    <w:rsid w:val="00AA3A38"/>
    <w:rsid w:val="00AA4F94"/>
    <w:rsid w:val="00AB047E"/>
    <w:rsid w:val="00AC11B0"/>
    <w:rsid w:val="00AC592E"/>
    <w:rsid w:val="00AC6C10"/>
    <w:rsid w:val="00AC7BC6"/>
    <w:rsid w:val="00AD24AA"/>
    <w:rsid w:val="00AE7962"/>
    <w:rsid w:val="00AF5BA0"/>
    <w:rsid w:val="00B014D7"/>
    <w:rsid w:val="00B05049"/>
    <w:rsid w:val="00B12B7D"/>
    <w:rsid w:val="00B16985"/>
    <w:rsid w:val="00B221B8"/>
    <w:rsid w:val="00B227EA"/>
    <w:rsid w:val="00B27206"/>
    <w:rsid w:val="00B32AA7"/>
    <w:rsid w:val="00B3392B"/>
    <w:rsid w:val="00B371D4"/>
    <w:rsid w:val="00B4012D"/>
    <w:rsid w:val="00B40F64"/>
    <w:rsid w:val="00B42A76"/>
    <w:rsid w:val="00B53067"/>
    <w:rsid w:val="00B66B7D"/>
    <w:rsid w:val="00B7378D"/>
    <w:rsid w:val="00B82413"/>
    <w:rsid w:val="00B85352"/>
    <w:rsid w:val="00B87214"/>
    <w:rsid w:val="00B912D0"/>
    <w:rsid w:val="00B92FF5"/>
    <w:rsid w:val="00B959E6"/>
    <w:rsid w:val="00BA0A6A"/>
    <w:rsid w:val="00BA40BB"/>
    <w:rsid w:val="00BA4338"/>
    <w:rsid w:val="00BA604D"/>
    <w:rsid w:val="00BB6813"/>
    <w:rsid w:val="00BC4585"/>
    <w:rsid w:val="00BC50F1"/>
    <w:rsid w:val="00BC73E5"/>
    <w:rsid w:val="00BD7473"/>
    <w:rsid w:val="00BD7703"/>
    <w:rsid w:val="00BE12B4"/>
    <w:rsid w:val="00BE3D2D"/>
    <w:rsid w:val="00BE420D"/>
    <w:rsid w:val="00BE5A26"/>
    <w:rsid w:val="00C11A5E"/>
    <w:rsid w:val="00C21520"/>
    <w:rsid w:val="00C222B2"/>
    <w:rsid w:val="00C225FB"/>
    <w:rsid w:val="00C41870"/>
    <w:rsid w:val="00C46B88"/>
    <w:rsid w:val="00C5218C"/>
    <w:rsid w:val="00C52191"/>
    <w:rsid w:val="00C5642F"/>
    <w:rsid w:val="00C57A3E"/>
    <w:rsid w:val="00C63554"/>
    <w:rsid w:val="00C71497"/>
    <w:rsid w:val="00C72F5B"/>
    <w:rsid w:val="00C73619"/>
    <w:rsid w:val="00C73BCD"/>
    <w:rsid w:val="00C77AEF"/>
    <w:rsid w:val="00C77E37"/>
    <w:rsid w:val="00C86EB7"/>
    <w:rsid w:val="00C87129"/>
    <w:rsid w:val="00C91E1B"/>
    <w:rsid w:val="00CA2BD3"/>
    <w:rsid w:val="00CA4677"/>
    <w:rsid w:val="00CA5FD5"/>
    <w:rsid w:val="00CA7703"/>
    <w:rsid w:val="00CB0F92"/>
    <w:rsid w:val="00CD4E6D"/>
    <w:rsid w:val="00CD5707"/>
    <w:rsid w:val="00CD7702"/>
    <w:rsid w:val="00CD7FC9"/>
    <w:rsid w:val="00CE0716"/>
    <w:rsid w:val="00CE075A"/>
    <w:rsid w:val="00CE29EA"/>
    <w:rsid w:val="00CF47EB"/>
    <w:rsid w:val="00CF6572"/>
    <w:rsid w:val="00CF7885"/>
    <w:rsid w:val="00D02347"/>
    <w:rsid w:val="00D04755"/>
    <w:rsid w:val="00D13737"/>
    <w:rsid w:val="00D15D27"/>
    <w:rsid w:val="00D1638E"/>
    <w:rsid w:val="00D21D10"/>
    <w:rsid w:val="00D21FFF"/>
    <w:rsid w:val="00D272A5"/>
    <w:rsid w:val="00D43AFB"/>
    <w:rsid w:val="00D5071D"/>
    <w:rsid w:val="00D564C7"/>
    <w:rsid w:val="00D57B7C"/>
    <w:rsid w:val="00D62BEE"/>
    <w:rsid w:val="00D65B44"/>
    <w:rsid w:val="00D8099B"/>
    <w:rsid w:val="00D866A8"/>
    <w:rsid w:val="00D87469"/>
    <w:rsid w:val="00D90B03"/>
    <w:rsid w:val="00D92F47"/>
    <w:rsid w:val="00D94B8D"/>
    <w:rsid w:val="00D96C8D"/>
    <w:rsid w:val="00DA2876"/>
    <w:rsid w:val="00DA718D"/>
    <w:rsid w:val="00DB0A8D"/>
    <w:rsid w:val="00DB348F"/>
    <w:rsid w:val="00DC0B51"/>
    <w:rsid w:val="00DD03DC"/>
    <w:rsid w:val="00DD5919"/>
    <w:rsid w:val="00DE27F7"/>
    <w:rsid w:val="00DE38CC"/>
    <w:rsid w:val="00E06069"/>
    <w:rsid w:val="00E115C0"/>
    <w:rsid w:val="00E44E18"/>
    <w:rsid w:val="00E54301"/>
    <w:rsid w:val="00E5483F"/>
    <w:rsid w:val="00E55ABD"/>
    <w:rsid w:val="00E60817"/>
    <w:rsid w:val="00E6412C"/>
    <w:rsid w:val="00E645C0"/>
    <w:rsid w:val="00E8246B"/>
    <w:rsid w:val="00E90C35"/>
    <w:rsid w:val="00EA70F1"/>
    <w:rsid w:val="00EB2516"/>
    <w:rsid w:val="00EB2C07"/>
    <w:rsid w:val="00EB374A"/>
    <w:rsid w:val="00EB3CE7"/>
    <w:rsid w:val="00EB572F"/>
    <w:rsid w:val="00EC1B4D"/>
    <w:rsid w:val="00ED040B"/>
    <w:rsid w:val="00ED62BE"/>
    <w:rsid w:val="00EF17AB"/>
    <w:rsid w:val="00EF56B5"/>
    <w:rsid w:val="00EF6FA5"/>
    <w:rsid w:val="00F078B5"/>
    <w:rsid w:val="00F11104"/>
    <w:rsid w:val="00F126C4"/>
    <w:rsid w:val="00F13122"/>
    <w:rsid w:val="00F16E3F"/>
    <w:rsid w:val="00F171C5"/>
    <w:rsid w:val="00F22499"/>
    <w:rsid w:val="00F22B0F"/>
    <w:rsid w:val="00F234A0"/>
    <w:rsid w:val="00F24B42"/>
    <w:rsid w:val="00F24F73"/>
    <w:rsid w:val="00F27299"/>
    <w:rsid w:val="00F31F6E"/>
    <w:rsid w:val="00F3389C"/>
    <w:rsid w:val="00F375F2"/>
    <w:rsid w:val="00F40868"/>
    <w:rsid w:val="00F54EAE"/>
    <w:rsid w:val="00F66A51"/>
    <w:rsid w:val="00F71057"/>
    <w:rsid w:val="00F71A4B"/>
    <w:rsid w:val="00F728CF"/>
    <w:rsid w:val="00F743D4"/>
    <w:rsid w:val="00F83B17"/>
    <w:rsid w:val="00F87EDA"/>
    <w:rsid w:val="00F932F8"/>
    <w:rsid w:val="00F970EE"/>
    <w:rsid w:val="00FB0BC9"/>
    <w:rsid w:val="00FB0F9B"/>
    <w:rsid w:val="00FB41D3"/>
    <w:rsid w:val="00FB4F70"/>
    <w:rsid w:val="00FB5EFC"/>
    <w:rsid w:val="00FB77BB"/>
    <w:rsid w:val="00FC15AA"/>
    <w:rsid w:val="00FD1375"/>
    <w:rsid w:val="00FD359E"/>
    <w:rsid w:val="00FD5F37"/>
    <w:rsid w:val="00FE0A17"/>
    <w:rsid w:val="00FE179F"/>
    <w:rsid w:val="00FF213A"/>
    <w:rsid w:val="00FF3C2E"/>
    <w:rsid w:val="00FF6E8F"/>
  </w:rsids>
  <m:mathPr>
    <m:mathFont m:val="Cambria Math"/>
    <m:brkBin m:val="before"/>
    <m:brkBinSub m:val="--"/>
    <m:smallFrac/>
    <m:dispDef/>
    <m:lMargin m:val="0"/>
    <m:rMargin m:val="0"/>
    <m:defJc m:val="centerGroup"/>
    <m:wrapIndent m:val="1440"/>
    <m:intLim m:val="subSup"/>
    <m:naryLim m:val="undOvr"/>
  </m:mathPr>
  <w:themeFontLang w:eastAsia="zh-CN" w:val="en-US"/>
  <w:clrSchemeMapping w:accent1="accent1" w:accent2="accent2" w:accent3="accent3" w:accent4="accent4" w:accent5="accent5" w:accent6="accent6" w:bg1="light1" w:bg2="light2" w:followedHyperlink="followedHyperlink" w:hyperlink="hyperlink" w:t1="dark1" w:t2="dark2"/>
  <w:doNotIncludeSubdocsInStats/>
  <w:doNotAutoCompressPictures/>
  <w:smartTagType w:name="chsdate" w:namespaceuri="urn:schemas-microsoft-com:office:smarttags"/>
  <w:shapeDefaults>
    <o:shapedefaults spidmax="2049" v:ext="edit"/>
    <o:shapelayout v:ext="edit">
      <o:idmap data="1"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cs="Times New Roman" w:eastAsia="宋体" w:hAnsi="Calibri"/>
        <w:lang w:bidi="ar-SA" w:eastAsia="zh-CN"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nhideWhenUsed="0"/>
    <w:lsdException w:locked="1" w:name="heading 2" w:qFormat="1" w:semiHidden="0" w:uiPriority="0" w:unhideWhenUsed="0"/>
    <w:lsdException w:locked="1" w:name="heading 3" w:qFormat="1" w:semiHidden="0" w:uiPriority="0" w:unhideWhenUsed="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footnote text" w:semiHidden="0" w:uiPriority="0" w:unhideWhenUsed="0"/>
    <w:lsdException w:locked="1" w:name="caption" w:qFormat="1" w:uiPriority="0"/>
    <w:lsdException w:locked="1" w:name="footnote reference" w:semiHidden="0" w:uiPriority="0" w:unhideWhenUsed="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Date" w:semiHidden="0" w:uiPriority="0" w:unhideWhenUsed="0"/>
    <w:lsdException w:locked="1" w:name="Strong" w:qFormat="1" w:semiHidden="0" w:uiPriority="22" w:unhideWhenUsed="0"/>
    <w:lsdException w:locked="1" w:name="Emphasis" w:qFormat="1" w:semiHidden="0" w:uiPriority="0" w:unhideWhenUsed="0"/>
    <w:lsdException w:locked="1" w:name="Table Grid" w:qFormat="1"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a" w:type="paragraph">
    <w:name w:val="Normal"/>
    <w:qFormat/>
    <w:rsid w:val="004061AC"/>
    <w:pPr>
      <w:widowControl w:val="0"/>
      <w:jc w:val="both"/>
    </w:pPr>
    <w:rPr>
      <w:rFonts w:ascii="Times New Roman" w:hAnsi="Times New Roman"/>
      <w:kern w:val="2"/>
      <w:sz w:val="21"/>
      <w:szCs w:val="21"/>
    </w:rPr>
  </w:style>
  <w:style w:styleId="1" w:type="paragraph">
    <w:name w:val="heading 1"/>
    <w:basedOn w:val="a"/>
    <w:next w:val="a"/>
    <w:link w:val="1Char"/>
    <w:uiPriority w:val="99"/>
    <w:qFormat/>
    <w:rsid w:val="004061AC"/>
    <w:pPr>
      <w:keepNext/>
      <w:keepLines/>
      <w:spacing w:after="330" w:before="340" w:line="578" w:lineRule="auto"/>
      <w:outlineLvl w:val="0"/>
    </w:pPr>
    <w:rPr>
      <w:b/>
      <w:bCs/>
      <w:kern w:val="44"/>
      <w:sz w:val="44"/>
      <w:szCs w:val="44"/>
    </w:rPr>
  </w:style>
  <w:style w:styleId="2" w:type="paragraph">
    <w:name w:val="heading 2"/>
    <w:basedOn w:val="a"/>
    <w:next w:val="a0"/>
    <w:link w:val="2Char"/>
    <w:uiPriority w:val="99"/>
    <w:qFormat/>
    <w:rsid w:val="004061AC"/>
    <w:pPr>
      <w:keepNext/>
      <w:keepLines/>
      <w:spacing w:after="260" w:before="260" w:line="360" w:lineRule="auto"/>
      <w:outlineLvl w:val="1"/>
    </w:pPr>
    <w:rPr>
      <w:rFonts w:ascii="Arial" w:hAnsi="Arial"/>
      <w:b/>
      <w:bCs/>
      <w:kern w:val="0"/>
      <w:sz w:val="24"/>
      <w:szCs w:val="24"/>
    </w:rPr>
  </w:style>
  <w:style w:styleId="3" w:type="paragraph">
    <w:name w:val="heading 3"/>
    <w:basedOn w:val="a"/>
    <w:next w:val="a"/>
    <w:link w:val="3Char"/>
    <w:uiPriority w:val="99"/>
    <w:qFormat/>
    <w:rsid w:val="004061AC"/>
    <w:pPr>
      <w:keepNext/>
      <w:keepLines/>
      <w:spacing w:after="260" w:before="260" w:line="416" w:lineRule="auto"/>
      <w:outlineLvl w:val="2"/>
    </w:pPr>
    <w:rPr>
      <w:b/>
      <w:bCs/>
      <w:kern w:val="0"/>
      <w:sz w:val="32"/>
      <w:szCs w:val="32"/>
    </w:rPr>
  </w:style>
  <w:style w:default="1" w:styleId="a1" w:type="character">
    <w:name w:val="Default Paragraph Font"/>
    <w:uiPriority w:val="1"/>
    <w:semiHidden/>
    <w:unhideWhenUsed/>
  </w:style>
  <w:style w:default="1" w:styleId="a2" w:type="table">
    <w:name w:val="Normal Table"/>
    <w:uiPriority w:val="99"/>
    <w:semiHidden/>
    <w:unhideWhenUsed/>
    <w:tblPr>
      <w:tblInd w:type="dxa" w:w="0"/>
      <w:tblCellMar>
        <w:top w:type="dxa" w:w="0"/>
        <w:left w:type="dxa" w:w="108"/>
        <w:bottom w:type="dxa" w:w="0"/>
        <w:right w:type="dxa" w:w="108"/>
      </w:tblCellMar>
    </w:tblPr>
  </w:style>
  <w:style w:default="1" w:styleId="a3" w:type="numbering">
    <w:name w:val="No List"/>
    <w:uiPriority w:val="99"/>
    <w:semiHidden/>
    <w:unhideWhenUsed/>
  </w:style>
  <w:style w:customStyle="1" w:styleId="1Char" w:type="character">
    <w:name w:val="标题 1 Char"/>
    <w:link w:val="1"/>
    <w:uiPriority w:val="99"/>
    <w:locked/>
    <w:rsid w:val="004061AC"/>
    <w:rPr>
      <w:rFonts w:ascii="Times New Roman" w:cs="Times New Roman" w:eastAsia="宋体" w:hAnsi="Times New Roman"/>
      <w:b/>
      <w:bCs/>
      <w:kern w:val="44"/>
      <w:sz w:val="44"/>
      <w:szCs w:val="44"/>
    </w:rPr>
  </w:style>
  <w:style w:customStyle="1" w:styleId="2Char" w:type="character">
    <w:name w:val="标题 2 Char"/>
    <w:link w:val="2"/>
    <w:uiPriority w:val="99"/>
    <w:locked/>
    <w:rsid w:val="004061AC"/>
    <w:rPr>
      <w:rFonts w:ascii="Arial" w:cs="Arial" w:eastAsia="宋体" w:hAnsi="Arial"/>
      <w:b/>
      <w:bCs/>
      <w:sz w:val="24"/>
      <w:szCs w:val="24"/>
    </w:rPr>
  </w:style>
  <w:style w:customStyle="1" w:styleId="3Char" w:type="character">
    <w:name w:val="标题 3 Char"/>
    <w:link w:val="3"/>
    <w:uiPriority w:val="99"/>
    <w:locked/>
    <w:rsid w:val="004061AC"/>
    <w:rPr>
      <w:rFonts w:ascii="Times New Roman" w:cs="Times New Roman" w:eastAsia="宋体" w:hAnsi="Times New Roman"/>
      <w:b/>
      <w:bCs/>
      <w:sz w:val="32"/>
      <w:szCs w:val="32"/>
    </w:rPr>
  </w:style>
  <w:style w:styleId="a0" w:type="paragraph">
    <w:name w:val="Normal Indent"/>
    <w:basedOn w:val="a"/>
    <w:uiPriority w:val="99"/>
    <w:rsid w:val="004061AC"/>
    <w:pPr>
      <w:ind w:firstLine="420" w:firstLineChars="200"/>
    </w:pPr>
  </w:style>
  <w:style w:styleId="a4" w:type="paragraph">
    <w:name w:val="Body Text Indent"/>
    <w:basedOn w:val="a"/>
    <w:link w:val="Char"/>
    <w:uiPriority w:val="99"/>
    <w:rsid w:val="004061AC"/>
    <w:pPr>
      <w:widowControl/>
      <w:spacing w:after="100" w:afterAutospacing="1" w:before="100" w:beforeAutospacing="1"/>
      <w:jc w:val="left"/>
    </w:pPr>
    <w:rPr>
      <w:rFonts w:ascii="Arial Unicode MS" w:eastAsia="Arial Unicode MS" w:hAnsi="Arial Unicode MS"/>
      <w:kern w:val="0"/>
      <w:sz w:val="24"/>
      <w:szCs w:val="24"/>
    </w:rPr>
  </w:style>
  <w:style w:customStyle="1" w:styleId="Char" w:type="character">
    <w:name w:val="正文文本缩进 Char"/>
    <w:link w:val="a4"/>
    <w:uiPriority w:val="99"/>
    <w:locked/>
    <w:rsid w:val="004061AC"/>
    <w:rPr>
      <w:rFonts w:ascii="Arial Unicode MS" w:cs="Arial Unicode MS" w:eastAsia="Arial Unicode MS" w:hAnsi="Arial Unicode MS"/>
      <w:kern w:val="0"/>
      <w:sz w:val="24"/>
      <w:szCs w:val="24"/>
    </w:rPr>
  </w:style>
  <w:style w:styleId="a5" w:type="paragraph">
    <w:name w:val="Plain Text"/>
    <w:basedOn w:val="a"/>
    <w:link w:val="Char0"/>
    <w:uiPriority w:val="99"/>
    <w:rsid w:val="004061AC"/>
    <w:rPr>
      <w:rFonts w:ascii="宋体" w:hAnsi="Courier New"/>
      <w:kern w:val="0"/>
    </w:rPr>
  </w:style>
  <w:style w:customStyle="1" w:styleId="Char0" w:type="character">
    <w:name w:val="纯文本 Char"/>
    <w:link w:val="a5"/>
    <w:uiPriority w:val="99"/>
    <w:locked/>
    <w:rsid w:val="004061AC"/>
    <w:rPr>
      <w:rFonts w:ascii="宋体" w:cs="宋体" w:eastAsia="宋体" w:hAnsi="Courier New"/>
      <w:sz w:val="21"/>
      <w:szCs w:val="21"/>
    </w:rPr>
  </w:style>
  <w:style w:styleId="20" w:type="paragraph">
    <w:name w:val="Body Text Indent 2"/>
    <w:basedOn w:val="a"/>
    <w:link w:val="2Char0"/>
    <w:uiPriority w:val="99"/>
    <w:rsid w:val="004061AC"/>
    <w:pPr>
      <w:spacing w:line="560" w:lineRule="exact"/>
      <w:ind w:firstLine="480" w:firstLineChars="200"/>
    </w:pPr>
    <w:rPr>
      <w:rFonts w:ascii="宋体" w:hAnsi="宋体"/>
      <w:color w:val="FF0000"/>
      <w:kern w:val="0"/>
      <w:sz w:val="24"/>
      <w:szCs w:val="24"/>
    </w:rPr>
  </w:style>
  <w:style w:customStyle="1" w:styleId="2Char0" w:type="character">
    <w:name w:val="正文文本缩进 2 Char"/>
    <w:link w:val="20"/>
    <w:uiPriority w:val="99"/>
    <w:locked/>
    <w:rsid w:val="004061AC"/>
    <w:rPr>
      <w:rFonts w:ascii="宋体" w:cs="宋体" w:eastAsia="宋体" w:hAnsi="宋体"/>
      <w:color w:val="FF0000"/>
      <w:sz w:val="24"/>
      <w:szCs w:val="24"/>
    </w:rPr>
  </w:style>
  <w:style w:styleId="a6" w:type="paragraph">
    <w:name w:val="footer"/>
    <w:basedOn w:val="a"/>
    <w:link w:val="Char1"/>
    <w:uiPriority w:val="99"/>
    <w:rsid w:val="004061AC"/>
    <w:pPr>
      <w:tabs>
        <w:tab w:pos="4153" w:val="center"/>
        <w:tab w:pos="8306" w:val="right"/>
      </w:tabs>
      <w:snapToGrid w:val="0"/>
      <w:jc w:val="left"/>
    </w:pPr>
    <w:rPr>
      <w:kern w:val="0"/>
      <w:sz w:val="18"/>
      <w:szCs w:val="18"/>
    </w:rPr>
  </w:style>
  <w:style w:customStyle="1" w:styleId="Char1" w:type="character">
    <w:name w:val="页脚 Char"/>
    <w:link w:val="a6"/>
    <w:uiPriority w:val="99"/>
    <w:locked/>
    <w:rsid w:val="004061AC"/>
    <w:rPr>
      <w:rFonts w:ascii="Times New Roman" w:cs="Times New Roman" w:eastAsia="宋体" w:hAnsi="Times New Roman"/>
      <w:sz w:val="18"/>
      <w:szCs w:val="18"/>
    </w:rPr>
  </w:style>
  <w:style w:styleId="a7" w:type="character">
    <w:name w:val="page number"/>
    <w:uiPriority w:val="99"/>
    <w:rsid w:val="004061AC"/>
    <w:rPr>
      <w:rFonts w:cs="Times New Roman"/>
    </w:rPr>
  </w:style>
  <w:style w:styleId="a8" w:type="character">
    <w:name w:val="Hyperlink"/>
    <w:uiPriority w:val="99"/>
    <w:rsid w:val="004061AC"/>
    <w:rPr>
      <w:rFonts w:cs="Times New Roman"/>
      <w:color w:val="0000FF"/>
      <w:u w:val="single"/>
    </w:rPr>
  </w:style>
  <w:style w:styleId="30" w:type="paragraph">
    <w:name w:val="Body Text Indent 3"/>
    <w:basedOn w:val="a"/>
    <w:link w:val="3Char0"/>
    <w:uiPriority w:val="99"/>
    <w:rsid w:val="004061AC"/>
    <w:pPr>
      <w:spacing w:line="560" w:lineRule="exact"/>
      <w:ind w:firstLine="420" w:firstLineChars="200"/>
    </w:pPr>
    <w:rPr>
      <w:rFonts w:ascii="Arial" w:hAnsi="Arial"/>
      <w:color w:val="FF0000"/>
      <w:kern w:val="0"/>
    </w:rPr>
  </w:style>
  <w:style w:customStyle="1" w:styleId="3Char0" w:type="character">
    <w:name w:val="正文文本缩进 3 Char"/>
    <w:link w:val="30"/>
    <w:uiPriority w:val="99"/>
    <w:locked/>
    <w:rsid w:val="004061AC"/>
    <w:rPr>
      <w:rFonts w:ascii="Arial" w:cs="Arial" w:eastAsia="宋体" w:hAnsi="Arial"/>
      <w:color w:val="FF0000"/>
      <w:sz w:val="21"/>
      <w:szCs w:val="21"/>
    </w:rPr>
  </w:style>
  <w:style w:styleId="a9" w:type="paragraph">
    <w:name w:val="header"/>
    <w:basedOn w:val="a"/>
    <w:link w:val="Char2"/>
    <w:uiPriority w:val="99"/>
    <w:rsid w:val="004061AC"/>
    <w:pPr>
      <w:pBdr>
        <w:bottom w:color="auto" w:space="1" w:sz="6" w:val="single"/>
      </w:pBdr>
      <w:tabs>
        <w:tab w:pos="4153" w:val="center"/>
        <w:tab w:pos="8306" w:val="right"/>
      </w:tabs>
      <w:snapToGrid w:val="0"/>
      <w:jc w:val="center"/>
    </w:pPr>
    <w:rPr>
      <w:kern w:val="0"/>
      <w:sz w:val="18"/>
      <w:szCs w:val="18"/>
    </w:rPr>
  </w:style>
  <w:style w:customStyle="1" w:styleId="Char2" w:type="character">
    <w:name w:val="页眉 Char"/>
    <w:link w:val="a9"/>
    <w:uiPriority w:val="99"/>
    <w:locked/>
    <w:rsid w:val="004061AC"/>
    <w:rPr>
      <w:rFonts w:ascii="Times New Roman" w:cs="Times New Roman" w:eastAsia="宋体" w:hAnsi="Times New Roman"/>
      <w:sz w:val="18"/>
      <w:szCs w:val="18"/>
    </w:rPr>
  </w:style>
  <w:style w:styleId="aa" w:type="character">
    <w:name w:val="FollowedHyperlink"/>
    <w:uiPriority w:val="99"/>
    <w:rsid w:val="004061AC"/>
    <w:rPr>
      <w:rFonts w:cs="Times New Roman"/>
      <w:color w:val="800080"/>
      <w:u w:val="single"/>
    </w:rPr>
  </w:style>
  <w:style w:styleId="ab" w:type="paragraph">
    <w:name w:val="List"/>
    <w:basedOn w:val="ac"/>
    <w:uiPriority w:val="99"/>
    <w:rsid w:val="004061AC"/>
    <w:pPr>
      <w:spacing w:after="220" w:line="220" w:lineRule="atLeast"/>
      <w:ind w:hanging="360" w:left="1440"/>
    </w:pPr>
  </w:style>
  <w:style w:styleId="ac" w:type="paragraph">
    <w:name w:val="Body Text"/>
    <w:basedOn w:val="a"/>
    <w:link w:val="Char3"/>
    <w:uiPriority w:val="99"/>
    <w:rsid w:val="004061AC"/>
    <w:pPr>
      <w:spacing w:after="120"/>
    </w:pPr>
    <w:rPr>
      <w:kern w:val="0"/>
    </w:rPr>
  </w:style>
  <w:style w:customStyle="1" w:styleId="Char3" w:type="character">
    <w:name w:val="正文文本 Char"/>
    <w:link w:val="ac"/>
    <w:uiPriority w:val="99"/>
    <w:locked/>
    <w:rsid w:val="004061AC"/>
    <w:rPr>
      <w:rFonts w:ascii="Times New Roman" w:cs="Times New Roman" w:eastAsia="宋体" w:hAnsi="Times New Roman"/>
      <w:sz w:val="21"/>
      <w:szCs w:val="21"/>
    </w:rPr>
  </w:style>
  <w:style w:styleId="ad" w:type="paragraph">
    <w:name w:val="Date"/>
    <w:basedOn w:val="a"/>
    <w:next w:val="a"/>
    <w:link w:val="Char4"/>
    <w:uiPriority w:val="99"/>
    <w:rsid w:val="004061AC"/>
    <w:rPr>
      <w:kern w:val="0"/>
      <w:sz w:val="24"/>
      <w:szCs w:val="24"/>
    </w:rPr>
  </w:style>
  <w:style w:customStyle="1" w:styleId="Char4" w:type="character">
    <w:name w:val="日期 Char"/>
    <w:link w:val="ad"/>
    <w:uiPriority w:val="99"/>
    <w:locked/>
    <w:rsid w:val="004061AC"/>
    <w:rPr>
      <w:rFonts w:ascii="Times New Roman" w:cs="Times New Roman" w:eastAsia="宋体" w:hAnsi="Times New Roman"/>
      <w:sz w:val="24"/>
      <w:szCs w:val="24"/>
    </w:rPr>
  </w:style>
  <w:style w:customStyle="1" w:styleId="c1" w:type="character">
    <w:name w:val="c1"/>
    <w:uiPriority w:val="99"/>
    <w:rsid w:val="004061AC"/>
    <w:rPr>
      <w:rFonts w:cs="Times New Roman"/>
      <w:color w:val="000000"/>
      <w:sz w:val="18"/>
      <w:szCs w:val="18"/>
    </w:rPr>
  </w:style>
  <w:style w:styleId="10" w:type="paragraph">
    <w:name w:val="index 1"/>
    <w:basedOn w:val="a"/>
    <w:next w:val="a"/>
    <w:autoRedefine/>
    <w:uiPriority w:val="99"/>
    <w:semiHidden/>
    <w:rsid w:val="004061AC"/>
    <w:pPr>
      <w:jc w:val="right"/>
    </w:pPr>
    <w:rPr>
      <w:color w:val="008000"/>
    </w:rPr>
  </w:style>
  <w:style w:customStyle="1" w:styleId="font5" w:type="paragraph">
    <w:name w:val="font5"/>
    <w:basedOn w:val="a"/>
    <w:uiPriority w:val="99"/>
    <w:rsid w:val="004061AC"/>
    <w:pPr>
      <w:widowControl/>
      <w:spacing w:after="100" w:afterAutospacing="1" w:before="100" w:beforeAutospacing="1"/>
      <w:jc w:val="left"/>
    </w:pPr>
    <w:rPr>
      <w:rFonts w:ascii="宋体" w:cs="宋体" w:hAnsi="宋体"/>
      <w:kern w:val="0"/>
      <w:sz w:val="18"/>
      <w:szCs w:val="18"/>
    </w:rPr>
  </w:style>
  <w:style w:customStyle="1" w:styleId="xl24" w:type="paragraph">
    <w:name w:val="xl24"/>
    <w:basedOn w:val="a"/>
    <w:uiPriority w:val="99"/>
    <w:rsid w:val="004061AC"/>
    <w:pPr>
      <w:widowControl/>
      <w:pBdr>
        <w:top w:color="000000" w:space="0" w:sz="6" w:val="doub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0000FF"/>
      <w:kern w:val="0"/>
      <w:sz w:val="29"/>
      <w:szCs w:val="29"/>
    </w:rPr>
  </w:style>
  <w:style w:customStyle="1" w:styleId="xl25" w:type="paragraph">
    <w:name w:val="xl2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left"/>
    </w:pPr>
    <w:rPr>
      <w:rFonts w:ascii="Arial Unicode MS" w:cs="Arial Unicode MS" w:eastAsia="Arial Unicode MS" w:hAnsi="Arial Unicode MS"/>
      <w:b/>
      <w:bCs/>
      <w:color w:val="000000"/>
      <w:kern w:val="0"/>
      <w:sz w:val="24"/>
      <w:szCs w:val="24"/>
    </w:rPr>
  </w:style>
  <w:style w:customStyle="1" w:styleId="xl26" w:type="paragraph">
    <w:name w:val="xl2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7" w:type="paragraph">
    <w:name w:val="xl2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12"/>
      <w:szCs w:val="12"/>
    </w:rPr>
  </w:style>
  <w:style w:customStyle="1" w:styleId="xl28" w:type="paragraph">
    <w:name w:val="xl2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29" w:type="paragraph">
    <w:name w:val="xl29"/>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0" w:type="paragraph">
    <w:name w:val="xl30"/>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000000"/>
      <w:kern w:val="0"/>
      <w:sz w:val="24"/>
      <w:szCs w:val="24"/>
    </w:rPr>
  </w:style>
  <w:style w:customStyle="1" w:styleId="xl31" w:type="paragraph">
    <w:name w:val="xl31"/>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2" w:type="paragraph">
    <w:name w:val="xl32"/>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3" w:type="paragraph">
    <w:name w:val="xl33"/>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color w:val="000000"/>
      <w:kern w:val="0"/>
      <w:sz w:val="22"/>
      <w:szCs w:val="22"/>
    </w:rPr>
  </w:style>
  <w:style w:customStyle="1" w:styleId="xl34" w:type="paragraph">
    <w:name w:val="xl34"/>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color w:val="000000"/>
      <w:kern w:val="0"/>
      <w:sz w:val="22"/>
      <w:szCs w:val="22"/>
    </w:rPr>
  </w:style>
  <w:style w:customStyle="1" w:styleId="xl35" w:type="paragraph">
    <w:name w:val="xl35"/>
    <w:basedOn w:val="a"/>
    <w:uiPriority w:val="99"/>
    <w:rsid w:val="004061AC"/>
    <w:pPr>
      <w:widowControl/>
      <w:pBdr>
        <w:top w:color="000000" w:space="0" w:sz="4" w:val="single"/>
        <w:left w:color="000000" w:space="0" w:sz="6" w:val="doub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000000"/>
      <w:kern w:val="0"/>
      <w:sz w:val="23"/>
      <w:szCs w:val="23"/>
    </w:rPr>
  </w:style>
  <w:style w:customStyle="1" w:styleId="xl36" w:type="paragraph">
    <w:name w:val="xl36"/>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customStyle="1" w:styleId="xl37" w:type="paragraph">
    <w:name w:val="xl37"/>
    <w:basedOn w:val="a"/>
    <w:uiPriority w:val="99"/>
    <w:rsid w:val="004061AC"/>
    <w:pPr>
      <w:widowControl/>
      <w:pBdr>
        <w:top w:color="000000" w:space="0" w:sz="4" w:val="single"/>
        <w:left w:color="000000" w:space="0" w:sz="4" w:val="single"/>
        <w:bottom w:color="000000" w:space="0" w:sz="4" w:val="single"/>
        <w:right w:color="000000" w:space="0" w:sz="4" w:val="single"/>
      </w:pBdr>
      <w:spacing w:after="100" w:afterAutospacing="1" w:before="100" w:beforeAutospacing="1"/>
      <w:jc w:val="right"/>
    </w:pPr>
    <w:rPr>
      <w:rFonts w:ascii="Arial Unicode MS" w:cs="Arial Unicode MS" w:eastAsia="Arial Unicode MS" w:hAnsi="Arial Unicode MS"/>
      <w:b/>
      <w:bCs/>
      <w:color w:val="FF0000"/>
      <w:kern w:val="0"/>
      <w:sz w:val="23"/>
      <w:szCs w:val="23"/>
    </w:rPr>
  </w:style>
  <w:style w:customStyle="1" w:styleId="xl38" w:type="paragraph">
    <w:name w:val="xl38"/>
    <w:basedOn w:val="a"/>
    <w:uiPriority w:val="99"/>
    <w:rsid w:val="004061AC"/>
    <w:pPr>
      <w:widowControl/>
      <w:pBdr>
        <w:top w:color="000000" w:space="0" w:sz="4" w:val="single"/>
        <w:left w:color="000000" w:space="0" w:sz="4" w:val="single"/>
        <w:bottom w:color="000000" w:space="0" w:sz="4" w:val="single"/>
        <w:right w:color="000000" w:space="0" w:sz="6" w:val="double"/>
      </w:pBdr>
      <w:spacing w:after="100" w:afterAutospacing="1" w:before="100" w:beforeAutospacing="1"/>
      <w:jc w:val="center"/>
    </w:pPr>
    <w:rPr>
      <w:rFonts w:ascii="Arial Unicode MS" w:cs="Arial Unicode MS" w:eastAsia="Arial Unicode MS" w:hAnsi="Arial Unicode MS"/>
      <w:b/>
      <w:bCs/>
      <w:color w:val="FF0000"/>
      <w:kern w:val="0"/>
      <w:sz w:val="23"/>
      <w:szCs w:val="23"/>
    </w:rPr>
  </w:style>
  <w:style w:styleId="ae" w:type="paragraph">
    <w:name w:val="Balloon Text"/>
    <w:basedOn w:val="a"/>
    <w:link w:val="Char5"/>
    <w:uiPriority w:val="99"/>
    <w:semiHidden/>
    <w:rsid w:val="004061AC"/>
    <w:rPr>
      <w:kern w:val="0"/>
      <w:sz w:val="18"/>
      <w:szCs w:val="18"/>
    </w:rPr>
  </w:style>
  <w:style w:customStyle="1" w:styleId="Char5" w:type="character">
    <w:name w:val="批注框文本 Char"/>
    <w:link w:val="ae"/>
    <w:uiPriority w:val="99"/>
    <w:semiHidden/>
    <w:locked/>
    <w:rsid w:val="004061AC"/>
    <w:rPr>
      <w:rFonts w:ascii="Times New Roman" w:cs="Times New Roman" w:eastAsia="宋体" w:hAnsi="Times New Roman"/>
      <w:sz w:val="18"/>
      <w:szCs w:val="18"/>
    </w:rPr>
  </w:style>
  <w:style w:styleId="af" w:type="character">
    <w:name w:val="annotation reference"/>
    <w:uiPriority w:val="99"/>
    <w:semiHidden/>
    <w:rsid w:val="004061AC"/>
    <w:rPr>
      <w:rFonts w:cs="Times New Roman"/>
      <w:sz w:val="21"/>
      <w:szCs w:val="21"/>
    </w:rPr>
  </w:style>
  <w:style w:styleId="af0" w:type="paragraph">
    <w:name w:val="annotation text"/>
    <w:basedOn w:val="a"/>
    <w:link w:val="Char6"/>
    <w:uiPriority w:val="99"/>
    <w:semiHidden/>
    <w:rsid w:val="004061AC"/>
    <w:pPr>
      <w:jc w:val="left"/>
    </w:pPr>
    <w:rPr>
      <w:kern w:val="0"/>
    </w:rPr>
  </w:style>
  <w:style w:customStyle="1" w:styleId="Char6" w:type="character">
    <w:name w:val="批注文字 Char"/>
    <w:link w:val="af0"/>
    <w:uiPriority w:val="99"/>
    <w:semiHidden/>
    <w:locked/>
    <w:rsid w:val="004061AC"/>
    <w:rPr>
      <w:rFonts w:ascii="Times New Roman" w:cs="Times New Roman" w:eastAsia="宋体" w:hAnsi="Times New Roman"/>
      <w:sz w:val="21"/>
      <w:szCs w:val="21"/>
    </w:rPr>
  </w:style>
  <w:style w:styleId="af1" w:type="paragraph">
    <w:name w:val="annotation subject"/>
    <w:basedOn w:val="af0"/>
    <w:next w:val="af0"/>
    <w:link w:val="Char7"/>
    <w:uiPriority w:val="99"/>
    <w:semiHidden/>
    <w:rsid w:val="004061AC"/>
    <w:rPr>
      <w:b/>
      <w:bCs/>
    </w:rPr>
  </w:style>
  <w:style w:customStyle="1" w:styleId="Char7" w:type="character">
    <w:name w:val="批注主题 Char"/>
    <w:link w:val="af1"/>
    <w:uiPriority w:val="99"/>
    <w:semiHidden/>
    <w:locked/>
    <w:rsid w:val="004061AC"/>
    <w:rPr>
      <w:rFonts w:ascii="Times New Roman" w:cs="Times New Roman" w:eastAsia="宋体" w:hAnsi="Times New Roman"/>
      <w:b/>
      <w:bCs/>
      <w:sz w:val="21"/>
      <w:szCs w:val="21"/>
    </w:rPr>
  </w:style>
  <w:style w:customStyle="1" w:styleId="Char8" w:type="paragraph">
    <w:name w:val="Char"/>
    <w:basedOn w:val="a"/>
    <w:uiPriority w:val="99"/>
    <w:rsid w:val="004061AC"/>
  </w:style>
  <w:style w:styleId="af2" w:type="paragraph">
    <w:name w:val="Document Map"/>
    <w:basedOn w:val="a"/>
    <w:link w:val="Char9"/>
    <w:uiPriority w:val="99"/>
    <w:semiHidden/>
    <w:rsid w:val="004061AC"/>
    <w:pPr>
      <w:shd w:color="auto" w:fill="000080" w:val="clear"/>
    </w:pPr>
    <w:rPr>
      <w:kern w:val="0"/>
    </w:rPr>
  </w:style>
  <w:style w:customStyle="1" w:styleId="Char9" w:type="character">
    <w:name w:val="文档结构图 Char"/>
    <w:link w:val="af2"/>
    <w:uiPriority w:val="99"/>
    <w:semiHidden/>
    <w:locked/>
    <w:rsid w:val="004061AC"/>
    <w:rPr>
      <w:rFonts w:ascii="Times New Roman" w:cs="Times New Roman" w:eastAsia="宋体" w:hAnsi="Times New Roman"/>
      <w:sz w:val="21"/>
      <w:szCs w:val="21"/>
      <w:shd w:color="auto" w:fill="000080" w:val="clear"/>
    </w:rPr>
  </w:style>
  <w:style w:customStyle="1" w:styleId="af3" w:type="paragraph">
    <w:name w:val="正文 + (符号) 宋体"/>
    <w:aliases w:val="小四,紧缩量  0.2 磅"/>
    <w:basedOn w:val="a"/>
    <w:uiPriority w:val="99"/>
    <w:rsid w:val="004061AC"/>
    <w:pPr>
      <w:autoSpaceDE w:val="0"/>
      <w:autoSpaceDN w:val="0"/>
      <w:adjustRightInd w:val="0"/>
      <w:ind w:firstLine="1229" w:firstLineChars="512" w:right="1409" w:rightChars="671"/>
      <w:jc w:val="distribute"/>
    </w:pPr>
    <w:rPr>
      <w:sz w:val="24"/>
      <w:szCs w:val="24"/>
    </w:rPr>
  </w:style>
  <w:style w:styleId="af4" w:type="paragraph">
    <w:name w:val="footnote text"/>
    <w:basedOn w:val="a"/>
    <w:link w:val="Chara"/>
    <w:uiPriority w:val="99"/>
    <w:rsid w:val="004061AC"/>
    <w:pPr>
      <w:snapToGrid w:val="0"/>
      <w:jc w:val="left"/>
    </w:pPr>
    <w:rPr>
      <w:kern w:val="0"/>
      <w:sz w:val="18"/>
      <w:szCs w:val="18"/>
    </w:rPr>
  </w:style>
  <w:style w:customStyle="1" w:styleId="Chara" w:type="character">
    <w:name w:val="脚注文本 Char"/>
    <w:link w:val="af4"/>
    <w:uiPriority w:val="99"/>
    <w:locked/>
    <w:rsid w:val="004061AC"/>
    <w:rPr>
      <w:rFonts w:ascii="Times New Roman" w:cs="Times New Roman" w:eastAsia="宋体" w:hAnsi="Times New Roman"/>
      <w:sz w:val="18"/>
      <w:szCs w:val="18"/>
    </w:rPr>
  </w:style>
  <w:style w:styleId="af5" w:type="character">
    <w:name w:val="footnote reference"/>
    <w:uiPriority w:val="99"/>
    <w:rsid w:val="004061AC"/>
    <w:rPr>
      <w:rFonts w:cs="Times New Roman"/>
      <w:vertAlign w:val="superscript"/>
    </w:rPr>
  </w:style>
  <w:style w:styleId="af6" w:type="paragraph">
    <w:name w:val="Normal (Web)"/>
    <w:basedOn w:val="a"/>
    <w:uiPriority w:val="99"/>
    <w:rsid w:val="004061AC"/>
    <w:pPr>
      <w:widowControl/>
      <w:spacing w:after="100" w:afterAutospacing="1" w:before="100" w:beforeAutospacing="1"/>
      <w:jc w:val="left"/>
    </w:pPr>
    <w:rPr>
      <w:rFonts w:ascii="宋体" w:cs="宋体" w:hAnsi="宋体"/>
      <w:kern w:val="0"/>
      <w:sz w:val="24"/>
      <w:szCs w:val="24"/>
    </w:rPr>
  </w:style>
  <w:style w:styleId="af7" w:type="table">
    <w:name w:val="Table Grid"/>
    <w:basedOn w:val="a2"/>
    <w:qFormat/>
    <w:rsid w:val="004061AC"/>
    <w:pPr>
      <w:widowControl w:val="0"/>
      <w:jc w:val="both"/>
    </w:pPr>
    <w:rPr>
      <w:rFonts w:ascii="Times New Roman" w:hAnsi="Times New Roman"/>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Char10" w:type="paragraph">
    <w:name w:val="Char1"/>
    <w:basedOn w:val="a"/>
    <w:uiPriority w:val="99"/>
    <w:rsid w:val="004061AC"/>
  </w:style>
  <w:style w:customStyle="1" w:styleId="CharCharCharCharCharChar1CharCharChar" w:type="paragraph">
    <w:name w:val="Char Char Char Char Char Char1 Char Char Char"/>
    <w:basedOn w:val="a"/>
    <w:uiPriority w:val="99"/>
    <w:rsid w:val="004061AC"/>
    <w:pPr>
      <w:autoSpaceDE w:val="0"/>
      <w:autoSpaceDN w:val="0"/>
      <w:adjustRightInd w:val="0"/>
      <w:jc w:val="left"/>
      <w:textAlignment w:val="baseline"/>
    </w:pPr>
    <w:rPr>
      <w:rFonts w:ascii="宋体" w:cs="宋体"/>
      <w:kern w:val="0"/>
      <w:sz w:val="34"/>
      <w:szCs w:val="34"/>
    </w:rPr>
  </w:style>
  <w:style w:customStyle="1" w:styleId="CharCharCharCharCharChar1CharCharChar2" w:type="paragraph">
    <w:name w:val="Char Char Char Char Char Char1 Char Char Char2"/>
    <w:basedOn w:val="a"/>
    <w:uiPriority w:val="99"/>
    <w:rsid w:val="004061AC"/>
    <w:pPr>
      <w:autoSpaceDE w:val="0"/>
      <w:autoSpaceDN w:val="0"/>
      <w:adjustRightInd w:val="0"/>
      <w:jc w:val="left"/>
      <w:textAlignment w:val="baseline"/>
    </w:pPr>
    <w:rPr>
      <w:rFonts w:ascii="宋体" w:cs="宋体"/>
      <w:kern w:val="0"/>
      <w:sz w:val="34"/>
      <w:szCs w:val="34"/>
    </w:rPr>
  </w:style>
  <w:style w:styleId="af8" w:type="paragraph">
    <w:name w:val="Title"/>
    <w:basedOn w:val="a"/>
    <w:next w:val="a"/>
    <w:link w:val="Charb"/>
    <w:uiPriority w:val="99"/>
    <w:qFormat/>
    <w:rsid w:val="004061AC"/>
    <w:pPr>
      <w:spacing w:after="60" w:before="240"/>
      <w:jc w:val="center"/>
      <w:outlineLvl w:val="0"/>
    </w:pPr>
    <w:rPr>
      <w:rFonts w:ascii="Cambria" w:hAnsi="Cambria"/>
      <w:b/>
      <w:bCs/>
      <w:kern w:val="0"/>
      <w:sz w:val="32"/>
      <w:szCs w:val="32"/>
    </w:rPr>
  </w:style>
  <w:style w:customStyle="1" w:styleId="Charb" w:type="character">
    <w:name w:val="标题 Char"/>
    <w:link w:val="af8"/>
    <w:uiPriority w:val="99"/>
    <w:locked/>
    <w:rsid w:val="004061AC"/>
    <w:rPr>
      <w:rFonts w:ascii="Cambria" w:cs="Cambria" w:eastAsia="宋体" w:hAnsi="Cambria"/>
      <w:b/>
      <w:bCs/>
      <w:sz w:val="32"/>
      <w:szCs w:val="32"/>
    </w:rPr>
  </w:style>
  <w:style w:customStyle="1" w:styleId="CharCharCharCharCharChar1CharCharChar1" w:type="paragraph">
    <w:name w:val="Char Char Char Char Char Char1 Char Char Char1"/>
    <w:basedOn w:val="a"/>
    <w:uiPriority w:val="99"/>
    <w:rsid w:val="004061AC"/>
    <w:pPr>
      <w:autoSpaceDE w:val="0"/>
      <w:autoSpaceDN w:val="0"/>
      <w:adjustRightInd w:val="0"/>
      <w:jc w:val="left"/>
      <w:textAlignment w:val="baseline"/>
    </w:pPr>
    <w:rPr>
      <w:rFonts w:ascii="宋体" w:cs="宋体"/>
      <w:kern w:val="0"/>
      <w:sz w:val="34"/>
      <w:szCs w:val="34"/>
    </w:rPr>
  </w:style>
  <w:style w:styleId="af9" w:type="paragraph">
    <w:name w:val="No Spacing"/>
    <w:link w:val="Charc"/>
    <w:uiPriority w:val="99"/>
    <w:qFormat/>
    <w:rsid w:val="004061AC"/>
    <w:rPr>
      <w:rFonts w:cs="Calibri"/>
      <w:sz w:val="22"/>
      <w:szCs w:val="22"/>
    </w:rPr>
  </w:style>
  <w:style w:customStyle="1" w:styleId="Charc" w:type="character">
    <w:name w:val="无间隔 Char"/>
    <w:link w:val="af9"/>
    <w:uiPriority w:val="99"/>
    <w:locked/>
    <w:rsid w:val="004061AC"/>
    <w:rPr>
      <w:rFonts w:cs="Calibri"/>
      <w:sz w:val="22"/>
      <w:szCs w:val="22"/>
      <w:lang w:bidi="ar-SA" w:eastAsia="zh-CN" w:val="en-US"/>
    </w:rPr>
  </w:style>
  <w:style w:customStyle="1" w:styleId="t1" w:type="character">
    <w:name w:val="t1"/>
    <w:uiPriority w:val="99"/>
    <w:rsid w:val="004061AC"/>
    <w:rPr>
      <w:rFonts w:cs="Times New Roman"/>
      <w:color w:val="auto"/>
    </w:rPr>
  </w:style>
  <w:style w:styleId="afa" w:type="paragraph">
    <w:name w:val="List Paragraph"/>
    <w:basedOn w:val="a"/>
    <w:uiPriority w:val="99"/>
    <w:qFormat/>
    <w:rsid w:val="00154BE1"/>
    <w:pPr>
      <w:ind w:firstLine="420" w:firstLineChars="200"/>
    </w:pPr>
  </w:style>
  <w:style w:customStyle="1" w:styleId="Default" w:type="paragraph">
    <w:name w:val="Default"/>
    <w:uiPriority w:val="99"/>
    <w:rsid w:val="00275745"/>
    <w:pPr>
      <w:widowControl w:val="0"/>
      <w:autoSpaceDE w:val="0"/>
      <w:autoSpaceDN w:val="0"/>
      <w:adjustRightInd w:val="0"/>
    </w:pPr>
    <w:rPr>
      <w:rFonts w:ascii="FangSong" w:cs="FangSong" w:hAnsi="FangSong"/>
      <w:color w:val="000000"/>
      <w:sz w:val="24"/>
      <w:szCs w:val="24"/>
    </w:rPr>
  </w:style>
  <w:style w:styleId="afb" w:type="character">
    <w:name w:val="Strong"/>
    <w:uiPriority w:val="22"/>
    <w:qFormat/>
    <w:locked/>
    <w:rsid w:val="00D8746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98932">
      <w:bodyDiv w:val="1"/>
      <w:marLeft w:val="0"/>
      <w:marRight w:val="0"/>
      <w:marTop w:val="0"/>
      <w:marBottom w:val="0"/>
      <w:divBdr>
        <w:top w:val="none" w:sz="0" w:space="0" w:color="auto"/>
        <w:left w:val="none" w:sz="0" w:space="0" w:color="auto"/>
        <w:bottom w:val="none" w:sz="0" w:space="0" w:color="auto"/>
        <w:right w:val="none" w:sz="0" w:space="0" w:color="auto"/>
      </w:divBdr>
    </w:div>
    <w:div w:id="105783393">
      <w:bodyDiv w:val="1"/>
      <w:marLeft w:val="0"/>
      <w:marRight w:val="0"/>
      <w:marTop w:val="0"/>
      <w:marBottom w:val="0"/>
      <w:divBdr>
        <w:top w:val="none" w:sz="0" w:space="0" w:color="auto"/>
        <w:left w:val="none" w:sz="0" w:space="0" w:color="auto"/>
        <w:bottom w:val="none" w:sz="0" w:space="0" w:color="auto"/>
        <w:right w:val="none" w:sz="0" w:space="0" w:color="auto"/>
      </w:divBdr>
    </w:div>
    <w:div w:id="1494878767">
      <w:marLeft w:val="0"/>
      <w:marRight w:val="0"/>
      <w:marTop w:val="0"/>
      <w:marBottom w:val="0"/>
      <w:divBdr>
        <w:top w:val="none" w:sz="0" w:space="0" w:color="auto"/>
        <w:left w:val="none" w:sz="0" w:space="0" w:color="auto"/>
        <w:bottom w:val="none" w:sz="0" w:space="0" w:color="auto"/>
        <w:right w:val="none" w:sz="0" w:space="0" w:color="auto"/>
      </w:divBdr>
    </w:div>
    <w:div w:id="1494878768">
      <w:marLeft w:val="0"/>
      <w:marRight w:val="0"/>
      <w:marTop w:val="0"/>
      <w:marBottom w:val="0"/>
      <w:divBdr>
        <w:top w:val="none" w:sz="0" w:space="0" w:color="auto"/>
        <w:left w:val="none" w:sz="0" w:space="0" w:color="auto"/>
        <w:bottom w:val="none" w:sz="0" w:space="0" w:color="auto"/>
        <w:right w:val="none" w:sz="0" w:space="0" w:color="auto"/>
      </w:divBdr>
    </w:div>
    <w:div w:id="1830948889">
      <w:bodyDiv w:val="1"/>
      <w:marLeft w:val="0"/>
      <w:marRight w:val="0"/>
      <w:marTop w:val="0"/>
      <w:marBottom w:val="0"/>
      <w:divBdr>
        <w:top w:val="none" w:sz="0" w:space="0" w:color="auto"/>
        <w:left w:val="none" w:sz="0" w:space="0" w:color="auto"/>
        <w:bottom w:val="none" w:sz="0" w:space="0" w:color="auto"/>
        <w:right w:val="none" w:sz="0" w:space="0" w:color="auto"/>
      </w:divBdr>
    </w:div>
    <w:div w:id="201792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1.xml" Type="http://schemas.openxmlformats.org/officeDocument/2006/relationships/footer"/>
<Relationship Id="rId11" Target="media/image1.jpeg" Type="http://schemas.openxmlformats.org/officeDocument/2006/relationships/image"/>
<Relationship Id="rId12" Target="footer2.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tylesWithEffects.xml" Type="http://schemas.microsoft.com/office/2007/relationships/stylesWithEffects"/>
<Relationship Id="rId5" Target="settings.xml" Type="http://schemas.openxmlformats.org/officeDocument/2006/relationships/settings"/>
<Relationship Id="rId6" Target="webSettings.xml" Type="http://schemas.openxmlformats.org/officeDocument/2006/relationships/webSettings"/>
<Relationship Id="rId7" Target="footnotes.xml" Type="http://schemas.openxmlformats.org/officeDocument/2006/relationships/footnotes"/>
<Relationship Id="rId8" Target="endnotes.xml" Type="http://schemas.openxmlformats.org/officeDocument/2006/relationships/endnotes"/>
<Relationship Id="rId9" Target="header1.xml" Type="http://schemas.openxmlformats.org/officeDocument/2006/relationships/header"/>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385AF-767C-48D7-B7B5-A5BAB964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1799</TotalTime>
  <Pages>27</Pages>
  <Words>3847</Words>
  <Characters>21932</Characters>
  <Application>Microsoft Office Word</Application>
  <DocSecurity>0</DocSecurity>
  <Lines>182</Lines>
  <Paragraphs>51</Paragraphs>
  <ScaleCrop>false</ScaleCrop>
  <Company/>
  <LinksUpToDate>false</LinksUpToDate>
  <CharactersWithSpaces>25728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2012-10-16T06:07:00Z</dcterms:created>
  <cp:lastModifiedBy>sirong han</cp:lastModifiedBy>
  <dcterms:modified xsi:type="dcterms:W3CDTF">2020-07-09T03:00:00Z</dcterms:modified>
  <cp:revision>343</cp:revision>
</cp:coreProperties>
</file>