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易方达安源中短债债券型证券投资基金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中国建设银行股份有限公司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易方达安源中短债债券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110052</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2019年5月28日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150,877,419.82</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本基金主要投资中短期债券，在严格控制风险和保持较高流动性的基础上，力求获得超越业绩比较基准的投资回报。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主要投资中短期债券，在严格控制风险和保持较高流动性的基础上，力求获得超越业绩比较基准的投资回报。久期策略方面，基金管理人将在深入研究国内外的宏观经济走势、货币政策变化趋势、市场资金供求状况的基础上，预测未来收益率曲线变动趋势，积极调整本基金的组合久期。期限结构配置方面，本基金对债券市场收益率期限结构进行分析，运用统计和数量分析技术，预测收益率期限结构的变化方式，确定期限结构配置策略以及各期限固定收益品种的配置比例，以达到预期投资收益最大化的目的。类属配置方面，本基金对不同类型固定收益品种的信用风险、税赋水平、市场流动性、市场风险等因素进行分析，研究同期限的国债、金融债、短期融资券、中期票据等投资品种的利差和变化趋势，制定债券类属配置策略，以获取不同债券类属之间利差变化所带来的投资收益。个券策略方面，本基金对于信用类固定收益品种的投资，将根据发行人的公司背景、行业特性、盈利能力、偿债能力、流动性等因素，对信用债进行信用风险评估，积极发掘信用利差具有相对投资机会的个券进行投资，并采取分散化投资策略，严格控制组合整体的违约风险水平。</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中债综合财富（1 -3年）指数收益率</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中国建设银行股份有限公司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易方达安源中短债债券A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易方达安源中短债债券C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110053</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110052</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26,842,606.71</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124,034,813.11</w:t>
            </w:r>
            <w:r w:rsidRPr="00C30CFF">
              <w:rPr>
                <w:color w:val="000000"/>
                <w:kern w:val="0"/>
                <w:sz w:val="24"/>
              </w:rPr>
              <w:t>份</w:t>
            </w:r>
          </w:p>
        </w:tc>
      </w:tr>
    </w:tbl>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r w:rsidRPr="00C30CFF">
        <w:rPr>
          <w:color w:val="000000"/>
          <w:sz w:val="24"/>
        </w:rPr>
        <w:t/>
      </w:r>
      <w:proofErr w:type="spellEnd"/>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注：本基金A类基金份额由原易方达双月利理财债券型证券投资基金B类基金份额转型而来，C类基金份额由原易方达双月利理财债券型证券投资基金A类基金份额转型而来。</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易方达安源中短债债券A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易方达安源中短债债券C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360,323.30</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892,529.97</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33,637.75</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-158,581.43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0.0010</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-0.0017</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27,757,110.22</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127,865,399.14</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1.0341</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1.0309</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易方达安源中短债债券A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0.25%</w:t>
            </w:r>
          </w:p>
        </w:tc>
        <w:tc>
          <w:tcPr>
            <w:vAlign w:val="center"/>
          </w:tcPr>
          <w:p>
            <w:pPr>
              <w:jc w:val="center"/>
            </w:pPr>
            <w:r>
              <w:rPr>
                <w:color w:val="000000"/>
                <w:sz w:val="24"/>
              </w:rPr>
              <w:t>0.11%</w:t>
            </w:r>
          </w:p>
        </w:tc>
        <w:tc>
          <w:tcPr>
            <w:vAlign w:val="center"/>
          </w:tcPr>
          <w:p>
            <w:pPr>
              <w:jc w:val="center"/>
            </w:pPr>
            <w:r>
              <w:rPr>
                <w:color w:val="000000"/>
                <w:sz w:val="24"/>
              </w:rPr>
              <w:t>0.16%</w:t>
            </w:r>
          </w:p>
        </w:tc>
        <w:tc>
          <w:tcPr>
            <w:vAlign w:val="center"/>
          </w:tcPr>
          <w:p>
            <w:pPr>
              <w:jc w:val="center"/>
            </w:pPr>
            <w:r>
              <w:rPr>
                <w:color w:val="000000"/>
                <w:sz w:val="24"/>
              </w:rPr>
              <w:t>0.09%</w:t>
            </w:r>
          </w:p>
        </w:tc>
        <w:tc>
          <w:tcPr>
            <w:vAlign w:val="center"/>
          </w:tcPr>
          <w:p>
            <w:pPr>
              <w:jc w:val="center"/>
            </w:pPr>
            <w:r>
              <w:rPr>
                <w:color w:val="000000"/>
                <w:sz w:val="24"/>
              </w:rPr>
              <w:t>0.09%</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1.38%</w:t>
            </w:r>
          </w:p>
        </w:tc>
        <w:tc>
          <w:tcPr>
            <w:vAlign w:val="center"/>
          </w:tcPr>
          <w:p>
            <w:pPr>
              <w:jc w:val="center"/>
            </w:pPr>
            <w:r>
              <w:rPr>
                <w:color w:val="000000"/>
                <w:sz w:val="24"/>
              </w:rPr>
              <w:t>0.08%</w:t>
            </w:r>
          </w:p>
        </w:tc>
        <w:tc>
          <w:tcPr>
            <w:vAlign w:val="center"/>
          </w:tcPr>
          <w:p>
            <w:pPr>
              <w:jc w:val="center"/>
            </w:pPr>
            <w:r>
              <w:rPr>
                <w:color w:val="000000"/>
                <w:sz w:val="24"/>
              </w:rPr>
              <w:t>1.94%</w:t>
            </w:r>
          </w:p>
        </w:tc>
        <w:tc>
          <w:tcPr>
            <w:vAlign w:val="center"/>
          </w:tcPr>
          <w:p>
            <w:pPr>
              <w:jc w:val="center"/>
            </w:pPr>
            <w:r>
              <w:rPr>
                <w:color w:val="000000"/>
                <w:sz w:val="24"/>
              </w:rPr>
              <w:t>0.07%</w:t>
            </w:r>
          </w:p>
        </w:tc>
        <w:tc>
          <w:tcPr>
            <w:vAlign w:val="center"/>
          </w:tcPr>
          <w:p>
            <w:pPr>
              <w:jc w:val="center"/>
            </w:pPr>
            <w:r>
              <w:rPr>
                <w:color w:val="000000"/>
                <w:sz w:val="24"/>
              </w:rPr>
              <w:t>-0.56%</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3.10%</w:t>
            </w:r>
          </w:p>
        </w:tc>
        <w:tc>
          <w:tcPr>
            <w:vAlign w:val="center"/>
          </w:tcPr>
          <w:p>
            <w:pPr>
              <w:jc w:val="center"/>
            </w:pPr>
            <w:r>
              <w:rPr>
                <w:color w:val="000000"/>
                <w:sz w:val="24"/>
              </w:rPr>
              <w:t>0.06%</w:t>
            </w:r>
          </w:p>
        </w:tc>
        <w:tc>
          <w:tcPr>
            <w:vAlign w:val="center"/>
          </w:tcPr>
          <w:p>
            <w:pPr>
              <w:jc w:val="center"/>
            </w:pPr>
            <w:r>
              <w:rPr>
                <w:color w:val="000000"/>
                <w:sz w:val="24"/>
              </w:rPr>
              <w:t>4.33%</w:t>
            </w:r>
          </w:p>
        </w:tc>
        <w:tc>
          <w:tcPr>
            <w:vAlign w:val="center"/>
          </w:tcPr>
          <w:p>
            <w:pPr>
              <w:jc w:val="center"/>
            </w:pPr>
            <w:r>
              <w:rPr>
                <w:color w:val="000000"/>
                <w:sz w:val="24"/>
              </w:rPr>
              <w:t>0.05%</w:t>
            </w:r>
          </w:p>
        </w:tc>
        <w:tc>
          <w:tcPr>
            <w:vAlign w:val="center"/>
          </w:tcPr>
          <w:p>
            <w:pPr>
              <w:jc w:val="center"/>
            </w:pPr>
            <w:r>
              <w:rPr>
                <w:color w:val="000000"/>
                <w:sz w:val="24"/>
              </w:rPr>
              <w:t>-1.23%</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3.41%</w:t>
            </w:r>
          </w:p>
        </w:tc>
        <w:tc>
          <w:tcPr>
            <w:vAlign w:val="center"/>
          </w:tcPr>
          <w:p>
            <w:pPr>
              <w:jc w:val="center"/>
            </w:pPr>
            <w:r>
              <w:rPr>
                <w:color w:val="000000"/>
                <w:sz w:val="24"/>
              </w:rPr>
              <w:t>0.06%</w:t>
            </w:r>
          </w:p>
        </w:tc>
        <w:tc>
          <w:tcPr>
            <w:vAlign w:val="center"/>
          </w:tcPr>
          <w:p>
            <w:pPr>
              <w:jc w:val="center"/>
            </w:pPr>
            <w:r>
              <w:rPr>
                <w:color w:val="000000"/>
                <w:sz w:val="24"/>
              </w:rPr>
              <w:t>4.79%</w:t>
            </w:r>
          </w:p>
        </w:tc>
        <w:tc>
          <w:tcPr>
            <w:vAlign w:val="center"/>
          </w:tcPr>
          <w:p>
            <w:pPr>
              <w:jc w:val="center"/>
            </w:pPr>
            <w:r>
              <w:rPr>
                <w:color w:val="000000"/>
                <w:sz w:val="24"/>
              </w:rPr>
              <w:t>0.05%</w:t>
            </w:r>
          </w:p>
        </w:tc>
        <w:tc>
          <w:tcPr>
            <w:vAlign w:val="center"/>
          </w:tcPr>
          <w:p>
            <w:pPr>
              <w:jc w:val="center"/>
            </w:pPr>
            <w:r>
              <w:rPr>
                <w:color w:val="000000"/>
                <w:sz w:val="24"/>
              </w:rPr>
              <w:t>-1.38%</w:t>
            </w:r>
          </w:p>
        </w:tc>
        <w:tc>
          <w:tcPr>
            <w:vAlign w:val="center"/>
          </w:tcPr>
          <w:p>
            <w:pPr>
              <w:jc w:val="center"/>
            </w:pPr>
            <w:r>
              <w:rPr>
                <w:color w:val="000000"/>
                <w:sz w:val="24"/>
              </w:rPr>
              <w:t>0.01%</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易方达安源中短债债券C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0.17%</w:t>
            </w:r>
          </w:p>
        </w:tc>
        <w:tc>
          <w:tcPr>
            <w:vAlign w:val="center"/>
          </w:tcPr>
          <w:p>
            <w:pPr>
              <w:jc w:val="center"/>
            </w:pPr>
            <w:r>
              <w:rPr>
                <w:color w:val="000000"/>
                <w:sz w:val="24"/>
              </w:rPr>
              <w:t>0.11%</w:t>
            </w:r>
          </w:p>
        </w:tc>
        <w:tc>
          <w:tcPr>
            <w:vAlign w:val="center"/>
          </w:tcPr>
          <w:p>
            <w:pPr>
              <w:jc w:val="center"/>
            </w:pPr>
            <w:r>
              <w:rPr>
                <w:color w:val="000000"/>
                <w:sz w:val="24"/>
              </w:rPr>
              <w:t>0.16%</w:t>
            </w:r>
          </w:p>
        </w:tc>
        <w:tc>
          <w:tcPr>
            <w:vAlign w:val="center"/>
          </w:tcPr>
          <w:p>
            <w:pPr>
              <w:jc w:val="center"/>
            </w:pPr>
            <w:r>
              <w:rPr>
                <w:color w:val="000000"/>
                <w:sz w:val="24"/>
              </w:rPr>
              <w:t>0.09%</w:t>
            </w:r>
          </w:p>
        </w:tc>
        <w:tc>
          <w:tcPr>
            <w:vAlign w:val="center"/>
          </w:tcPr>
          <w:p>
            <w:pPr>
              <w:jc w:val="center"/>
            </w:pPr>
            <w:r>
              <w:rPr>
                <w:color w:val="000000"/>
                <w:sz w:val="24"/>
              </w:rPr>
              <w:t>0.01%</w:t>
            </w:r>
          </w:p>
        </w:tc>
        <w:tc>
          <w:tcPr>
            <w:vAlign w:val="center"/>
          </w:tcPr>
          <w:p>
            <w:pPr>
              <w:jc w:val="center"/>
            </w:pPr>
            <w:r>
              <w:rPr>
                <w:color w:val="000000"/>
                <w:sz w:val="24"/>
              </w:rPr>
              <w:t>0.02%</w:t>
            </w:r>
          </w:p>
        </w:tc>
      </w:tr>
      <w:tr>
        <w:tc>
          <w:tcPr>
            <w:vAlign w:val="center"/>
          </w:tcPr>
          <w:p>
            <w:pPr>
              <w:jc w:val="left"/>
            </w:pPr>
            <w:r>
              <w:rPr>
                <w:color w:val="000000"/>
                <w:sz w:val="24"/>
              </w:rPr>
              <w:t>过去六个月</w:t>
            </w:r>
          </w:p>
        </w:tc>
        <w:tc>
          <w:tcPr>
            <w:vAlign w:val="center"/>
          </w:tcPr>
          <w:p>
            <w:pPr>
              <w:jc w:val="center"/>
            </w:pPr>
            <w:r>
              <w:rPr>
                <w:color w:val="000000"/>
                <w:sz w:val="24"/>
              </w:rPr>
              <w:t>1.22%</w:t>
            </w:r>
          </w:p>
        </w:tc>
        <w:tc>
          <w:tcPr>
            <w:vAlign w:val="center"/>
          </w:tcPr>
          <w:p>
            <w:pPr>
              <w:jc w:val="center"/>
            </w:pPr>
            <w:r>
              <w:rPr>
                <w:color w:val="000000"/>
                <w:sz w:val="24"/>
              </w:rPr>
              <w:t>0.08%</w:t>
            </w:r>
          </w:p>
        </w:tc>
        <w:tc>
          <w:tcPr>
            <w:vAlign w:val="center"/>
          </w:tcPr>
          <w:p>
            <w:pPr>
              <w:jc w:val="center"/>
            </w:pPr>
            <w:r>
              <w:rPr>
                <w:color w:val="000000"/>
                <w:sz w:val="24"/>
              </w:rPr>
              <w:t>1.94%</w:t>
            </w:r>
          </w:p>
        </w:tc>
        <w:tc>
          <w:tcPr>
            <w:vAlign w:val="center"/>
          </w:tcPr>
          <w:p>
            <w:pPr>
              <w:jc w:val="center"/>
            </w:pPr>
            <w:r>
              <w:rPr>
                <w:color w:val="000000"/>
                <w:sz w:val="24"/>
              </w:rPr>
              <w:t>0.07%</w:t>
            </w:r>
          </w:p>
        </w:tc>
        <w:tc>
          <w:tcPr>
            <w:vAlign w:val="center"/>
          </w:tcPr>
          <w:p>
            <w:pPr>
              <w:jc w:val="center"/>
            </w:pPr>
            <w:r>
              <w:rPr>
                <w:color w:val="000000"/>
                <w:sz w:val="24"/>
              </w:rPr>
              <w:t>-0.72%</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2.81%</w:t>
            </w:r>
          </w:p>
        </w:tc>
        <w:tc>
          <w:tcPr>
            <w:vAlign w:val="center"/>
          </w:tcPr>
          <w:p>
            <w:pPr>
              <w:jc w:val="center"/>
            </w:pPr>
            <w:r>
              <w:rPr>
                <w:color w:val="000000"/>
                <w:sz w:val="24"/>
              </w:rPr>
              <w:t>0.06%</w:t>
            </w:r>
          </w:p>
        </w:tc>
        <w:tc>
          <w:tcPr>
            <w:vAlign w:val="center"/>
          </w:tcPr>
          <w:p>
            <w:pPr>
              <w:jc w:val="center"/>
            </w:pPr>
            <w:r>
              <w:rPr>
                <w:color w:val="000000"/>
                <w:sz w:val="24"/>
              </w:rPr>
              <w:t>4.33%</w:t>
            </w:r>
          </w:p>
        </w:tc>
        <w:tc>
          <w:tcPr>
            <w:vAlign w:val="center"/>
          </w:tcPr>
          <w:p>
            <w:pPr>
              <w:jc w:val="center"/>
            </w:pPr>
            <w:r>
              <w:rPr>
                <w:color w:val="000000"/>
                <w:sz w:val="24"/>
              </w:rPr>
              <w:t>0.05%</w:t>
            </w:r>
          </w:p>
        </w:tc>
        <w:tc>
          <w:tcPr>
            <w:vAlign w:val="center"/>
          </w:tcPr>
          <w:p>
            <w:pPr>
              <w:jc w:val="center"/>
            </w:pPr>
            <w:r>
              <w:rPr>
                <w:color w:val="000000"/>
                <w:sz w:val="24"/>
              </w:rPr>
              <w:t>-1.52%</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3.09%</w:t>
            </w:r>
          </w:p>
        </w:tc>
        <w:tc>
          <w:tcPr>
            <w:vAlign w:val="center"/>
          </w:tcPr>
          <w:p>
            <w:pPr>
              <w:jc w:val="center"/>
            </w:pPr>
            <w:r>
              <w:rPr>
                <w:color w:val="000000"/>
                <w:sz w:val="24"/>
              </w:rPr>
              <w:t>0.06%</w:t>
            </w:r>
          </w:p>
        </w:tc>
        <w:tc>
          <w:tcPr>
            <w:vAlign w:val="center"/>
          </w:tcPr>
          <w:p>
            <w:pPr>
              <w:jc w:val="center"/>
            </w:pPr>
            <w:r>
              <w:rPr>
                <w:color w:val="000000"/>
                <w:sz w:val="24"/>
              </w:rPr>
              <w:t>4.79%</w:t>
            </w:r>
          </w:p>
        </w:tc>
        <w:tc>
          <w:tcPr>
            <w:vAlign w:val="center"/>
          </w:tcPr>
          <w:p>
            <w:pPr>
              <w:jc w:val="center"/>
            </w:pPr>
            <w:r>
              <w:rPr>
                <w:color w:val="000000"/>
                <w:sz w:val="24"/>
              </w:rPr>
              <w:t>0.05%</w:t>
            </w:r>
          </w:p>
        </w:tc>
        <w:tc>
          <w:tcPr>
            <w:vAlign w:val="center"/>
          </w:tcPr>
          <w:p>
            <w:pPr>
              <w:jc w:val="center"/>
            </w:pPr>
            <w:r>
              <w:rPr>
                <w:color w:val="000000"/>
                <w:sz w:val="24"/>
              </w:rPr>
              <w:t>-1.70%</w:t>
            </w:r>
          </w:p>
        </w:tc>
        <w:tc>
          <w:tcPr>
            <w:vAlign w:val="center"/>
          </w:tcPr>
          <w:p>
            <w:pPr>
              <w:jc w:val="center"/>
            </w:pPr>
            <w:r>
              <w:rPr>
                <w:color w:val="000000"/>
                <w:sz w:val="24"/>
              </w:rPr>
              <w:t>0.01%</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自基金转型以来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易方达安源中短债债券型证券投资基金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（2019年5月28日至2020年6月30日）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易方达安源中短债债券A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易方达安源中短债债券C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pPr>
        <w:spacing w:line="360" w:lineRule="auto"/>
        <w:ind w:firstLine="480" w:firstLineChars="200"/>
        <w:rPr>
          <w:color w:val="000000"/>
          <w:sz w:val="24"/>
        </w:rPr>
      </w:pPr>
      <w:r>
        <w:rPr>
          <w:color w:val="000000"/>
          <w:sz w:val="24"/>
        </w:rPr>
        <w:t>注：1.本基金由原易方达双月利理财债券型证券投资基金于2019年5月28日转型而来。</w:t>
      </w:r>
    </w:p>
    <w:p>
      <w:pPr>
        <w:spacing w:line="360" w:lineRule="auto"/>
        <w:ind w:firstLine="480" w:firstLineChars="200"/>
        <w:rPr>
          <w:color w:val="000000"/>
          <w:sz w:val="24"/>
        </w:rPr>
      </w:pPr>
      <w:r>
        <w:rPr>
          <w:color w:val="000000"/>
          <w:sz w:val="24"/>
        </w:rPr>
        <w:t>2.按基金合同和招募说明书的约定，本基金的建仓期为六个月，建仓期结束时各项资产配置比例符合基金合同（第十一部分二、投资范围，三、投资策略和四、投资限制）的有关约定。</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3.自基金转型至报告期末，A类基金份额净值增长率为3.41%，C类基金份额净值增长率为3.09%，同期业绩比较基准收益率为4.79%。</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李一硕</w:t>
            </w:r>
          </w:p>
        </w:tc>
        <w:tc>
          <w:tcPr>
            <w:vAlign w:val="center"/>
          </w:tcPr>
          <w:p>
            <w:pPr>
              <w:jc w:val="left"/>
            </w:pPr>
            <w:r>
              <w:rPr>
                <w:color w:val="000000"/>
                <w:sz w:val="24"/>
              </w:rPr>
              <w:t>本基金的基金经理、易方达永旭添利定期开放债券型证券投资基金的基金经理、易方达纯债1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稳健收益债券型证券投资基金的基金经理助理、易方达中债新综合债券指数发起式证券投资基金（LOF）的基金经理助理、易方达信用债债券型证券投资基金的基金经理助理、易方达裕惠回报定期开放式混合型发起式证券投资基金的基金经理助理、易方达瑞富灵活配置混合型证券投资基金的基金经理助理、易方达恒兴3个月定期开放债券型发起式证券投资基金的基金经理助理、易方达富惠纯债债券型证券投资基金的基金经理助理、易方达丰惠混合型证券投资基金的基金经理助理（自2019年01月18日至2020年06月09日）、固定收益投资部总经理助理</w:t>
            </w:r>
          </w:p>
        </w:tc>
        <w:tc>
          <w:tcPr>
            <w:vAlign w:val="center"/>
          </w:tcPr>
          <w:p>
            <w:pPr>
              <w:jc w:val="center"/>
            </w:pPr>
            <w:r>
              <w:rPr>
                <w:color w:val="000000"/>
                <w:sz w:val="24"/>
              </w:rPr>
              <w:t>2019-05-28</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rPr>
      </w:pPr>
      <w:r>
        <w:rPr>
          <w:color w:val="000000"/>
          <w:sz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本基金主要配置3年期以内的中高评级信用债品种，并重点关注中短端收益率曲线的结构，在期限配置上力争获取超额收益。受到债券市场剧烈波动的影响，组合净值有所回撤。</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1.0341元，本报告期份额净值增长率为0.25%，同期业绩比较基准收益率为0.16%；C类基金份额净值为1.0309元，本报告期份额净值增长率为0.17%，同期业绩比较基准收益率为0.16%。</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165,244,300.00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93.02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165,244,300.00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93.02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4,043,498.36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2.28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8,351,796.41</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4.70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177,639,594.77</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36,174,000.00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23.24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36,174,000.00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23.24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35,046,800.00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22.52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29,921,000.00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19.23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64,102,500.00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41.19</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165,244,300.00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106.18</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160421</w:t>
            </w:r>
          </w:p>
        </w:tc>
        <w:tc>
          <w:tcPr>
            <w:vAlign w:val="center"/>
          </w:tcPr>
          <w:p>
            <w:pPr>
              <w:jc w:val="center"/>
            </w:pPr>
            <w:r>
              <w:rPr>
                <w:color w:val="000000"/>
                <w:sz w:val="24"/>
              </w:rPr>
              <w:t>16农发21</w:t>
            </w:r>
          </w:p>
        </w:tc>
        <w:tc>
          <w:tcPr>
            <w:vAlign w:val="center"/>
          </w:tcPr>
          <w:p>
            <w:pPr>
              <w:jc w:val="right"/>
            </w:pPr>
            <w:r>
              <w:rPr>
                <w:color w:val="000000"/>
                <w:sz w:val="24"/>
              </w:rPr>
              <w:t>200,000</w:t>
            </w:r>
          </w:p>
        </w:tc>
        <w:tc>
          <w:tcPr>
            <w:vAlign w:val="center"/>
          </w:tcPr>
          <w:p>
            <w:pPr>
              <w:jc w:val="right"/>
            </w:pPr>
            <w:r>
              <w:rPr>
                <w:color w:val="000000"/>
                <w:sz w:val="24"/>
              </w:rPr>
              <w:t>20,142,000.00</w:t>
            </w:r>
          </w:p>
        </w:tc>
        <w:tc>
          <w:tcPr>
            <w:vAlign w:val="center"/>
          </w:tcPr>
          <w:p>
            <w:pPr>
              <w:jc w:val="right"/>
            </w:pPr>
            <w:r>
              <w:rPr>
                <w:color w:val="000000"/>
                <w:sz w:val="24"/>
              </w:rPr>
              <w:t>12.94</w:t>
            </w:r>
          </w:p>
        </w:tc>
      </w:tr>
      <w:tr>
        <w:tc>
          <w:tcPr>
            <w:vAlign w:val="center"/>
          </w:tcPr>
          <w:p>
            <w:pPr>
              <w:jc w:val="center"/>
            </w:pPr>
            <w:r>
              <w:rPr>
                <w:color w:val="000000"/>
                <w:sz w:val="24"/>
              </w:rPr>
              <w:t>2</w:t>
            </w:r>
          </w:p>
        </w:tc>
        <w:tc>
          <w:tcPr>
            <w:vAlign w:val="center"/>
          </w:tcPr>
          <w:p>
            <w:pPr>
              <w:jc w:val="center"/>
            </w:pPr>
            <w:r>
              <w:rPr>
                <w:color w:val="000000"/>
                <w:sz w:val="24"/>
              </w:rPr>
              <w:t>180203</w:t>
            </w:r>
          </w:p>
        </w:tc>
        <w:tc>
          <w:tcPr>
            <w:vAlign w:val="center"/>
          </w:tcPr>
          <w:p>
            <w:pPr>
              <w:jc w:val="center"/>
            </w:pPr>
            <w:r>
              <w:rPr>
                <w:color w:val="000000"/>
                <w:sz w:val="24"/>
              </w:rPr>
              <w:t>18国开03</w:t>
            </w:r>
          </w:p>
        </w:tc>
        <w:tc>
          <w:tcPr>
            <w:vAlign w:val="center"/>
          </w:tcPr>
          <w:p>
            <w:pPr>
              <w:jc w:val="right"/>
            </w:pPr>
            <w:r>
              <w:rPr>
                <w:color w:val="000000"/>
                <w:sz w:val="24"/>
              </w:rPr>
              <w:t>100,000</w:t>
            </w:r>
          </w:p>
        </w:tc>
        <w:tc>
          <w:tcPr>
            <w:vAlign w:val="center"/>
          </w:tcPr>
          <w:p>
            <w:pPr>
              <w:jc w:val="right"/>
            </w:pPr>
            <w:r>
              <w:rPr>
                <w:color w:val="000000"/>
                <w:sz w:val="24"/>
              </w:rPr>
              <w:t>10,164,000.00</w:t>
            </w:r>
          </w:p>
        </w:tc>
        <w:tc>
          <w:tcPr>
            <w:vAlign w:val="center"/>
          </w:tcPr>
          <w:p>
            <w:pPr>
              <w:jc w:val="right"/>
            </w:pPr>
            <w:r>
              <w:rPr>
                <w:color w:val="000000"/>
                <w:sz w:val="24"/>
              </w:rPr>
              <w:t>6.53</w:t>
            </w:r>
          </w:p>
        </w:tc>
      </w:tr>
      <w:tr>
        <w:tc>
          <w:tcPr>
            <w:vAlign w:val="center"/>
          </w:tcPr>
          <w:p>
            <w:pPr>
              <w:jc w:val="center"/>
            </w:pPr>
            <w:r>
              <w:rPr>
                <w:color w:val="000000"/>
                <w:sz w:val="24"/>
              </w:rPr>
              <w:t>3</w:t>
            </w:r>
          </w:p>
        </w:tc>
        <w:tc>
          <w:tcPr>
            <w:vAlign w:val="center"/>
          </w:tcPr>
          <w:p>
            <w:pPr>
              <w:jc w:val="center"/>
            </w:pPr>
            <w:r>
              <w:rPr>
                <w:color w:val="000000"/>
                <w:sz w:val="24"/>
              </w:rPr>
              <w:t>143020</w:t>
            </w:r>
          </w:p>
        </w:tc>
        <w:tc>
          <w:tcPr>
            <w:vAlign w:val="center"/>
          </w:tcPr>
          <w:p>
            <w:pPr>
              <w:jc w:val="center"/>
            </w:pPr>
            <w:r>
              <w:rPr>
                <w:color w:val="000000"/>
                <w:sz w:val="24"/>
              </w:rPr>
              <w:t>17复药01</w:t>
            </w:r>
          </w:p>
        </w:tc>
        <w:tc>
          <w:tcPr>
            <w:vAlign w:val="center"/>
          </w:tcPr>
          <w:p>
            <w:pPr>
              <w:jc w:val="right"/>
            </w:pPr>
            <w:r>
              <w:rPr>
                <w:color w:val="000000"/>
                <w:sz w:val="24"/>
              </w:rPr>
              <w:t>100,000</w:t>
            </w:r>
          </w:p>
        </w:tc>
        <w:tc>
          <w:tcPr>
            <w:vAlign w:val="center"/>
          </w:tcPr>
          <w:p>
            <w:pPr>
              <w:jc w:val="right"/>
            </w:pPr>
            <w:r>
              <w:rPr>
                <w:color w:val="000000"/>
                <w:sz w:val="24"/>
              </w:rPr>
              <w:t>10,024,000.00</w:t>
            </w:r>
          </w:p>
        </w:tc>
        <w:tc>
          <w:tcPr>
            <w:vAlign w:val="center"/>
          </w:tcPr>
          <w:p>
            <w:pPr>
              <w:jc w:val="right"/>
            </w:pPr>
            <w:r>
              <w:rPr>
                <w:color w:val="000000"/>
                <w:sz w:val="24"/>
              </w:rPr>
              <w:t>6.44</w:t>
            </w:r>
          </w:p>
        </w:tc>
      </w:tr>
      <w:tr>
        <w:tc>
          <w:tcPr>
            <w:vAlign w:val="center"/>
          </w:tcPr>
          <w:p>
            <w:pPr>
              <w:jc w:val="center"/>
            </w:pPr>
            <w:r>
              <w:rPr>
                <w:color w:val="000000"/>
                <w:sz w:val="24"/>
              </w:rPr>
              <w:t>4</w:t>
            </w:r>
          </w:p>
        </w:tc>
        <w:tc>
          <w:tcPr>
            <w:vAlign w:val="center"/>
          </w:tcPr>
          <w:p>
            <w:pPr>
              <w:jc w:val="center"/>
            </w:pPr>
            <w:r>
              <w:rPr>
                <w:color w:val="000000"/>
                <w:sz w:val="24"/>
              </w:rPr>
              <w:t>012001448</w:t>
            </w:r>
          </w:p>
        </w:tc>
        <w:tc>
          <w:tcPr>
            <w:vAlign w:val="center"/>
          </w:tcPr>
          <w:p>
            <w:pPr>
              <w:jc w:val="center"/>
            </w:pPr>
            <w:r>
              <w:rPr>
                <w:color w:val="000000"/>
                <w:sz w:val="24"/>
              </w:rPr>
              <w:t>20三花SCP001</w:t>
            </w:r>
          </w:p>
        </w:tc>
        <w:tc>
          <w:tcPr>
            <w:vAlign w:val="center"/>
          </w:tcPr>
          <w:p>
            <w:pPr>
              <w:jc w:val="right"/>
            </w:pPr>
            <w:r>
              <w:rPr>
                <w:color w:val="000000"/>
                <w:sz w:val="24"/>
              </w:rPr>
              <w:t>100,000</w:t>
            </w:r>
          </w:p>
        </w:tc>
        <w:tc>
          <w:tcPr>
            <w:vAlign w:val="center"/>
          </w:tcPr>
          <w:p>
            <w:pPr>
              <w:jc w:val="right"/>
            </w:pPr>
            <w:r>
              <w:rPr>
                <w:color w:val="000000"/>
                <w:sz w:val="24"/>
              </w:rPr>
              <w:t>9,983,000.00</w:t>
            </w:r>
          </w:p>
        </w:tc>
        <w:tc>
          <w:tcPr>
            <w:vAlign w:val="center"/>
          </w:tcPr>
          <w:p>
            <w:pPr>
              <w:jc w:val="right"/>
            </w:pPr>
            <w:r>
              <w:rPr>
                <w:color w:val="000000"/>
                <w:sz w:val="24"/>
              </w:rPr>
              <w:t>6.41</w:t>
            </w:r>
          </w:p>
        </w:tc>
      </w:tr>
      <w:tr>
        <w:tc>
          <w:tcPr>
            <w:vAlign w:val="center"/>
          </w:tcPr>
          <w:p>
            <w:pPr>
              <w:jc w:val="center"/>
            </w:pPr>
            <w:r>
              <w:rPr>
                <w:color w:val="000000"/>
                <w:sz w:val="24"/>
              </w:rPr>
              <w:t>5</w:t>
            </w:r>
          </w:p>
        </w:tc>
        <w:tc>
          <w:tcPr>
            <w:vAlign w:val="center"/>
          </w:tcPr>
          <w:p>
            <w:pPr>
              <w:jc w:val="center"/>
            </w:pPr>
            <w:r>
              <w:rPr>
                <w:color w:val="000000"/>
                <w:sz w:val="24"/>
              </w:rPr>
              <w:t>012001505</w:t>
            </w:r>
          </w:p>
        </w:tc>
        <w:tc>
          <w:tcPr>
            <w:vAlign w:val="center"/>
          </w:tcPr>
          <w:p>
            <w:pPr>
              <w:jc w:val="center"/>
            </w:pPr>
            <w:r>
              <w:rPr>
                <w:color w:val="000000"/>
                <w:sz w:val="24"/>
              </w:rPr>
              <w:t>20腾越建筑(疫情防控债)SCP001</w:t>
            </w:r>
          </w:p>
        </w:tc>
        <w:tc>
          <w:tcPr>
            <w:vAlign w:val="center"/>
          </w:tcPr>
          <w:p>
            <w:pPr>
              <w:jc w:val="right"/>
            </w:pPr>
            <w:r>
              <w:rPr>
                <w:color w:val="000000"/>
                <w:sz w:val="24"/>
              </w:rPr>
              <w:t>100,000</w:t>
            </w:r>
          </w:p>
        </w:tc>
        <w:tc>
          <w:tcPr>
            <w:vAlign w:val="center"/>
          </w:tcPr>
          <w:p>
            <w:pPr>
              <w:jc w:val="right"/>
            </w:pPr>
            <w:r>
              <w:rPr>
                <w:color w:val="000000"/>
                <w:sz w:val="24"/>
              </w:rPr>
              <w:t>9,982,000.00</w:t>
            </w:r>
          </w:p>
        </w:tc>
        <w:tc>
          <w:tcPr>
            <w:vAlign w:val="center"/>
          </w:tcPr>
          <w:p>
            <w:pPr>
              <w:jc w:val="right"/>
            </w:pPr>
            <w:r>
              <w:rPr>
                <w:color w:val="000000"/>
                <w:sz w:val="24"/>
              </w:rPr>
              <w:t>6.41</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2020年4月30日，北京市西城区卫生健康委员会对中国农业发展银行违反《北京市生活饮用水卫生监督管理条例》第二十一条第（三）项的行为作出“罚款5000元”的行政处罚决定。</w:t>
      </w:r>
    </w:p>
    <w:p>
      <w:pPr>
        <w:widowControl/>
        <w:spacing w:line="360" w:lineRule="auto"/>
        <w:rPr>
          <w:color w:val="000000"/>
          <w:sz w:val="24"/>
        </w:rPr>
      </w:pPr>
      <w:r>
        <w:rPr>
          <w:color w:val="000000"/>
          <w:sz w:val="24"/>
        </w:rPr>
        <w:t>2019年7月5日，广东省鹤山市住房和城乡建设局对广东腾越建筑工程有限公司“未取得建筑工程施工许可证擅自组织碧桂园·天麓湖地块一住宅小区项目工程施工”的行为，作出“责令停止施工，限期30天内改正，处人民币10000元罚款”的行政处罚决定。2019年7月15日，肇庆市城市管理和综合执法局对广东腾越建筑工程有限公司骏景湾豪庭四期工地未经审批进行有噪声夜间施工的行为，作出“责令改正，罚款人民币10000元整”的行政处罚决定；对广东腾越建筑工程有限公司未经审批进行有噪声夜间施工的行为，作出“责令改正，罚款人民币20000元整”的行政处罚决定；对广东腾越建筑工程有限公司违反《中华人民共和国环境噪声污染防治法办法》第三十二条的行为作出“责令改正，罚款人民币10000元整”的行政处罚决定。2019年7月15日，惠州市生态环境局对广东腾越建筑工程有限公司违反《中华人民共和国环境噪声污染防治法办法》第三十一条第（九）项的规定的行为，作出“责令必须按照法律规定的时间施工作业,并处以38000元罚款”的行政处罚决定。2019年7月19日，韶关市住房和城乡建设管理局对广东腾越建筑工程有限公司“施工中土方未采用密闭式防尘网遮盖，违反了《中华人民共和国大气污染防治法》第六十九条的规定”的行为，罚款4万元。2019年8月23日，住房和城乡建设局对广东腾越建筑工程有限公司“工程项目施工过程中存在扬尘污染”的行为，罚款2万元。2019年8月26日，中山市住房和城乡建设局对广东腾越建筑工程有限公司“未取得施工许可证擅自施工”的行为，罚款2万元。2019年9月17日，肇庆市城市管理和综合执法局对广东腾越建筑工程有限公司“在黄岗二路路段撒漏泥土造成道路污染”的行为，作出“责令改正，罚款人民币5000元整”的行政处罚决定；对广东腾越建筑工程有限公司“在信安大道顺宝天誉豪布斯卡工地擅自夜间施工”的行为，作出“责令改正，罚款人民币5000元整”的行政处罚决定；对广东腾越建筑工程有限公司违反《中华人民共和国环境噪声污染防治法办法》第三十二条的行为，作出“责令改正，罚款人民币25000元整”的行政处罚决定。2019年10月18日，柳州市城市管理行政执法局对广东腾越建筑工程有限公司“施工中未采用密闭式防尘网遮盖建筑垃圾”的行为罚款1万元。2019年10月29日，韶关市住房和城乡建设管理局对广东腾越建筑工程有限公司“运输车辆沿途遗撒建筑垃圾”的行为罚款20000元。2019年10月31日，东莞市城市管理和综合执法局对广东腾越建筑工程有限公司“在沙田横流社区碧桂园小区工地夜间超时施工作业（超时约2小时）”的行为罚款9500元。2019年11月6日，韶关市住房和城乡建设管理局对广东腾越建筑工程有限公司违反“《城市建筑垃圾管理规定》第二十五条第一项和《广东省住房和城乡建设厅关于住房和城乡建设系统行政处罚自由裁量权的基准》C208.25.1 的规定”的行为罚款15000元；对广东腾越建筑工程有限公司施工中工地土方未采用密闭式防尘网遮盖的行为罚款20000元。2019年12月3日，惠州市生态环境局对广东腾越建筑工程有限公司违反“《广东省实施&lt;中华人民共和国环境噪声污染防治法&gt;办法》第三十一条第（九）项的规定”的行为罚款40000元。2019年12月25日，肇庆市端州区城市管理和综合执法局对广东腾越建筑工程有限公司违反“《广东省实施&lt;中华人民共和国环境噪声污染防治法&gt;办法》第三十二条第八项”的行为罚款50000元。2020年1月9日，东海县住房和城乡建设局对广东腾越建筑工程有限公司违反“《江苏省大气污染防治条例》第九十四条”的行为罚款60000元。2020年3月20日，佛山市自然资源局对广东腾越建筑工程有限公司“于2019年6月至今未经依法批准擅自占用佛山市南海区里水镇建星村幸福路南侧地段的土地，用作建设活动板房的行为”的行为，作出“罚款人民币97219元；责令广东腾越建筑工程有限公司拆除位于佛山市南海区里水镇建星村幸福路南侧地段土地上新建的活动板房，立即恢复土地原状，不得进行建设; 责令广东腾越建筑工程有限公司退还非法占用的土地给佛山市南海区里水镇建星村文东股份合作经济社”的行政处罚决定。2020年3月20日，安龙县住房和城乡建设局对广东腾越建筑工程有限公司违反“《建设工程安全生产管理条例》第六十六条”的行为罚款50000元。2020年4月10日，佛山市南海区城市管理和综合执法局对广东腾越建筑工程有限公司违反“《广东省实施&lt;中华人民共和国环境噪声污染防治法&gt;办法》第三十二条第（八）项”的行为罚款3000元。2020年6月16日，广宁县城市管理和综合执法局对广东腾越建筑工程有限公司违反“《广东省城乡生活垃圾处理条例》第五十三条的规定”的行为罚款15000元。</w:t>
      </w:r>
    </w:p>
    <w:p>
      <w:pPr>
        <w:widowControl/>
        <w:spacing w:line="360" w:lineRule="auto"/>
        <w:rPr>
          <w:color w:val="000000"/>
          <w:sz w:val="24"/>
        </w:rPr>
      </w:pPr>
      <w:r>
        <w:rPr>
          <w:color w:val="000000"/>
          <w:sz w:val="24"/>
        </w:rPr>
        <w:t>本基金投资16农发21、20腾越建筑(疫情防控债)SCP001的投资决策程序符合公司投资制度的规定。</w:t>
      </w:r>
    </w:p>
    <w:p>
      <w:pPr>
        <w:widowControl/>
        <w:spacing w:line="360" w:lineRule="auto"/>
        <w:rPr>
          <w:color w:val="000000"/>
          <w:sz w:val="24"/>
        </w:rPr>
      </w:pPr>
      <w:r>
        <w:rPr>
          <w:color w:val="000000"/>
          <w:sz w:val="24"/>
        </w:rPr>
        <w:t>除16农发21、20腾越建筑(疫情防控债)SCP001外，本基金投资的前十名证券的发行主体本期没有出现被监管部门立案调查，或在报告编制日前一年内受到公开谴责、处罚的情形。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5,310.41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1,609,925.80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6,736,560.20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8,351,796.41</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易方达安源中短债债券A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易方达安源中短债债券C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27,541,978.46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70,465,017.71</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29,732,065.07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130,867,759.09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30,431,436.82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77,297,963.69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26,842,606.71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124,034,813.11</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1.中国证监会准予易方达双月利理财债券型证券投资基金变更注册为易方达安源中短债债券型证券投资基金的文件；</w:t>
      </w:r>
    </w:p>
    <w:p>
      <w:pPr>
        <w:spacing w:line="360" w:lineRule="auto"/>
        <w:ind w:firstLine="480" w:firstLineChars="200"/>
        <w:rPr>
          <w:color w:val="000000"/>
          <w:sz w:val="24"/>
        </w:rPr>
      </w:pPr>
      <w:r>
        <w:rPr>
          <w:color w:val="000000"/>
          <w:sz w:val="24"/>
        </w:rPr>
        <w:t>2.《易方达双月利理财债券型证券投资基金基金份额持有人大会表决结果暨决议生效的公告》；</w:t>
      </w:r>
    </w:p>
    <w:p>
      <w:pPr>
        <w:spacing w:line="360" w:lineRule="auto"/>
        <w:ind w:firstLine="480" w:firstLineChars="200"/>
        <w:rPr>
          <w:color w:val="000000"/>
          <w:sz w:val="24"/>
        </w:rPr>
      </w:pPr>
      <w:r>
        <w:rPr>
          <w:color w:val="000000"/>
          <w:sz w:val="24"/>
        </w:rPr>
        <w:t>3.《易方达安源中短债债券型证券投资基金基金合同》；</w:t>
      </w:r>
    </w:p>
    <w:p>
      <w:pPr>
        <w:spacing w:line="360" w:lineRule="auto"/>
        <w:ind w:firstLine="480" w:firstLineChars="200"/>
        <w:rPr>
          <w:color w:val="000000"/>
          <w:sz w:val="24"/>
        </w:rPr>
      </w:pPr>
      <w:r>
        <w:rPr>
          <w:color w:val="000000"/>
          <w:sz w:val="24"/>
        </w:rPr>
        <w:t>4.《易方达安源中短债债券型证券投资基金托管协议》；</w:t>
      </w:r>
    </w:p>
    <w:p>
      <w:pPr>
        <w:spacing w:line="360" w:lineRule="auto"/>
        <w:ind w:firstLine="480" w:firstLineChars="200"/>
        <w:rPr>
          <w:color w:val="000000"/>
          <w:sz w:val="24"/>
        </w:rPr>
      </w:pPr>
      <w:r>
        <w:rPr>
          <w:color w:val="000000"/>
          <w:sz w:val="24"/>
        </w:rPr>
        <w:t>5.《易方达基金管理有限公司开放式基金业务规则》；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6.基金管理人业务资格批件、营业执照。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易方达安源中短债债券型证券投资基金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