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易方达纯债债券型证券投资基金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招商银行股份有限公司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基金托管人招商银行股份有限公司根据本基金合同规定，于2020年7月17日复核了本报告中的财务指标、净值表现和投资组合报告等内容，保证复核内容不存在虚假记载、误导性陈述或者重大遗漏。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易方达纯债债券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110037</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2012年5月3日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6,095,274,619.63</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本基金为纯债基金，管理人主要通过分析影响债券市场的各类要素，对债券组合的平均久期、期限结构、类属品种进行有效配置，力争为投资人提供长期稳定的投资回报。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通过分析影响债券市场和货币市场的各类要素，对固定收益产品的平均久期、期限结构、类属品种进行有效配置，力争为投资人提供长期稳定的投资回报。具体来看，本基金通过对宏观经济变量和宏观经济政策进行分析，预测利率走势，并据此对组合的平均久期进行调整；运用统计和数量分析技术，预测收益率期限结构的变化方式，选择期限结构配置策略，确定各期限固定收益品种的比例；对不同类型固定收益品种的信用风险、税赋水平、市场流动性、市场风险等因素进行分析，研究同期限固定收益投资品种的利差和变化趋势，制定类属配置策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中债综合指数(全价)</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本基金为债券型基金，其长期平均风险和预期收益率低于混合型基金、股票型基金，高于货币市场基金。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招商银行股份有限公司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易方达纯债债券A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易方达纯债债券C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110037</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110038</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4,993,511,530.99</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1,101,763,088.64</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易方达纯债债券A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易方达纯债债券C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62,150,863.13</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14,456,779.14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-19,483,099.74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-15,529,372.98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-0.0031</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-0.0094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5,517,144,970.11</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1,214,777,746.19</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1.105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1.103</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易方达纯债债券A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-0.19%</w:t>
            </w:r>
          </w:p>
        </w:tc>
        <w:tc>
          <w:tcPr>
            <w:vAlign w:val="center"/>
          </w:tcPr>
          <w:p>
            <w:pPr>
              <w:jc w:val="center"/>
            </w:pPr>
            <w:r>
              <w:rPr>
                <w:color w:val="000000"/>
                <w:sz w:val="24"/>
              </w:rPr>
              <w:t>0.13%</w:t>
            </w:r>
          </w:p>
        </w:tc>
        <w:tc>
          <w:tcPr>
            <w:vAlign w:val="center"/>
          </w:tcPr>
          <w:p>
            <w:pPr>
              <w:jc w:val="center"/>
            </w:pPr>
            <w:r>
              <w:rPr>
                <w:color w:val="000000"/>
                <w:sz w:val="24"/>
              </w:rPr>
              <w:t>-1.04%</w:t>
            </w:r>
          </w:p>
        </w:tc>
        <w:tc>
          <w:tcPr>
            <w:vAlign w:val="center"/>
          </w:tcPr>
          <w:p>
            <w:pPr>
              <w:jc w:val="center"/>
            </w:pPr>
            <w:r>
              <w:rPr>
                <w:color w:val="000000"/>
                <w:sz w:val="24"/>
              </w:rPr>
              <w:t>0.12%</w:t>
            </w:r>
          </w:p>
        </w:tc>
        <w:tc>
          <w:tcPr>
            <w:vAlign w:val="center"/>
          </w:tcPr>
          <w:p>
            <w:pPr>
              <w:jc w:val="center"/>
            </w:pPr>
            <w:r>
              <w:rPr>
                <w:color w:val="000000"/>
                <w:sz w:val="24"/>
              </w:rPr>
              <w:t>0.85%</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2.18%</w:t>
            </w:r>
          </w:p>
        </w:tc>
        <w:tc>
          <w:tcPr>
            <w:vAlign w:val="center"/>
          </w:tcPr>
          <w:p>
            <w:pPr>
              <w:jc w:val="center"/>
            </w:pPr>
            <w:r>
              <w:rPr>
                <w:color w:val="000000"/>
                <w:sz w:val="24"/>
              </w:rPr>
              <w:t>0.11%</w:t>
            </w:r>
          </w:p>
        </w:tc>
        <w:tc>
          <w:tcPr>
            <w:vAlign w:val="center"/>
          </w:tcPr>
          <w:p>
            <w:pPr>
              <w:jc w:val="center"/>
            </w:pPr>
            <w:r>
              <w:rPr>
                <w:color w:val="000000"/>
                <w:sz w:val="24"/>
              </w:rPr>
              <w:t>0.79%</w:t>
            </w:r>
          </w:p>
        </w:tc>
        <w:tc>
          <w:tcPr>
            <w:vAlign w:val="center"/>
          </w:tcPr>
          <w:p>
            <w:pPr>
              <w:jc w:val="center"/>
            </w:pPr>
            <w:r>
              <w:rPr>
                <w:color w:val="000000"/>
                <w:sz w:val="24"/>
              </w:rPr>
              <w:t>0.11%</w:t>
            </w:r>
          </w:p>
        </w:tc>
        <w:tc>
          <w:tcPr>
            <w:vAlign w:val="center"/>
          </w:tcPr>
          <w:p>
            <w:pPr>
              <w:jc w:val="center"/>
            </w:pPr>
            <w:r>
              <w:rPr>
                <w:color w:val="000000"/>
                <w:sz w:val="24"/>
              </w:rPr>
              <w:t>1.39%</w:t>
            </w:r>
          </w:p>
        </w:tc>
        <w:tc>
          <w:tcPr>
            <w:vAlign w:val="center"/>
          </w:tcPr>
          <w:p>
            <w:pPr>
              <w:jc w:val="center"/>
            </w:pPr>
            <w:r>
              <w:rPr>
                <w:color w:val="000000"/>
                <w:sz w:val="24"/>
              </w:rPr>
              <w:t>0.00%</w:t>
            </w:r>
          </w:p>
        </w:tc>
      </w:tr>
      <w:tr>
        <w:tc>
          <w:tcPr>
            <w:vAlign w:val="center"/>
          </w:tcPr>
          <w:p>
            <w:pPr>
              <w:jc w:val="left"/>
            </w:pPr>
            <w:r>
              <w:rPr>
                <w:color w:val="000000"/>
                <w:sz w:val="24"/>
              </w:rPr>
              <w:t>过去一年</w:t>
            </w:r>
          </w:p>
        </w:tc>
        <w:tc>
          <w:tcPr>
            <w:vAlign w:val="center"/>
          </w:tcPr>
          <w:p>
            <w:pPr>
              <w:jc w:val="center"/>
            </w:pPr>
            <w:r>
              <w:rPr>
                <w:color w:val="000000"/>
                <w:sz w:val="24"/>
              </w:rPr>
              <w:t>4.89%</w:t>
            </w:r>
          </w:p>
        </w:tc>
        <w:tc>
          <w:tcPr>
            <w:vAlign w:val="center"/>
          </w:tcPr>
          <w:p>
            <w:pPr>
              <w:jc w:val="center"/>
            </w:pPr>
            <w:r>
              <w:rPr>
                <w:color w:val="000000"/>
                <w:sz w:val="24"/>
              </w:rPr>
              <w:t>0.09%</w:t>
            </w:r>
          </w:p>
        </w:tc>
        <w:tc>
          <w:tcPr>
            <w:vAlign w:val="center"/>
          </w:tcPr>
          <w:p>
            <w:pPr>
              <w:jc w:val="center"/>
            </w:pPr>
            <w:r>
              <w:rPr>
                <w:color w:val="000000"/>
                <w:sz w:val="24"/>
              </w:rPr>
              <w:t>1.87%</w:t>
            </w:r>
          </w:p>
        </w:tc>
        <w:tc>
          <w:tcPr>
            <w:vAlign w:val="center"/>
          </w:tcPr>
          <w:p>
            <w:pPr>
              <w:jc w:val="center"/>
            </w:pPr>
            <w:r>
              <w:rPr>
                <w:color w:val="000000"/>
                <w:sz w:val="24"/>
              </w:rPr>
              <w:t>0.08%</w:t>
            </w:r>
          </w:p>
        </w:tc>
        <w:tc>
          <w:tcPr>
            <w:vAlign w:val="center"/>
          </w:tcPr>
          <w:p>
            <w:pPr>
              <w:jc w:val="center"/>
            </w:pPr>
            <w:r>
              <w:rPr>
                <w:color w:val="000000"/>
                <w:sz w:val="24"/>
              </w:rPr>
              <w:t>3.02%</w:t>
            </w:r>
          </w:p>
        </w:tc>
        <w:tc>
          <w:tcPr>
            <w:vAlign w:val="center"/>
          </w:tcPr>
          <w:p>
            <w:pPr>
              <w:jc w:val="center"/>
            </w:pPr>
            <w:r>
              <w:rPr>
                <w:color w:val="000000"/>
                <w:sz w:val="24"/>
              </w:rPr>
              <w:t>0.01%</w:t>
            </w:r>
          </w:p>
        </w:tc>
      </w:tr>
      <w:tr>
        <w:tc>
          <w:tcPr>
            <w:vAlign w:val="center"/>
          </w:tcPr>
          <w:p>
            <w:pPr>
              <w:jc w:val="left"/>
            </w:pPr>
            <w:r>
              <w:rPr>
                <w:color w:val="000000"/>
                <w:sz w:val="24"/>
              </w:rPr>
              <w:t>过去三年</w:t>
            </w:r>
          </w:p>
        </w:tc>
        <w:tc>
          <w:tcPr>
            <w:vAlign w:val="center"/>
          </w:tcPr>
          <w:p>
            <w:pPr>
              <w:jc w:val="center"/>
            </w:pPr>
            <w:r>
              <w:rPr>
                <w:color w:val="000000"/>
                <w:sz w:val="24"/>
              </w:rPr>
              <w:t>17.02%</w:t>
            </w:r>
          </w:p>
        </w:tc>
        <w:tc>
          <w:tcPr>
            <w:vAlign w:val="center"/>
          </w:tcPr>
          <w:p>
            <w:pPr>
              <w:jc w:val="center"/>
            </w:pPr>
            <w:r>
              <w:rPr>
                <w:color w:val="000000"/>
                <w:sz w:val="24"/>
              </w:rPr>
              <w:t>0.07%</w:t>
            </w:r>
          </w:p>
        </w:tc>
        <w:tc>
          <w:tcPr>
            <w:vAlign w:val="center"/>
          </w:tcPr>
          <w:p>
            <w:pPr>
              <w:jc w:val="center"/>
            </w:pPr>
            <w:r>
              <w:rPr>
                <w:color w:val="000000"/>
                <w:sz w:val="24"/>
              </w:rPr>
              <w:t>5.61%</w:t>
            </w:r>
          </w:p>
        </w:tc>
        <w:tc>
          <w:tcPr>
            <w:vAlign w:val="center"/>
          </w:tcPr>
          <w:p>
            <w:pPr>
              <w:jc w:val="center"/>
            </w:pPr>
            <w:r>
              <w:rPr>
                <w:color w:val="000000"/>
                <w:sz w:val="24"/>
              </w:rPr>
              <w:t>0.07%</w:t>
            </w:r>
          </w:p>
        </w:tc>
        <w:tc>
          <w:tcPr>
            <w:vAlign w:val="center"/>
          </w:tcPr>
          <w:p>
            <w:pPr>
              <w:jc w:val="center"/>
            </w:pPr>
            <w:r>
              <w:rPr>
                <w:color w:val="000000"/>
                <w:sz w:val="24"/>
              </w:rPr>
              <w:t>11.41%</w:t>
            </w:r>
          </w:p>
        </w:tc>
        <w:tc>
          <w:tcPr>
            <w:vAlign w:val="center"/>
          </w:tcPr>
          <w:p>
            <w:pPr>
              <w:jc w:val="center"/>
            </w:pPr>
            <w:r>
              <w:rPr>
                <w:color w:val="000000"/>
                <w:sz w:val="24"/>
              </w:rPr>
              <w:t>0.00%</w:t>
            </w:r>
          </w:p>
        </w:tc>
      </w:tr>
      <w:tr>
        <w:tc>
          <w:tcPr>
            <w:vAlign w:val="center"/>
          </w:tcPr>
          <w:p>
            <w:pPr>
              <w:jc w:val="left"/>
            </w:pPr>
            <w:r>
              <w:rPr>
                <w:color w:val="000000"/>
                <w:sz w:val="24"/>
              </w:rPr>
              <w:t>过去五年</w:t>
            </w:r>
          </w:p>
        </w:tc>
        <w:tc>
          <w:tcPr>
            <w:vAlign w:val="center"/>
          </w:tcPr>
          <w:p>
            <w:pPr>
              <w:jc w:val="center"/>
            </w:pPr>
            <w:r>
              <w:rPr>
                <w:color w:val="000000"/>
                <w:sz w:val="24"/>
              </w:rPr>
              <w:t>26.32%</w:t>
            </w:r>
          </w:p>
        </w:tc>
        <w:tc>
          <w:tcPr>
            <w:vAlign w:val="center"/>
          </w:tcPr>
          <w:p>
            <w:pPr>
              <w:jc w:val="center"/>
            </w:pPr>
            <w:r>
              <w:rPr>
                <w:color w:val="000000"/>
                <w:sz w:val="24"/>
              </w:rPr>
              <w:t>0.08%</w:t>
            </w:r>
          </w:p>
        </w:tc>
        <w:tc>
          <w:tcPr>
            <w:vAlign w:val="center"/>
          </w:tcPr>
          <w:p>
            <w:pPr>
              <w:jc w:val="center"/>
            </w:pPr>
            <w:r>
              <w:rPr>
                <w:color w:val="000000"/>
                <w:sz w:val="24"/>
              </w:rPr>
              <w:t>4.70%</w:t>
            </w:r>
          </w:p>
        </w:tc>
        <w:tc>
          <w:tcPr>
            <w:vAlign w:val="center"/>
          </w:tcPr>
          <w:p>
            <w:pPr>
              <w:jc w:val="center"/>
            </w:pPr>
            <w:r>
              <w:rPr>
                <w:color w:val="000000"/>
                <w:sz w:val="24"/>
              </w:rPr>
              <w:t>0.08%</w:t>
            </w:r>
          </w:p>
        </w:tc>
        <w:tc>
          <w:tcPr>
            <w:vAlign w:val="center"/>
          </w:tcPr>
          <w:p>
            <w:pPr>
              <w:jc w:val="center"/>
            </w:pPr>
            <w:r>
              <w:rPr>
                <w:color w:val="000000"/>
                <w:sz w:val="24"/>
              </w:rPr>
              <w:t>21.62%</w:t>
            </w:r>
          </w:p>
        </w:tc>
        <w:tc>
          <w:tcPr>
            <w:vAlign w:val="center"/>
          </w:tcPr>
          <w:p>
            <w:pPr>
              <w:jc w:val="center"/>
            </w:pPr>
            <w:r>
              <w:rPr>
                <w:color w:val="000000"/>
                <w:sz w:val="24"/>
              </w:rPr>
              <w:t>0.00%</w:t>
            </w:r>
          </w:p>
        </w:tc>
      </w:tr>
      <w:tr>
        <w:tc>
          <w:tcPr>
            <w:vAlign w:val="center"/>
          </w:tcPr>
          <w:p>
            <w:pPr>
              <w:jc w:val="left"/>
            </w:pPr>
            <w:r>
              <w:rPr>
                <w:color w:val="000000"/>
                <w:sz w:val="24"/>
              </w:rPr>
              <w:t>自基金合同生效起至今</w:t>
            </w:r>
          </w:p>
        </w:tc>
        <w:tc>
          <w:tcPr>
            <w:vAlign w:val="center"/>
          </w:tcPr>
          <w:p>
            <w:pPr>
              <w:jc w:val="center"/>
            </w:pPr>
            <w:r>
              <w:rPr>
                <w:color w:val="000000"/>
                <w:sz w:val="24"/>
              </w:rPr>
              <w:t>48.09%</w:t>
            </w:r>
          </w:p>
        </w:tc>
        <w:tc>
          <w:tcPr>
            <w:vAlign w:val="center"/>
          </w:tcPr>
          <w:p>
            <w:pPr>
              <w:jc w:val="center"/>
            </w:pPr>
            <w:r>
              <w:rPr>
                <w:color w:val="000000"/>
                <w:sz w:val="24"/>
              </w:rPr>
              <w:t>0.10%</w:t>
            </w:r>
          </w:p>
        </w:tc>
        <w:tc>
          <w:tcPr>
            <w:vAlign w:val="center"/>
          </w:tcPr>
          <w:p>
            <w:pPr>
              <w:jc w:val="center"/>
            </w:pPr>
            <w:r>
              <w:rPr>
                <w:color w:val="000000"/>
                <w:sz w:val="24"/>
              </w:rPr>
              <w:t>8.80%</w:t>
            </w:r>
          </w:p>
        </w:tc>
        <w:tc>
          <w:tcPr>
            <w:vAlign w:val="center"/>
          </w:tcPr>
          <w:p>
            <w:pPr>
              <w:jc w:val="center"/>
            </w:pPr>
            <w:r>
              <w:rPr>
                <w:color w:val="000000"/>
                <w:sz w:val="24"/>
              </w:rPr>
              <w:t>0.08%</w:t>
            </w:r>
          </w:p>
        </w:tc>
        <w:tc>
          <w:tcPr>
            <w:vAlign w:val="center"/>
          </w:tcPr>
          <w:p>
            <w:pPr>
              <w:jc w:val="center"/>
            </w:pPr>
            <w:r>
              <w:rPr>
                <w:color w:val="000000"/>
                <w:sz w:val="24"/>
              </w:rPr>
              <w:t>39.29%</w:t>
            </w:r>
          </w:p>
        </w:tc>
        <w:tc>
          <w:tcPr>
            <w:vAlign w:val="center"/>
          </w:tcPr>
          <w:p>
            <w:pPr>
              <w:jc w:val="center"/>
            </w:pPr>
            <w:r>
              <w:rPr>
                <w:color w:val="000000"/>
                <w:sz w:val="24"/>
              </w:rPr>
              <w:t>0.02%</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易方达纯债债券C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-0.28%</w:t>
            </w:r>
          </w:p>
        </w:tc>
        <w:tc>
          <w:tcPr>
            <w:vAlign w:val="center"/>
          </w:tcPr>
          <w:p>
            <w:pPr>
              <w:jc w:val="center"/>
            </w:pPr>
            <w:r>
              <w:rPr>
                <w:color w:val="000000"/>
                <w:sz w:val="24"/>
              </w:rPr>
              <w:t>0.13%</w:t>
            </w:r>
          </w:p>
        </w:tc>
        <w:tc>
          <w:tcPr>
            <w:vAlign w:val="center"/>
          </w:tcPr>
          <w:p>
            <w:pPr>
              <w:jc w:val="center"/>
            </w:pPr>
            <w:r>
              <w:rPr>
                <w:color w:val="000000"/>
                <w:sz w:val="24"/>
              </w:rPr>
              <w:t>-1.04%</w:t>
            </w:r>
          </w:p>
        </w:tc>
        <w:tc>
          <w:tcPr>
            <w:vAlign w:val="center"/>
          </w:tcPr>
          <w:p>
            <w:pPr>
              <w:jc w:val="center"/>
            </w:pPr>
            <w:r>
              <w:rPr>
                <w:color w:val="000000"/>
                <w:sz w:val="24"/>
              </w:rPr>
              <w:t>0.12%</w:t>
            </w:r>
          </w:p>
        </w:tc>
        <w:tc>
          <w:tcPr>
            <w:vAlign w:val="center"/>
          </w:tcPr>
          <w:p>
            <w:pPr>
              <w:jc w:val="center"/>
            </w:pPr>
            <w:r>
              <w:rPr>
                <w:color w:val="000000"/>
                <w:sz w:val="24"/>
              </w:rPr>
              <w:t>0.76%</w:t>
            </w:r>
          </w:p>
        </w:tc>
        <w:tc>
          <w:tcPr>
            <w:vAlign w:val="center"/>
          </w:tcPr>
          <w:p>
            <w:pPr>
              <w:jc w:val="center"/>
            </w:pPr>
            <w:r>
              <w:rPr>
                <w:color w:val="000000"/>
                <w:sz w:val="24"/>
              </w:rPr>
              <w:t>0.01%</w:t>
            </w:r>
          </w:p>
        </w:tc>
      </w:tr>
      <w:tr>
        <w:tc>
          <w:tcPr>
            <w:vAlign w:val="center"/>
          </w:tcPr>
          <w:p>
            <w:pPr>
              <w:jc w:val="left"/>
            </w:pPr>
            <w:r>
              <w:rPr>
                <w:color w:val="000000"/>
                <w:sz w:val="24"/>
              </w:rPr>
              <w:t>过去六个月</w:t>
            </w:r>
          </w:p>
        </w:tc>
        <w:tc>
          <w:tcPr>
            <w:vAlign w:val="center"/>
          </w:tcPr>
          <w:p>
            <w:pPr>
              <w:jc w:val="center"/>
            </w:pPr>
            <w:r>
              <w:rPr>
                <w:color w:val="000000"/>
                <w:sz w:val="24"/>
              </w:rPr>
              <w:t>2.00%</w:t>
            </w:r>
          </w:p>
        </w:tc>
        <w:tc>
          <w:tcPr>
            <w:vAlign w:val="center"/>
          </w:tcPr>
          <w:p>
            <w:pPr>
              <w:jc w:val="center"/>
            </w:pPr>
            <w:r>
              <w:rPr>
                <w:color w:val="000000"/>
                <w:sz w:val="24"/>
              </w:rPr>
              <w:t>0.11%</w:t>
            </w:r>
          </w:p>
        </w:tc>
        <w:tc>
          <w:tcPr>
            <w:vAlign w:val="center"/>
          </w:tcPr>
          <w:p>
            <w:pPr>
              <w:jc w:val="center"/>
            </w:pPr>
            <w:r>
              <w:rPr>
                <w:color w:val="000000"/>
                <w:sz w:val="24"/>
              </w:rPr>
              <w:t>0.79%</w:t>
            </w:r>
          </w:p>
        </w:tc>
        <w:tc>
          <w:tcPr>
            <w:vAlign w:val="center"/>
          </w:tcPr>
          <w:p>
            <w:pPr>
              <w:jc w:val="center"/>
            </w:pPr>
            <w:r>
              <w:rPr>
                <w:color w:val="000000"/>
                <w:sz w:val="24"/>
              </w:rPr>
              <w:t>0.11%</w:t>
            </w:r>
          </w:p>
        </w:tc>
        <w:tc>
          <w:tcPr>
            <w:vAlign w:val="center"/>
          </w:tcPr>
          <w:p>
            <w:pPr>
              <w:jc w:val="center"/>
            </w:pPr>
            <w:r>
              <w:rPr>
                <w:color w:val="000000"/>
                <w:sz w:val="24"/>
              </w:rPr>
              <w:t>1.21%</w:t>
            </w:r>
          </w:p>
        </w:tc>
        <w:tc>
          <w:tcPr>
            <w:vAlign w:val="center"/>
          </w:tcPr>
          <w:p>
            <w:pPr>
              <w:jc w:val="center"/>
            </w:pPr>
            <w:r>
              <w:rPr>
                <w:color w:val="000000"/>
                <w:sz w:val="24"/>
              </w:rPr>
              <w:t>0.00%</w:t>
            </w:r>
          </w:p>
        </w:tc>
      </w:tr>
      <w:tr>
        <w:tc>
          <w:tcPr>
            <w:vAlign w:val="center"/>
          </w:tcPr>
          <w:p>
            <w:pPr>
              <w:jc w:val="left"/>
            </w:pPr>
            <w:r>
              <w:rPr>
                <w:color w:val="000000"/>
                <w:sz w:val="24"/>
              </w:rPr>
              <w:t>过去一年</w:t>
            </w:r>
          </w:p>
        </w:tc>
        <w:tc>
          <w:tcPr>
            <w:vAlign w:val="center"/>
          </w:tcPr>
          <w:p>
            <w:pPr>
              <w:jc w:val="center"/>
            </w:pPr>
            <w:r>
              <w:rPr>
                <w:color w:val="000000"/>
                <w:sz w:val="24"/>
              </w:rPr>
              <w:t>4.43%</w:t>
            </w:r>
          </w:p>
        </w:tc>
        <w:tc>
          <w:tcPr>
            <w:vAlign w:val="center"/>
          </w:tcPr>
          <w:p>
            <w:pPr>
              <w:jc w:val="center"/>
            </w:pPr>
            <w:r>
              <w:rPr>
                <w:color w:val="000000"/>
                <w:sz w:val="24"/>
              </w:rPr>
              <w:t>0.08%</w:t>
            </w:r>
          </w:p>
        </w:tc>
        <w:tc>
          <w:tcPr>
            <w:vAlign w:val="center"/>
          </w:tcPr>
          <w:p>
            <w:pPr>
              <w:jc w:val="center"/>
            </w:pPr>
            <w:r>
              <w:rPr>
                <w:color w:val="000000"/>
                <w:sz w:val="24"/>
              </w:rPr>
              <w:t>1.87%</w:t>
            </w:r>
          </w:p>
        </w:tc>
        <w:tc>
          <w:tcPr>
            <w:vAlign w:val="center"/>
          </w:tcPr>
          <w:p>
            <w:pPr>
              <w:jc w:val="center"/>
            </w:pPr>
            <w:r>
              <w:rPr>
                <w:color w:val="000000"/>
                <w:sz w:val="24"/>
              </w:rPr>
              <w:t>0.08%</w:t>
            </w:r>
          </w:p>
        </w:tc>
        <w:tc>
          <w:tcPr>
            <w:vAlign w:val="center"/>
          </w:tcPr>
          <w:p>
            <w:pPr>
              <w:jc w:val="center"/>
            </w:pPr>
            <w:r>
              <w:rPr>
                <w:color w:val="000000"/>
                <w:sz w:val="24"/>
              </w:rPr>
              <w:t>2.56%</w:t>
            </w:r>
          </w:p>
        </w:tc>
        <w:tc>
          <w:tcPr>
            <w:vAlign w:val="center"/>
          </w:tcPr>
          <w:p>
            <w:pPr>
              <w:jc w:val="center"/>
            </w:pPr>
            <w:r>
              <w:rPr>
                <w:color w:val="000000"/>
                <w:sz w:val="24"/>
              </w:rPr>
              <w:t>0.00%</w:t>
            </w:r>
          </w:p>
        </w:tc>
      </w:tr>
      <w:tr>
        <w:tc>
          <w:tcPr>
            <w:vAlign w:val="center"/>
          </w:tcPr>
          <w:p>
            <w:pPr>
              <w:jc w:val="left"/>
            </w:pPr>
            <w:r>
              <w:rPr>
                <w:color w:val="000000"/>
                <w:sz w:val="24"/>
              </w:rPr>
              <w:t>过去三年</w:t>
            </w:r>
          </w:p>
        </w:tc>
        <w:tc>
          <w:tcPr>
            <w:vAlign w:val="center"/>
          </w:tcPr>
          <w:p>
            <w:pPr>
              <w:jc w:val="center"/>
            </w:pPr>
            <w:r>
              <w:rPr>
                <w:color w:val="000000"/>
                <w:sz w:val="24"/>
              </w:rPr>
              <w:t>15.64%</w:t>
            </w:r>
          </w:p>
        </w:tc>
        <w:tc>
          <w:tcPr>
            <w:vAlign w:val="center"/>
          </w:tcPr>
          <w:p>
            <w:pPr>
              <w:jc w:val="center"/>
            </w:pPr>
            <w:r>
              <w:rPr>
                <w:color w:val="000000"/>
                <w:sz w:val="24"/>
              </w:rPr>
              <w:t>0.07%</w:t>
            </w:r>
          </w:p>
        </w:tc>
        <w:tc>
          <w:tcPr>
            <w:vAlign w:val="center"/>
          </w:tcPr>
          <w:p>
            <w:pPr>
              <w:jc w:val="center"/>
            </w:pPr>
            <w:r>
              <w:rPr>
                <w:color w:val="000000"/>
                <w:sz w:val="24"/>
              </w:rPr>
              <w:t>5.61%</w:t>
            </w:r>
          </w:p>
        </w:tc>
        <w:tc>
          <w:tcPr>
            <w:vAlign w:val="center"/>
          </w:tcPr>
          <w:p>
            <w:pPr>
              <w:jc w:val="center"/>
            </w:pPr>
            <w:r>
              <w:rPr>
                <w:color w:val="000000"/>
                <w:sz w:val="24"/>
              </w:rPr>
              <w:t>0.07%</w:t>
            </w:r>
          </w:p>
        </w:tc>
        <w:tc>
          <w:tcPr>
            <w:vAlign w:val="center"/>
          </w:tcPr>
          <w:p>
            <w:pPr>
              <w:jc w:val="center"/>
            </w:pPr>
            <w:r>
              <w:rPr>
                <w:color w:val="000000"/>
                <w:sz w:val="24"/>
              </w:rPr>
              <w:t>10.03%</w:t>
            </w:r>
          </w:p>
        </w:tc>
        <w:tc>
          <w:tcPr>
            <w:vAlign w:val="center"/>
          </w:tcPr>
          <w:p>
            <w:pPr>
              <w:jc w:val="center"/>
            </w:pPr>
            <w:r>
              <w:rPr>
                <w:color w:val="000000"/>
                <w:sz w:val="24"/>
              </w:rPr>
              <w:t>0.00%</w:t>
            </w:r>
          </w:p>
        </w:tc>
      </w:tr>
      <w:tr>
        <w:tc>
          <w:tcPr>
            <w:vAlign w:val="center"/>
          </w:tcPr>
          <w:p>
            <w:pPr>
              <w:jc w:val="left"/>
            </w:pPr>
            <w:r>
              <w:rPr>
                <w:color w:val="000000"/>
                <w:sz w:val="24"/>
              </w:rPr>
              <w:t>过去五年</w:t>
            </w:r>
          </w:p>
        </w:tc>
        <w:tc>
          <w:tcPr>
            <w:vAlign w:val="center"/>
          </w:tcPr>
          <w:p>
            <w:pPr>
              <w:jc w:val="center"/>
            </w:pPr>
            <w:r>
              <w:rPr>
                <w:color w:val="000000"/>
                <w:sz w:val="24"/>
              </w:rPr>
              <w:t>23.66%</w:t>
            </w:r>
          </w:p>
        </w:tc>
        <w:tc>
          <w:tcPr>
            <w:vAlign w:val="center"/>
          </w:tcPr>
          <w:p>
            <w:pPr>
              <w:jc w:val="center"/>
            </w:pPr>
            <w:r>
              <w:rPr>
                <w:color w:val="000000"/>
                <w:sz w:val="24"/>
              </w:rPr>
              <w:t>0.08%</w:t>
            </w:r>
          </w:p>
        </w:tc>
        <w:tc>
          <w:tcPr>
            <w:vAlign w:val="center"/>
          </w:tcPr>
          <w:p>
            <w:pPr>
              <w:jc w:val="center"/>
            </w:pPr>
            <w:r>
              <w:rPr>
                <w:color w:val="000000"/>
                <w:sz w:val="24"/>
              </w:rPr>
              <w:t>4.70%</w:t>
            </w:r>
          </w:p>
        </w:tc>
        <w:tc>
          <w:tcPr>
            <w:vAlign w:val="center"/>
          </w:tcPr>
          <w:p>
            <w:pPr>
              <w:jc w:val="center"/>
            </w:pPr>
            <w:r>
              <w:rPr>
                <w:color w:val="000000"/>
                <w:sz w:val="24"/>
              </w:rPr>
              <w:t>0.08%</w:t>
            </w:r>
          </w:p>
        </w:tc>
        <w:tc>
          <w:tcPr>
            <w:vAlign w:val="center"/>
          </w:tcPr>
          <w:p>
            <w:pPr>
              <w:jc w:val="center"/>
            </w:pPr>
            <w:r>
              <w:rPr>
                <w:color w:val="000000"/>
                <w:sz w:val="24"/>
              </w:rPr>
              <w:t>18.96%</w:t>
            </w:r>
          </w:p>
        </w:tc>
        <w:tc>
          <w:tcPr>
            <w:vAlign w:val="center"/>
          </w:tcPr>
          <w:p>
            <w:pPr>
              <w:jc w:val="center"/>
            </w:pPr>
            <w:r>
              <w:rPr>
                <w:color w:val="000000"/>
                <w:sz w:val="24"/>
              </w:rPr>
              <w:t>0.00%</w:t>
            </w:r>
          </w:p>
        </w:tc>
      </w:tr>
      <w:tr>
        <w:tc>
          <w:tcPr>
            <w:vAlign w:val="center"/>
          </w:tcPr>
          <w:p>
            <w:pPr>
              <w:jc w:val="left"/>
            </w:pPr>
            <w:r>
              <w:rPr>
                <w:color w:val="000000"/>
                <w:sz w:val="24"/>
              </w:rPr>
              <w:t>自基金合同生效起至今</w:t>
            </w:r>
          </w:p>
        </w:tc>
        <w:tc>
          <w:tcPr>
            <w:vAlign w:val="center"/>
          </w:tcPr>
          <w:p>
            <w:pPr>
              <w:jc w:val="center"/>
            </w:pPr>
            <w:r>
              <w:rPr>
                <w:color w:val="000000"/>
                <w:sz w:val="24"/>
              </w:rPr>
              <w:t>43.43%</w:t>
            </w:r>
          </w:p>
        </w:tc>
        <w:tc>
          <w:tcPr>
            <w:vAlign w:val="center"/>
          </w:tcPr>
          <w:p>
            <w:pPr>
              <w:jc w:val="center"/>
            </w:pPr>
            <w:r>
              <w:rPr>
                <w:color w:val="000000"/>
                <w:sz w:val="24"/>
              </w:rPr>
              <w:t>0.10%</w:t>
            </w:r>
          </w:p>
        </w:tc>
        <w:tc>
          <w:tcPr>
            <w:vAlign w:val="center"/>
          </w:tcPr>
          <w:p>
            <w:pPr>
              <w:jc w:val="center"/>
            </w:pPr>
            <w:r>
              <w:rPr>
                <w:color w:val="000000"/>
                <w:sz w:val="24"/>
              </w:rPr>
              <w:t>8.80%</w:t>
            </w:r>
          </w:p>
        </w:tc>
        <w:tc>
          <w:tcPr>
            <w:vAlign w:val="center"/>
          </w:tcPr>
          <w:p>
            <w:pPr>
              <w:jc w:val="center"/>
            </w:pPr>
            <w:r>
              <w:rPr>
                <w:color w:val="000000"/>
                <w:sz w:val="24"/>
              </w:rPr>
              <w:t>0.08%</w:t>
            </w:r>
          </w:p>
        </w:tc>
        <w:tc>
          <w:tcPr>
            <w:vAlign w:val="center"/>
          </w:tcPr>
          <w:p>
            <w:pPr>
              <w:jc w:val="center"/>
            </w:pPr>
            <w:r>
              <w:rPr>
                <w:color w:val="000000"/>
                <w:sz w:val="24"/>
              </w:rPr>
              <w:t>34.63%</w:t>
            </w:r>
          </w:p>
        </w:tc>
        <w:tc>
          <w:tcPr>
            <w:vAlign w:val="center"/>
          </w:tcPr>
          <w:p>
            <w:pPr>
              <w:jc w:val="center"/>
            </w:pPr>
            <w:r>
              <w:rPr>
                <w:color w:val="000000"/>
                <w:sz w:val="24"/>
              </w:rPr>
              <w:t>0.02%</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易方达纯债债券型证券投资基金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（2012年5月3日至2020年6月30日）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易方达纯债债券A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易方达纯债债券C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注：自基金合同生效至报告期末，A类基金份额净值增长率为48.09%，C类基金份额净值增长率为43.43%，同期业绩比较基准收益率为8.80%。</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张雅君</w:t>
            </w:r>
          </w:p>
        </w:tc>
        <w:tc>
          <w:tcPr>
            <w:vAlign w:val="center"/>
          </w:tcPr>
          <w:p>
            <w:pPr>
              <w:jc w:val="left"/>
            </w:pPr>
            <w:r>
              <w:rPr>
                <w:color w:val="000000"/>
                <w:sz w:val="24"/>
              </w:rPr>
              <w:t>本基金的基金经理、易方达增强回报债券型证券投资基金的基金经理（自2014年07月19日至2020年05月26日）、易方达裕丰回报债券型证券投资基金的基金经理、易方达富财纯债债券型证券投资基金的基金经理、易方达恒兴3个月定期开放债券型发起式证券投资基金的基金经理、易方达裕富债券型证券投资基金的基金经理、易方达招易一年持有期混合型证券投资基金的基金经理、易方达安心回报债券型证券投资基金的基金经理助理、易方达鑫转增利混合型证券投资基金的基金经理助理、易方达鑫转添利混合型证券投资基金的基金经理助理、易方达鑫转招利混合型证券投资基金的基金经理助理、易方达丰华债券型证券投资基金的基金经理助理、易方达丰和债券型证券投资基金的基金经理助理、易方达安盈回报混合型证券投资基金的基金经理助理、易方达恒久添利1年定期开放债券型证券投资基金的基金经理助理（自2019年04月04日至2020年05月21日）、混合资产投资部总经理助理</w:t>
            </w:r>
          </w:p>
        </w:tc>
        <w:tc>
          <w:tcPr>
            <w:vAlign w:val="center"/>
          </w:tcPr>
          <w:p>
            <w:pPr>
              <w:jc w:val="center"/>
            </w:pPr>
            <w:r>
              <w:rPr>
                <w:color w:val="000000"/>
                <w:sz w:val="24"/>
              </w:rPr>
              <w:t>2015-01-10</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海通证券股份有限公司项目经理，工银瑞信基金管理有限公司债券交易员，易方达基金管理有限公司债券交易员、固定收益研究员、固定收益基金投资部总经理助理、易方达裕祥回报债券型证券投资基金基金经理、易方达恒益定期开放债券型发起式证券投资基金基金经理、易方达富惠纯债债券型证券投资基金基金经理、易方达中债3-5年期国债指数证券投资基金基金经理、易方达中债7-10年期国开行债券指数证券投资基金基金经理、易方达裕祥回报债券型证券投资基金基金经理助理、易方达裕丰回报债券型证券投资基金基金经理助理、易方达投资级信用债债券型证券投资基金基金经理助理、易方达新收益灵活配置混合型证券投资基金基金经理助理、易方达保本一号混合型证券投资基金基金经理助理、易方达裕惠回报定期开放式混合型发起式证券投资基金基金经理助理、易方达安心回馈混合型证券投资基金基金经理助理、易方达裕如灵活配置混合型证券投资基金基金经理助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债券市场方面，二季度收益率先下后上，整体波动很大。季度初，海内外疫情影响仍在持续，市场风险偏好仍处于相对低位。清明节期间央行实行定向降准、下调超额准备金利率等操作，资金面整体较为宽松，长端收益率震荡下行。但到5月上旬，货币政策进一步宽松不及预期叠加五一消费复苏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半年末，央行适时开启逆回购呵护半年末流动性，市场情绪有所恢复，长端收益率趋于稳定。信用债走势与利率债类似，全季来看收益率整体大幅上行，长端信用利整体走阔。</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报告期内，本基金规模变化较大，组合在5月大幅降低了杠杆和久期水平，信用债仓位保持稳定，利率债以波段操作为主。</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1.105元，本报告期份额净值增长率为-0.19%，同期业绩比较基准收益率为-1.04%；C类基金份额净值为1.103元，本报告期份额净值增长率为-0.28%，同期业绩比较基准收益率为-1.04%。</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8,157,852,990.00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94.61</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7,859,313,990.00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91.14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298,539,000.00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3.46</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168,429,399.44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1.95</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296,641,032.90</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3.44</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8,622,923,422.34</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p w:rsidP="00EA6415" w:rsidR="00874AA3" w:rsidRDefault="00874AA3" w:rsidRPr="00EA6415">
      <w:pPr>
        <w:spacing w:line="360" w:lineRule="auto"/>
        <w:ind w:firstLine="480" w:firstLineChars="200"/>
        <w:rPr>
          <w:color w:val="000000"/>
          <w:sz w:val="24"/>
        </w:rPr>
      </w:pPr>
      <w:r w:rsidRPr="00EA6415">
        <w:rPr>
          <w:color w:val="000000"/>
          <w:sz w:val="24"/>
        </w:rPr>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本基金本报告期末未持有境内股票。</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本基金本报告期末未持有股票。</w:t>
      </w:r>
    </w:p>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371,695,500.00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5.52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371,695,500.00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5.52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2,628,921,490.00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39.05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30,244,000.00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0.45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4,828,453,000.00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71.72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7,859,313,990.00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116.75</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160206</w:t>
            </w:r>
          </w:p>
        </w:tc>
        <w:tc>
          <w:tcPr>
            <w:vAlign w:val="center"/>
          </w:tcPr>
          <w:p>
            <w:pPr>
              <w:jc w:val="center"/>
            </w:pPr>
            <w:r>
              <w:rPr>
                <w:color w:val="000000"/>
                <w:sz w:val="24"/>
              </w:rPr>
              <w:t>16国开06</w:t>
            </w:r>
          </w:p>
        </w:tc>
        <w:tc>
          <w:tcPr>
            <w:vAlign w:val="center"/>
          </w:tcPr>
          <w:p>
            <w:pPr>
              <w:jc w:val="right"/>
            </w:pPr>
            <w:r>
              <w:rPr>
                <w:color w:val="000000"/>
                <w:sz w:val="24"/>
              </w:rPr>
              <w:t>1,550,000</w:t>
            </w:r>
          </w:p>
        </w:tc>
        <w:tc>
          <w:tcPr>
            <w:vAlign w:val="center"/>
          </w:tcPr>
          <w:p>
            <w:pPr>
              <w:jc w:val="right"/>
            </w:pPr>
            <w:r>
              <w:rPr>
                <w:color w:val="000000"/>
                <w:sz w:val="24"/>
              </w:rPr>
              <w:t>155,759,500.00</w:t>
            </w:r>
          </w:p>
        </w:tc>
        <w:tc>
          <w:tcPr>
            <w:vAlign w:val="center"/>
          </w:tcPr>
          <w:p>
            <w:pPr>
              <w:jc w:val="right"/>
            </w:pPr>
            <w:r>
              <w:rPr>
                <w:color w:val="000000"/>
                <w:sz w:val="24"/>
              </w:rPr>
              <w:t>2.31</w:t>
            </w:r>
          </w:p>
        </w:tc>
      </w:tr>
      <w:tr>
        <w:tc>
          <w:tcPr>
            <w:vAlign w:val="center"/>
          </w:tcPr>
          <w:p>
            <w:pPr>
              <w:jc w:val="center"/>
            </w:pPr>
            <w:r>
              <w:rPr>
                <w:color w:val="000000"/>
                <w:sz w:val="24"/>
              </w:rPr>
              <w:t>2</w:t>
            </w:r>
          </w:p>
        </w:tc>
        <w:tc>
          <w:tcPr>
            <w:vAlign w:val="center"/>
          </w:tcPr>
          <w:p>
            <w:pPr>
              <w:jc w:val="center"/>
            </w:pPr>
            <w:r>
              <w:rPr>
                <w:color w:val="000000"/>
                <w:sz w:val="24"/>
              </w:rPr>
              <w:t>102000345</w:t>
            </w:r>
          </w:p>
        </w:tc>
        <w:tc>
          <w:tcPr>
            <w:vAlign w:val="center"/>
          </w:tcPr>
          <w:p>
            <w:pPr>
              <w:jc w:val="center"/>
            </w:pPr>
            <w:r>
              <w:rPr>
                <w:color w:val="000000"/>
                <w:sz w:val="24"/>
              </w:rPr>
              <w:t>20中铝集MTN001A</w:t>
            </w:r>
          </w:p>
        </w:tc>
        <w:tc>
          <w:tcPr>
            <w:vAlign w:val="center"/>
          </w:tcPr>
          <w:p>
            <w:pPr>
              <w:jc w:val="right"/>
            </w:pPr>
            <w:r>
              <w:rPr>
                <w:color w:val="000000"/>
                <w:sz w:val="24"/>
              </w:rPr>
              <w:t>1,500,000</w:t>
            </w:r>
          </w:p>
        </w:tc>
        <w:tc>
          <w:tcPr>
            <w:vAlign w:val="center"/>
          </w:tcPr>
          <w:p>
            <w:pPr>
              <w:jc w:val="right"/>
            </w:pPr>
            <w:r>
              <w:rPr>
                <w:color w:val="000000"/>
                <w:sz w:val="24"/>
              </w:rPr>
              <w:t>146,580,000.00</w:t>
            </w:r>
          </w:p>
        </w:tc>
        <w:tc>
          <w:tcPr>
            <w:vAlign w:val="center"/>
          </w:tcPr>
          <w:p>
            <w:pPr>
              <w:jc w:val="right"/>
            </w:pPr>
            <w:r>
              <w:rPr>
                <w:color w:val="000000"/>
                <w:sz w:val="24"/>
              </w:rPr>
              <w:t>2.18</w:t>
            </w:r>
          </w:p>
        </w:tc>
      </w:tr>
      <w:tr>
        <w:tc>
          <w:tcPr>
            <w:vAlign w:val="center"/>
          </w:tcPr>
          <w:p>
            <w:pPr>
              <w:jc w:val="center"/>
            </w:pPr>
            <w:r>
              <w:rPr>
                <w:color w:val="000000"/>
                <w:sz w:val="24"/>
              </w:rPr>
              <w:t>3</w:t>
            </w:r>
          </w:p>
        </w:tc>
        <w:tc>
          <w:tcPr>
            <w:vAlign w:val="center"/>
          </w:tcPr>
          <w:p>
            <w:pPr>
              <w:jc w:val="center"/>
            </w:pPr>
            <w:r>
              <w:rPr>
                <w:color w:val="000000"/>
                <w:sz w:val="24"/>
              </w:rPr>
              <w:t>101900529</w:t>
            </w:r>
          </w:p>
        </w:tc>
        <w:tc>
          <w:tcPr>
            <w:vAlign w:val="center"/>
          </w:tcPr>
          <w:p>
            <w:pPr>
              <w:jc w:val="center"/>
            </w:pPr>
            <w:r>
              <w:rPr>
                <w:color w:val="000000"/>
                <w:sz w:val="24"/>
              </w:rPr>
              <w:t>19海运集装MTN001</w:t>
            </w:r>
          </w:p>
        </w:tc>
        <w:tc>
          <w:tcPr>
            <w:vAlign w:val="center"/>
          </w:tcPr>
          <w:p>
            <w:pPr>
              <w:jc w:val="right"/>
            </w:pPr>
            <w:r>
              <w:rPr>
                <w:color w:val="000000"/>
                <w:sz w:val="24"/>
              </w:rPr>
              <w:t>1,300,000</w:t>
            </w:r>
          </w:p>
        </w:tc>
        <w:tc>
          <w:tcPr>
            <w:vAlign w:val="center"/>
          </w:tcPr>
          <w:p>
            <w:pPr>
              <w:jc w:val="right"/>
            </w:pPr>
            <w:r>
              <w:rPr>
                <w:color w:val="000000"/>
                <w:sz w:val="24"/>
              </w:rPr>
              <w:t>132,288,000.00</w:t>
            </w:r>
          </w:p>
        </w:tc>
        <w:tc>
          <w:tcPr>
            <w:vAlign w:val="center"/>
          </w:tcPr>
          <w:p>
            <w:pPr>
              <w:jc w:val="right"/>
            </w:pPr>
            <w:r>
              <w:rPr>
                <w:color w:val="000000"/>
                <w:sz w:val="24"/>
              </w:rPr>
              <w:t>1.97</w:t>
            </w:r>
          </w:p>
        </w:tc>
      </w:tr>
      <w:tr>
        <w:tc>
          <w:tcPr>
            <w:vAlign w:val="center"/>
          </w:tcPr>
          <w:p>
            <w:pPr>
              <w:jc w:val="center"/>
            </w:pPr>
            <w:r>
              <w:rPr>
                <w:color w:val="000000"/>
                <w:sz w:val="24"/>
              </w:rPr>
              <w:t>4</w:t>
            </w:r>
          </w:p>
        </w:tc>
        <w:tc>
          <w:tcPr>
            <w:vAlign w:val="center"/>
          </w:tcPr>
          <w:p>
            <w:pPr>
              <w:jc w:val="center"/>
            </w:pPr>
            <w:r>
              <w:rPr>
                <w:color w:val="000000"/>
                <w:sz w:val="24"/>
              </w:rPr>
              <w:t>100228</w:t>
            </w:r>
          </w:p>
        </w:tc>
        <w:tc>
          <w:tcPr>
            <w:vAlign w:val="center"/>
          </w:tcPr>
          <w:p>
            <w:pPr>
              <w:jc w:val="center"/>
            </w:pPr>
            <w:r>
              <w:rPr>
                <w:color w:val="000000"/>
                <w:sz w:val="24"/>
              </w:rPr>
              <w:t>10国开28</w:t>
            </w:r>
          </w:p>
        </w:tc>
        <w:tc>
          <w:tcPr>
            <w:vAlign w:val="center"/>
          </w:tcPr>
          <w:p>
            <w:pPr>
              <w:jc w:val="right"/>
            </w:pPr>
            <w:r>
              <w:rPr>
                <w:color w:val="000000"/>
                <w:sz w:val="24"/>
              </w:rPr>
              <w:t>1,100,000</w:t>
            </w:r>
          </w:p>
        </w:tc>
        <w:tc>
          <w:tcPr>
            <w:vAlign w:val="center"/>
          </w:tcPr>
          <w:p>
            <w:pPr>
              <w:jc w:val="right"/>
            </w:pPr>
            <w:r>
              <w:rPr>
                <w:color w:val="000000"/>
                <w:sz w:val="24"/>
              </w:rPr>
              <w:t>110,022,000.00</w:t>
            </w:r>
          </w:p>
        </w:tc>
        <w:tc>
          <w:tcPr>
            <w:vAlign w:val="center"/>
          </w:tcPr>
          <w:p>
            <w:pPr>
              <w:jc w:val="right"/>
            </w:pPr>
            <w:r>
              <w:rPr>
                <w:color w:val="000000"/>
                <w:sz w:val="24"/>
              </w:rPr>
              <w:t>1.63</w:t>
            </w:r>
          </w:p>
        </w:tc>
      </w:tr>
      <w:tr>
        <w:tc>
          <w:tcPr>
            <w:vAlign w:val="center"/>
          </w:tcPr>
          <w:p>
            <w:pPr>
              <w:jc w:val="center"/>
            </w:pPr>
            <w:r>
              <w:rPr>
                <w:color w:val="000000"/>
                <w:sz w:val="24"/>
              </w:rPr>
              <w:t>5</w:t>
            </w:r>
          </w:p>
        </w:tc>
        <w:tc>
          <w:tcPr>
            <w:vAlign w:val="center"/>
          </w:tcPr>
          <w:p>
            <w:pPr>
              <w:jc w:val="center"/>
            </w:pPr>
            <w:r>
              <w:rPr>
                <w:color w:val="000000"/>
                <w:sz w:val="24"/>
              </w:rPr>
              <w:t>101763011</w:t>
            </w:r>
          </w:p>
        </w:tc>
        <w:tc>
          <w:tcPr>
            <w:vAlign w:val="center"/>
          </w:tcPr>
          <w:p>
            <w:pPr>
              <w:jc w:val="center"/>
            </w:pPr>
            <w:r>
              <w:rPr>
                <w:color w:val="000000"/>
                <w:sz w:val="24"/>
              </w:rPr>
              <w:t>17长发集团MTN002</w:t>
            </w:r>
          </w:p>
        </w:tc>
        <w:tc>
          <w:tcPr>
            <w:vAlign w:val="center"/>
          </w:tcPr>
          <w:p>
            <w:pPr>
              <w:jc w:val="right"/>
            </w:pPr>
            <w:r>
              <w:rPr>
                <w:color w:val="000000"/>
                <w:sz w:val="24"/>
              </w:rPr>
              <w:t>1,000,000</w:t>
            </w:r>
          </w:p>
        </w:tc>
        <w:tc>
          <w:tcPr>
            <w:vAlign w:val="center"/>
          </w:tcPr>
          <w:p>
            <w:pPr>
              <w:jc w:val="right"/>
            </w:pPr>
            <w:r>
              <w:rPr>
                <w:color w:val="000000"/>
                <w:sz w:val="24"/>
              </w:rPr>
              <w:t>104,570,000.00</w:t>
            </w:r>
          </w:p>
        </w:tc>
        <w:tc>
          <w:tcPr>
            <w:vAlign w:val="center"/>
          </w:tcPr>
          <w:p>
            <w:pPr>
              <w:jc w:val="right"/>
            </w:pPr>
            <w:r>
              <w:rPr>
                <w:color w:val="000000"/>
                <w:sz w:val="24"/>
              </w:rPr>
              <w:t>1.55</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21"/>
        <w:gridCol w:w="1316"/>
        <w:gridCol w:w="1272"/>
        <w:gridCol w:w="1732"/>
        <w:gridCol w:w="1652"/>
        <w:gridCol w:w="1828"/>
      </w:tblGrid>
      <w:tr w:rsidR="00F016DD" w:rsidRPr="0078105B" w:rsidTr="00174038">
        <w:tc>
          <w:tcPr>
            <w:tcW w:type="dxa" w:w="1187"/>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3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证券代码</w:t>
            </w:r>
          </w:p>
        </w:tc>
        <w:tc>
          <w:tcPr>
            <w:tcW w:type="dxa" w:w="1263"/>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证券名称</w:t>
            </w:r>
          </w:p>
        </w:tc>
        <w:tc>
          <w:tcPr>
            <w:tcW w:type="dxa" w:w="181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w:t>
            </w:r>
            <w:r w:rsidRPr="00FA472B">
              <w:rPr>
                <w:color w:val="000000"/>
                <w:kern w:val="0"/>
                <w:sz w:val="24"/>
              </w:rPr>
              <w:t>(</w:t>
            </w:r>
            <w:r w:rsidRPr="00FA472B">
              <w:rPr>
                <w:color w:val="000000"/>
                <w:kern w:val="0"/>
                <w:sz w:val="24"/>
              </w:rPr>
              <w:t>份</w:t>
            </w:r>
            <w:r w:rsidRPr="00FA472B">
              <w:rPr>
                <w:color w:val="000000"/>
                <w:kern w:val="0"/>
                <w:sz w:val="24"/>
              </w:rPr>
              <w:t>)</w:t>
            </w:r>
          </w:p>
        </w:tc>
        <w:tc>
          <w:tcPr>
            <w:tcW w:type="dxa" w:w="1698"/>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172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r w:rsidRPr="00FA472B">
              <w:rPr>
                <w:color w:val="000000"/>
                <w:kern w:val="0"/>
                <w:sz w:val="24"/>
              </w:rPr>
              <w:t>%</w:t>
            </w:r>
            <w:r w:rsidRPr="00FA472B">
              <w:rPr>
                <w:color w:val="000000"/>
                <w:kern w:val="0"/>
                <w:sz w:val="24"/>
              </w:rPr>
              <w:t>）</w:t>
            </w:r>
          </w:p>
        </w:tc>
      </w:tr>
      <w:tr>
        <w:tc>
          <w:tcPr>
            <w:vAlign w:val="center"/>
          </w:tcPr>
          <w:p>
            <w:pPr>
              <w:jc w:val="center"/>
            </w:pPr>
            <w:r>
              <w:rPr>
                <w:color w:val="000000"/>
                <w:sz w:val="24"/>
              </w:rPr>
              <w:t>1</w:t>
            </w:r>
          </w:p>
        </w:tc>
        <w:tc>
          <w:tcPr>
            <w:vAlign w:val="center"/>
          </w:tcPr>
          <w:p>
            <w:pPr>
              <w:jc w:val="center"/>
            </w:pPr>
            <w:r>
              <w:rPr>
                <w:color w:val="000000"/>
                <w:sz w:val="24"/>
              </w:rPr>
              <w:t>165209</w:t>
            </w:r>
          </w:p>
        </w:tc>
        <w:tc>
          <w:tcPr>
            <w:vAlign w:val="center"/>
          </w:tcPr>
          <w:p>
            <w:pPr>
              <w:jc w:val="center"/>
            </w:pPr>
            <w:r>
              <w:rPr>
                <w:color w:val="000000"/>
                <w:sz w:val="24"/>
              </w:rPr>
              <w:t>PR安吉3A</w:t>
            </w:r>
          </w:p>
        </w:tc>
        <w:tc>
          <w:tcPr>
            <w:vAlign w:val="center"/>
          </w:tcPr>
          <w:p>
            <w:pPr>
              <w:jc w:val="right"/>
            </w:pPr>
            <w:r>
              <w:rPr>
                <w:color w:val="000000"/>
                <w:sz w:val="24"/>
              </w:rPr>
              <w:t>400,000</w:t>
            </w:r>
          </w:p>
        </w:tc>
        <w:tc>
          <w:tcPr>
            <w:vAlign w:val="center"/>
          </w:tcPr>
          <w:p>
            <w:pPr>
              <w:jc w:val="right"/>
            </w:pPr>
            <w:r>
              <w:rPr>
                <w:color w:val="000000"/>
                <w:sz w:val="24"/>
              </w:rPr>
              <w:t>25,020,000.00</w:t>
            </w:r>
          </w:p>
        </w:tc>
        <w:tc>
          <w:tcPr>
            <w:vAlign w:val="center"/>
          </w:tcPr>
          <w:p>
            <w:pPr>
              <w:jc w:val="right"/>
            </w:pPr>
            <w:r>
              <w:rPr>
                <w:color w:val="000000"/>
                <w:sz w:val="24"/>
              </w:rPr>
              <w:t>0.37</w:t>
            </w:r>
          </w:p>
        </w:tc>
      </w:tr>
      <w:tr>
        <w:tc>
          <w:tcPr>
            <w:vAlign w:val="center"/>
          </w:tcPr>
          <w:p>
            <w:pPr>
              <w:jc w:val="center"/>
            </w:pPr>
            <w:r>
              <w:rPr>
                <w:color w:val="000000"/>
                <w:sz w:val="24"/>
              </w:rPr>
              <w:t>2</w:t>
            </w:r>
          </w:p>
        </w:tc>
        <w:tc>
          <w:tcPr>
            <w:vAlign w:val="center"/>
          </w:tcPr>
          <w:p>
            <w:pPr>
              <w:jc w:val="center"/>
            </w:pPr>
            <w:r>
              <w:rPr>
                <w:color w:val="000000"/>
                <w:sz w:val="24"/>
              </w:rPr>
              <w:t>165814</w:t>
            </w:r>
          </w:p>
        </w:tc>
        <w:tc>
          <w:tcPr>
            <w:vAlign w:val="center"/>
          </w:tcPr>
          <w:p>
            <w:pPr>
              <w:jc w:val="center"/>
            </w:pPr>
            <w:r>
              <w:rPr>
                <w:color w:val="000000"/>
                <w:sz w:val="24"/>
              </w:rPr>
              <w:t>PR安吉5A</w:t>
            </w:r>
          </w:p>
        </w:tc>
        <w:tc>
          <w:tcPr>
            <w:vAlign w:val="center"/>
          </w:tcPr>
          <w:p>
            <w:pPr>
              <w:jc w:val="right"/>
            </w:pPr>
            <w:r>
              <w:rPr>
                <w:color w:val="000000"/>
                <w:sz w:val="24"/>
              </w:rPr>
              <w:t>300,000</w:t>
            </w:r>
          </w:p>
        </w:tc>
        <w:tc>
          <w:tcPr>
            <w:vAlign w:val="center"/>
          </w:tcPr>
          <w:p>
            <w:pPr>
              <w:jc w:val="right"/>
            </w:pPr>
            <w:r>
              <w:rPr>
                <w:color w:val="000000"/>
                <w:sz w:val="24"/>
              </w:rPr>
              <w:t>20,661,000.00</w:t>
            </w:r>
          </w:p>
        </w:tc>
        <w:tc>
          <w:tcPr>
            <w:vAlign w:val="center"/>
          </w:tcPr>
          <w:p>
            <w:pPr>
              <w:jc w:val="right"/>
            </w:pPr>
            <w:r>
              <w:rPr>
                <w:color w:val="000000"/>
                <w:sz w:val="24"/>
              </w:rPr>
              <w:t>0.31</w:t>
            </w:r>
          </w:p>
        </w:tc>
      </w:tr>
      <w:tr>
        <w:tc>
          <w:tcPr>
            <w:vAlign w:val="center"/>
          </w:tcPr>
          <w:p>
            <w:pPr>
              <w:jc w:val="center"/>
            </w:pPr>
            <w:r>
              <w:rPr>
                <w:color w:val="000000"/>
                <w:sz w:val="24"/>
              </w:rPr>
              <w:t>3</w:t>
            </w:r>
          </w:p>
        </w:tc>
        <w:tc>
          <w:tcPr>
            <w:vAlign w:val="center"/>
          </w:tcPr>
          <w:p>
            <w:pPr>
              <w:jc w:val="center"/>
            </w:pPr>
            <w:r>
              <w:rPr>
                <w:color w:val="000000"/>
                <w:sz w:val="24"/>
              </w:rPr>
              <w:t>138325</w:t>
            </w:r>
          </w:p>
        </w:tc>
        <w:tc>
          <w:tcPr>
            <w:vAlign w:val="center"/>
          </w:tcPr>
          <w:p>
            <w:pPr>
              <w:jc w:val="center"/>
            </w:pPr>
            <w:r>
              <w:rPr>
                <w:color w:val="000000"/>
                <w:sz w:val="24"/>
              </w:rPr>
              <w:t>国链17A1</w:t>
            </w:r>
          </w:p>
        </w:tc>
        <w:tc>
          <w:tcPr>
            <w:vAlign w:val="center"/>
          </w:tcPr>
          <w:p>
            <w:pPr>
              <w:jc w:val="right"/>
            </w:pPr>
            <w:r>
              <w:rPr>
                <w:color w:val="000000"/>
                <w:sz w:val="24"/>
              </w:rPr>
              <w:t>200,000</w:t>
            </w:r>
          </w:p>
        </w:tc>
        <w:tc>
          <w:tcPr>
            <w:vAlign w:val="center"/>
          </w:tcPr>
          <w:p>
            <w:pPr>
              <w:jc w:val="right"/>
            </w:pPr>
            <w:r>
              <w:rPr>
                <w:color w:val="000000"/>
                <w:sz w:val="24"/>
              </w:rPr>
              <w:t>20,114,000.00</w:t>
            </w:r>
          </w:p>
        </w:tc>
        <w:tc>
          <w:tcPr>
            <w:vAlign w:val="center"/>
          </w:tcPr>
          <w:p>
            <w:pPr>
              <w:jc w:val="right"/>
            </w:pPr>
            <w:r>
              <w:rPr>
                <w:color w:val="000000"/>
                <w:sz w:val="24"/>
              </w:rPr>
              <w:t>0.30</w:t>
            </w:r>
          </w:p>
        </w:tc>
      </w:tr>
      <w:tr>
        <w:tc>
          <w:tcPr>
            <w:vAlign w:val="center"/>
          </w:tcPr>
          <w:p>
            <w:pPr>
              <w:jc w:val="center"/>
            </w:pPr>
            <w:r>
              <w:rPr>
                <w:color w:val="000000"/>
                <w:sz w:val="24"/>
              </w:rPr>
              <w:t>4</w:t>
            </w:r>
          </w:p>
        </w:tc>
        <w:tc>
          <w:tcPr>
            <w:vAlign w:val="center"/>
          </w:tcPr>
          <w:p>
            <w:pPr>
              <w:jc w:val="center"/>
            </w:pPr>
            <w:r>
              <w:rPr>
                <w:color w:val="000000"/>
                <w:sz w:val="24"/>
              </w:rPr>
              <w:t>165515</w:t>
            </w:r>
          </w:p>
        </w:tc>
        <w:tc>
          <w:tcPr>
            <w:vAlign w:val="center"/>
          </w:tcPr>
          <w:p>
            <w:pPr>
              <w:jc w:val="center"/>
            </w:pPr>
            <w:r>
              <w:rPr>
                <w:color w:val="000000"/>
                <w:sz w:val="24"/>
              </w:rPr>
              <w:t>天信3A</w:t>
            </w:r>
          </w:p>
        </w:tc>
        <w:tc>
          <w:tcPr>
            <w:vAlign w:val="center"/>
          </w:tcPr>
          <w:p>
            <w:pPr>
              <w:jc w:val="right"/>
            </w:pPr>
            <w:r>
              <w:rPr>
                <w:color w:val="000000"/>
                <w:sz w:val="24"/>
              </w:rPr>
              <w:t>200,000</w:t>
            </w:r>
          </w:p>
        </w:tc>
        <w:tc>
          <w:tcPr>
            <w:vAlign w:val="center"/>
          </w:tcPr>
          <w:p>
            <w:pPr>
              <w:jc w:val="right"/>
            </w:pPr>
            <w:r>
              <w:rPr>
                <w:color w:val="000000"/>
                <w:sz w:val="24"/>
              </w:rPr>
              <w:t>20,046,000.00</w:t>
            </w:r>
          </w:p>
        </w:tc>
        <w:tc>
          <w:tcPr>
            <w:vAlign w:val="center"/>
          </w:tcPr>
          <w:p>
            <w:pPr>
              <w:jc w:val="right"/>
            </w:pPr>
            <w:r>
              <w:rPr>
                <w:color w:val="000000"/>
                <w:sz w:val="24"/>
              </w:rPr>
              <w:t>0.30</w:t>
            </w:r>
          </w:p>
        </w:tc>
      </w:tr>
      <w:tr>
        <w:tc>
          <w:tcPr>
            <w:vAlign w:val="center"/>
          </w:tcPr>
          <w:p>
            <w:pPr>
              <w:jc w:val="center"/>
            </w:pPr>
            <w:r>
              <w:rPr>
                <w:color w:val="000000"/>
                <w:sz w:val="24"/>
              </w:rPr>
              <w:t>5</w:t>
            </w:r>
          </w:p>
        </w:tc>
        <w:tc>
          <w:tcPr>
            <w:vAlign w:val="center"/>
          </w:tcPr>
          <w:p>
            <w:pPr>
              <w:jc w:val="center"/>
            </w:pPr>
            <w:r>
              <w:rPr>
                <w:color w:val="000000"/>
                <w:sz w:val="24"/>
              </w:rPr>
              <w:t>2089001</w:t>
            </w:r>
          </w:p>
        </w:tc>
        <w:tc>
          <w:tcPr>
            <w:vAlign w:val="center"/>
          </w:tcPr>
          <w:p>
            <w:pPr>
              <w:jc w:val="center"/>
            </w:pPr>
            <w:r>
              <w:rPr>
                <w:color w:val="000000"/>
                <w:sz w:val="24"/>
              </w:rPr>
              <w:t>20捷赢1A</w:t>
            </w:r>
          </w:p>
        </w:tc>
        <w:tc>
          <w:tcPr>
            <w:vAlign w:val="center"/>
          </w:tcPr>
          <w:p>
            <w:pPr>
              <w:jc w:val="right"/>
            </w:pPr>
            <w:r>
              <w:rPr>
                <w:color w:val="000000"/>
                <w:sz w:val="24"/>
              </w:rPr>
              <w:t>200,000</w:t>
            </w:r>
          </w:p>
        </w:tc>
        <w:tc>
          <w:tcPr>
            <w:vAlign w:val="center"/>
          </w:tcPr>
          <w:p>
            <w:pPr>
              <w:jc w:val="right"/>
            </w:pPr>
            <w:r>
              <w:rPr>
                <w:color w:val="000000"/>
                <w:sz w:val="24"/>
              </w:rPr>
              <w:t>20,032,000.00</w:t>
            </w:r>
          </w:p>
        </w:tc>
        <w:tc>
          <w:tcPr>
            <w:vAlign w:val="center"/>
          </w:tcPr>
          <w:p>
            <w:pPr>
              <w:jc w:val="right"/>
            </w:pPr>
            <w:r>
              <w:rPr>
                <w:color w:val="000000"/>
                <w:sz w:val="24"/>
              </w:rPr>
              <w:t>0.30</w:t>
            </w:r>
          </w:p>
        </w:tc>
      </w:tr>
      <w:tr>
        <w:tc>
          <w:tcPr>
            <w:vAlign w:val="center"/>
          </w:tcPr>
          <w:p>
            <w:pPr>
              <w:jc w:val="center"/>
            </w:pPr>
            <w:r>
              <w:rPr>
                <w:color w:val="000000"/>
                <w:sz w:val="24"/>
              </w:rPr>
              <w:t>6</w:t>
            </w:r>
          </w:p>
        </w:tc>
        <w:tc>
          <w:tcPr>
            <w:vAlign w:val="center"/>
          </w:tcPr>
          <w:p>
            <w:pPr>
              <w:jc w:val="center"/>
            </w:pPr>
            <w:r>
              <w:rPr>
                <w:color w:val="000000"/>
                <w:sz w:val="24"/>
              </w:rPr>
              <w:t>138316</w:t>
            </w:r>
          </w:p>
        </w:tc>
        <w:tc>
          <w:tcPr>
            <w:vAlign w:val="center"/>
          </w:tcPr>
          <w:p>
            <w:pPr>
              <w:jc w:val="center"/>
            </w:pPr>
            <w:r>
              <w:rPr>
                <w:color w:val="000000"/>
                <w:sz w:val="24"/>
              </w:rPr>
              <w:t>链诚2A1</w:t>
            </w:r>
          </w:p>
        </w:tc>
        <w:tc>
          <w:tcPr>
            <w:vAlign w:val="center"/>
          </w:tcPr>
          <w:p>
            <w:pPr>
              <w:jc w:val="right"/>
            </w:pPr>
            <w:r>
              <w:rPr>
                <w:color w:val="000000"/>
                <w:sz w:val="24"/>
              </w:rPr>
              <w:t>120,000</w:t>
            </w:r>
          </w:p>
        </w:tc>
        <w:tc>
          <w:tcPr>
            <w:vAlign w:val="center"/>
          </w:tcPr>
          <w:p>
            <w:pPr>
              <w:jc w:val="right"/>
            </w:pPr>
            <w:r>
              <w:rPr>
                <w:color w:val="000000"/>
                <w:sz w:val="24"/>
              </w:rPr>
              <w:t>12,066,000.00</w:t>
            </w:r>
          </w:p>
        </w:tc>
        <w:tc>
          <w:tcPr>
            <w:vAlign w:val="center"/>
          </w:tcPr>
          <w:p>
            <w:pPr>
              <w:jc w:val="right"/>
            </w:pPr>
            <w:r>
              <w:rPr>
                <w:color w:val="000000"/>
                <w:sz w:val="24"/>
              </w:rPr>
              <w:t>0.18</w:t>
            </w:r>
          </w:p>
        </w:tc>
      </w:tr>
      <w:tr>
        <w:tc>
          <w:tcPr>
            <w:vAlign w:val="center"/>
          </w:tcPr>
          <w:p>
            <w:pPr>
              <w:jc w:val="center"/>
            </w:pPr>
            <w:r>
              <w:rPr>
                <w:color w:val="000000"/>
                <w:sz w:val="24"/>
              </w:rPr>
              <w:t>7</w:t>
            </w:r>
          </w:p>
        </w:tc>
        <w:tc>
          <w:tcPr>
            <w:vAlign w:val="center"/>
          </w:tcPr>
          <w:p>
            <w:pPr>
              <w:jc w:val="center"/>
            </w:pPr>
            <w:r>
              <w:rPr>
                <w:color w:val="000000"/>
                <w:sz w:val="24"/>
              </w:rPr>
              <w:t>138262</w:t>
            </w:r>
          </w:p>
        </w:tc>
        <w:tc>
          <w:tcPr>
            <w:vAlign w:val="center"/>
          </w:tcPr>
          <w:p>
            <w:pPr>
              <w:jc w:val="center"/>
            </w:pPr>
            <w:r>
              <w:rPr>
                <w:color w:val="000000"/>
                <w:sz w:val="24"/>
              </w:rPr>
              <w:t>诚意3A1</w:t>
            </w:r>
          </w:p>
        </w:tc>
        <w:tc>
          <w:tcPr>
            <w:vAlign w:val="center"/>
          </w:tcPr>
          <w:p>
            <w:pPr>
              <w:jc w:val="right"/>
            </w:pPr>
            <w:r>
              <w:rPr>
                <w:color w:val="000000"/>
                <w:sz w:val="24"/>
              </w:rPr>
              <w:t>100,000</w:t>
            </w:r>
          </w:p>
        </w:tc>
        <w:tc>
          <w:tcPr>
            <w:vAlign w:val="center"/>
          </w:tcPr>
          <w:p>
            <w:pPr>
              <w:jc w:val="right"/>
            </w:pPr>
            <w:r>
              <w:rPr>
                <w:color w:val="000000"/>
                <w:sz w:val="24"/>
              </w:rPr>
              <w:t>10,058,000.00</w:t>
            </w:r>
          </w:p>
        </w:tc>
        <w:tc>
          <w:tcPr>
            <w:vAlign w:val="center"/>
          </w:tcPr>
          <w:p>
            <w:pPr>
              <w:jc w:val="right"/>
            </w:pPr>
            <w:r>
              <w:rPr>
                <w:color w:val="000000"/>
                <w:sz w:val="24"/>
              </w:rPr>
              <w:t>0.15</w:t>
            </w:r>
          </w:p>
        </w:tc>
      </w:tr>
      <w:tr>
        <w:tc>
          <w:tcPr>
            <w:vAlign w:val="center"/>
          </w:tcPr>
          <w:p>
            <w:pPr>
              <w:jc w:val="center"/>
            </w:pPr>
            <w:r>
              <w:rPr>
                <w:color w:val="000000"/>
                <w:sz w:val="24"/>
              </w:rPr>
              <w:t>7</w:t>
            </w:r>
          </w:p>
        </w:tc>
        <w:tc>
          <w:tcPr>
            <w:vAlign w:val="center"/>
          </w:tcPr>
          <w:p>
            <w:pPr>
              <w:jc w:val="center"/>
            </w:pPr>
            <w:r>
              <w:rPr>
                <w:color w:val="000000"/>
                <w:sz w:val="24"/>
              </w:rPr>
              <w:t>138321</w:t>
            </w:r>
          </w:p>
        </w:tc>
        <w:tc>
          <w:tcPr>
            <w:vAlign w:val="center"/>
          </w:tcPr>
          <w:p>
            <w:pPr>
              <w:jc w:val="center"/>
            </w:pPr>
            <w:r>
              <w:rPr>
                <w:color w:val="000000"/>
                <w:sz w:val="24"/>
              </w:rPr>
              <w:t>19首开5A</w:t>
            </w:r>
          </w:p>
        </w:tc>
        <w:tc>
          <w:tcPr>
            <w:vAlign w:val="center"/>
          </w:tcPr>
          <w:p>
            <w:pPr>
              <w:jc w:val="right"/>
            </w:pPr>
            <w:r>
              <w:rPr>
                <w:color w:val="000000"/>
                <w:sz w:val="24"/>
              </w:rPr>
              <w:t>100,000</w:t>
            </w:r>
          </w:p>
        </w:tc>
        <w:tc>
          <w:tcPr>
            <w:vAlign w:val="center"/>
          </w:tcPr>
          <w:p>
            <w:pPr>
              <w:jc w:val="right"/>
            </w:pPr>
            <w:r>
              <w:rPr>
                <w:color w:val="000000"/>
                <w:sz w:val="24"/>
              </w:rPr>
              <w:t>10,058,000.00</w:t>
            </w:r>
          </w:p>
        </w:tc>
        <w:tc>
          <w:tcPr>
            <w:vAlign w:val="center"/>
          </w:tcPr>
          <w:p>
            <w:pPr>
              <w:jc w:val="right"/>
            </w:pPr>
            <w:r>
              <w:rPr>
                <w:color w:val="000000"/>
                <w:sz w:val="24"/>
              </w:rPr>
              <w:t>0.15</w:t>
            </w:r>
          </w:p>
        </w:tc>
      </w:tr>
      <w:tr>
        <w:tc>
          <w:tcPr>
            <w:vAlign w:val="center"/>
          </w:tcPr>
          <w:p>
            <w:pPr>
              <w:jc w:val="center"/>
            </w:pPr>
            <w:r>
              <w:rPr>
                <w:color w:val="000000"/>
                <w:sz w:val="24"/>
              </w:rPr>
              <w:t>7</w:t>
            </w:r>
          </w:p>
        </w:tc>
        <w:tc>
          <w:tcPr>
            <w:vAlign w:val="center"/>
          </w:tcPr>
          <w:p>
            <w:pPr>
              <w:jc w:val="center"/>
            </w:pPr>
            <w:r>
              <w:rPr>
                <w:color w:val="000000"/>
                <w:sz w:val="24"/>
              </w:rPr>
              <w:t>138332</w:t>
            </w:r>
          </w:p>
        </w:tc>
        <w:tc>
          <w:tcPr>
            <w:vAlign w:val="center"/>
          </w:tcPr>
          <w:p>
            <w:pPr>
              <w:jc w:val="center"/>
            </w:pPr>
            <w:r>
              <w:rPr>
                <w:color w:val="000000"/>
                <w:sz w:val="24"/>
              </w:rPr>
              <w:t>19桃源2A</w:t>
            </w:r>
          </w:p>
        </w:tc>
        <w:tc>
          <w:tcPr>
            <w:vAlign w:val="center"/>
          </w:tcPr>
          <w:p>
            <w:pPr>
              <w:jc w:val="right"/>
            </w:pPr>
            <w:r>
              <w:rPr>
                <w:color w:val="000000"/>
                <w:sz w:val="24"/>
              </w:rPr>
              <w:t>100,000</w:t>
            </w:r>
          </w:p>
        </w:tc>
        <w:tc>
          <w:tcPr>
            <w:vAlign w:val="center"/>
          </w:tcPr>
          <w:p>
            <w:pPr>
              <w:jc w:val="right"/>
            </w:pPr>
            <w:r>
              <w:rPr>
                <w:color w:val="000000"/>
                <w:sz w:val="24"/>
              </w:rPr>
              <w:t>10,058,000.00</w:t>
            </w:r>
          </w:p>
        </w:tc>
        <w:tc>
          <w:tcPr>
            <w:vAlign w:val="center"/>
          </w:tcPr>
          <w:p>
            <w:pPr>
              <w:jc w:val="right"/>
            </w:pPr>
            <w:r>
              <w:rPr>
                <w:color w:val="000000"/>
                <w:sz w:val="24"/>
              </w:rPr>
              <w:t>0.15</w:t>
            </w:r>
          </w:p>
        </w:tc>
      </w:tr>
      <w:tr>
        <w:tc>
          <w:tcPr>
            <w:vAlign w:val="center"/>
          </w:tcPr>
          <w:p>
            <w:pPr>
              <w:jc w:val="center"/>
            </w:pPr>
            <w:r>
              <w:rPr>
                <w:color w:val="000000"/>
                <w:sz w:val="24"/>
              </w:rPr>
              <w:t>10</w:t>
            </w:r>
          </w:p>
        </w:tc>
        <w:tc>
          <w:tcPr>
            <w:vAlign w:val="center"/>
          </w:tcPr>
          <w:p>
            <w:pPr>
              <w:jc w:val="center"/>
            </w:pPr>
            <w:r>
              <w:rPr>
                <w:color w:val="000000"/>
                <w:sz w:val="24"/>
              </w:rPr>
              <w:t>138290</w:t>
            </w:r>
          </w:p>
        </w:tc>
        <w:tc>
          <w:tcPr>
            <w:vAlign w:val="center"/>
          </w:tcPr>
          <w:p>
            <w:pPr>
              <w:jc w:val="center"/>
            </w:pPr>
            <w:r>
              <w:rPr>
                <w:color w:val="000000"/>
                <w:sz w:val="24"/>
              </w:rPr>
              <w:t>链融19A1</w:t>
            </w:r>
          </w:p>
        </w:tc>
        <w:tc>
          <w:tcPr>
            <w:vAlign w:val="center"/>
          </w:tcPr>
          <w:p>
            <w:pPr>
              <w:jc w:val="right"/>
            </w:pPr>
            <w:r>
              <w:rPr>
                <w:color w:val="000000"/>
                <w:sz w:val="24"/>
              </w:rPr>
              <w:t>100,000</w:t>
            </w:r>
          </w:p>
        </w:tc>
        <w:tc>
          <w:tcPr>
            <w:vAlign w:val="center"/>
          </w:tcPr>
          <w:p>
            <w:pPr>
              <w:jc w:val="right"/>
            </w:pPr>
            <w:r>
              <w:rPr>
                <w:color w:val="000000"/>
                <w:sz w:val="24"/>
              </w:rPr>
              <w:t>10,057,000.00</w:t>
            </w:r>
          </w:p>
        </w:tc>
        <w:tc>
          <w:tcPr>
            <w:vAlign w:val="center"/>
          </w:tcPr>
          <w:p>
            <w:pPr>
              <w:jc w:val="right"/>
            </w:pPr>
            <w:r>
              <w:rPr>
                <w:color w:val="000000"/>
                <w:sz w:val="24"/>
              </w:rPr>
              <w:t>0.15</w:t>
            </w:r>
          </w:p>
        </w:tc>
      </w:tr>
    </w:tbl>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本基金本报告期没有投资股票，因此不存在投资的前十名股票超出基金合同规定的备选股票库情况。</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143,912.39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148,289,358.86</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134,166,055.06</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14,041,706.59</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296,641,032.90</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本基金本报告期末未持有股票。</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易方达纯债债券A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易方达纯债债券C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5,742,216,030.23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1,165,224,434.74</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2,008,853,638.72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1,412,680,974.92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2,757,558,137.96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1,476,142,321.02</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4,993,511,530.99</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1,101,763,088.64</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1.中国证监会核准易方达纯债债券型证券投资基金募集的文件；</w:t>
      </w:r>
    </w:p>
    <w:p>
      <w:pPr>
        <w:spacing w:line="360" w:lineRule="auto"/>
        <w:ind w:firstLine="480" w:firstLineChars="200"/>
        <w:rPr>
          <w:color w:val="000000"/>
          <w:sz w:val="24"/>
        </w:rPr>
      </w:pPr>
      <w:r>
        <w:rPr>
          <w:color w:val="000000"/>
          <w:sz w:val="24"/>
        </w:rPr>
        <w:t>2.《易方达纯债债券型证券投资基金基金合同》；</w:t>
      </w:r>
    </w:p>
    <w:p>
      <w:pPr>
        <w:spacing w:line="360" w:lineRule="auto"/>
        <w:ind w:firstLine="480" w:firstLineChars="200"/>
        <w:rPr>
          <w:color w:val="000000"/>
          <w:sz w:val="24"/>
        </w:rPr>
      </w:pPr>
      <w:r>
        <w:rPr>
          <w:color w:val="000000"/>
          <w:sz w:val="24"/>
        </w:rPr>
        <w:t>3.《易方达纯债债券型证券投资基金托管协议》；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易方达纯债债券型证券投资基金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