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074E9F" w:rsidR="00A62673" w:rsidRDefault="00A62673" w:rsidRPr="00EC5CE0">
      <w:pPr>
        <w:autoSpaceDE w:val="0"/>
        <w:autoSpaceDN w:val="0"/>
        <w:adjustRightInd w:val="0"/>
        <w:spacing w:line="360" w:lineRule="auto"/>
        <w:jc w:val="left"/>
        <w:rPr>
          <w:rFonts w:ascii="宋体" w:cs="Arial"/>
          <w:color w:val="000000"/>
          <w:kern w:val="0"/>
          <w:sz w:val="24"/>
        </w:rPr>
      </w:pPr>
    </w:p>
    <w:p w:rsidP="00074E9F" w:rsidR="00A62673" w:rsidRDefault="00A62673" w:rsidRPr="00EC5CE0">
      <w:pPr>
        <w:autoSpaceDE w:val="0"/>
        <w:autoSpaceDN w:val="0"/>
        <w:adjustRightInd w:val="0"/>
        <w:spacing w:line="360" w:lineRule="auto"/>
        <w:jc w:val="left"/>
        <w:rPr>
          <w:rFonts w:ascii="宋体" w:cs="Arial"/>
          <w:color w:val="000000"/>
          <w:kern w:val="0"/>
          <w:sz w:val="24"/>
        </w:rPr>
      </w:pPr>
    </w:p>
    <w:p w:rsidP="00074E9F" w:rsidR="00A62673" w:rsidRDefault="00A62673" w:rsidRPr="00EC5CE0">
      <w:pPr>
        <w:autoSpaceDE w:val="0"/>
        <w:autoSpaceDN w:val="0"/>
        <w:adjustRightInd w:val="0"/>
        <w:spacing w:line="360" w:lineRule="auto"/>
        <w:jc w:val="left"/>
        <w:rPr>
          <w:rFonts w:ascii="宋体" w:cs="Arial"/>
          <w:color w:val="000000"/>
          <w:kern w:val="0"/>
          <w:sz w:val="24"/>
        </w:rPr>
      </w:pPr>
    </w:p>
    <w:p w:rsidP="00074E9F" w:rsidR="00A62673" w:rsidRDefault="00A62673" w:rsidRPr="00EC5CE0">
      <w:pPr>
        <w:autoSpaceDE w:val="0"/>
        <w:autoSpaceDN w:val="0"/>
        <w:adjustRightInd w:val="0"/>
        <w:spacing w:line="360" w:lineRule="auto"/>
        <w:jc w:val="left"/>
        <w:rPr>
          <w:rFonts w:ascii="宋体" w:cs="Arial"/>
          <w:color w:val="000000"/>
          <w:kern w:val="0"/>
          <w:sz w:val="36"/>
          <w:szCs w:val="36"/>
        </w:rPr>
      </w:pPr>
    </w:p>
    <w:p w:rsidP="000020BB" w:rsidR="00A62673" w:rsidRDefault="00A62673" w:rsidRPr="00EC5CE0">
      <w:pPr>
        <w:spacing w:line="360" w:lineRule="auto"/>
        <w:jc w:val="center"/>
        <w:rPr>
          <w:rFonts w:ascii="宋体" w:hAnsi="宋体"/>
          <w:b/>
          <w:sz w:val="36"/>
          <w:szCs w:val="36"/>
        </w:rPr>
      </w:pPr>
      <w:r w:rsidRPr="00EC5CE0">
        <w:rPr>
          <w:rFonts w:ascii="宋体"/>
          <w:b/>
          <w:sz w:val="36"/>
          <w:szCs w:val="36"/>
        </w:rPr>
        <w:t/>
      </w:r>
      <w:proofErr w:type="spellStart"/>
      <w:proofErr w:type="gramStart"/>
      <w:r w:rsidRPr="00EC5CE0">
        <w:rPr>
          <w:rFonts w:ascii="宋体" w:hAnsi="宋体"/>
          <w:b/>
          <w:sz w:val="36"/>
          <w:szCs w:val="36"/>
        </w:rPr>
        <w:t/>
      </w:r>
      <w:proofErr w:type="spellEnd"/>
      <w:proofErr w:type="gramEnd"/>
      <w:r w:rsidRPr="00EC5CE0">
        <w:rPr>
          <w:rFonts w:ascii="宋体" w:hAnsi="宋体"/>
          <w:b/>
          <w:sz w:val="36"/>
          <w:szCs w:val="36"/>
        </w:rPr>
        <w:t>易方达沪深300量化增强证券投资基金</w:t>
      </w:r>
    </w:p>
    <w:p w:rsidP="000020BB" w:rsidR="00A62673" w:rsidRDefault="00A62673" w:rsidRPr="00EC5CE0">
      <w:pPr>
        <w:spacing w:line="360" w:lineRule="auto"/>
        <w:jc w:val="center"/>
        <w:rPr>
          <w:rFonts w:ascii="宋体" w:hAnsi="宋体"/>
          <w:b/>
          <w:sz w:val="36"/>
          <w:szCs w:val="36"/>
        </w:rPr>
      </w:pPr>
      <w:r w:rsidRPr="00EC5CE0">
        <w:rPr>
          <w:rFonts w:ascii="宋体" w:hAnsi="宋体"/>
          <w:b/>
          <w:sz w:val="36"/>
          <w:szCs w:val="36"/>
        </w:rPr>
        <w:t/>
      </w:r>
      <w:proofErr w:type="spellStart"/>
      <w:r w:rsidRPr="00EC5CE0">
        <w:rPr>
          <w:rFonts w:ascii="宋体" w:hAnsi="宋体"/>
          <w:b/>
          <w:sz w:val="36"/>
          <w:szCs w:val="36"/>
        </w:rPr>
        <w:t/>
      </w:r>
      <w:proofErr w:type="spellEnd"/>
      <w:r w:rsidRPr="00EC5CE0">
        <w:rPr>
          <w:rFonts w:ascii="宋体" w:hAnsi="宋体"/>
          <w:b/>
          <w:sz w:val="36"/>
          <w:szCs w:val="36"/>
        </w:rPr>
        <w:t>2020年第2季度报告</w:t>
      </w:r>
    </w:p>
    <w:p w:rsidP="000020BB" w:rsidR="00A62673" w:rsidRDefault="00A62673" w:rsidRPr="00977154">
      <w:pPr>
        <w:spacing w:line="360" w:lineRule="auto"/>
        <w:jc w:val="center"/>
        <w:rPr>
          <w:rFonts w:ascii="宋体" w:hAnsi="宋体"/>
          <w:b/>
          <w:sz w:val="24"/>
        </w:rPr>
      </w:pPr>
      <w:r w:rsidRPr="00977154">
        <w:rPr>
          <w:rFonts w:ascii="宋体"/>
          <w:b/>
          <w:sz w:val="24"/>
        </w:rPr>
        <w:t/>
      </w:r>
      <w:proofErr w:type="spellStart"/>
      <w:proofErr w:type="gramStart"/>
      <w:r w:rsidRPr="00977154">
        <w:rPr>
          <w:rFonts w:ascii="宋体" w:hAnsi="宋体"/>
          <w:b/>
          <w:sz w:val="24"/>
        </w:rPr>
        <w:t/>
      </w:r>
      <w:proofErr w:type="spellEnd"/>
      <w:proofErr w:type="gramEnd"/>
      <w:r w:rsidRPr="00977154">
        <w:rPr>
          <w:rFonts w:ascii="宋体" w:hAnsi="宋体"/>
          <w:b/>
          <w:sz w:val="24"/>
        </w:rPr>
        <w:t>2020年6月30日</w:t>
      </w: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jc w:val="center"/>
        <w:rPr>
          <w:rFonts w:ascii="宋体"/>
          <w:b/>
          <w:color w:val="000000"/>
          <w:sz w:val="24"/>
        </w:rPr>
      </w:pPr>
    </w:p>
    <w:p w:rsidP="00074E9F" w:rsidR="00A62673" w:rsidRDefault="00A62673" w:rsidRPr="00EC5CE0">
      <w:pPr>
        <w:spacing w:line="360" w:lineRule="auto"/>
        <w:rPr>
          <w:rFonts w:ascii="宋体"/>
          <w:b/>
          <w:color w:val="000000"/>
          <w:sz w:val="24"/>
        </w:rPr>
      </w:pPr>
    </w:p>
    <w:p w:rsidP="005A2769" w:rsidR="00A62673" w:rsidRDefault="00A62673" w:rsidRPr="00EC5CE0">
      <w:pPr>
        <w:spacing w:line="360" w:lineRule="auto"/>
        <w:ind w:firstLine="2168" w:firstLineChars="900"/>
        <w:rPr>
          <w:rFonts w:ascii="宋体" w:hAnsi="宋体"/>
          <w:b/>
          <w:color w:val="000000"/>
          <w:sz w:val="24"/>
        </w:rPr>
      </w:pPr>
      <w:r w:rsidRPr="00EC5CE0">
        <w:rPr>
          <w:rFonts w:ascii="宋体" w:hAnsi="宋体" w:hint="eastAsia"/>
          <w:b/>
          <w:color w:val="000000"/>
          <w:sz w:val="24"/>
        </w:rPr>
        <w:t>基金管理人：</w:t>
      </w:r>
      <w:r w:rsidRPr="00EC5CE0">
        <w:rPr>
          <w:rFonts w:ascii="宋体"/>
          <w:b/>
          <w:color w:val="000000"/>
          <w:sz w:val="24"/>
        </w:rPr>
        <w:t/>
      </w:r>
      <w:proofErr w:type="spellStart"/>
      <w:proofErr w:type="gramStart"/>
      <w:r w:rsidRPr="00EC5CE0">
        <w:rPr>
          <w:rFonts w:ascii="宋体" w:hAnsi="宋体"/>
          <w:b/>
          <w:color w:val="000000"/>
          <w:sz w:val="24"/>
        </w:rPr>
        <w:t/>
      </w:r>
      <w:proofErr w:type="spellEnd"/>
      <w:proofErr w:type="gramEnd"/>
      <w:r w:rsidRPr="00EC5CE0">
        <w:rPr>
          <w:rFonts w:ascii="宋体" w:hAnsi="宋体"/>
          <w:b/>
          <w:color w:val="000000"/>
          <w:sz w:val="24"/>
        </w:rPr>
        <w:t>易方达基金管理有限公司</w:t>
      </w:r>
    </w:p>
    <w:p w:rsidP="005A2769" w:rsidR="00A62673" w:rsidRDefault="00A62673" w:rsidRPr="00EC5CE0">
      <w:pPr>
        <w:spacing w:line="360" w:lineRule="auto"/>
        <w:ind w:firstLine="2168" w:firstLineChars="900"/>
        <w:rPr>
          <w:rFonts w:ascii="宋体" w:hAnsi="宋体"/>
          <w:b/>
          <w:color w:val="000000"/>
          <w:sz w:val="24"/>
        </w:rPr>
      </w:pPr>
      <w:r w:rsidRPr="00EC5CE0">
        <w:rPr>
          <w:rFonts w:ascii="宋体" w:hAnsi="宋体" w:hint="eastAsia"/>
          <w:b/>
          <w:color w:val="000000"/>
          <w:sz w:val="24"/>
        </w:rPr>
        <w:t>基金托管人：</w:t>
      </w:r>
      <w:r w:rsidRPr="00EC5CE0">
        <w:rPr>
          <w:rFonts w:ascii="宋体"/>
          <w:b/>
          <w:color w:val="000000"/>
          <w:sz w:val="24"/>
        </w:rPr>
        <w:t/>
      </w:r>
      <w:proofErr w:type="spellStart"/>
      <w:proofErr w:type="gramStart"/>
      <w:r w:rsidRPr="00EC5CE0">
        <w:rPr>
          <w:rFonts w:ascii="宋体" w:hAnsi="宋体"/>
          <w:b/>
          <w:color w:val="000000"/>
          <w:sz w:val="24"/>
        </w:rPr>
        <w:t/>
      </w:r>
      <w:proofErr w:type="spellEnd"/>
      <w:proofErr w:type="gramEnd"/>
      <w:r w:rsidRPr="00EC5CE0">
        <w:rPr>
          <w:rFonts w:ascii="宋体" w:hAnsi="宋体"/>
          <w:b/>
          <w:color w:val="000000"/>
          <w:sz w:val="24"/>
        </w:rPr>
        <w:t>中国建设银行股份有限公司</w:t>
      </w:r>
    </w:p>
    <w:p w:rsidP="005A2769" w:rsidR="00A62673" w:rsidRDefault="00A62673" w:rsidRPr="00EC5CE0">
      <w:pPr>
        <w:spacing w:line="360" w:lineRule="auto"/>
        <w:ind w:firstLine="2168" w:firstLineChars="900"/>
        <w:rPr>
          <w:rFonts w:ascii="宋体" w:hAnsi="宋体"/>
          <w:b/>
          <w:color w:val="000000"/>
          <w:sz w:val="24"/>
        </w:rPr>
        <w:sectPr w:rsidR="00A62673" w:rsidRPr="00EC5CE0" w:rsidSect="00230A66">
          <w:headerReference r:id="rId8" w:type="default"/>
          <w:footerReference r:id="rId9" w:type="default"/>
          <w:pgSz w:h="15840" w:w="11926"/>
          <w:pgMar w:bottom="851" w:footer="992" w:gutter="0" w:header="851" w:left="1418" w:right="1418" w:top="1418"/>
          <w:cols w:space="720"/>
          <w:noEndnote/>
        </w:sectPr>
      </w:pPr>
      <w:r w:rsidRPr="00EC5CE0">
        <w:rPr>
          <w:rFonts w:ascii="宋体" w:hAnsi="宋体" w:hint="eastAsia"/>
          <w:b/>
          <w:color w:val="000000"/>
          <w:sz w:val="24"/>
        </w:rPr>
        <w:t>报告送出日期：</w:t>
      </w:r>
      <w:r w:rsidRPr="00EC5CE0">
        <w:rPr>
          <w:rFonts w:ascii="宋体"/>
          <w:b/>
          <w:color w:val="000000"/>
          <w:sz w:val="24"/>
        </w:rPr>
        <w:t/>
      </w:r>
      <w:proofErr w:type="spellStart"/>
      <w:proofErr w:type="gramStart"/>
      <w:r w:rsidRPr="00EC5CE0">
        <w:rPr>
          <w:rFonts w:ascii="宋体" w:hAnsi="宋体"/>
          <w:b/>
          <w:color w:val="000000"/>
          <w:sz w:val="24"/>
        </w:rPr>
        <w:t/>
      </w:r>
      <w:proofErr w:type="spellEnd"/>
      <w:proofErr w:type="gramEnd"/>
      <w:r w:rsidRPr="00EC5CE0">
        <w:rPr>
          <w:rFonts w:ascii="宋体" w:hAnsi="宋体"/>
          <w:b/>
          <w:color w:val="000000"/>
          <w:sz w:val="24"/>
        </w:rPr>
        <w:t>二〇二〇年七月二十一日</w:t>
      </w:r>
    </w:p>
    <w:p w:rsidP="007467A8" w:rsidR="00A62673" w:rsidRDefault="00A62673" w:rsidRPr="00EC5CE0">
      <w:pPr>
        <w:pStyle w:val="1"/>
        <w:spacing w:after="312" w:afterLines="100" w:before="312" w:beforeLines="100" w:line="360" w:lineRule="auto"/>
        <w:jc w:val="center"/>
        <w:rPr>
          <w:rFonts w:ascii="宋体" w:cs="Arial"/>
          <w:b w:val="0"/>
          <w:color w:val="000000"/>
          <w:kern w:val="0"/>
          <w:sz w:val="24"/>
          <w:szCs w:val="24"/>
        </w:rPr>
      </w:pPr>
      <w:r w:rsidRPr="00EC5CE0">
        <w:rPr>
          <w:rFonts w:ascii="宋体" w:cs="Arial" w:hAnsi="宋体" w:hint="eastAsia"/>
          <w:color w:val="000000"/>
          <w:kern w:val="0"/>
          <w:sz w:val="24"/>
          <w:szCs w:val="24"/>
        </w:rPr>
        <w:lastRenderedPageBreak/>
        <w:t>§</w:t>
      </w:r>
      <w:r w:rsidRPr="00EC5CE0">
        <w:rPr>
          <w:rFonts w:ascii="宋体" w:cs="Arial" w:hAnsi="宋体"/>
          <w:color w:val="000000"/>
          <w:kern w:val="0"/>
          <w:sz w:val="24"/>
          <w:szCs w:val="24"/>
        </w:rPr>
        <w:t xml:space="preserve">1  </w:t>
      </w:r>
      <w:r w:rsidRPr="00EC5CE0">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DC315B" w:rsidR="00A62673" w:rsidRDefault="00A62673" w:rsidRPr="00DC315B">
      <w:pPr>
        <w:spacing w:line="360" w:lineRule="auto"/>
        <w:ind w:firstLine="480" w:firstLineChars="200"/>
        <w:rPr>
          <w:color w:val="000000"/>
          <w:sz w:val="24"/>
        </w:rPr>
      </w:pPr>
      <w:r w:rsidRPr="00DC315B">
        <w:rPr>
          <w:color w:val="000000"/>
          <w:sz w:val="24"/>
        </w:rPr>
        <w:t/>
      </w:r>
      <w:proofErr w:type="spellStart"/>
      <w:proofErr w:type="gramStart"/>
      <w:r w:rsidRPr="00DC315B">
        <w:rPr>
          <w:color w:val="000000"/>
          <w:sz w:val="24"/>
        </w:rPr>
        <w:t/>
      </w:r>
      <w:proofErr w:type="spellEnd"/>
      <w:proofErr w:type="gramEnd"/>
      <w:r w:rsidRPr="00DC315B">
        <w:rPr>
          <w:color w:val="000000"/>
          <w:sz w:val="24"/>
        </w:rPr>
        <w:t>本报告期自2020年4月1日起至6月30日止。</w:t>
      </w:r>
    </w:p>
    <w:p w:rsidP="007467A8" w:rsidR="00A62673" w:rsidRDefault="00A62673" w:rsidRPr="00EC5CE0">
      <w:pPr>
        <w:pStyle w:val="1"/>
        <w:spacing w:after="312" w:afterLines="100" w:before="312" w:beforeLines="100" w:line="360" w:lineRule="auto"/>
        <w:jc w:val="center"/>
        <w:rPr>
          <w:rFonts w:ascii="宋体" w:cs="Arial"/>
          <w:color w:val="000000"/>
          <w:kern w:val="0"/>
          <w:sz w:val="24"/>
          <w:szCs w:val="24"/>
        </w:rPr>
      </w:pPr>
      <w:r w:rsidRPr="00EC5CE0">
        <w:rPr>
          <w:rFonts w:ascii="宋体" w:cs="Arial" w:hAnsi="宋体" w:hint="eastAsia"/>
          <w:color w:val="000000"/>
          <w:kern w:val="0"/>
          <w:sz w:val="24"/>
          <w:szCs w:val="24"/>
        </w:rPr>
        <w:t>§</w:t>
      </w:r>
      <w:r w:rsidRPr="00EC5CE0">
        <w:rPr>
          <w:rFonts w:ascii="宋体" w:cs="Arial" w:hAnsi="宋体"/>
          <w:color w:val="000000"/>
          <w:kern w:val="0"/>
          <w:sz w:val="24"/>
          <w:szCs w:val="24"/>
        </w:rPr>
        <w:t xml:space="preserve">2  </w:t>
      </w:r>
      <w:r w:rsidRPr="00EC5CE0">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A62673" w:rsidRPr="00EC5CE0" w:rsidTr="006C3F43">
        <w:tc>
          <w:tcPr>
            <w:tcW w:type="dxa" w:w="2835"/>
          </w:tcPr>
          <w:p w:rsidP="00C21C43" w:rsidR="00A62673" w:rsidRDefault="00A62673" w:rsidRPr="00DC315B">
            <w:pPr>
              <w:adjustRightInd w:val="0"/>
              <w:spacing w:before="29" w:line="360" w:lineRule="auto"/>
              <w:ind w:left="17"/>
              <w:jc w:val="left"/>
              <w:rPr>
                <w:kern w:val="0"/>
                <w:sz w:val="24"/>
              </w:rPr>
            </w:pPr>
            <w:r w:rsidRPr="00DC315B">
              <w:rPr>
                <w:kern w:val="0"/>
                <w:sz w:val="24"/>
              </w:rPr>
              <w:t>基金简称</w:t>
            </w:r>
          </w:p>
        </w:tc>
        <w:tc>
          <w:tcPr>
            <w:tcW w:type="dxa" w:w="5479"/>
            <w:gridSpan w:val="2"/>
          </w:tcPr>
          <w:p w:rsidP="00C21C43" w:rsidR="00A62673" w:rsidRDefault="00A62673" w:rsidRPr="00DC315B">
            <w:pPr>
              <w:adjustRightInd w:val="0"/>
              <w:spacing w:before="29" w:line="360" w:lineRule="auto"/>
              <w:ind w:left="17"/>
              <w:jc w:val="left"/>
              <w:rPr>
                <w:color w:val="000000"/>
                <w:kern w:val="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易方达沪深300量化增强</w:t>
            </w:r>
          </w:p>
        </w:tc>
      </w:tr>
      <w:tr w:rsidR="00A62673" w:rsidRPr="00EC5CE0" w:rsidTr="00CD319D">
        <w:tc>
          <w:tcPr>
            <w:tcW w:type="dxa" w:w="2835"/>
          </w:tcPr>
          <w:p w:rsidR="00A62673" w:rsidRDefault="00A62673" w:rsidRPr="00DC315B">
            <w:pPr>
              <w:adjustRightInd w:val="0"/>
              <w:spacing w:before="29" w:line="360" w:lineRule="auto"/>
              <w:ind w:left="17"/>
              <w:jc w:val="left"/>
              <w:rPr>
                <w:kern w:val="0"/>
                <w:sz w:val="24"/>
              </w:rPr>
            </w:pPr>
            <w:r w:rsidRPr="00DC315B">
              <w:rPr>
                <w:kern w:val="0"/>
                <w:sz w:val="24"/>
              </w:rPr>
              <w:t>基金主代码</w:t>
            </w:r>
          </w:p>
        </w:tc>
        <w:tc>
          <w:tcPr>
            <w:tcW w:type="dxa" w:w="5479"/>
            <w:gridSpan w:val="2"/>
          </w:tcPr>
          <w:p w:rsidR="00A62673" w:rsidRDefault="00A62673" w:rsidRPr="00DC315B">
            <w:pPr>
              <w:adjustRightInd w:val="0"/>
              <w:spacing w:before="29" w:line="360" w:lineRule="auto"/>
              <w:ind w:left="17"/>
              <w:jc w:val="left"/>
              <w:rPr>
                <w:color w:val="000000"/>
                <w:kern w:val="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110030</w:t>
            </w:r>
          </w:p>
        </w:tc>
      </w:tr>
      <w:tr w:rsidR="00A62673" w:rsidRPr="00EC5CE0" w:rsidTr="00CD319D">
        <w:tc>
          <w:tcPr>
            <w:tcW w:type="dxa" w:w="2835"/>
          </w:tcPr>
          <w:p w:rsidR="00A62673" w:rsidRDefault="00A62673" w:rsidRPr="00DC315B">
            <w:pPr>
              <w:adjustRightInd w:val="0"/>
              <w:spacing w:before="29" w:line="360" w:lineRule="auto"/>
              <w:ind w:left="17"/>
              <w:jc w:val="left"/>
              <w:rPr>
                <w:kern w:val="0"/>
                <w:sz w:val="24"/>
              </w:rPr>
            </w:pPr>
            <w:r w:rsidRPr="00DC315B">
              <w:rPr>
                <w:kern w:val="0"/>
                <w:sz w:val="24"/>
              </w:rPr>
              <w:t>交易代码</w:t>
            </w:r>
          </w:p>
        </w:tc>
        <w:tc>
          <w:tcPr>
            <w:tcW w:type="dxa" w:w="5479"/>
            <w:gridSpan w:val="2"/>
          </w:tcPr>
          <w:p w:rsidP="00E57F92" w:rsidR="00A62673" w:rsidRDefault="00A62673" w:rsidRPr="00DC315B">
            <w:pPr>
              <w:adjustRightInd w:val="0"/>
              <w:spacing w:before="29" w:line="360" w:lineRule="auto"/>
              <w:ind w:left="17"/>
              <w:jc w:val="left"/>
              <w:rPr>
                <w:color w:val="000000"/>
                <w:kern w:val="0"/>
                <w:sz w:val="24"/>
              </w:rPr>
            </w:pPr>
            <w:r w:rsidRPr="00DC315B">
              <w:rPr>
                <w:kern w:val="0"/>
                <w:sz w:val="24"/>
              </w:rPr>
              <w:t/>
            </w:r>
            <w:proofErr w:type="spellStart"/>
            <w:r w:rsidRPr="00DC315B">
              <w:rPr>
                <w:kern w:val="0"/>
                <w:sz w:val="24"/>
              </w:rPr>
              <w:t/>
            </w:r>
            <w:proofErr w:type="spellEnd"/>
            <w:r w:rsidRPr="00DC315B">
              <w:rPr>
                <w:kern w:val="0"/>
                <w:sz w:val="24"/>
              </w:rPr>
              <w:t/>
            </w:r>
            <w:proofErr w:type="spellStart"/>
            <w:r w:rsidRPr="00DC315B">
              <w:rPr>
                <w:kern w:val="0"/>
                <w:sz w:val="24"/>
              </w:rPr>
              <w:t/>
            </w:r>
            <w:proofErr w:type="spellEnd"/>
            <w:r w:rsidRPr="00DC315B">
              <w:rPr>
                <w:kern w:val="0"/>
                <w:sz w:val="24"/>
              </w:rPr>
              <w:t/>
            </w:r>
            <w:proofErr w:type="spellStart"/>
            <w:r w:rsidRPr="00DC315B">
              <w:rPr>
                <w:kern w:val="0"/>
                <w:sz w:val="24"/>
              </w:rPr>
              <w:t/>
            </w:r>
            <w:proofErr w:type="spellEnd"/>
            <w:r w:rsidRPr="00DC315B">
              <w:rPr>
                <w:kern w:val="0"/>
                <w:sz w:val="24"/>
              </w:rPr>
              <w:t>110030</w:t>
            </w:r>
          </w:p>
        </w:tc>
      </w:tr>
      <w:tr w:rsidR="00A62673" w:rsidRPr="00EC5CE0" w:rsidTr="006C3F43">
        <w:tc>
          <w:tcPr>
            <w:tcW w:type="dxa" w:w="2835"/>
          </w:tcPr>
          <w:p w:rsidP="00C21C43" w:rsidR="00A62673" w:rsidRDefault="00A62673" w:rsidRPr="00DC315B">
            <w:pPr>
              <w:adjustRightInd w:val="0"/>
              <w:spacing w:before="29" w:line="360" w:lineRule="auto"/>
              <w:ind w:left="17"/>
              <w:jc w:val="left"/>
              <w:rPr>
                <w:sz w:val="24"/>
              </w:rPr>
            </w:pPr>
            <w:r w:rsidRPr="00DC315B">
              <w:rPr>
                <w:kern w:val="0"/>
                <w:sz w:val="24"/>
              </w:rPr>
              <w:t>基金运作方式</w:t>
            </w:r>
          </w:p>
        </w:tc>
        <w:tc>
          <w:tcPr>
            <w:tcW w:type="dxa" w:w="5479"/>
            <w:gridSpan w:val="2"/>
          </w:tcPr>
          <w:p w:rsidP="00C21C43" w:rsidR="00A62673" w:rsidRDefault="00A62673" w:rsidRPr="00DC315B">
            <w:pPr>
              <w:adjustRightInd w:val="0"/>
              <w:spacing w:before="29" w:line="360" w:lineRule="auto"/>
              <w:ind w:left="17"/>
              <w:jc w:val="left"/>
              <w:rPr>
                <w:color w:val="00000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契约型开放式</w:t>
            </w:r>
          </w:p>
        </w:tc>
      </w:tr>
      <w:tr w:rsidR="00A62673" w:rsidRPr="00EC5CE0" w:rsidTr="006C3F43">
        <w:tc>
          <w:tcPr>
            <w:tcW w:type="dxa" w:w="2835"/>
          </w:tcPr>
          <w:p w:rsidP="00C21C43" w:rsidR="00A62673" w:rsidRDefault="00A62673" w:rsidRPr="00DC315B">
            <w:pPr>
              <w:adjustRightInd w:val="0"/>
              <w:spacing w:before="29" w:line="360" w:lineRule="auto"/>
              <w:ind w:left="17"/>
              <w:jc w:val="left"/>
              <w:rPr>
                <w:sz w:val="24"/>
              </w:rPr>
            </w:pPr>
            <w:r w:rsidRPr="00DC315B">
              <w:rPr>
                <w:kern w:val="0"/>
                <w:sz w:val="24"/>
              </w:rPr>
              <w:t>基金合同生效日</w:t>
            </w:r>
          </w:p>
        </w:tc>
        <w:tc>
          <w:tcPr>
            <w:tcW w:type="dxa" w:w="5479"/>
            <w:gridSpan w:val="2"/>
          </w:tcPr>
          <w:p w:rsidP="00C21C43" w:rsidR="00A62673" w:rsidRDefault="00A62673" w:rsidRPr="00DC315B">
            <w:pPr>
              <w:adjustRightInd w:val="0"/>
              <w:spacing w:before="29" w:line="360" w:lineRule="auto"/>
              <w:ind w:left="17"/>
              <w:jc w:val="left"/>
              <w:rPr>
                <w:color w:val="00000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2012年7月5日</w:t>
            </w:r>
          </w:p>
        </w:tc>
      </w:tr>
      <w:tr w:rsidR="00A62673" w:rsidRPr="00EC5CE0" w:rsidTr="006C3F43">
        <w:tc>
          <w:tcPr>
            <w:tcW w:type="dxa" w:w="2835"/>
          </w:tcPr>
          <w:p w:rsidP="00C21C43" w:rsidR="00A62673" w:rsidRDefault="00A62673" w:rsidRPr="00DC315B">
            <w:pPr>
              <w:adjustRightInd w:val="0"/>
              <w:spacing w:before="29" w:line="360" w:lineRule="auto"/>
              <w:ind w:left="17"/>
              <w:jc w:val="left"/>
              <w:rPr>
                <w:sz w:val="24"/>
              </w:rPr>
            </w:pPr>
            <w:r w:rsidRPr="00DC315B">
              <w:rPr>
                <w:kern w:val="0"/>
                <w:sz w:val="24"/>
              </w:rPr>
              <w:t>报告期末基金份额总额</w:t>
            </w:r>
          </w:p>
        </w:tc>
        <w:tc>
          <w:tcPr>
            <w:tcW w:type="dxa" w:w="5479"/>
            <w:gridSpan w:val="2"/>
          </w:tcPr>
          <w:p w:rsidP="00C21C43" w:rsidR="00A62673" w:rsidRDefault="00A62673" w:rsidRPr="00DC315B">
            <w:pPr>
              <w:adjustRightInd w:val="0"/>
              <w:spacing w:before="29" w:line="360" w:lineRule="auto"/>
              <w:ind w:left="17"/>
              <w:jc w:val="left"/>
              <w:rPr>
                <w:color w:val="00000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409,043,950.18</w:t>
            </w:r>
            <w:r w:rsidRPr="00DC315B">
              <w:rPr>
                <w:color w:val="000000"/>
                <w:kern w:val="0"/>
                <w:sz w:val="24"/>
              </w:rPr>
              <w:t>份</w:t>
            </w:r>
          </w:p>
        </w:tc>
      </w:tr>
      <w:tr w:rsidR="00A62673" w:rsidRPr="00EC5CE0" w:rsidTr="006C3F43">
        <w:tc>
          <w:tcPr>
            <w:tcW w:type="dxa" w:w="2835"/>
          </w:tcPr>
          <w:p w:rsidP="00C21C43" w:rsidR="00A62673" w:rsidRDefault="00A62673" w:rsidRPr="00DC315B">
            <w:pPr>
              <w:adjustRightInd w:val="0"/>
              <w:spacing w:before="29" w:line="360" w:lineRule="auto"/>
              <w:ind w:left="17"/>
              <w:jc w:val="left"/>
              <w:rPr>
                <w:sz w:val="24"/>
              </w:rPr>
            </w:pPr>
            <w:r w:rsidRPr="00DC315B">
              <w:rPr>
                <w:kern w:val="0"/>
                <w:sz w:val="24"/>
              </w:rPr>
              <w:t>投资目标</w:t>
            </w:r>
          </w:p>
        </w:tc>
        <w:tc>
          <w:tcPr>
            <w:tcW w:type="dxa" w:w="5479"/>
            <w:gridSpan w:val="2"/>
          </w:tcPr>
          <w:p w:rsidP="00C21C43" w:rsidR="00A62673" w:rsidRDefault="00A62673" w:rsidRPr="00DC315B">
            <w:pPr>
              <w:adjustRightInd w:val="0"/>
              <w:spacing w:before="29" w:line="360" w:lineRule="auto"/>
              <w:ind w:left="17"/>
              <w:jc w:val="left"/>
              <w:rPr>
                <w:color w:val="00000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本基金为指数增强型股票基金，在力求对标的指数进行有效跟踪的基础上，主要通过运用量化策略进行投资组合管理，力争实现超越业绩比较基准的投资回报。</w:t>
            </w:r>
          </w:p>
        </w:tc>
      </w:tr>
      <w:tr w:rsidR="00A62673" w:rsidRPr="00EC5CE0" w:rsidTr="006C3F43">
        <w:tc>
          <w:tcPr>
            <w:tcW w:type="dxa" w:w="2835"/>
          </w:tcPr>
          <w:p w:rsidP="00C21C43" w:rsidR="00A62673" w:rsidRDefault="00A62673" w:rsidRPr="00DC315B">
            <w:pPr>
              <w:adjustRightInd w:val="0"/>
              <w:spacing w:before="29" w:line="360" w:lineRule="auto"/>
              <w:ind w:left="17"/>
              <w:jc w:val="left"/>
              <w:rPr>
                <w:sz w:val="24"/>
              </w:rPr>
            </w:pPr>
            <w:r w:rsidRPr="00DC315B">
              <w:rPr>
                <w:kern w:val="0"/>
                <w:sz w:val="24"/>
              </w:rPr>
              <w:t>投资策略</w:t>
            </w:r>
          </w:p>
        </w:tc>
        <w:tc>
          <w:tcPr>
            <w:tcW w:type="dxa" w:w="5479"/>
            <w:gridSpan w:val="2"/>
          </w:tcPr>
          <w:p w:rsidP="00C21C43" w:rsidR="00A62673" w:rsidRDefault="00A62673" w:rsidRPr="00DC315B">
            <w:pPr>
              <w:adjustRightInd w:val="0"/>
              <w:spacing w:before="29" w:line="360" w:lineRule="auto"/>
              <w:ind w:left="17"/>
              <w:jc w:val="left"/>
              <w:rPr>
                <w:color w:val="00000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本基金主要策略为复制标的指数，投资组合将以标的指数的构成为基础，主要利用基金管理人自主开发的定量投资模型在有限范围内进行超配或低配。一方面严格控制组合跟踪误差，避免大幅偏离标的指数，另一方面在跟踪指数的基础上力求超越指数。基金管理人自主开发的定量投资模型充分借鉴国内外定量分析的研究成果，结合基金管理人的长期研究与实践应用，利用多因子量化模型预测股票超额回报，在有效风险控制及交易成本最低化的基础上优化投资组合，获取超额收益，实现对投资组合的主动增强。</w:t>
            </w:r>
          </w:p>
        </w:tc>
      </w:tr>
      <w:tr w:rsidR="00A62673" w:rsidRPr="00EC5CE0" w:rsidTr="006C3F43">
        <w:tc>
          <w:tcPr>
            <w:tcW w:type="dxa" w:w="2835"/>
          </w:tcPr>
          <w:p w:rsidP="00C21C43" w:rsidR="00A62673" w:rsidRDefault="00A62673" w:rsidRPr="00DC315B">
            <w:pPr>
              <w:adjustRightInd w:val="0"/>
              <w:spacing w:before="29" w:line="360" w:lineRule="auto"/>
              <w:ind w:left="17"/>
              <w:jc w:val="left"/>
              <w:rPr>
                <w:sz w:val="24"/>
              </w:rPr>
            </w:pPr>
            <w:r w:rsidRPr="00DC315B">
              <w:rPr>
                <w:kern w:val="0"/>
                <w:sz w:val="24"/>
              </w:rPr>
              <w:t>业绩比较基准</w:t>
            </w:r>
          </w:p>
        </w:tc>
        <w:tc>
          <w:tcPr>
            <w:tcW w:type="dxa" w:w="5479"/>
            <w:gridSpan w:val="2"/>
          </w:tcPr>
          <w:p w:rsidP="00C21C43" w:rsidR="00A62673" w:rsidRDefault="00A62673" w:rsidRPr="00DC315B">
            <w:pPr>
              <w:adjustRightInd w:val="0"/>
              <w:spacing w:before="29" w:line="360" w:lineRule="auto"/>
              <w:ind w:left="17"/>
              <w:jc w:val="left"/>
              <w:rPr>
                <w:color w:val="00000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沪深300指数收益率×95%+活期存款利率（税后）×5%</w:t>
            </w:r>
          </w:p>
        </w:tc>
      </w:tr>
      <w:tr w:rsidR="00A62673" w:rsidRPr="00EC5CE0" w:rsidTr="006C3F43">
        <w:tc>
          <w:tcPr>
            <w:tcW w:type="dxa" w:w="2835"/>
          </w:tcPr>
          <w:p w:rsidP="00C21C43" w:rsidR="00A62673" w:rsidRDefault="00A62673" w:rsidRPr="00DC315B">
            <w:pPr>
              <w:adjustRightInd w:val="0"/>
              <w:spacing w:before="29" w:line="360" w:lineRule="auto"/>
              <w:ind w:left="17"/>
              <w:jc w:val="left"/>
              <w:rPr>
                <w:sz w:val="24"/>
              </w:rPr>
            </w:pPr>
            <w:r w:rsidRPr="00DC315B">
              <w:rPr>
                <w:kern w:val="0"/>
                <w:sz w:val="24"/>
              </w:rPr>
              <w:t>风险收益特征</w:t>
            </w:r>
          </w:p>
        </w:tc>
        <w:tc>
          <w:tcPr>
            <w:tcW w:type="dxa" w:w="5479"/>
            <w:gridSpan w:val="2"/>
          </w:tcPr>
          <w:p w:rsidP="00C21C43" w:rsidR="00A62673" w:rsidRDefault="00A62673" w:rsidRPr="00DC315B">
            <w:pPr>
              <w:adjustRightInd w:val="0"/>
              <w:spacing w:before="29" w:line="360" w:lineRule="auto"/>
              <w:ind w:left="17"/>
              <w:jc w:val="left"/>
              <w:rPr>
                <w:color w:val="00000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本基金属股票型基金中的指数增强型基金，预期风险与预期收益水平高于混合型基金、债券型基金与货币市场基金。</w:t>
            </w:r>
          </w:p>
        </w:tc>
      </w:tr>
      <w:tr w:rsidR="00A62673" w:rsidRPr="00EC5CE0" w:rsidTr="006C3F43">
        <w:tc>
          <w:tcPr>
            <w:tcW w:type="dxa" w:w="2835"/>
          </w:tcPr>
          <w:p w:rsidP="00C21C43" w:rsidR="00A62673" w:rsidRDefault="00A62673" w:rsidRPr="00DC315B">
            <w:pPr>
              <w:adjustRightInd w:val="0"/>
              <w:spacing w:before="29" w:line="360" w:lineRule="auto"/>
              <w:ind w:left="17"/>
              <w:jc w:val="left"/>
              <w:rPr>
                <w:sz w:val="24"/>
              </w:rPr>
            </w:pPr>
            <w:r w:rsidRPr="00DC315B">
              <w:rPr>
                <w:kern w:val="0"/>
                <w:sz w:val="24"/>
              </w:rPr>
              <w:t>基金管理人</w:t>
            </w:r>
          </w:p>
        </w:tc>
        <w:tc>
          <w:tcPr>
            <w:tcW w:type="dxa" w:w="5479"/>
            <w:gridSpan w:val="2"/>
          </w:tcPr>
          <w:p w:rsidP="00C21C43" w:rsidR="00A62673" w:rsidRDefault="00A62673" w:rsidRPr="00DC315B">
            <w:pPr>
              <w:adjustRightInd w:val="0"/>
              <w:spacing w:before="29" w:line="360" w:lineRule="auto"/>
              <w:ind w:left="17"/>
              <w:jc w:val="left"/>
              <w:rPr>
                <w:color w:val="00000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易方达基金管理有限公司</w:t>
            </w:r>
          </w:p>
        </w:tc>
      </w:tr>
      <w:tr w:rsidR="00A62673" w:rsidRPr="00EC5CE0" w:rsidTr="006C3F43">
        <w:tc>
          <w:tcPr>
            <w:tcW w:type="dxa" w:w="2835"/>
          </w:tcPr>
          <w:p w:rsidP="00C21C43" w:rsidR="00A62673" w:rsidRDefault="00A62673" w:rsidRPr="00DC315B">
            <w:pPr>
              <w:adjustRightInd w:val="0"/>
              <w:spacing w:before="29" w:line="360" w:lineRule="auto"/>
              <w:ind w:left="17"/>
              <w:jc w:val="left"/>
              <w:rPr>
                <w:sz w:val="24"/>
              </w:rPr>
            </w:pPr>
            <w:r w:rsidRPr="00DC315B">
              <w:rPr>
                <w:kern w:val="0"/>
                <w:sz w:val="24"/>
              </w:rPr>
              <w:t>基金托管人</w:t>
            </w:r>
          </w:p>
        </w:tc>
        <w:tc>
          <w:tcPr>
            <w:tcW w:type="dxa" w:w="5479"/>
            <w:gridSpan w:val="2"/>
          </w:tcPr>
          <w:p w:rsidP="00C21C43" w:rsidR="00A62673" w:rsidRDefault="00A62673" w:rsidRPr="00DC315B">
            <w:pPr>
              <w:adjustRightInd w:val="0"/>
              <w:spacing w:before="29" w:line="360" w:lineRule="auto"/>
              <w:ind w:left="17"/>
              <w:jc w:val="left"/>
              <w:rPr>
                <w:color w:val="000000"/>
                <w:sz w:val="24"/>
              </w:rPr>
            </w:pPr>
            <w:r w:rsidRPr="00DC315B">
              <w:rPr>
                <w:color w:val="000000"/>
                <w:kern w:val="0"/>
                <w:sz w:val="24"/>
              </w:rPr>
              <w:t/>
            </w:r>
            <w:proofErr w:type="spellStart"/>
            <w:r w:rsidRPr="00DC315B">
              <w:rPr>
                <w:color w:val="000000"/>
                <w:kern w:val="0"/>
                <w:sz w:val="24"/>
              </w:rPr>
              <w:t/>
            </w:r>
            <w:proofErr w:type="spellEnd"/>
            <w:r w:rsidRPr="00DC315B">
              <w:rPr>
                <w:color w:val="000000"/>
                <w:kern w:val="0"/>
                <w:sz w:val="24"/>
              </w:rPr>
              <w:t>中国建设银行股份有限公司</w:t>
            </w:r>
          </w:p>
        </w:tc>
      </w:tr>
    </w:tbl>
    <w:p w:rsidP="007467A8" w:rsidR="00A62673" w:rsidRDefault="00A62673" w:rsidRPr="00EC5CE0">
      <w:pPr>
        <w:pStyle w:val="1"/>
        <w:spacing w:after="312" w:afterLines="100" w:before="312" w:beforeLines="100" w:line="360" w:lineRule="auto"/>
        <w:jc w:val="center"/>
        <w:rPr>
          <w:rFonts w:ascii="宋体" w:cs="Arial"/>
          <w:color w:val="000000"/>
          <w:kern w:val="0"/>
          <w:sz w:val="24"/>
          <w:szCs w:val="24"/>
        </w:rPr>
      </w:pPr>
      <w:r w:rsidRPr="00EC5CE0">
        <w:rPr>
          <w:rFonts w:ascii="宋体" w:cs="Arial" w:hAnsi="宋体" w:hint="eastAsia"/>
          <w:color w:val="000000"/>
          <w:kern w:val="0"/>
          <w:sz w:val="24"/>
          <w:szCs w:val="24"/>
        </w:rPr>
        <w:lastRenderedPageBreak/>
        <w:t>§</w:t>
      </w:r>
      <w:r w:rsidRPr="00EC5CE0">
        <w:rPr>
          <w:rFonts w:ascii="宋体" w:cs="Arial" w:hAnsi="宋体"/>
          <w:color w:val="000000"/>
          <w:kern w:val="0"/>
          <w:sz w:val="24"/>
          <w:szCs w:val="24"/>
        </w:rPr>
        <w:t xml:space="preserve">3  </w:t>
      </w:r>
      <w:r w:rsidRPr="00EC5CE0">
        <w:rPr>
          <w:rFonts w:ascii="宋体" w:cs="Arial" w:hAnsi="宋体" w:hint="eastAsia"/>
          <w:color w:val="000000"/>
          <w:kern w:val="0"/>
          <w:sz w:val="24"/>
          <w:szCs w:val="24"/>
        </w:rPr>
        <w:t>主要财务指标和基金净值表现</w:t>
      </w:r>
    </w:p>
    <w:p w:rsidP="005A2DCB" w:rsidR="00A62673" w:rsidRDefault="00A62673" w:rsidRPr="00EC5CE0">
      <w:pPr>
        <w:autoSpaceDE w:val="0"/>
        <w:autoSpaceDN w:val="0"/>
        <w:adjustRightInd w:val="0"/>
        <w:spacing w:line="360" w:lineRule="auto"/>
        <w:jc w:val="left"/>
        <w:rPr>
          <w:rFonts w:ascii="宋体" w:cs="Arial"/>
          <w:b/>
          <w:color w:val="000000"/>
          <w:kern w:val="0"/>
          <w:sz w:val="24"/>
        </w:rPr>
      </w:pPr>
      <w:r w:rsidRPr="00EC5CE0">
        <w:rPr>
          <w:rFonts w:ascii="宋体" w:cs="Arial" w:hAnsi="宋体"/>
          <w:b/>
          <w:color w:val="000000"/>
          <w:kern w:val="0"/>
          <w:sz w:val="24"/>
        </w:rPr>
        <w:t xml:space="preserve">3.1 </w:t>
      </w:r>
      <w:r w:rsidRPr="00EC5CE0">
        <w:rPr>
          <w:rFonts w:ascii="宋体" w:cs="Arial" w:hAnsi="宋体" w:hint="eastAsia"/>
          <w:b/>
          <w:color w:val="000000"/>
          <w:kern w:val="0"/>
          <w:sz w:val="24"/>
        </w:rPr>
        <w:t>主要财务指标</w:t>
      </w:r>
    </w:p>
    <w:p w:rsidP="00FE7205" w:rsidR="00FE7205" w:rsidRDefault="00FE7205"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FE7205" w:rsidRPr="006506EF" w:rsidTr="00C3442A">
        <w:tc>
          <w:tcPr>
            <w:tcW w:type="dxa" w:w="3402"/>
            <w:vAlign w:val="center"/>
          </w:tcPr>
          <w:p w:rsidP="00C3442A" w:rsidR="00FE7205" w:rsidRDefault="00FE7205"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FE7205" w:rsidRDefault="00FE7205" w:rsidRPr="006506EF">
            <w:pPr>
              <w:adjustRightInd w:val="0"/>
              <w:spacing w:before="29" w:line="360" w:lineRule="auto"/>
              <w:ind w:left="17"/>
              <w:jc w:val="center"/>
              <w:rPr>
                <w:color w:val="000000"/>
                <w:sz w:val="24"/>
              </w:rPr>
            </w:pPr>
            <w:r w:rsidRPr="006506EF">
              <w:rPr>
                <w:color w:val="000000"/>
                <w:sz w:val="24"/>
              </w:rPr>
              <w:t>报告期</w:t>
            </w:r>
          </w:p>
          <w:p w:rsidP="00C3442A" w:rsidR="00FE7205" w:rsidRDefault="00FE7205"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FE7205" w:rsidRDefault="00FE7205"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FE7205" w:rsidRPr="006506EF" w:rsidTr="00C3442A">
        <w:tc>
          <w:tcPr>
            <w:tcW w:type="dxa" w:w="3402"/>
          </w:tcPr>
          <w:p w:rsidP="00C3442A" w:rsidR="00FE7205" w:rsidRDefault="00FE7205"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FE7205" w:rsidRDefault="00FE7205" w:rsidRPr="006506EF">
            <w:pPr>
              <w:adjustRightInd w:val="0"/>
              <w:spacing w:before="29" w:line="360" w:lineRule="auto"/>
              <w:ind w:left="17"/>
              <w:jc w:val="right"/>
              <w:rPr>
                <w:color w:val="000000"/>
                <w:sz w:val="24"/>
              </w:rPr>
            </w:pPr>
            <w:r w:rsidRPr="006506EF">
              <w:rPr>
                <w:color w:val="000000"/>
                <w:sz w:val="24"/>
              </w:rPr>
              <w:t>11,544,680.94</w:t>
            </w:r>
          </w:p>
        </w:tc>
        <w:tc>
          <w:tcPr>
            <w:tcW w:type="dxa" w:w="2410"/>
            <w:hMerge/>
            <w:vAlign w:val="bottom"/>
          </w:tcPr>
          <w:p w:rsidP="00C3442A" w:rsidR="00FE7205" w:rsidRDefault="00FE7205" w:rsidRPr="006506EF">
            <w:pPr>
              <w:adjustRightInd w:val="0"/>
              <w:spacing w:before="29" w:line="360" w:lineRule="auto"/>
              <w:ind w:left="17"/>
              <w:jc w:val="right"/>
              <w:rPr>
                <w:color w:val="000000"/>
                <w:sz w:val="24"/>
              </w:rPr>
            </w:pPr>
            <w:r w:rsidRPr="006506EF">
              <w:rPr>
                <w:color w:val="000000"/>
                <w:sz w:val="24"/>
              </w:rPr>
              <w:t>-</w:t>
            </w:r>
          </w:p>
        </w:tc>
      </w:tr>
      <w:tr w:rsidR="00FE7205" w:rsidRPr="006506EF" w:rsidTr="00C3442A">
        <w:tc>
          <w:tcPr>
            <w:tcW w:type="dxa" w:w="3402"/>
          </w:tcPr>
          <w:p w:rsidP="00C3442A" w:rsidR="00FE7205" w:rsidRDefault="00FE7205"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FE7205" w:rsidRDefault="00FE7205"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169,958,157.55</w:t>
            </w:r>
          </w:p>
        </w:tc>
        <w:tc>
          <w:tcPr>
            <w:tcW w:type="dxa" w:w="2410"/>
            <w:hMerge/>
            <w:vAlign w:val="bottom"/>
          </w:tcPr>
          <w:p w:rsidP="00C3442A" w:rsidR="00FE7205" w:rsidRDefault="00FE7205" w:rsidRPr="006506EF">
            <w:pPr>
              <w:adjustRightInd w:val="0"/>
              <w:spacing w:before="29" w:line="360" w:lineRule="auto"/>
              <w:ind w:left="17"/>
              <w:jc w:val="right"/>
              <w:rPr>
                <w:color w:val="000000"/>
                <w:sz w:val="24"/>
              </w:rPr>
            </w:pPr>
            <w:r w:rsidRPr="006506EF">
              <w:rPr>
                <w:color w:val="000000"/>
                <w:sz w:val="24"/>
              </w:rPr>
              <w:t>-</w:t>
            </w:r>
          </w:p>
        </w:tc>
      </w:tr>
      <w:tr w:rsidR="00FE7205" w:rsidRPr="006506EF" w:rsidTr="00C3442A">
        <w:tc>
          <w:tcPr>
            <w:tcW w:type="dxa" w:w="3402"/>
          </w:tcPr>
          <w:p w:rsidP="00C3442A" w:rsidR="00FE7205" w:rsidRDefault="00FE7205"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FE7205" w:rsidRDefault="00FE7205"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0.3635</w:t>
            </w:r>
          </w:p>
        </w:tc>
        <w:tc>
          <w:tcPr>
            <w:tcW w:type="dxa" w:w="2410"/>
            <w:hMerge/>
            <w:vAlign w:val="bottom"/>
          </w:tcPr>
          <w:p w:rsidP="00C3442A" w:rsidR="00FE7205" w:rsidRDefault="00FE7205" w:rsidRPr="006506EF">
            <w:pPr>
              <w:adjustRightInd w:val="0"/>
              <w:spacing w:before="29" w:line="360" w:lineRule="auto"/>
              <w:ind w:left="17"/>
              <w:jc w:val="right"/>
              <w:rPr>
                <w:color w:val="000000"/>
                <w:sz w:val="24"/>
              </w:rPr>
            </w:pPr>
            <w:r w:rsidRPr="006506EF">
              <w:rPr>
                <w:color w:val="000000"/>
                <w:sz w:val="24"/>
              </w:rPr>
              <w:t>-</w:t>
            </w:r>
          </w:p>
        </w:tc>
      </w:tr>
      <w:tr w:rsidR="00FE7205" w:rsidRPr="006506EF" w:rsidTr="00C3442A">
        <w:tc>
          <w:tcPr>
            <w:tcW w:type="dxa" w:w="3402"/>
          </w:tcPr>
          <w:p w:rsidP="00C3442A" w:rsidR="00FE7205" w:rsidRDefault="00FE7205"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FE7205" w:rsidRDefault="00FE7205"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1,106,824,715.47</w:t>
            </w:r>
          </w:p>
        </w:tc>
        <w:tc>
          <w:tcPr>
            <w:tcW w:type="dxa" w:w="2410"/>
            <w:hMerge/>
          </w:tcPr>
          <w:p w:rsidP="00C3442A" w:rsidR="00FE7205" w:rsidRDefault="00FE7205" w:rsidRPr="006506EF">
            <w:pPr>
              <w:adjustRightInd w:val="0"/>
              <w:spacing w:before="29" w:line="360" w:lineRule="auto"/>
              <w:ind w:left="17"/>
              <w:jc w:val="right"/>
              <w:rPr>
                <w:color w:val="000000"/>
                <w:sz w:val="24"/>
              </w:rPr>
            </w:pPr>
            <w:r w:rsidRPr="006506EF">
              <w:rPr>
                <w:color w:val="000000"/>
                <w:sz w:val="24"/>
              </w:rPr>
              <w:t>-</w:t>
            </w:r>
          </w:p>
        </w:tc>
      </w:tr>
      <w:tr w:rsidR="00FE7205" w:rsidRPr="006506EF" w:rsidTr="00C3442A">
        <w:trPr>
          <w:trHeight w:val="158"/>
        </w:trPr>
        <w:tc>
          <w:tcPr>
            <w:tcW w:type="dxa" w:w="3402"/>
          </w:tcPr>
          <w:p w:rsidP="00C3442A" w:rsidR="00FE7205" w:rsidRDefault="00FE7205"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FE7205" w:rsidRDefault="00FE7205"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2.7059</w:t>
            </w:r>
          </w:p>
        </w:tc>
        <w:tc>
          <w:tcPr>
            <w:tcW w:type="dxa" w:w="2410"/>
            <w:hMerge/>
          </w:tcPr>
          <w:p w:rsidP="00C3442A" w:rsidR="00FE7205" w:rsidRDefault="00FE7205"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1648E" w:rsidR="00A62673" w:rsidRDefault="00FE7205" w:rsidRPr="00C1648E">
      <w:pPr>
        <w:spacing w:line="360" w:lineRule="auto"/>
        <w:ind w:firstLine="480" w:firstLineChars="200"/>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5A2DCB" w:rsidR="00A62673" w:rsidRDefault="00A62673" w:rsidRPr="00EC5CE0">
      <w:pPr>
        <w:autoSpaceDE w:val="0"/>
        <w:autoSpaceDN w:val="0"/>
        <w:adjustRightInd w:val="0"/>
        <w:spacing w:line="360" w:lineRule="auto"/>
        <w:jc w:val="left"/>
        <w:rPr>
          <w:rFonts w:ascii="宋体" w:cs="Arial"/>
          <w:b/>
          <w:color w:val="000000"/>
          <w:kern w:val="0"/>
          <w:sz w:val="24"/>
        </w:rPr>
      </w:pPr>
      <w:r w:rsidRPr="00EC5CE0">
        <w:rPr>
          <w:rFonts w:ascii="宋体" w:cs="Arial" w:hAnsi="宋体"/>
          <w:b/>
          <w:color w:val="000000"/>
          <w:kern w:val="0"/>
          <w:sz w:val="24"/>
        </w:rPr>
        <w:t xml:space="preserve">3.2 </w:t>
      </w:r>
      <w:r w:rsidRPr="00EC5CE0">
        <w:rPr>
          <w:rFonts w:ascii="宋体" w:cs="Arial" w:hAnsi="宋体" w:hint="eastAsia"/>
          <w:b/>
          <w:color w:val="000000"/>
          <w:kern w:val="0"/>
          <w:sz w:val="24"/>
        </w:rPr>
        <w:t>基金净值表现</w:t>
      </w:r>
    </w:p>
    <w:p w:rsidP="005A2DCB" w:rsidR="00A62673" w:rsidRDefault="00A62673" w:rsidRPr="00EC5CE0">
      <w:pPr>
        <w:autoSpaceDE w:val="0"/>
        <w:autoSpaceDN w:val="0"/>
        <w:adjustRightInd w:val="0"/>
        <w:spacing w:line="360" w:lineRule="auto"/>
        <w:jc w:val="left"/>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EC5CE0">
          <w:rPr>
            <w:rFonts w:ascii="宋体" w:cs="Arial" w:hAnsi="宋体"/>
            <w:b/>
            <w:color w:val="000000"/>
            <w:kern w:val="0"/>
            <w:sz w:val="24"/>
          </w:rPr>
          <w:t>3.2.1</w:t>
        </w:r>
      </w:smartTag>
      <w:r w:rsidRPr="00EC5CE0">
        <w:rPr>
          <w:rFonts w:ascii="宋体" w:cs="Arial" w:hAnsi="宋体" w:hint="eastAsia"/>
          <w:b/>
          <w:color w:val="000000"/>
          <w:kern w:val="0"/>
          <w:sz w:val="24"/>
        </w:rPr>
        <w:t>本报告</w:t>
      </w:r>
      <w:proofErr w:type="gramStart"/>
      <w:r w:rsidRPr="00EC5CE0">
        <w:rPr>
          <w:rFonts w:ascii="宋体" w:cs="Arial" w:hAnsi="宋体" w:hint="eastAsia"/>
          <w:b/>
          <w:color w:val="000000"/>
          <w:kern w:val="0"/>
          <w:sz w:val="24"/>
        </w:rPr>
        <w:t>期基金</w:t>
      </w:r>
      <w:proofErr w:type="gramEnd"/>
      <w:r w:rsidRPr="00EC5CE0">
        <w:rPr>
          <w:rFonts w:ascii="宋体" w:cs="Arial" w:hAnsi="宋体" w:hint="eastAsia"/>
          <w:b/>
          <w:color w:val="000000"/>
          <w:kern w:val="0"/>
          <w:sz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A62673" w:rsidRPr="00EC5CE0" w:rsidTr="006B315F">
        <w:tc>
          <w:tcPr>
            <w:tcW w:type="dxa" w:w="1395"/>
            <w:vAlign w:val="center"/>
          </w:tcPr>
          <w:p w:rsidP="006B315F" w:rsidR="00A62673" w:rsidRDefault="00A62673" w:rsidRPr="00C1648E">
            <w:pPr>
              <w:autoSpaceDE w:val="0"/>
              <w:autoSpaceDN w:val="0"/>
              <w:adjustRightInd w:val="0"/>
              <w:spacing w:before="29" w:line="360" w:lineRule="auto"/>
              <w:ind w:left="17"/>
              <w:jc w:val="center"/>
              <w:rPr>
                <w:color w:val="000000"/>
                <w:sz w:val="24"/>
              </w:rPr>
            </w:pPr>
            <w:r w:rsidRPr="00C1648E">
              <w:rPr>
                <w:color w:val="000000"/>
                <w:sz w:val="24"/>
              </w:rPr>
              <w:t>阶段</w:t>
            </w:r>
            <w:r w:rsidRPr="00C1648E">
              <w:rPr>
                <w:color w:val="000000"/>
                <w:sz w:val="24"/>
              </w:rPr>
              <w:t/>
            </w:r>
            <w:proofErr w:type="spellStart"/>
            <w:r w:rsidRPr="00C1648E">
              <w:rPr>
                <w:color w:val="000000"/>
                <w:sz w:val="24"/>
              </w:rPr>
              <w:t/>
            </w:r>
            <w:proofErr w:type="spellEnd"/>
            <w:r w:rsidRPr="00C1648E">
              <w:rPr>
                <w:color w:val="000000"/>
                <w:sz w:val="24"/>
              </w:rPr>
              <w:t/>
            </w:r>
          </w:p>
        </w:tc>
        <w:tc>
          <w:tcPr>
            <w:tcW w:type="dxa" w:w="1092"/>
            <w:vAlign w:val="center"/>
          </w:tcPr>
          <w:p w:rsidP="006B315F" w:rsidR="00A62673" w:rsidRDefault="00A62673" w:rsidRPr="00C1648E">
            <w:pPr>
              <w:autoSpaceDE w:val="0"/>
              <w:autoSpaceDN w:val="0"/>
              <w:adjustRightInd w:val="0"/>
              <w:spacing w:before="29" w:line="360" w:lineRule="auto"/>
              <w:ind w:left="17"/>
              <w:jc w:val="center"/>
              <w:rPr>
                <w:color w:val="000000"/>
                <w:sz w:val="24"/>
              </w:rPr>
            </w:pPr>
            <w:r w:rsidRPr="00C1648E">
              <w:rPr>
                <w:color w:val="000000"/>
                <w:sz w:val="24"/>
              </w:rPr>
              <w:t>净值增长率</w:t>
            </w:r>
            <w:r w:rsidRPr="00C1648E">
              <w:rPr>
                <w:rFonts w:ascii="宋体" w:cs="宋体" w:hAnsi="宋体" w:hint="eastAsia"/>
                <w:color w:val="000000"/>
                <w:sz w:val="24"/>
              </w:rPr>
              <w:t>①</w:t>
            </w:r>
          </w:p>
        </w:tc>
        <w:tc>
          <w:tcPr>
            <w:tcW w:type="dxa" w:w="1161"/>
            <w:vAlign w:val="center"/>
          </w:tcPr>
          <w:p w:rsidP="006B315F" w:rsidR="00A62673" w:rsidRDefault="00A62673" w:rsidRPr="00C1648E">
            <w:pPr>
              <w:autoSpaceDE w:val="0"/>
              <w:autoSpaceDN w:val="0"/>
              <w:adjustRightInd w:val="0"/>
              <w:spacing w:before="29" w:line="360" w:lineRule="auto"/>
              <w:ind w:left="17"/>
              <w:jc w:val="center"/>
              <w:rPr>
                <w:color w:val="000000"/>
                <w:sz w:val="24"/>
              </w:rPr>
            </w:pPr>
            <w:r w:rsidRPr="00C1648E">
              <w:rPr>
                <w:color w:val="000000"/>
                <w:sz w:val="24"/>
              </w:rPr>
              <w:t>净值增长率标准差</w:t>
            </w:r>
            <w:r w:rsidRPr="00C1648E">
              <w:rPr>
                <w:rFonts w:ascii="宋体" w:cs="宋体" w:hAnsi="宋体" w:hint="eastAsia"/>
                <w:color w:val="000000"/>
                <w:sz w:val="24"/>
              </w:rPr>
              <w:t>②</w:t>
            </w:r>
          </w:p>
        </w:tc>
        <w:tc>
          <w:tcPr>
            <w:tcW w:type="dxa" w:w="1181"/>
            <w:vAlign w:val="center"/>
          </w:tcPr>
          <w:p w:rsidP="006B315F" w:rsidR="00A62673" w:rsidRDefault="00A62673" w:rsidRPr="00C1648E">
            <w:pPr>
              <w:autoSpaceDE w:val="0"/>
              <w:autoSpaceDN w:val="0"/>
              <w:adjustRightInd w:val="0"/>
              <w:spacing w:before="29" w:line="360" w:lineRule="auto"/>
              <w:ind w:left="17"/>
              <w:jc w:val="center"/>
              <w:rPr>
                <w:color w:val="000000"/>
                <w:sz w:val="24"/>
              </w:rPr>
            </w:pPr>
            <w:r w:rsidRPr="00C1648E">
              <w:rPr>
                <w:color w:val="000000"/>
                <w:sz w:val="24"/>
              </w:rPr>
              <w:t>业绩比较基准收益率</w:t>
            </w:r>
            <w:r w:rsidRPr="00C1648E">
              <w:rPr>
                <w:rFonts w:ascii="宋体" w:cs="宋体" w:hAnsi="宋体" w:hint="eastAsia"/>
                <w:color w:val="000000"/>
                <w:sz w:val="24"/>
              </w:rPr>
              <w:lastRenderedPageBreak/>
              <w:t>③</w:t>
            </w:r>
          </w:p>
        </w:tc>
        <w:tc>
          <w:tcPr>
            <w:tcW w:type="dxa" w:w="1188"/>
            <w:vAlign w:val="center"/>
          </w:tcPr>
          <w:p w:rsidP="006B315F" w:rsidR="00A62673" w:rsidRDefault="00A62673" w:rsidRPr="00C1648E">
            <w:pPr>
              <w:autoSpaceDE w:val="0"/>
              <w:autoSpaceDN w:val="0"/>
              <w:adjustRightInd w:val="0"/>
              <w:spacing w:before="29" w:line="360" w:lineRule="auto"/>
              <w:ind w:left="17"/>
              <w:jc w:val="center"/>
              <w:rPr>
                <w:color w:val="000000"/>
                <w:sz w:val="24"/>
              </w:rPr>
            </w:pPr>
            <w:r w:rsidRPr="00C1648E">
              <w:rPr>
                <w:color w:val="000000"/>
                <w:sz w:val="24"/>
              </w:rPr>
              <w:lastRenderedPageBreak/>
              <w:t>业绩比较基准收益率</w:t>
            </w:r>
            <w:r w:rsidRPr="00C1648E">
              <w:rPr>
                <w:color w:val="000000"/>
                <w:sz w:val="24"/>
              </w:rPr>
              <w:lastRenderedPageBreak/>
              <w:t>标准差</w:t>
            </w:r>
            <w:r w:rsidRPr="00C1648E">
              <w:rPr>
                <w:rFonts w:ascii="宋体" w:cs="宋体" w:hAnsi="宋体" w:hint="eastAsia"/>
                <w:color w:val="000000"/>
                <w:sz w:val="24"/>
              </w:rPr>
              <w:t>④</w:t>
            </w:r>
          </w:p>
        </w:tc>
        <w:tc>
          <w:tcPr>
            <w:tcW w:type="dxa" w:w="1199"/>
            <w:vAlign w:val="center"/>
          </w:tcPr>
          <w:p w:rsidP="006B315F" w:rsidR="00A62673" w:rsidRDefault="00A62673" w:rsidRPr="00C1648E">
            <w:pPr>
              <w:autoSpaceDE w:val="0"/>
              <w:autoSpaceDN w:val="0"/>
              <w:adjustRightInd w:val="0"/>
              <w:spacing w:before="29" w:line="360" w:lineRule="auto"/>
              <w:ind w:left="17"/>
              <w:jc w:val="center"/>
              <w:rPr>
                <w:color w:val="000000"/>
                <w:sz w:val="24"/>
              </w:rPr>
            </w:pPr>
            <w:r w:rsidRPr="00C1648E">
              <w:rPr>
                <w:rFonts w:ascii="宋体" w:cs="宋体" w:hAnsi="宋体" w:hint="eastAsia"/>
                <w:color w:val="000000"/>
                <w:sz w:val="24"/>
              </w:rPr>
              <w:lastRenderedPageBreak/>
              <w:t>①</w:t>
            </w:r>
            <w:r w:rsidRPr="00C1648E">
              <w:rPr>
                <w:color w:val="000000"/>
                <w:sz w:val="24"/>
              </w:rPr>
              <w:t>-</w:t>
            </w:r>
            <w:r w:rsidRPr="00C1648E">
              <w:rPr>
                <w:rFonts w:ascii="宋体" w:cs="宋体" w:hAnsi="宋体" w:hint="eastAsia"/>
                <w:color w:val="000000"/>
                <w:sz w:val="24"/>
              </w:rPr>
              <w:t>③</w:t>
            </w:r>
          </w:p>
        </w:tc>
        <w:tc>
          <w:tcPr>
            <w:tcW w:type="dxa" w:w="1204"/>
            <w:vAlign w:val="center"/>
          </w:tcPr>
          <w:p w:rsidP="006B315F" w:rsidR="00A62673" w:rsidRDefault="00A62673" w:rsidRPr="00C1648E">
            <w:pPr>
              <w:autoSpaceDE w:val="0"/>
              <w:autoSpaceDN w:val="0"/>
              <w:adjustRightInd w:val="0"/>
              <w:spacing w:before="29" w:line="360" w:lineRule="auto"/>
              <w:ind w:left="17"/>
              <w:jc w:val="center"/>
              <w:rPr>
                <w:color w:val="000000"/>
                <w:sz w:val="24"/>
              </w:rPr>
            </w:pPr>
            <w:r w:rsidRPr="00C1648E">
              <w:rPr>
                <w:rFonts w:ascii="宋体" w:cs="宋体" w:hAnsi="宋体" w:hint="eastAsia"/>
                <w:color w:val="000000"/>
                <w:sz w:val="24"/>
              </w:rPr>
              <w:t>②</w:t>
            </w:r>
            <w:r w:rsidRPr="00C1648E">
              <w:rPr>
                <w:color w:val="000000"/>
                <w:sz w:val="24"/>
              </w:rPr>
              <w:t>-</w:t>
            </w:r>
            <w:r w:rsidRPr="00C1648E">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16.04%</w:t>
            </w:r>
          </w:p>
        </w:tc>
        <w:tc>
          <w:tcPr>
            <w:vAlign w:val="center"/>
          </w:tcPr>
          <w:p>
            <w:pPr>
              <w:jc w:val="center"/>
            </w:pPr>
            <w:r>
              <w:rPr>
                <w:color w:val="000000"/>
                <w:sz w:val="24"/>
              </w:rPr>
              <w:t>0.84%</w:t>
            </w:r>
          </w:p>
        </w:tc>
        <w:tc>
          <w:tcPr>
            <w:vAlign w:val="center"/>
          </w:tcPr>
          <w:p>
            <w:pPr>
              <w:jc w:val="center"/>
            </w:pPr>
            <w:r>
              <w:rPr>
                <w:color w:val="000000"/>
                <w:sz w:val="24"/>
              </w:rPr>
              <w:t>12.29%</w:t>
            </w:r>
          </w:p>
        </w:tc>
        <w:tc>
          <w:tcPr>
            <w:vAlign w:val="center"/>
          </w:tcPr>
          <w:p>
            <w:pPr>
              <w:jc w:val="center"/>
            </w:pPr>
            <w:r>
              <w:rPr>
                <w:color w:val="000000"/>
                <w:sz w:val="24"/>
              </w:rPr>
              <w:t>0.85%</w:t>
            </w:r>
          </w:p>
        </w:tc>
        <w:tc>
          <w:tcPr>
            <w:vAlign w:val="center"/>
          </w:tcPr>
          <w:p>
            <w:pPr>
              <w:jc w:val="center"/>
            </w:pPr>
            <w:r>
              <w:rPr>
                <w:color w:val="000000"/>
                <w:sz w:val="24"/>
              </w:rPr>
              <w:t>3.75%</w:t>
            </w:r>
          </w:p>
        </w:tc>
        <w:tc>
          <w:tcPr>
            <w:vAlign w:val="center"/>
          </w:tcPr>
          <w:p>
            <w:pPr>
              <w:jc w:val="center"/>
            </w:pPr>
            <w:r>
              <w:rPr>
                <w:color w:val="000000"/>
                <w:sz w:val="24"/>
              </w:rPr>
              <w:t>-0.01%</w:t>
            </w:r>
          </w:p>
        </w:tc>
      </w:tr>
      <w:tr>
        <w:tc>
          <w:tcPr>
            <w:vAlign w:val="center"/>
          </w:tcPr>
          <w:p>
            <w:pPr>
              <w:jc w:val="left"/>
            </w:pPr>
            <w:r>
              <w:rPr>
                <w:color w:val="000000"/>
                <w:sz w:val="24"/>
              </w:rPr>
              <w:t>过去六个月</w:t>
            </w:r>
          </w:p>
        </w:tc>
        <w:tc>
          <w:tcPr>
            <w:vAlign w:val="center"/>
          </w:tcPr>
          <w:p>
            <w:pPr>
              <w:jc w:val="center"/>
            </w:pPr>
            <w:r>
              <w:rPr>
                <w:color w:val="000000"/>
                <w:sz w:val="24"/>
              </w:rPr>
              <w:t>6.86%</w:t>
            </w:r>
          </w:p>
        </w:tc>
        <w:tc>
          <w:tcPr>
            <w:vAlign w:val="center"/>
          </w:tcPr>
          <w:p>
            <w:pPr>
              <w:jc w:val="center"/>
            </w:pPr>
            <w:r>
              <w:rPr>
                <w:color w:val="000000"/>
                <w:sz w:val="24"/>
              </w:rPr>
              <w:t>1.40%</w:t>
            </w:r>
          </w:p>
        </w:tc>
        <w:tc>
          <w:tcPr>
            <w:vAlign w:val="center"/>
          </w:tcPr>
          <w:p>
            <w:pPr>
              <w:jc w:val="center"/>
            </w:pPr>
            <w:r>
              <w:rPr>
                <w:color w:val="000000"/>
                <w:sz w:val="24"/>
              </w:rPr>
              <w:t>1.64%</w:t>
            </w:r>
          </w:p>
        </w:tc>
        <w:tc>
          <w:tcPr>
            <w:vAlign w:val="center"/>
          </w:tcPr>
          <w:p>
            <w:pPr>
              <w:jc w:val="center"/>
            </w:pPr>
            <w:r>
              <w:rPr>
                <w:color w:val="000000"/>
                <w:sz w:val="24"/>
              </w:rPr>
              <w:t>1.45%</w:t>
            </w:r>
          </w:p>
        </w:tc>
        <w:tc>
          <w:tcPr>
            <w:vAlign w:val="center"/>
          </w:tcPr>
          <w:p>
            <w:pPr>
              <w:jc w:val="center"/>
            </w:pPr>
            <w:r>
              <w:rPr>
                <w:color w:val="000000"/>
                <w:sz w:val="24"/>
              </w:rPr>
              <w:t>5.22%</w:t>
            </w:r>
          </w:p>
        </w:tc>
        <w:tc>
          <w:tcPr>
            <w:vAlign w:val="center"/>
          </w:tcPr>
          <w:p>
            <w:pPr>
              <w:jc w:val="center"/>
            </w:pPr>
            <w:r>
              <w:rPr>
                <w:color w:val="000000"/>
                <w:sz w:val="24"/>
              </w:rPr>
              <w:t>-0.05%</w:t>
            </w:r>
          </w:p>
        </w:tc>
      </w:tr>
      <w:tr>
        <w:tc>
          <w:tcPr>
            <w:vAlign w:val="center"/>
          </w:tcPr>
          <w:p>
            <w:pPr>
              <w:jc w:val="left"/>
            </w:pPr>
            <w:r>
              <w:rPr>
                <w:color w:val="000000"/>
                <w:sz w:val="24"/>
              </w:rPr>
              <w:t>过去一年</w:t>
            </w:r>
          </w:p>
        </w:tc>
        <w:tc>
          <w:tcPr>
            <w:vAlign w:val="center"/>
          </w:tcPr>
          <w:p>
            <w:pPr>
              <w:jc w:val="center"/>
            </w:pPr>
            <w:r>
              <w:rPr>
                <w:color w:val="000000"/>
                <w:sz w:val="24"/>
              </w:rPr>
              <w:t>14.93%</w:t>
            </w:r>
          </w:p>
        </w:tc>
        <w:tc>
          <w:tcPr>
            <w:vAlign w:val="center"/>
          </w:tcPr>
          <w:p>
            <w:pPr>
              <w:jc w:val="center"/>
            </w:pPr>
            <w:r>
              <w:rPr>
                <w:color w:val="000000"/>
                <w:sz w:val="24"/>
              </w:rPr>
              <w:t>1.13%</w:t>
            </w:r>
          </w:p>
        </w:tc>
        <w:tc>
          <w:tcPr>
            <w:vAlign w:val="center"/>
          </w:tcPr>
          <w:p>
            <w:pPr>
              <w:jc w:val="center"/>
            </w:pPr>
            <w:r>
              <w:rPr>
                <w:color w:val="000000"/>
                <w:sz w:val="24"/>
              </w:rPr>
              <w:t>8.50%</w:t>
            </w:r>
          </w:p>
        </w:tc>
        <w:tc>
          <w:tcPr>
            <w:vAlign w:val="center"/>
          </w:tcPr>
          <w:p>
            <w:pPr>
              <w:jc w:val="center"/>
            </w:pPr>
            <w:r>
              <w:rPr>
                <w:color w:val="000000"/>
                <w:sz w:val="24"/>
              </w:rPr>
              <w:t>1.16%</w:t>
            </w:r>
          </w:p>
        </w:tc>
        <w:tc>
          <w:tcPr>
            <w:vAlign w:val="center"/>
          </w:tcPr>
          <w:p>
            <w:pPr>
              <w:jc w:val="center"/>
            </w:pPr>
            <w:r>
              <w:rPr>
                <w:color w:val="000000"/>
                <w:sz w:val="24"/>
              </w:rPr>
              <w:t>6.43%</w:t>
            </w:r>
          </w:p>
        </w:tc>
        <w:tc>
          <w:tcPr>
            <w:vAlign w:val="center"/>
          </w:tcPr>
          <w:p>
            <w:pPr>
              <w:jc w:val="center"/>
            </w:pPr>
            <w:r>
              <w:rPr>
                <w:color w:val="000000"/>
                <w:sz w:val="24"/>
              </w:rPr>
              <w:t>-0.03%</w:t>
            </w:r>
          </w:p>
        </w:tc>
      </w:tr>
      <w:tr>
        <w:tc>
          <w:tcPr>
            <w:vAlign w:val="center"/>
          </w:tcPr>
          <w:p>
            <w:pPr>
              <w:jc w:val="left"/>
            </w:pPr>
            <w:r>
              <w:rPr>
                <w:color w:val="000000"/>
                <w:sz w:val="24"/>
              </w:rPr>
              <w:t>过去三年</w:t>
            </w:r>
          </w:p>
        </w:tc>
        <w:tc>
          <w:tcPr>
            <w:vAlign w:val="center"/>
          </w:tcPr>
          <w:p>
            <w:pPr>
              <w:jc w:val="center"/>
            </w:pPr>
            <w:r>
              <w:rPr>
                <w:color w:val="000000"/>
                <w:sz w:val="24"/>
              </w:rPr>
              <w:t>28.90%</w:t>
            </w:r>
          </w:p>
        </w:tc>
        <w:tc>
          <w:tcPr>
            <w:vAlign w:val="center"/>
          </w:tcPr>
          <w:p>
            <w:pPr>
              <w:jc w:val="center"/>
            </w:pPr>
            <w:r>
              <w:rPr>
                <w:color w:val="000000"/>
                <w:sz w:val="24"/>
              </w:rPr>
              <w:t>1.17%</w:t>
            </w:r>
          </w:p>
        </w:tc>
        <w:tc>
          <w:tcPr>
            <w:vAlign w:val="center"/>
          </w:tcPr>
          <w:p>
            <w:pPr>
              <w:jc w:val="center"/>
            </w:pPr>
            <w:r>
              <w:rPr>
                <w:color w:val="000000"/>
                <w:sz w:val="24"/>
              </w:rPr>
              <w:t>13.21%</w:t>
            </w:r>
          </w:p>
        </w:tc>
        <w:tc>
          <w:tcPr>
            <w:vAlign w:val="center"/>
          </w:tcPr>
          <w:p>
            <w:pPr>
              <w:jc w:val="center"/>
            </w:pPr>
            <w:r>
              <w:rPr>
                <w:color w:val="000000"/>
                <w:sz w:val="24"/>
              </w:rPr>
              <w:t>1.19%</w:t>
            </w:r>
          </w:p>
        </w:tc>
        <w:tc>
          <w:tcPr>
            <w:vAlign w:val="center"/>
          </w:tcPr>
          <w:p>
            <w:pPr>
              <w:jc w:val="center"/>
            </w:pPr>
            <w:r>
              <w:rPr>
                <w:color w:val="000000"/>
                <w:sz w:val="24"/>
              </w:rPr>
              <w:t>15.69%</w:t>
            </w:r>
          </w:p>
        </w:tc>
        <w:tc>
          <w:tcPr>
            <w:vAlign w:val="center"/>
          </w:tcPr>
          <w:p>
            <w:pPr>
              <w:jc w:val="center"/>
            </w:pPr>
            <w:r>
              <w:rPr>
                <w:color w:val="000000"/>
                <w:sz w:val="24"/>
              </w:rPr>
              <w:t>-0.02%</w:t>
            </w:r>
          </w:p>
        </w:tc>
      </w:tr>
      <w:tr>
        <w:tc>
          <w:tcPr>
            <w:vAlign w:val="center"/>
          </w:tcPr>
          <w:p>
            <w:pPr>
              <w:jc w:val="left"/>
            </w:pPr>
            <w:r>
              <w:rPr>
                <w:color w:val="000000"/>
                <w:sz w:val="24"/>
              </w:rPr>
              <w:t>过去五年</w:t>
            </w:r>
          </w:p>
        </w:tc>
        <w:tc>
          <w:tcPr>
            <w:vAlign w:val="center"/>
          </w:tcPr>
          <w:p>
            <w:pPr>
              <w:jc w:val="center"/>
            </w:pPr>
            <w:r>
              <w:rPr>
                <w:color w:val="000000"/>
                <w:sz w:val="24"/>
              </w:rPr>
              <w:t>23.75%</w:t>
            </w:r>
          </w:p>
        </w:tc>
        <w:tc>
          <w:tcPr>
            <w:vAlign w:val="center"/>
          </w:tcPr>
          <w:p>
            <w:pPr>
              <w:jc w:val="center"/>
            </w:pPr>
            <w:r>
              <w:rPr>
                <w:color w:val="000000"/>
                <w:sz w:val="24"/>
              </w:rPr>
              <w:t>1.41%</w:t>
            </w:r>
          </w:p>
        </w:tc>
        <w:tc>
          <w:tcPr>
            <w:vAlign w:val="center"/>
          </w:tcPr>
          <w:p>
            <w:pPr>
              <w:jc w:val="center"/>
            </w:pPr>
            <w:r>
              <w:rPr>
                <w:color w:val="000000"/>
                <w:sz w:val="24"/>
              </w:rPr>
              <w:t>-5.91%</w:t>
            </w:r>
          </w:p>
        </w:tc>
        <w:tc>
          <w:tcPr>
            <w:vAlign w:val="center"/>
          </w:tcPr>
          <w:p>
            <w:pPr>
              <w:jc w:val="center"/>
            </w:pPr>
            <w:r>
              <w:rPr>
                <w:color w:val="000000"/>
                <w:sz w:val="24"/>
              </w:rPr>
              <w:t>1.37%</w:t>
            </w:r>
          </w:p>
        </w:tc>
        <w:tc>
          <w:tcPr>
            <w:vAlign w:val="center"/>
          </w:tcPr>
          <w:p>
            <w:pPr>
              <w:jc w:val="center"/>
            </w:pPr>
            <w:r>
              <w:rPr>
                <w:color w:val="000000"/>
                <w:sz w:val="24"/>
              </w:rPr>
              <w:t>29.66%</w:t>
            </w:r>
          </w:p>
        </w:tc>
        <w:tc>
          <w:tcPr>
            <w:vAlign w:val="center"/>
          </w:tcPr>
          <w:p>
            <w:pPr>
              <w:jc w:val="center"/>
            </w:pPr>
            <w:r>
              <w:rPr>
                <w:color w:val="000000"/>
                <w:sz w:val="24"/>
              </w:rPr>
              <w:t>0.04%</w:t>
            </w:r>
          </w:p>
        </w:tc>
      </w:tr>
      <w:tr>
        <w:tc>
          <w:tcPr>
            <w:vAlign w:val="center"/>
          </w:tcPr>
          <w:p>
            <w:pPr>
              <w:jc w:val="left"/>
            </w:pPr>
            <w:r>
              <w:rPr>
                <w:color w:val="000000"/>
                <w:sz w:val="24"/>
              </w:rPr>
              <w:t>自基金合同生效起至今</w:t>
            </w:r>
          </w:p>
        </w:tc>
        <w:tc>
          <w:tcPr>
            <w:vAlign w:val="center"/>
          </w:tcPr>
          <w:p>
            <w:pPr>
              <w:jc w:val="center"/>
            </w:pPr>
            <w:r>
              <w:rPr>
                <w:color w:val="000000"/>
                <w:sz w:val="24"/>
              </w:rPr>
              <w:t>170.59%</w:t>
            </w:r>
          </w:p>
        </w:tc>
        <w:tc>
          <w:tcPr>
            <w:vAlign w:val="center"/>
          </w:tcPr>
          <w:p>
            <w:pPr>
              <w:jc w:val="center"/>
            </w:pPr>
            <w:r>
              <w:rPr>
                <w:color w:val="000000"/>
                <w:sz w:val="24"/>
              </w:rPr>
              <w:t>1.39%</w:t>
            </w:r>
          </w:p>
        </w:tc>
        <w:tc>
          <w:tcPr>
            <w:vAlign w:val="center"/>
          </w:tcPr>
          <w:p>
            <w:pPr>
              <w:jc w:val="center"/>
            </w:pPr>
            <w:r>
              <w:rPr>
                <w:color w:val="000000"/>
                <w:sz w:val="24"/>
              </w:rPr>
              <w:t>66.27%</w:t>
            </w:r>
          </w:p>
        </w:tc>
        <w:tc>
          <w:tcPr>
            <w:vAlign w:val="center"/>
          </w:tcPr>
          <w:p>
            <w:pPr>
              <w:jc w:val="center"/>
            </w:pPr>
            <w:r>
              <w:rPr>
                <w:color w:val="000000"/>
                <w:sz w:val="24"/>
              </w:rPr>
              <w:t>1.37%</w:t>
            </w:r>
          </w:p>
        </w:tc>
        <w:tc>
          <w:tcPr>
            <w:vAlign w:val="center"/>
          </w:tcPr>
          <w:p>
            <w:pPr>
              <w:jc w:val="center"/>
            </w:pPr>
            <w:r>
              <w:rPr>
                <w:color w:val="000000"/>
                <w:sz w:val="24"/>
              </w:rPr>
              <w:t>104.32%</w:t>
            </w:r>
          </w:p>
        </w:tc>
        <w:tc>
          <w:tcPr>
            <w:vAlign w:val="center"/>
          </w:tcPr>
          <w:p>
            <w:pPr>
              <w:jc w:val="center"/>
            </w:pPr>
            <w:r>
              <w:rPr>
                <w:color w:val="000000"/>
                <w:sz w:val="24"/>
              </w:rPr>
              <w:t>0.02%</w:t>
            </w:r>
          </w:p>
        </w:tc>
      </w:tr>
    </w:tbl>
    <w:p w:rsidP="005A2DCB" w:rsidR="00A62673" w:rsidRDefault="00A62673" w:rsidRPr="00EC5CE0">
      <w:pPr>
        <w:spacing w:line="360" w:lineRule="auto"/>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EC5CE0">
          <w:rPr>
            <w:rFonts w:ascii="宋体" w:cs="Arial" w:hAnsi="宋体"/>
            <w:b/>
            <w:color w:val="000000"/>
            <w:kern w:val="0"/>
            <w:sz w:val="24"/>
          </w:rPr>
          <w:t>3.2.2</w:t>
        </w:r>
        <w:r w:rsidR="00457251" w:rsidRPr="00370BEA">
          <w:rPr>
            <w:rStyle w:val="af8"/>
            <w:rFonts w:hint="eastAsia"/>
            <w:color w:val="000000"/>
            <w:sz w:val="24"/>
            <w:shd w:color="auto" w:fill="FFFFFF" w:val="clear"/>
          </w:rPr>
          <w:t/>
        </w:r>
        <w:proofErr w:type="spellStart"/>
        <w:r w:rsidR="00457251" w:rsidRPr="00370BEA">
          <w:rPr>
            <w:rStyle w:val="af8"/>
            <w:rFonts w:hint="eastAsia"/>
            <w:color w:val="000000"/>
            <w:sz w:val="24"/>
            <w:shd w:color="auto" w:fill="FFFFFF" w:val="clear"/>
          </w:rPr>
          <w:t/>
        </w:r>
        <w:proofErr w:type="spellEnd"/>
        <w:r w:rsidR="00457251" w:rsidRPr="00370BEA">
          <w:rPr>
            <w:rStyle w:val="af8"/>
            <w:rFonts w:hint="eastAsia"/>
            <w:color w:val="000000"/>
            <w:sz w:val="24"/>
            <w:shd w:color="auto" w:fill="FFFFFF" w:val="clear"/>
          </w:rPr>
          <w:t>自基金合同生效以来</w:t>
        </w:r>
      </w:smartTag>
      <w:r w:rsidRPr="00EC5CE0">
        <w:rPr>
          <w:rFonts w:ascii="宋体" w:hAnsi="宋体" w:hint="eastAsia"/>
          <w:b/>
          <w:bCs/>
          <w:color w:val="000000"/>
          <w:sz w:val="24"/>
        </w:rPr>
        <w:t>基金累计净值增长率变动及其与同期业绩比较基准收益率变动的比较</w:t>
      </w:r>
    </w:p>
    <w:p w:rsidP="005A2DCB" w:rsidR="00A62673" w:rsidRDefault="00A62673" w:rsidRPr="00C1648E">
      <w:pPr>
        <w:spacing w:line="360" w:lineRule="auto"/>
        <w:jc w:val="center"/>
        <w:rPr>
          <w:sz w:val="24"/>
        </w:rPr>
      </w:pPr>
      <w:r w:rsidRPr="00C1648E">
        <w:rPr>
          <w:sz w:val="24"/>
        </w:rPr>
        <w:t/>
      </w:r>
      <w:proofErr w:type="spellStart"/>
      <w:r w:rsidRPr="00C1648E">
        <w:rPr>
          <w:sz w:val="24"/>
        </w:rPr>
        <w:t/>
      </w:r>
      <w:proofErr w:type="spellEnd"/>
      <w:r w:rsidRPr="00C1648E">
        <w:rPr>
          <w:sz w:val="24"/>
        </w:rPr>
        <w:t>易方达沪深300量化增强证券投资基金</w:t>
      </w:r>
    </w:p>
    <w:p w:rsidP="005A2DCB" w:rsidR="00A62673" w:rsidRDefault="00A62673" w:rsidRPr="00C1648E">
      <w:pPr>
        <w:pStyle w:val="a5"/>
        <w:snapToGrid w:val="0"/>
        <w:spacing w:line="360" w:lineRule="auto"/>
        <w:jc w:val="center"/>
        <w:rPr>
          <w:rFonts w:ascii="Times New Roman" w:hAnsi="Times New Roman"/>
          <w:color w:val="000000"/>
          <w:sz w:val="24"/>
          <w:szCs w:val="24"/>
        </w:rPr>
      </w:pPr>
      <w:r w:rsidRPr="00C1648E">
        <w:rPr>
          <w:rFonts w:ascii="Times New Roman" w:hAnsi="Times New Roman"/>
          <w:color w:val="000000"/>
          <w:sz w:val="24"/>
          <w:szCs w:val="24"/>
        </w:rPr>
        <w:t>累计净值增长率与业绩比较基准收益率的历史走势对比图</w:t>
      </w:r>
    </w:p>
    <w:p w:rsidP="005A2DCB" w:rsidR="00A62673" w:rsidRDefault="00A62673" w:rsidRPr="00EC5CE0">
      <w:pPr>
        <w:spacing w:line="360" w:lineRule="auto"/>
        <w:jc w:val="center"/>
        <w:rPr>
          <w:rFonts w:ascii="宋体"/>
          <w:sz w:val="24"/>
        </w:rPr>
      </w:pPr>
      <w:r w:rsidRPr="00C1648E">
        <w:rPr>
          <w:color w:val="000000"/>
          <w:kern w:val="0"/>
          <w:sz w:val="24"/>
        </w:rPr>
        <w:t>（</w:t>
      </w:r>
      <w:r w:rsidRPr="00C1648E">
        <w:rPr>
          <w:color w:val="000000"/>
          <w:kern w:val="0"/>
          <w:sz w:val="24"/>
        </w:rPr>
        <w:t/>
      </w:r>
      <w:proofErr w:type="spellStart"/>
      <w:r w:rsidRPr="00C1648E">
        <w:rPr>
          <w:color w:val="000000"/>
          <w:kern w:val="0"/>
          <w:sz w:val="24"/>
        </w:rPr>
        <w:t/>
      </w:r>
      <w:proofErr w:type="spellEnd"/>
      <w:r w:rsidRPr="00C1648E">
        <w:rPr>
          <w:color w:val="000000"/>
          <w:kern w:val="0"/>
          <w:sz w:val="24"/>
        </w:rPr>
        <w:t>2012年7月5日</w:t>
      </w:r>
      <w:r w:rsidRPr="00C1648E">
        <w:rPr>
          <w:color w:val="000000"/>
          <w:kern w:val="0"/>
          <w:sz w:val="24"/>
        </w:rPr>
        <w:t>至</w:t>
      </w:r>
      <w:r w:rsidRPr="00C1648E">
        <w:rPr>
          <w:color w:val="000000"/>
          <w:kern w:val="0"/>
          <w:sz w:val="24"/>
        </w:rPr>
        <w:t/>
      </w:r>
      <w:proofErr w:type="spellStart"/>
      <w:r w:rsidRPr="00C1648E">
        <w:rPr>
          <w:color w:val="000000"/>
          <w:kern w:val="0"/>
          <w:sz w:val="24"/>
        </w:rPr>
        <w:t/>
      </w:r>
      <w:proofErr w:type="spellEnd"/>
      <w:r w:rsidRPr="00C1648E">
        <w:rPr>
          <w:color w:val="000000"/>
          <w:kern w:val="0"/>
          <w:sz w:val="24"/>
        </w:rPr>
        <w:t>2020年6月30日</w:t>
      </w:r>
      <w:r w:rsidRPr="00C1648E">
        <w:rPr>
          <w:color w:val="000000"/>
          <w:kern w:val="0"/>
          <w:sz w:val="24"/>
        </w:rPr>
        <w:t>）</w:t>
      </w:r>
    </w:p>
    <w:p w:rsidP="00CE3519" w:rsidR="00A62673" w:rsidRDefault="00317227" w:rsidRPr="00EC5CE0">
      <w:pPr>
        <w:tabs>
          <w:tab w:pos="1800" w:val="left"/>
        </w:tabs>
        <w:spacing w:line="360" w:lineRule="auto"/>
        <w:jc w:val="center"/>
        <w:rPr>
          <w:rFonts w:ascii="宋体"/>
          <w:color w:val="000000"/>
          <w:sz w:val="24"/>
        </w:rPr>
      </w:pPr>
      <w:r>
        <w:rPr>
          <w:rFonts w:ascii="宋体"/>
          <w:noProof/>
          <w:color w:val="000000"/>
          <w:sz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1.4pt;height:241.5pt;visibility:visible" type="#_x0000_t75">
            <v:imagedata o:title="" r:id="rId10"/>
          </v:shape>
        </w:pict>
      </w:r>
    </w:p>
    <w:p w:rsidP="00C1648E" w:rsidR="00A62673" w:rsidRDefault="00A62673" w:rsidRPr="00EC5CE0">
      <w:pPr>
        <w:spacing w:line="360" w:lineRule="auto"/>
        <w:ind w:firstLine="480" w:firstLineChars="200"/>
        <w:rPr>
          <w:rFonts w:hAnsi="宋体"/>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
      </w:r>
      <w:proofErr w:type="spellStart"/>
      <w:r w:rsidRPr="00DC315B">
        <w:rPr>
          <w:color w:val="000000"/>
          <w:sz w:val="24"/>
        </w:rPr>
        <w:t/>
      </w:r>
      <w:proofErr w:type="spellEnd"/>
      <w:r w:rsidRPr="00DC315B">
        <w:rPr>
          <w:color w:val="000000"/>
          <w:sz w:val="24"/>
        </w:rPr>
        <w:t>注：自基金合同生效至报告期末，基金份额净值增长率为170.59%，同期业绩比较基准收益率为66.27%。</w:t>
      </w:r>
    </w:p>
    <w:p w:rsidP="006C1D5C" w:rsidR="00A62673" w:rsidRDefault="00A62673" w:rsidRPr="00C1648E">
      <w:pPr>
        <w:tabs>
          <w:tab w:pos="1800" w:val="left"/>
        </w:tabs>
        <w:spacing w:line="288" w:lineRule="auto"/>
        <w:rPr>
          <w:color w:val="000000"/>
          <w:sz w:val="24"/>
        </w:rPr>
      </w:pPr>
    </w:p>
    <w:p w:rsidP="007467A8" w:rsidR="00A62673" w:rsidRDefault="00A62673" w:rsidRPr="00EC5CE0">
      <w:pPr>
        <w:pStyle w:val="1"/>
        <w:spacing w:after="312" w:afterLines="100" w:before="312" w:beforeLines="100" w:line="360" w:lineRule="auto"/>
        <w:jc w:val="center"/>
        <w:rPr>
          <w:rFonts w:ascii="宋体" w:cs="Arial"/>
          <w:color w:val="000000"/>
          <w:kern w:val="0"/>
          <w:sz w:val="24"/>
          <w:szCs w:val="24"/>
        </w:rPr>
      </w:pPr>
      <w:r w:rsidRPr="00EC5CE0">
        <w:rPr>
          <w:rFonts w:ascii="宋体" w:cs="Arial" w:hAnsi="宋体" w:hint="eastAsia"/>
          <w:color w:val="000000"/>
          <w:kern w:val="0"/>
          <w:sz w:val="24"/>
          <w:szCs w:val="24"/>
        </w:rPr>
        <w:t>§</w:t>
      </w:r>
      <w:r w:rsidRPr="00EC5CE0">
        <w:rPr>
          <w:rFonts w:ascii="宋体" w:cs="Arial" w:hAnsi="宋体"/>
          <w:color w:val="000000"/>
          <w:kern w:val="0"/>
          <w:sz w:val="24"/>
          <w:szCs w:val="24"/>
        </w:rPr>
        <w:t xml:space="preserve">4  </w:t>
      </w:r>
      <w:r w:rsidRPr="00EC5CE0">
        <w:rPr>
          <w:rFonts w:ascii="宋体" w:cs="Arial" w:hAnsi="宋体" w:hint="eastAsia"/>
          <w:color w:val="000000"/>
          <w:kern w:val="0"/>
          <w:sz w:val="24"/>
          <w:szCs w:val="24"/>
        </w:rPr>
        <w:t>管理人报告</w:t>
      </w:r>
    </w:p>
    <w:p w:rsidP="007467A8" w:rsidR="007467A8" w:rsidRDefault="00A62673" w:rsidRPr="0078105B">
      <w:pPr>
        <w:autoSpaceDE w:val="0"/>
        <w:autoSpaceDN w:val="0"/>
        <w:adjustRightInd w:val="0"/>
        <w:spacing w:line="360" w:lineRule="auto"/>
        <w:jc w:val="left"/>
        <w:rPr>
          <w:rFonts w:ascii="宋体" w:cs="Arial"/>
          <w:b/>
          <w:color w:val="000000"/>
          <w:kern w:val="0"/>
          <w:sz w:val="24"/>
        </w:rPr>
      </w:pPr>
      <w:r w:rsidRPr="00EC5CE0">
        <w:rPr>
          <w:rFonts w:ascii="宋体" w:cs="Arial" w:hAnsi="宋体"/>
          <w:b/>
          <w:color w:val="000000"/>
          <w:kern w:val="0"/>
          <w:sz w:val="24"/>
        </w:rPr>
        <w:t xml:space="preserve">4.1 </w:t>
      </w:r>
      <w:r w:rsidRPr="00EC5CE0">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7467A8" w:rsidRPr="0078105B" w:rsidTr="00B7074C">
        <w:trPr>
          <w:cantSplit/>
        </w:trPr>
        <w:tc>
          <w:tcPr>
            <w:tcW w:type="dxa" w:w="567"/>
            <w:vMerge w:val="restart"/>
            <w:vAlign w:val="center"/>
          </w:tcPr>
          <w:p w:rsidP="00B7074C" w:rsidR="007467A8" w:rsidRDefault="007467A8"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B7074C" w:rsidR="007467A8" w:rsidRDefault="007467A8"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B7074C" w:rsidR="007467A8" w:rsidRDefault="007467A8"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B7074C" w:rsidR="007467A8" w:rsidRDefault="007467A8"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B7074C" w:rsidR="007467A8" w:rsidRDefault="007467A8"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7467A8" w:rsidRPr="0078105B" w:rsidTr="00B7074C">
        <w:trPr>
          <w:cantSplit/>
        </w:trPr>
        <w:tc>
          <w:tcPr>
            <w:tcW w:type="dxa" w:w="567"/>
            <w:vMerge/>
            <w:vAlign w:val="center"/>
          </w:tcPr>
          <w:p w:rsidP="00B7074C" w:rsidR="007467A8" w:rsidRDefault="007467A8" w:rsidRPr="00FA472B">
            <w:pPr>
              <w:autoSpaceDE w:val="0"/>
              <w:autoSpaceDN w:val="0"/>
              <w:adjustRightInd w:val="0"/>
              <w:spacing w:before="29" w:line="288" w:lineRule="auto"/>
              <w:ind w:left="15"/>
              <w:jc w:val="center"/>
              <w:rPr>
                <w:color w:val="000000"/>
                <w:kern w:val="0"/>
                <w:sz w:val="24"/>
              </w:rPr>
            </w:pPr>
          </w:p>
        </w:tc>
        <w:tc>
          <w:tcPr>
            <w:tcW w:type="dxa" w:w="2835"/>
            <w:vMerge/>
          </w:tcPr>
          <w:p w:rsidP="00B7074C" w:rsidR="007467A8" w:rsidRDefault="007467A8"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B7074C" w:rsidR="007467A8" w:rsidRDefault="007467A8"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B7074C" w:rsidR="007467A8" w:rsidRDefault="007467A8"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B7074C" w:rsidR="007467A8" w:rsidRDefault="007467A8"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B7074C" w:rsidR="007467A8" w:rsidRDefault="007467A8"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官泽帆</w:t>
            </w:r>
          </w:p>
        </w:tc>
        <w:tc>
          <w:tcPr>
            <w:vAlign w:val="center"/>
          </w:tcPr>
          <w:p>
            <w:pPr>
              <w:jc w:val="left"/>
            </w:pPr>
            <w:r>
              <w:rPr>
                <w:color w:val="000000"/>
                <w:sz w:val="24"/>
              </w:rPr>
              <w:t>本基金的基金经理、易方达量化策略精选灵活配置混合型证券投资基金的基金经理、易方达易百智能量化策略灵活配置混合型证券投资基金的基金经理</w:t>
            </w:r>
          </w:p>
        </w:tc>
        <w:tc>
          <w:tcPr>
            <w:vAlign w:val="center"/>
          </w:tcPr>
          <w:p>
            <w:pPr>
              <w:jc w:val="center"/>
            </w:pPr>
            <w:r>
              <w:rPr>
                <w:color w:val="000000"/>
                <w:sz w:val="24"/>
              </w:rPr>
              <w:t>2016-09-24</w:t>
            </w:r>
          </w:p>
        </w:tc>
        <w:tc>
          <w:tcPr>
            <w:vAlign w:val="center"/>
          </w:tcPr>
          <w:p>
            <w:pPr>
              <w:jc w:val="center"/>
            </w:pPr>
            <w:r>
              <w:rPr>
                <w:color w:val="000000"/>
                <w:sz w:val="24"/>
              </w:rPr>
              <w:t>-</w:t>
            </w:r>
          </w:p>
        </w:tc>
        <w:tc>
          <w:tcPr>
            <w:vAlign w:val="center"/>
          </w:tcPr>
          <w:p>
            <w:pPr>
              <w:jc w:val="center"/>
            </w:pPr>
            <w:r>
              <w:rPr>
                <w:color w:val="000000"/>
                <w:sz w:val="24"/>
              </w:rPr>
              <w:t>10年</w:t>
            </w:r>
          </w:p>
        </w:tc>
        <w:tc>
          <w:tcPr>
            <w:vAlign w:val="center"/>
          </w:tcPr>
          <w:p>
            <w:pPr>
              <w:jc w:val="both"/>
            </w:pPr>
            <w:r>
              <w:rPr>
                <w:color w:val="000000"/>
                <w:sz w:val="24"/>
              </w:rPr>
              <w:t>硕士研究生，具有基金从业资格。曾任招商基金管理有限公司投资开发工程师，摩根士丹利华鑫基金管理有限公司数量化研究员、基金经理助理，易方达基金管理有限公司易方达沪深300量化增强证券投资基金基金经理助理。</w:t>
            </w:r>
          </w:p>
        </w:tc>
      </w:tr>
      <w:tr>
        <w:tc>
          <w:tcPr>
            <w:vAlign w:val="center"/>
          </w:tcPr>
          <w:p>
            <w:pPr>
              <w:jc w:val="center"/>
            </w:pPr>
            <w:r>
              <w:rPr>
                <w:color w:val="000000"/>
                <w:sz w:val="24"/>
              </w:rPr>
              <w:t>HUANG JIANSHENG（黄健生）</w:t>
            </w:r>
          </w:p>
        </w:tc>
        <w:tc>
          <w:tcPr>
            <w:vAlign w:val="center"/>
          </w:tcPr>
          <w:p>
            <w:pPr>
              <w:jc w:val="left"/>
            </w:pPr>
            <w:r>
              <w:rPr>
                <w:color w:val="000000"/>
                <w:sz w:val="24"/>
              </w:rPr>
              <w:t>本基金的基金经理、易方达量化策略精选灵活配置混合型证券投资基金的基金经理、量化投资部总经理</w:t>
            </w:r>
          </w:p>
        </w:tc>
        <w:tc>
          <w:tcPr>
            <w:vAlign w:val="center"/>
          </w:tcPr>
          <w:p>
            <w:pPr>
              <w:jc w:val="center"/>
            </w:pPr>
            <w:r>
              <w:rPr>
                <w:color w:val="000000"/>
                <w:sz w:val="24"/>
              </w:rPr>
              <w:t>2020-03-12</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加拿大籍，硕士研究生，具有基金从业资格。曾任美国Sun Microsystems资深软件工程师，美国GMN Capital/伦敦GSA Capital量化投资研究员，美国巴克莱全球投资者（Barclays Global Investors）量化研究员，加拿大阿尔伯塔投资管理公司副基金经理，华泰柏瑞基金管理有限公司量化投资部门总监、投资经理。</w:t>
            </w:r>
          </w:p>
        </w:tc>
      </w:tr>
    </w:tbl>
    <w:p>
      <w:pPr>
        <w:autoSpaceDE w:val="0"/>
        <w:autoSpaceDN w:val="0"/>
        <w:adjustRightInd w:val="0"/>
        <w:spacing w:line="360" w:lineRule="auto"/>
        <w:ind w:firstLine="480" w:firstLineChars="200"/>
        <w:jc w:val="left"/>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7467A8" w:rsidR="00560F37" w:rsidRDefault="007467A8" w:rsidRPr="00232B03">
      <w:pPr>
        <w:autoSpaceDE w:val="0"/>
        <w:autoSpaceDN w:val="0"/>
        <w:adjustRightInd w:val="0"/>
        <w:spacing w:line="360" w:lineRule="auto"/>
        <w:ind w:firstLine="480" w:firstLineChars="200"/>
        <w:jc w:val="left"/>
        <w:rPr>
          <w:color w:val="000000"/>
          <w:sz w:val="24"/>
        </w:rPr>
      </w:pPr>
      <w:r w:rsidRPr="00DF18FE">
        <w:rPr>
          <w:color w:val="000000"/>
          <w:sz w:val="24"/>
        </w:rPr>
        <w:t>2.证券从业的含义遵从《证券业从业人员资格管理办法》的相关规定。</w:t>
      </w:r>
    </w:p>
    <w:p w:rsidP="00560F37" w:rsidR="00A62673" w:rsidRDefault="00A62673" w:rsidRPr="00EC5CE0">
      <w:pPr>
        <w:autoSpaceDE w:val="0"/>
        <w:autoSpaceDN w:val="0"/>
        <w:adjustRightInd w:val="0"/>
        <w:spacing w:line="360" w:lineRule="auto"/>
        <w:jc w:val="left"/>
        <w:rPr>
          <w:rFonts w:ascii="宋体" w:cs="Arial"/>
          <w:b/>
          <w:color w:val="000000"/>
          <w:kern w:val="0"/>
          <w:sz w:val="24"/>
        </w:rPr>
      </w:pPr>
      <w:r w:rsidRPr="00EC5CE0">
        <w:rPr>
          <w:rFonts w:ascii="宋体" w:cs="Arial" w:hAnsi="宋体"/>
          <w:b/>
          <w:color w:val="000000"/>
          <w:kern w:val="0"/>
          <w:sz w:val="24"/>
        </w:rPr>
        <w:t>4.2</w:t>
      </w:r>
      <w:r w:rsidRPr="00EC5CE0">
        <w:rPr>
          <w:rFonts w:ascii="宋体" w:hAnsi="宋体" w:hint="eastAsia"/>
          <w:b/>
          <w:bCs/>
          <w:color w:val="000000"/>
          <w:sz w:val="24"/>
        </w:rPr>
        <w:t>管理人对报告期内本基金运作遵规守信情况的说明</w:t>
      </w:r>
    </w:p>
    <w:p w:rsidP="00C1648E" w:rsidR="00A62673" w:rsidRDefault="00A62673" w:rsidRPr="00C1648E">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5A2DCB" w:rsidR="00A62673" w:rsidRDefault="00A62673" w:rsidRPr="00EC5CE0">
      <w:pPr>
        <w:autoSpaceDE w:val="0"/>
        <w:autoSpaceDN w:val="0"/>
        <w:adjustRightInd w:val="0"/>
        <w:spacing w:line="360" w:lineRule="auto"/>
        <w:jc w:val="left"/>
        <w:rPr>
          <w:rFonts w:ascii="宋体" w:cs="Arial"/>
          <w:b/>
          <w:color w:val="000000"/>
          <w:kern w:val="0"/>
          <w:sz w:val="24"/>
        </w:rPr>
      </w:pPr>
      <w:r w:rsidRPr="00EC5CE0">
        <w:rPr>
          <w:rFonts w:ascii="宋体" w:cs="Arial" w:hAnsi="宋体"/>
          <w:b/>
          <w:color w:val="000000"/>
          <w:kern w:val="0"/>
          <w:sz w:val="24"/>
        </w:rPr>
        <w:t xml:space="preserve">4.3 </w:t>
      </w:r>
      <w:r w:rsidRPr="00EC5CE0">
        <w:rPr>
          <w:rFonts w:ascii="宋体" w:cs="Arial" w:hAnsi="宋体" w:hint="eastAsia"/>
          <w:b/>
          <w:color w:val="000000"/>
          <w:kern w:val="0"/>
          <w:sz w:val="24"/>
        </w:rPr>
        <w:t>公平交易专项说明</w:t>
      </w:r>
    </w:p>
    <w:p w:rsidP="005A2DCB" w:rsidR="00A62673" w:rsidRDefault="00A62673" w:rsidRPr="00EC5CE0">
      <w:pPr>
        <w:spacing w:line="360" w:lineRule="auto"/>
        <w:rPr>
          <w:rFonts w:ascii="宋体"/>
          <w:sz w:val="24"/>
        </w:rPr>
      </w:pPr>
      <w:smartTag w:element="chsdate" w:uri="urn:schemas-microsoft-com:office:smarttags">
        <w:smartTagPr>
          <w:attr w:name="Year" w:val="1899"/>
          <w:attr w:name="Month" w:val="12"/>
          <w:attr w:name="Day" w:val="30"/>
          <w:attr w:name="IsLunarDate" w:val="False"/>
          <w:attr w:name="IsROCDate" w:val="False"/>
        </w:smartTagPr>
        <w:r w:rsidRPr="00EC5CE0">
          <w:rPr>
            <w:rFonts w:ascii="宋体" w:hAnsi="宋体"/>
            <w:sz w:val="24"/>
          </w:rPr>
          <w:t>4.3.1</w:t>
        </w:r>
      </w:smartTag>
      <w:r w:rsidRPr="00EC5CE0">
        <w:rPr>
          <w:rFonts w:ascii="宋体" w:hAnsi="宋体" w:hint="eastAsia"/>
          <w:sz w:val="24"/>
        </w:rPr>
        <w:t>公平交易制度的执行情况</w:t>
      </w:r>
    </w:p>
    <w:p w:rsidP="005A2769" w:rsidR="00A62673" w:rsidRDefault="00A62673" w:rsidRPr="00DC315B">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5A2DCB" w:rsidR="00A62673" w:rsidRDefault="00A62673" w:rsidRPr="00EC5CE0">
      <w:pPr>
        <w:spacing w:line="360" w:lineRule="auto"/>
        <w:rPr>
          <w:rFonts w:ascii="宋体"/>
          <w:sz w:val="24"/>
        </w:rPr>
      </w:pPr>
      <w:smartTag w:element="chsdate" w:uri="urn:schemas-microsoft-com:office:smarttags">
        <w:smartTagPr>
          <w:attr w:name="Year" w:val="1899"/>
          <w:attr w:name="Month" w:val="12"/>
          <w:attr w:name="Day" w:val="30"/>
          <w:attr w:name="IsLunarDate" w:val="False"/>
          <w:attr w:name="IsROCDate" w:val="False"/>
        </w:smartTagPr>
        <w:r w:rsidRPr="00EC5CE0">
          <w:rPr>
            <w:rFonts w:ascii="宋体" w:hAnsi="宋体"/>
            <w:sz w:val="24"/>
          </w:rPr>
          <w:t>4.3.2</w:t>
        </w:r>
      </w:smartTag>
      <w:r w:rsidRPr="00EC5CE0">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C1648E" w:rsidR="00A62673" w:rsidRDefault="00A62673" w:rsidRPr="00C1648E">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本报告期内，未发现本基金有可能导致不公平交易和利益输送的异常交易。</w:t>
      </w:r>
    </w:p>
    <w:p w:rsidP="005A2DCB" w:rsidR="00A62673" w:rsidRDefault="00A62673" w:rsidRPr="00EC5CE0">
      <w:pPr>
        <w:autoSpaceDE w:val="0"/>
        <w:autoSpaceDN w:val="0"/>
        <w:adjustRightInd w:val="0"/>
        <w:spacing w:line="360" w:lineRule="auto"/>
        <w:jc w:val="left"/>
        <w:rPr>
          <w:rFonts w:ascii="宋体" w:cs="Arial"/>
          <w:b/>
          <w:color w:val="000000"/>
          <w:kern w:val="0"/>
          <w:sz w:val="24"/>
        </w:rPr>
      </w:pPr>
      <w:r w:rsidRPr="00EC5CE0">
        <w:rPr>
          <w:rFonts w:ascii="宋体" w:cs="Arial" w:hAnsi="宋体"/>
          <w:b/>
          <w:color w:val="000000"/>
          <w:kern w:val="0"/>
          <w:sz w:val="24"/>
        </w:rPr>
        <w:lastRenderedPageBreak/>
        <w:t xml:space="preserve">4.4 </w:t>
      </w:r>
      <w:r w:rsidRPr="00EC5CE0">
        <w:rPr>
          <w:rFonts w:ascii="宋体" w:cs="Arial" w:hAnsi="宋体" w:hint="eastAsia"/>
          <w:b/>
          <w:color w:val="000000"/>
          <w:kern w:val="0"/>
          <w:sz w:val="24"/>
        </w:rPr>
        <w:t>报告期内基金的投资策略和业绩表现说明</w:t>
      </w:r>
    </w:p>
    <w:p w:rsidP="005A2DCB" w:rsidR="00A62673" w:rsidRDefault="00A62673" w:rsidRPr="00EC5CE0">
      <w:pPr>
        <w:spacing w:line="360" w:lineRule="auto"/>
        <w:rPr>
          <w:rFonts w:ascii="宋体"/>
          <w:sz w:val="24"/>
        </w:rPr>
      </w:pPr>
      <w:smartTag w:element="chsdate" w:uri="urn:schemas-microsoft-com:office:smarttags">
        <w:smartTagPr>
          <w:attr w:name="Year" w:val="1899"/>
          <w:attr w:name="Month" w:val="12"/>
          <w:attr w:name="Day" w:val="30"/>
          <w:attr w:name="IsLunarDate" w:val="False"/>
          <w:attr w:name="IsROCDate" w:val="False"/>
        </w:smartTagPr>
        <w:r w:rsidRPr="00EC5CE0">
          <w:rPr>
            <w:rFonts w:ascii="宋体" w:hAnsi="宋体"/>
            <w:sz w:val="24"/>
          </w:rPr>
          <w:t>4.4.1</w:t>
        </w:r>
      </w:smartTag>
      <w:r w:rsidRPr="00EC5CE0">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回顾本报告期，国内外疫情有所好转，复工复产与经济重启计划持续推进，国内供需两端环比持续改善：5月工业增加值同比增速上升至4.4%，固定资产投资同比增速上升至3.9%，社会消费品零售额同比增速回升至-2.8%。经济逐渐走出疫情低谷，复苏趋势主导了A股盈利预期，5月份全国规模以上工业企业实现利润由4月份同比下降4.3%转为增长6.0%。流动性方面，本报告期间国内货币政策维持宽松，短端利率下行；海外普遍施行零利率或负利率政策，辅以大规模的量化宽松，美元指数明显回落而人民币汇率稳定，外资持续流入，二季度北上资金净流入1332.60亿元，对A股估值形成支撑。</w:t>
      </w:r>
    </w:p>
    <w:p>
      <w:pPr>
        <w:spacing w:line="360" w:lineRule="auto"/>
        <w:ind w:firstLine="480" w:firstLineChars="200"/>
        <w:rPr>
          <w:color w:val="000000"/>
          <w:sz w:val="24"/>
        </w:rPr>
      </w:pPr>
      <w:r>
        <w:rPr>
          <w:color w:val="000000"/>
          <w:sz w:val="24"/>
        </w:rPr>
        <w:t>二季度上证指数、沪深300、中证500和创业板指分别上涨8.52%、12.96%、16.32%和30.25%，其中创业板指数于6月底成功突破2016年1月以来的阶段高点。风格和行业表现的分化主要由经济复苏斜率的不确定性所主导：行业上体现在消费类稳定增长行业备受青睐，而与经济增长相关度较高的周期、金融地产等行业受到冷落；科技行业在疫情缓和后产销端恢复明显，重拾景气上行，录得较高涨幅；风格上体现为成长与估值表现的分化持续加剧，尤其估值类因子回撤已属于历史较高水平，此外动量类因子表现也相对强势，市场成交量也逐渐放大，6月底A股日均成交量已达7000～8000亿的水平，投资者交易行为逐渐活跃。</w:t>
      </w:r>
    </w:p>
    <w:p w:rsidP="005A2769" w:rsidR="00A62673" w:rsidRDefault="00A62673" w:rsidRPr="00DC315B">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在此期间，作为指数增强型基金，管理人严格遵照量化指数增强的投资模式进行操作，以标的指数的构成为基础，主要利用基金管理人自主开发的以基本面选股因子为主的定量投资模型在有限范围内进行超配或低配。一方面严格控制组合跟踪误差，避免大幅偏离标的指数；另一方面在跟踪指数的基础上力求超越指数。</w:t>
      </w:r>
    </w:p>
    <w:p w:rsidP="005A2DCB" w:rsidR="00A62673" w:rsidRDefault="00A62673" w:rsidRPr="00EC5CE0">
      <w:pPr>
        <w:spacing w:line="360" w:lineRule="auto"/>
        <w:rPr>
          <w:rFonts w:ascii="宋体"/>
          <w:sz w:val="24"/>
        </w:rPr>
      </w:pPr>
      <w:smartTag w:element="chsdate" w:uri="urn:schemas-microsoft-com:office:smarttags">
        <w:smartTagPr>
          <w:attr w:name="Year" w:val="1899"/>
          <w:attr w:name="Month" w:val="12"/>
          <w:attr w:name="Day" w:val="30"/>
          <w:attr w:name="IsLunarDate" w:val="False"/>
          <w:attr w:name="IsROCDate" w:val="False"/>
        </w:smartTagPr>
        <w:r w:rsidRPr="00EC5CE0">
          <w:rPr>
            <w:rFonts w:ascii="宋体" w:hAnsi="宋体"/>
            <w:sz w:val="24"/>
          </w:rPr>
          <w:t>4.4.2</w:t>
        </w:r>
      </w:smartTag>
      <w:r w:rsidRPr="00EC5CE0">
        <w:rPr>
          <w:rFonts w:ascii="宋体" w:hAnsi="宋体" w:hint="eastAsia"/>
          <w:sz w:val="24"/>
        </w:rPr>
        <w:t>报告期内基金的业绩表现</w:t>
      </w:r>
    </w:p>
    <w:p w:rsidP="00C1648E" w:rsidR="00A62673" w:rsidRDefault="00A62673" w:rsidRPr="00C1648E">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截至报告期末，本基金份额净值为2.7059元，本报告期份额净值增长率为16.04%，同期业绩比较基准收益率为12.29%，年化跟踪误差2.75%，各项指标均在合同规定的目标控制范围之内。</w:t>
      </w:r>
    </w:p>
    <w:p w:rsidP="007467A8" w:rsidR="00A62673" w:rsidRDefault="00A62673" w:rsidRPr="00EC5CE0">
      <w:pPr>
        <w:pStyle w:val="1"/>
        <w:spacing w:after="312" w:afterLines="100" w:before="312" w:beforeLines="100" w:line="360" w:lineRule="auto"/>
        <w:jc w:val="center"/>
        <w:rPr>
          <w:rFonts w:ascii="宋体" w:cs="Arial"/>
          <w:color w:val="000000"/>
          <w:kern w:val="0"/>
          <w:sz w:val="24"/>
          <w:szCs w:val="24"/>
        </w:rPr>
      </w:pPr>
      <w:r w:rsidRPr="00EC5CE0">
        <w:rPr>
          <w:rFonts w:ascii="宋体" w:cs="Arial" w:hAnsi="宋体" w:hint="eastAsia"/>
          <w:color w:val="000000"/>
          <w:kern w:val="0"/>
          <w:sz w:val="24"/>
          <w:szCs w:val="24"/>
        </w:rPr>
        <w:t>§</w:t>
      </w:r>
      <w:r w:rsidRPr="00EC5CE0">
        <w:rPr>
          <w:rFonts w:ascii="宋体" w:cs="Arial" w:hAnsi="宋体"/>
          <w:color w:val="000000"/>
          <w:kern w:val="0"/>
          <w:sz w:val="24"/>
          <w:szCs w:val="24"/>
        </w:rPr>
        <w:t xml:space="preserve">5  </w:t>
      </w:r>
      <w:r w:rsidRPr="00EC5CE0">
        <w:rPr>
          <w:rFonts w:ascii="宋体" w:cs="Arial" w:hAnsi="宋体" w:hint="eastAsia"/>
          <w:color w:val="000000"/>
          <w:kern w:val="0"/>
          <w:sz w:val="24"/>
          <w:szCs w:val="24"/>
        </w:rPr>
        <w:t>投资组合报告</w:t>
      </w:r>
    </w:p>
    <w:p w:rsidP="00045BEC" w:rsidR="00A62673" w:rsidRDefault="00A62673" w:rsidRPr="00EC5CE0">
      <w:pPr>
        <w:autoSpaceDE w:val="0"/>
        <w:autoSpaceDN w:val="0"/>
        <w:adjustRightInd w:val="0"/>
        <w:spacing w:line="360" w:lineRule="auto"/>
        <w:jc w:val="left"/>
        <w:rPr>
          <w:rFonts w:ascii="宋体" w:cs="Arial"/>
          <w:b/>
          <w:color w:val="000000"/>
          <w:kern w:val="0"/>
          <w:sz w:val="24"/>
        </w:rPr>
      </w:pPr>
      <w:r w:rsidRPr="00EC5CE0">
        <w:rPr>
          <w:rFonts w:ascii="宋体" w:cs="Arial" w:hAnsi="宋体"/>
          <w:b/>
          <w:color w:val="000000"/>
          <w:kern w:val="0"/>
          <w:sz w:val="24"/>
        </w:rPr>
        <w:t xml:space="preserve">5.1 </w:t>
      </w:r>
      <w:r w:rsidRPr="00EC5CE0">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r w:rsidRPr="00C1648E">
              <w:rPr>
                <w:color w:val="000000"/>
                <w:sz w:val="24"/>
              </w:rPr>
              <w:t>序号</w:t>
            </w:r>
          </w:p>
        </w:tc>
        <w:tc>
          <w:tcPr>
            <w:tcW w:type="dxa" w:w="3357"/>
            <w:vAlign w:val="center"/>
          </w:tcPr>
          <w:p w:rsidP="006B315F" w:rsidR="00A62673" w:rsidRDefault="00A62673" w:rsidRPr="00C1648E">
            <w:pPr>
              <w:spacing w:before="29" w:line="360" w:lineRule="auto"/>
              <w:ind w:left="17"/>
              <w:jc w:val="center"/>
              <w:rPr>
                <w:color w:val="000000"/>
                <w:sz w:val="24"/>
              </w:rPr>
            </w:pPr>
            <w:r w:rsidRPr="00C1648E">
              <w:rPr>
                <w:color w:val="000000"/>
                <w:sz w:val="24"/>
              </w:rPr>
              <w:t>项目</w:t>
            </w:r>
          </w:p>
        </w:tc>
        <w:tc>
          <w:tcPr>
            <w:tcW w:type="dxa" w:w="2977"/>
            <w:vAlign w:val="center"/>
          </w:tcPr>
          <w:p w:rsidP="005A2769" w:rsidR="00A62673" w:rsidRDefault="00A62673" w:rsidRPr="00C1648E">
            <w:pPr>
              <w:spacing w:before="29" w:line="360" w:lineRule="auto"/>
              <w:ind w:left="17"/>
              <w:jc w:val="center"/>
              <w:rPr>
                <w:color w:val="000000"/>
                <w:sz w:val="24"/>
              </w:rPr>
            </w:pPr>
            <w:r w:rsidRPr="00C1648E">
              <w:rPr>
                <w:color w:val="000000"/>
                <w:sz w:val="24"/>
              </w:rPr>
              <w:t>金额</w:t>
            </w:r>
            <w:r w:rsidR="005A2769" w:rsidRPr="00C1648E">
              <w:rPr>
                <w:color w:val="000000"/>
                <w:sz w:val="24"/>
              </w:rPr>
              <w:t>（元）</w:t>
            </w:r>
          </w:p>
        </w:tc>
        <w:tc>
          <w:tcPr>
            <w:tcW w:type="dxa" w:w="1843"/>
            <w:vAlign w:val="center"/>
          </w:tcPr>
          <w:p w:rsidP="005A2769" w:rsidR="00A62673" w:rsidRDefault="00A62673" w:rsidRPr="00C1648E">
            <w:pPr>
              <w:spacing w:before="29" w:line="360" w:lineRule="auto"/>
              <w:ind w:left="17"/>
              <w:jc w:val="center"/>
              <w:rPr>
                <w:color w:val="000000"/>
                <w:sz w:val="24"/>
              </w:rPr>
            </w:pPr>
            <w:r w:rsidRPr="00C1648E">
              <w:rPr>
                <w:color w:val="000000"/>
                <w:sz w:val="24"/>
              </w:rPr>
              <w:t>占基金总资产的比例</w:t>
            </w:r>
            <w:r w:rsidR="005A2769" w:rsidRPr="00C1648E">
              <w:rPr>
                <w:color w:val="000000"/>
                <w:sz w:val="24"/>
              </w:rPr>
              <w:t>（</w:t>
            </w:r>
            <w:r w:rsidR="005A2769" w:rsidRPr="00C1648E">
              <w:rPr>
                <w:color w:val="000000"/>
                <w:sz w:val="24"/>
              </w:rPr>
              <w:t>%</w:t>
            </w:r>
            <w:r w:rsidR="005A2769" w:rsidRPr="00C1648E">
              <w:rPr>
                <w:color w:val="000000"/>
                <w:sz w:val="24"/>
              </w:rPr>
              <w:t>）</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r w:rsidRPr="00C1648E">
              <w:rPr>
                <w:color w:val="000000"/>
                <w:sz w:val="24"/>
              </w:rPr>
              <w:t>1</w:t>
            </w:r>
          </w:p>
        </w:tc>
        <w:tc>
          <w:tcPr>
            <w:tcW w:type="dxa" w:w="3357"/>
            <w:vAlign w:val="center"/>
          </w:tcPr>
          <w:p w:rsidP="006B315F" w:rsidR="00A62673" w:rsidRDefault="00A62673" w:rsidRPr="00C1648E">
            <w:pPr>
              <w:spacing w:before="29" w:line="360" w:lineRule="auto"/>
              <w:ind w:left="17"/>
              <w:jc w:val="left"/>
              <w:rPr>
                <w:sz w:val="24"/>
              </w:rPr>
            </w:pPr>
            <w:r w:rsidRPr="00C1648E">
              <w:rPr>
                <w:color w:val="000000"/>
                <w:sz w:val="24"/>
              </w:rPr>
              <w:t>权益投资</w:t>
            </w:r>
          </w:p>
        </w:tc>
        <w:tc>
          <w:tcPr>
            <w:tcW w:type="dxa" w:w="2977"/>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1,040,600,746.45</w:t>
            </w:r>
          </w:p>
        </w:tc>
        <w:tc>
          <w:tcPr>
            <w:tcW w:type="dxa" w:w="1843"/>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93.14</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p>
        </w:tc>
        <w:tc>
          <w:tcPr>
            <w:tcW w:type="dxa" w:w="3357"/>
            <w:vAlign w:val="center"/>
          </w:tcPr>
          <w:p w:rsidP="006B315F" w:rsidR="00A62673" w:rsidRDefault="00A62673" w:rsidRPr="00C1648E">
            <w:pPr>
              <w:spacing w:before="29" w:line="360" w:lineRule="auto"/>
              <w:ind w:left="17"/>
              <w:jc w:val="left"/>
              <w:rPr>
                <w:sz w:val="24"/>
              </w:rPr>
            </w:pPr>
            <w:r w:rsidRPr="00C1648E">
              <w:rPr>
                <w:color w:val="000000"/>
                <w:sz w:val="24"/>
              </w:rPr>
              <w:t>其中：股票</w:t>
            </w:r>
          </w:p>
        </w:tc>
        <w:tc>
          <w:tcPr>
            <w:tcW w:type="dxa" w:w="2977"/>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1,040,600,746.45</w:t>
            </w:r>
          </w:p>
        </w:tc>
        <w:tc>
          <w:tcPr>
            <w:tcW w:type="dxa" w:w="1843"/>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93.14</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r w:rsidRPr="00C1648E">
              <w:rPr>
                <w:color w:val="000000"/>
                <w:sz w:val="24"/>
              </w:rPr>
              <w:t>2</w:t>
            </w:r>
          </w:p>
        </w:tc>
        <w:tc>
          <w:tcPr>
            <w:tcW w:type="dxa" w:w="3357"/>
            <w:vAlign w:val="center"/>
          </w:tcPr>
          <w:p w:rsidP="006B315F" w:rsidR="00A62673" w:rsidRDefault="00A62673" w:rsidRPr="00C1648E">
            <w:pPr>
              <w:spacing w:before="29" w:line="360" w:lineRule="auto"/>
              <w:ind w:left="17"/>
              <w:jc w:val="left"/>
              <w:rPr>
                <w:sz w:val="24"/>
              </w:rPr>
            </w:pPr>
            <w:r w:rsidRPr="00C1648E">
              <w:rPr>
                <w:color w:val="000000"/>
                <w:sz w:val="24"/>
              </w:rPr>
              <w:t>固定收益投资</w:t>
            </w:r>
          </w:p>
        </w:tc>
        <w:tc>
          <w:tcPr>
            <w:tcW w:type="dxa" w:w="2977"/>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w:t>
            </w:r>
          </w:p>
        </w:tc>
        <w:tc>
          <w:tcPr>
            <w:tcW w:type="dxa" w:w="1843"/>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r w:rsidRPr="00C1648E">
              <w:rPr>
                <w:color w:val="000000"/>
                <w:sz w:val="24"/>
              </w:rPr>
              <w:lastRenderedPageBreak/>
              <w:t>-</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p>
        </w:tc>
        <w:tc>
          <w:tcPr>
            <w:tcW w:type="dxa" w:w="3357"/>
            <w:vAlign w:val="center"/>
          </w:tcPr>
          <w:p w:rsidP="006B315F" w:rsidR="00A62673" w:rsidRDefault="00A62673" w:rsidRPr="00C1648E">
            <w:pPr>
              <w:spacing w:before="29" w:line="360" w:lineRule="auto"/>
              <w:ind w:left="17"/>
              <w:jc w:val="left"/>
              <w:rPr>
                <w:sz w:val="24"/>
              </w:rPr>
            </w:pPr>
            <w:r w:rsidRPr="00C1648E">
              <w:rPr>
                <w:color w:val="000000"/>
                <w:sz w:val="24"/>
              </w:rPr>
              <w:t>其中：债券</w:t>
            </w:r>
          </w:p>
        </w:tc>
        <w:tc>
          <w:tcPr>
            <w:tcW w:type="dxa" w:w="2977"/>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w:t>
            </w:r>
          </w:p>
        </w:tc>
        <w:tc>
          <w:tcPr>
            <w:tcW w:type="dxa" w:w="1843"/>
            <w:vAlign w:val="center"/>
          </w:tcPr>
          <w:p w:rsidP="006B315F" w:rsidR="00A62673" w:rsidRDefault="00A62673" w:rsidRPr="00C1648E">
            <w:pPr>
              <w:spacing w:before="29" w:line="360" w:lineRule="auto"/>
              <w:ind w:left="17"/>
              <w:jc w:val="right"/>
              <w:rPr>
                <w:color w:val="000000"/>
                <w:sz w:val="24"/>
              </w:rPr>
            </w:pPr>
            <w:r w:rsidRPr="00C1648E">
              <w:rPr>
                <w:color w:val="000000"/>
                <w:sz w:val="24"/>
              </w:rPr>
              <w:t>-</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p>
        </w:tc>
        <w:tc>
          <w:tcPr>
            <w:tcW w:type="dxa" w:w="3357"/>
            <w:vAlign w:val="center"/>
          </w:tcPr>
          <w:p w:rsidP="006B315F" w:rsidR="00A62673" w:rsidRDefault="00A62673" w:rsidRPr="00C1648E">
            <w:pPr>
              <w:autoSpaceDE w:val="0"/>
              <w:autoSpaceDN w:val="0"/>
              <w:adjustRightInd w:val="0"/>
              <w:spacing w:before="29" w:line="360" w:lineRule="auto"/>
              <w:ind w:left="17"/>
              <w:jc w:val="left"/>
              <w:rPr>
                <w:color w:val="000000"/>
                <w:sz w:val="24"/>
              </w:rPr>
            </w:pPr>
            <w:r w:rsidRPr="00C1648E">
              <w:rPr>
                <w:color w:val="000000"/>
                <w:sz w:val="24"/>
              </w:rPr>
              <w:t>资产支持证券</w:t>
            </w:r>
          </w:p>
        </w:tc>
        <w:tc>
          <w:tcPr>
            <w:tcW w:type="dxa" w:w="2977"/>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w:t>
            </w:r>
          </w:p>
        </w:tc>
        <w:tc>
          <w:tcPr>
            <w:tcW w:type="dxa" w:w="1843"/>
            <w:vAlign w:val="center"/>
          </w:tcPr>
          <w:p w:rsidP="006B315F" w:rsidR="00A62673" w:rsidRDefault="00A62673" w:rsidRPr="00C1648E">
            <w:pPr>
              <w:spacing w:before="29" w:line="360" w:lineRule="auto"/>
              <w:ind w:left="17"/>
              <w:jc w:val="right"/>
              <w:rPr>
                <w:color w:val="000000"/>
                <w:sz w:val="24"/>
              </w:rPr>
            </w:pPr>
            <w:r w:rsidRPr="00C1648E">
              <w:rPr>
                <w:color w:val="000000"/>
                <w:sz w:val="24"/>
              </w:rPr>
              <w:t>-</w:t>
            </w:r>
          </w:p>
        </w:tc>
      </w:tr>
      <w:tr w:rsidR="00A62673" w:rsidRPr="00264E55" w:rsidTr="006B315F">
        <w:trPr>
          <w:jc w:val="center"/>
        </w:trPr>
        <w:tc>
          <w:tcPr>
            <w:tcW w:type="dxa" w:w="720"/>
          </w:tcPr>
          <w:p w:rsidP="006B315F" w:rsidR="00A62673" w:rsidRDefault="00A62673" w:rsidRPr="00C1648E">
            <w:pPr>
              <w:spacing w:before="29" w:line="360" w:lineRule="auto"/>
              <w:ind w:left="17"/>
              <w:jc w:val="center"/>
              <w:rPr>
                <w:color w:val="000000"/>
                <w:sz w:val="24"/>
              </w:rPr>
            </w:pPr>
            <w:r w:rsidRPr="00C1648E">
              <w:rPr>
                <w:color w:val="000000"/>
                <w:sz w:val="24"/>
              </w:rPr>
              <w:t>3</w:t>
            </w:r>
          </w:p>
        </w:tc>
        <w:tc>
          <w:tcPr>
            <w:tcW w:type="dxa" w:w="3357"/>
          </w:tcPr>
          <w:p w:rsidP="005A2769" w:rsidR="00A62673" w:rsidRDefault="00A62673" w:rsidRPr="00C1648E">
            <w:pPr>
              <w:spacing w:before="29" w:line="360" w:lineRule="auto"/>
              <w:ind w:left="105" w:leftChars="50"/>
              <w:rPr>
                <w:color w:val="000000"/>
                <w:sz w:val="24"/>
              </w:rPr>
            </w:pPr>
            <w:r w:rsidRPr="00C1648E">
              <w:rPr>
                <w:color w:val="000000"/>
                <w:sz w:val="24"/>
              </w:rPr>
              <w:t>贵金属投资</w:t>
            </w:r>
          </w:p>
        </w:tc>
        <w:tc>
          <w:tcPr>
            <w:tcW w:type="dxa" w:w="2977"/>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w:t>
            </w:r>
          </w:p>
        </w:tc>
        <w:tc>
          <w:tcPr>
            <w:tcW w:type="dxa" w:w="1843"/>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r w:rsidRPr="00C1648E">
              <w:rPr>
                <w:color w:val="000000"/>
                <w:sz w:val="24"/>
              </w:rPr>
              <w:t>4</w:t>
            </w:r>
          </w:p>
        </w:tc>
        <w:tc>
          <w:tcPr>
            <w:tcW w:type="dxa" w:w="3357"/>
            <w:vAlign w:val="center"/>
          </w:tcPr>
          <w:p w:rsidP="006B315F" w:rsidR="00A62673" w:rsidRDefault="00A62673" w:rsidRPr="00C1648E">
            <w:pPr>
              <w:spacing w:before="29" w:line="360" w:lineRule="auto"/>
              <w:ind w:left="17"/>
              <w:jc w:val="left"/>
              <w:rPr>
                <w:color w:val="000000"/>
                <w:sz w:val="24"/>
              </w:rPr>
            </w:pPr>
            <w:r w:rsidRPr="00C1648E">
              <w:rPr>
                <w:color w:val="000000"/>
                <w:sz w:val="24"/>
              </w:rPr>
              <w:t>金融衍生品投资</w:t>
            </w:r>
          </w:p>
        </w:tc>
        <w:tc>
          <w:tcPr>
            <w:tcW w:type="dxa" w:w="2977"/>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w:t>
            </w:r>
          </w:p>
        </w:tc>
        <w:tc>
          <w:tcPr>
            <w:tcW w:type="dxa" w:w="1843"/>
            <w:vAlign w:val="center"/>
          </w:tcPr>
          <w:p w:rsidP="006B315F" w:rsidR="00A62673" w:rsidRDefault="00A62673" w:rsidRPr="00C1648E">
            <w:pPr>
              <w:spacing w:before="29" w:line="360" w:lineRule="auto"/>
              <w:ind w:left="17"/>
              <w:jc w:val="right"/>
              <w:rPr>
                <w:color w:val="000000"/>
                <w:sz w:val="24"/>
              </w:rPr>
            </w:pPr>
            <w:r w:rsidRPr="00C1648E">
              <w:rPr>
                <w:color w:val="000000"/>
                <w:sz w:val="24"/>
              </w:rPr>
              <w:t>-</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r w:rsidRPr="00C1648E">
              <w:rPr>
                <w:color w:val="000000"/>
                <w:sz w:val="24"/>
              </w:rPr>
              <w:t>5</w:t>
            </w:r>
          </w:p>
        </w:tc>
        <w:tc>
          <w:tcPr>
            <w:tcW w:type="dxa" w:w="3357"/>
            <w:vAlign w:val="center"/>
          </w:tcPr>
          <w:p w:rsidP="006B315F" w:rsidR="00A62673" w:rsidRDefault="00A62673" w:rsidRPr="00C1648E">
            <w:pPr>
              <w:spacing w:before="29" w:line="360" w:lineRule="auto"/>
              <w:ind w:left="17"/>
              <w:jc w:val="left"/>
              <w:rPr>
                <w:sz w:val="24"/>
              </w:rPr>
            </w:pPr>
            <w:r w:rsidRPr="00C1648E">
              <w:rPr>
                <w:color w:val="000000"/>
                <w:sz w:val="24"/>
              </w:rPr>
              <w:t>买入返售金融资产</w:t>
            </w:r>
          </w:p>
        </w:tc>
        <w:tc>
          <w:tcPr>
            <w:tcW w:type="dxa" w:w="2977"/>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w:t>
            </w:r>
          </w:p>
        </w:tc>
        <w:tc>
          <w:tcPr>
            <w:tcW w:type="dxa" w:w="1843"/>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r w:rsidRPr="00C1648E">
              <w:rPr>
                <w:color w:val="000000"/>
                <w:sz w:val="24"/>
              </w:rPr>
              <w:lastRenderedPageBreak/>
              <w:t>-</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p>
        </w:tc>
        <w:tc>
          <w:tcPr>
            <w:tcW w:type="dxa" w:w="3357"/>
            <w:vAlign w:val="center"/>
          </w:tcPr>
          <w:p w:rsidP="006B315F" w:rsidR="00A62673" w:rsidRDefault="00A62673" w:rsidRPr="00C1648E">
            <w:pPr>
              <w:spacing w:before="29" w:line="360" w:lineRule="auto"/>
              <w:ind w:left="17"/>
              <w:jc w:val="left"/>
              <w:rPr>
                <w:sz w:val="24"/>
              </w:rPr>
            </w:pPr>
            <w:r w:rsidRPr="00C1648E">
              <w:rPr>
                <w:color w:val="000000"/>
                <w:sz w:val="24"/>
              </w:rPr>
              <w:t>其中：买断式回购的买入返售金融资产</w:t>
            </w:r>
          </w:p>
        </w:tc>
        <w:tc>
          <w:tcPr>
            <w:tcW w:type="dxa" w:w="2977"/>
            <w:vAlign w:val="center"/>
          </w:tcPr>
          <w:p w:rsidP="006B315F" w:rsidR="00A62673" w:rsidRDefault="00A62673" w:rsidRPr="00C1648E">
            <w:pPr>
              <w:spacing w:before="29" w:line="360" w:lineRule="auto"/>
              <w:ind w:left="17"/>
              <w:jc w:val="right"/>
              <w:rPr>
                <w:color w:val="000000"/>
                <w:sz w:val="24"/>
              </w:rPr>
            </w:pPr>
            <w:r w:rsidRPr="00C1648E">
              <w:rPr>
                <w:color w:val="000000"/>
                <w:sz w:val="24"/>
              </w:rPr>
              <w:t>-</w:t>
            </w:r>
          </w:p>
        </w:tc>
        <w:tc>
          <w:tcPr>
            <w:tcW w:type="dxa" w:w="1843"/>
            <w:vAlign w:val="center"/>
          </w:tcPr>
          <w:p w:rsidP="006B315F" w:rsidR="00A62673" w:rsidRDefault="00A62673" w:rsidRPr="00C1648E">
            <w:pPr>
              <w:spacing w:before="29" w:line="360" w:lineRule="auto"/>
              <w:ind w:left="17"/>
              <w:jc w:val="right"/>
              <w:rPr>
                <w:color w:val="000000"/>
                <w:sz w:val="24"/>
              </w:rPr>
            </w:pPr>
            <w:r w:rsidRPr="00C1648E">
              <w:rPr>
                <w:color w:val="000000"/>
                <w:sz w:val="24"/>
              </w:rPr>
              <w:t>-</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r w:rsidRPr="00C1648E">
              <w:rPr>
                <w:color w:val="000000"/>
                <w:sz w:val="24"/>
              </w:rPr>
              <w:t>6</w:t>
            </w:r>
          </w:p>
        </w:tc>
        <w:tc>
          <w:tcPr>
            <w:tcW w:type="dxa" w:w="3357"/>
            <w:vAlign w:val="center"/>
          </w:tcPr>
          <w:p w:rsidP="006B315F" w:rsidR="00A62673" w:rsidRDefault="00A62673" w:rsidRPr="00C1648E">
            <w:pPr>
              <w:spacing w:before="29" w:line="360" w:lineRule="auto"/>
              <w:ind w:left="17"/>
              <w:jc w:val="left"/>
              <w:rPr>
                <w:sz w:val="24"/>
              </w:rPr>
            </w:pPr>
            <w:r w:rsidRPr="00C1648E">
              <w:rPr>
                <w:color w:val="000000"/>
                <w:sz w:val="24"/>
              </w:rPr>
              <w:t>银行存款和结算备付金合计</w:t>
            </w:r>
          </w:p>
        </w:tc>
        <w:tc>
          <w:tcPr>
            <w:tcW w:type="dxa" w:w="2977"/>
            <w:vAlign w:val="center"/>
          </w:tcPr>
          <w:p w:rsidP="006B315F" w:rsidR="00A62673" w:rsidRDefault="00A62673" w:rsidRPr="00C1648E">
            <w:pPr>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69,969,432.40</w:t>
            </w:r>
          </w:p>
        </w:tc>
        <w:tc>
          <w:tcPr>
            <w:tcW w:type="dxa" w:w="1843"/>
            <w:vAlign w:val="center"/>
          </w:tcPr>
          <w:p w:rsidP="006B315F" w:rsidR="00A62673" w:rsidRDefault="00A62673" w:rsidRPr="00C1648E">
            <w:pPr>
              <w:spacing w:before="29" w:line="360" w:lineRule="auto"/>
              <w:ind w:left="17"/>
              <w:jc w:val="right"/>
              <w:rPr>
                <w:color w:val="000000"/>
                <w:sz w:val="24"/>
              </w:rPr>
            </w:pPr>
            <w:r w:rsidRPr="00C1648E">
              <w:rPr>
                <w:color w:val="000000"/>
                <w:sz w:val="24"/>
              </w:rPr>
              <w:t>6.26</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r w:rsidRPr="00C1648E">
              <w:rPr>
                <w:color w:val="000000"/>
                <w:sz w:val="24"/>
              </w:rPr>
              <w:t>7</w:t>
            </w:r>
          </w:p>
        </w:tc>
        <w:tc>
          <w:tcPr>
            <w:tcW w:type="dxa" w:w="3357"/>
            <w:vAlign w:val="center"/>
          </w:tcPr>
          <w:p w:rsidP="006B315F" w:rsidR="00A62673" w:rsidRDefault="00A62673" w:rsidRPr="00C1648E">
            <w:pPr>
              <w:jc w:val="left"/>
              <w:rPr>
                <w:sz w:val="24"/>
              </w:rPr>
            </w:pPr>
            <w:r w:rsidRPr="00C1648E">
              <w:rPr>
                <w:color w:val="000000"/>
                <w:sz w:val="24"/>
              </w:rPr>
              <w:t>其他资产</w:t>
            </w:r>
          </w:p>
        </w:tc>
        <w:tc>
          <w:tcPr>
            <w:tcW w:type="dxa" w:w="2977"/>
            <w:vAlign w:val="center"/>
          </w:tcPr>
          <w:p w:rsidP="006B315F" w:rsidR="00A62673" w:rsidRDefault="00A62673" w:rsidRPr="00C1648E">
            <w:pPr>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6,690,618.08</w:t>
            </w:r>
          </w:p>
        </w:tc>
        <w:tc>
          <w:tcPr>
            <w:tcW w:type="dxa" w:w="1843"/>
            <w:vAlign w:val="center"/>
          </w:tcPr>
          <w:p w:rsidP="006B315F" w:rsidR="00A62673" w:rsidRDefault="00A62673" w:rsidRPr="00C1648E">
            <w:pPr>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0.60</w:t>
            </w:r>
          </w:p>
        </w:tc>
      </w:tr>
      <w:tr w:rsidR="00A62673" w:rsidRPr="00264E55" w:rsidTr="006B315F">
        <w:trPr>
          <w:jc w:val="center"/>
        </w:trPr>
        <w:tc>
          <w:tcPr>
            <w:tcW w:type="dxa" w:w="720"/>
            <w:vAlign w:val="center"/>
          </w:tcPr>
          <w:p w:rsidP="006B315F" w:rsidR="00A62673" w:rsidRDefault="00A62673" w:rsidRPr="00C1648E">
            <w:pPr>
              <w:spacing w:before="29" w:line="360" w:lineRule="auto"/>
              <w:ind w:left="17"/>
              <w:jc w:val="center"/>
              <w:rPr>
                <w:color w:val="000000"/>
                <w:sz w:val="24"/>
              </w:rPr>
            </w:pPr>
            <w:r w:rsidRPr="00C1648E">
              <w:rPr>
                <w:color w:val="000000"/>
                <w:sz w:val="24"/>
              </w:rPr>
              <w:t>8</w:t>
            </w:r>
          </w:p>
        </w:tc>
        <w:tc>
          <w:tcPr>
            <w:tcW w:type="dxa" w:w="3357"/>
            <w:vAlign w:val="center"/>
          </w:tcPr>
          <w:p w:rsidP="006B315F" w:rsidR="00A62673" w:rsidRDefault="00A62673" w:rsidRPr="00C1648E">
            <w:pPr>
              <w:jc w:val="left"/>
              <w:rPr>
                <w:sz w:val="24"/>
              </w:rPr>
            </w:pPr>
            <w:r w:rsidRPr="00C1648E">
              <w:rPr>
                <w:color w:val="000000"/>
                <w:sz w:val="24"/>
              </w:rPr>
              <w:t>合计</w:t>
            </w:r>
          </w:p>
        </w:tc>
        <w:tc>
          <w:tcPr>
            <w:tcW w:type="dxa" w:w="2977"/>
            <w:vAlign w:val="center"/>
          </w:tcPr>
          <w:p w:rsidP="006B315F" w:rsidR="00A62673" w:rsidRDefault="00A62673" w:rsidRPr="00C1648E">
            <w:pPr>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1,117,260,796.93</w:t>
            </w:r>
          </w:p>
        </w:tc>
        <w:tc>
          <w:tcPr>
            <w:tcW w:type="dxa" w:w="1843"/>
            <w:vAlign w:val="center"/>
          </w:tcPr>
          <w:p w:rsidP="006B315F" w:rsidR="00A62673" w:rsidRDefault="00A62673" w:rsidRPr="00C1648E">
            <w:pPr>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100.00</w:t>
            </w:r>
          </w:p>
        </w:tc>
      </w:tr>
    </w:tbl>
    <w:p w:rsidP="008624F9" w:rsidR="008624F9" w:rsidRDefault="008624F9">
      <w:pPr>
        <w:autoSpaceDE w:val="0"/>
        <w:autoSpaceDN w:val="0"/>
        <w:adjustRightInd w:val="0"/>
        <w:spacing w:line="360" w:lineRule="auto"/>
        <w:jc w:val="left"/>
        <w:rPr>
          <w:rFonts w:eastAsiaTheme="minorEastAsia"/>
          <w:b/>
          <w:color w:themeColor="text1" w:val="000000"/>
          <w:kern w:val="0"/>
          <w:sz w:val="24"/>
        </w:rPr>
      </w:pPr>
      <w:r w:rsidRPr="00105C87">
        <w:rPr>
          <w:rFonts w:eastAsiaTheme="minorEastAsia"/>
          <w:b/>
          <w:color w:themeColor="text1" w:val="000000"/>
          <w:kern w:val="0"/>
          <w:sz w:val="24"/>
        </w:rPr>
        <w:lastRenderedPageBreak/>
        <w:t xml:space="preserve">5.2 </w:t>
      </w:r>
      <w:r w:rsidRPr="00105C87">
        <w:rPr>
          <w:rFonts w:eastAsiaTheme="minorEastAsia"/>
          <w:b/>
          <w:color w:themeColor="text1" w:val="000000"/>
          <w:kern w:val="0"/>
          <w:sz w:val="24"/>
        </w:rPr>
        <w:t>报告期末按行业分类的股票投资组合</w:t>
      </w:r>
    </w:p>
    <w:p w:rsidP="008624F9" w:rsidR="008D2265" w:rsidRDefault="008D2265" w:rsidRPr="008D2265">
      <w:pPr>
        <w:autoSpaceDE w:val="0"/>
        <w:autoSpaceDN w:val="0"/>
        <w:adjustRightInd w:val="0"/>
        <w:spacing w:line="360" w:lineRule="auto"/>
        <w:jc w:val="left"/>
        <w:rPr>
          <w:rFonts w:eastAsiaTheme="minorEastAsia"/>
          <w:b/>
          <w:color w:themeColor="text1" w:val="000000"/>
          <w:kern w:val="0"/>
          <w:sz w:val="24"/>
        </w:rPr>
      </w:pPr>
      <w:r>
        <w:rPr>
          <w:rFonts w:eastAsiaTheme="minorEastAsia" w:hint="eastAsia"/>
          <w:b/>
          <w:color w:themeColor="text1" w:val="000000"/>
          <w:kern w:val="0"/>
          <w:sz w:val="24"/>
        </w:rPr>
        <w:t>5.2.1</w:t>
      </w:r>
      <w:r w:rsidRPr="008D2265">
        <w:rPr>
          <w:rFonts w:eastAsiaTheme="minorEastAsia" w:hint="eastAsia"/>
          <w:b/>
          <w:color w:themeColor="text1" w:val="000000"/>
          <w:kern w:val="0"/>
          <w:sz w:val="24"/>
        </w:rPr>
        <w:t>报告期末按行业分类的境内股票投资组合</w:t>
      </w:r>
    </w:p>
    <w:p w:rsidP="008624F9" w:rsidR="008624F9" w:rsidRDefault="008624F9" w:rsidRPr="00105C87">
      <w:pPr>
        <w:autoSpaceDE w:val="0"/>
        <w:autoSpaceDN w:val="0"/>
        <w:adjustRightInd w:val="0"/>
        <w:spacing w:line="360" w:lineRule="auto"/>
        <w:jc w:val="left"/>
        <w:rPr>
          <w:rFonts w:eastAsiaTheme="minorEastAsia"/>
          <w:b/>
          <w:color w:themeColor="text1"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105C87">
          <w:rPr>
            <w:rFonts w:eastAsiaTheme="minorEastAsia"/>
            <w:b/>
            <w:color w:themeColor="text1" w:val="000000"/>
            <w:kern w:val="0"/>
            <w:sz w:val="24"/>
          </w:rPr>
          <w:t>5.2.1</w:t>
        </w:r>
        <w:r w:rsidR="008D2265">
          <w:rPr>
            <w:rFonts w:eastAsiaTheme="minorEastAsia"/>
            <w:b/>
            <w:color w:themeColor="text1" w:val="000000"/>
            <w:kern w:val="0"/>
            <w:sz w:val="24"/>
          </w:rPr>
          <w:t>.1</w:t>
        </w:r>
      </w:smartTag>
      <w:r w:rsidRPr="00105C87">
        <w:rPr>
          <w:rFonts w:eastAsiaTheme="minorEastAsia"/>
          <w:b/>
          <w:color w:themeColor="text1" w:val="000000"/>
          <w:kern w:val="0"/>
          <w:sz w:val="24"/>
        </w:rPr>
        <w:t>积极投资按行业分类的股票投资组合</w:t>
      </w:r>
    </w:p>
    <w:tbl>
      <w:tblPr>
        <w:tblW w:type="dxa" w:w="8731"/>
        <w:tblInd w:type="dxa" w:w="1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624F9" w:rsidRPr="00105C87" w:rsidTr="00496AF7">
        <w:trPr>
          <w:trHeight w:val="390"/>
        </w:trPr>
        <w:tc>
          <w:tcPr>
            <w:tcW w:type="dxa" w:w="540"/>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代码</w:t>
            </w: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
            </w: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行业类别</w:t>
            </w:r>
          </w:p>
        </w:tc>
        <w:tc>
          <w:tcPr>
            <w:tcW w:type="dxa" w:w="2852"/>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占基金资产净值比例（％）</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A</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农、林、牧、渔业</w:t>
            </w:r>
          </w:p>
        </w:tc>
        <w:tc>
          <w:tcPr>
            <w:tcW w:type="dxa" w:w="2852"/>
            <w:vAlign w:val="center"/>
          </w:tcPr>
          <w:p w:rsidP="004E2319" w:rsidR="008624F9" w:rsidRDefault="008624F9" w:rsidRPr="00105C87">
            <w:pPr>
              <w:autoSpaceDE w:val="0"/>
              <w:autoSpaceDN w:val="0"/>
              <w:adjustRightInd w:val="0"/>
              <w:spacing w:before="29" w:line="360" w:lineRule="auto"/>
              <w:ind w:left="15"/>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4E2319" w:rsidR="008624F9" w:rsidRDefault="008624F9" w:rsidRPr="00105C87">
            <w:pPr>
              <w:autoSpaceDE w:val="0"/>
              <w:autoSpaceDN w:val="0"/>
              <w:adjustRightInd w:val="0"/>
              <w:spacing w:before="29" w:line="360" w:lineRule="auto"/>
              <w:ind w:left="15"/>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B</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采矿业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C</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制造业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146,199,952.05</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13.21</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D</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电力、热力、燃气及水生产和供应业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12,766.32</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0.00</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E</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建筑业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660,596.00</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0.06</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F</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批发和零售业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11,842,119.66</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1.07</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G</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交通运输、仓储和邮政业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r w:rsidRPr="00105C87">
              <w:rPr>
                <w:rFonts w:eastAsiaTheme="minorEastAsia"/>
                <w:color w:themeColor="text1" w:val="000000"/>
                <w:sz w:val="24"/>
              </w:rPr>
              <w:lastRenderedPageBreak/>
              <w:t>12,505,292.00</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lastRenderedPageBreak/>
              <w:t/>
            </w:r>
            <w:r w:rsidRPr="00105C87">
              <w:rPr>
                <w:rFonts w:eastAsiaTheme="minorEastAsia"/>
                <w:color w:themeColor="text1" w:val="000000"/>
                <w:sz w:val="24"/>
              </w:rPr>
              <w:lastRenderedPageBreak/>
              <w:t>1.13</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住宿和餐饮业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I</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信息传输、软件和信息技术服务业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17,800,387.24</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1.61</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J</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金融业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K</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房地产业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540,617.00</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0.05</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L</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租赁和商务服务业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M</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科学研究和技术服务业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745,085.70</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0.07</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N</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水利、环境和公共设施管理业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O</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居民服务、修理和其他服务业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r w:rsidRPr="00105C87">
              <w:rPr>
                <w:rFonts w:eastAsiaTheme="minorEastAsia"/>
                <w:color w:themeColor="text1" w:val="000000"/>
                <w:sz w:val="24"/>
              </w:rPr>
              <w:lastRenderedPageBreak/>
              <w:t>-</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lastRenderedPageBreak/>
              <w:t>P</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教育</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1,685,279.08</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0.15</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Q</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卫生和社会工作</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R</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文化、体育和娱乐业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S</w:t>
            </w: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综合</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2517C2" w:rsidR="008624F9" w:rsidRDefault="008624F9" w:rsidRPr="00105C87">
            <w:pPr>
              <w:adjustRightInd w:val="0"/>
              <w:snapToGrid w:val="0"/>
              <w:spacing w:line="400" w:lineRule="exact"/>
              <w:jc w:val="left"/>
              <w:rPr>
                <w:rFonts w:eastAsiaTheme="minorEastAsia"/>
                <w:color w:themeColor="text1" w:val="000000"/>
                <w:sz w:val="24"/>
              </w:rPr>
            </w:pPr>
            <w:r w:rsidRPr="00105C87">
              <w:rPr>
                <w:rFonts w:eastAsiaTheme="minorEastAsia"/>
                <w:color w:themeColor="text1" w:val="000000"/>
                <w:sz w:val="24"/>
              </w:rPr>
              <w:t>合计</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191,992,095.05</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17.35</w:t>
            </w:r>
          </w:p>
        </w:tc>
      </w:tr>
    </w:tbl>
    <w:p w:rsidP="008624F9" w:rsidR="008624F9" w:rsidRDefault="008624F9" w:rsidRPr="00105C87">
      <w:pPr>
        <w:autoSpaceDE w:val="0"/>
        <w:autoSpaceDN w:val="0"/>
        <w:adjustRightInd w:val="0"/>
        <w:spacing w:line="360" w:lineRule="auto"/>
        <w:jc w:val="left"/>
        <w:rPr>
          <w:rFonts w:eastAsiaTheme="minorEastAsia"/>
          <w:b/>
          <w:color w:themeColor="text1" w:val="000000"/>
          <w:kern w:val="0"/>
          <w:sz w:val="24"/>
        </w:rPr>
      </w:pPr>
      <w:r w:rsidRPr="00105C87">
        <w:rPr>
          <w:rFonts w:eastAsiaTheme="minorEastAsia"/>
          <w:b/>
          <w:color w:themeColor="text1" w:val="000000"/>
          <w:kern w:val="0"/>
          <w:sz w:val="24"/>
        </w:rPr>
        <w:t>5.2.</w:t>
      </w:r>
      <w:r w:rsidR="008D2265">
        <w:rPr>
          <w:rFonts w:eastAsiaTheme="minorEastAsia"/>
          <w:b/>
          <w:color w:themeColor="text1" w:val="000000"/>
          <w:kern w:val="0"/>
          <w:sz w:val="24"/>
        </w:rPr>
        <w:t>1.</w:t>
      </w:r>
      <w:r w:rsidRPr="00105C87">
        <w:rPr>
          <w:rFonts w:eastAsiaTheme="minorEastAsia"/>
          <w:b/>
          <w:color w:themeColor="text1" w:val="000000"/>
          <w:kern w:val="0"/>
          <w:sz w:val="24"/>
        </w:rPr>
        <w:t>2</w:t>
      </w:r>
      <w:r w:rsidRPr="00105C87">
        <w:rPr>
          <w:rFonts w:eastAsiaTheme="minorEastAsia"/>
          <w:b/>
          <w:color w:themeColor="text1" w:val="000000"/>
          <w:kern w:val="0"/>
          <w:sz w:val="24"/>
        </w:rPr>
        <w:t>指数投资按行业分类的股票投资组合</w:t>
      </w:r>
    </w:p>
    <w:tbl>
      <w:tblPr>
        <w:tblW w:type="dxa" w:w="8731"/>
        <w:tblInd w:type="dxa" w:w="1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624F9" w:rsidRPr="00105C87" w:rsidTr="00496AF7">
        <w:trPr>
          <w:trHeight w:val="390"/>
        </w:trPr>
        <w:tc>
          <w:tcPr>
            <w:tcW w:type="dxa" w:w="540"/>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代码</w:t>
            </w: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
            </w: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行业类别</w:t>
            </w:r>
          </w:p>
        </w:tc>
        <w:tc>
          <w:tcPr>
            <w:tcW w:type="dxa" w:w="2852"/>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占基金资产净值比例（％）</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A</w:t>
            </w: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农、林、牧、渔业</w:t>
            </w:r>
          </w:p>
        </w:tc>
        <w:tc>
          <w:tcPr>
            <w:tcW w:type="dxa" w:w="2852"/>
            <w:vAlign w:val="center"/>
          </w:tcPr>
          <w:p w:rsidP="004E2319" w:rsidR="008624F9" w:rsidRDefault="008624F9" w:rsidRPr="00105C87">
            <w:pPr>
              <w:autoSpaceDE w:val="0"/>
              <w:autoSpaceDN w:val="0"/>
              <w:adjustRightInd w:val="0"/>
              <w:spacing w:before="29" w:line="360" w:lineRule="auto"/>
              <w:ind w:left="15"/>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23,077,853.60</w:t>
            </w:r>
          </w:p>
        </w:tc>
        <w:tc>
          <w:tcPr>
            <w:tcW w:type="dxa" w:w="1648"/>
            <w:tcMar>
              <w:top w:type="dxa" w:w="15"/>
              <w:left w:type="dxa" w:w="15"/>
              <w:bottom w:type="dxa" w:w="0"/>
              <w:right w:type="dxa" w:w="15"/>
            </w:tcMar>
            <w:vAlign w:val="center"/>
          </w:tcPr>
          <w:p w:rsidP="004E2319" w:rsidR="008624F9" w:rsidRDefault="008624F9" w:rsidRPr="00105C87">
            <w:pPr>
              <w:autoSpaceDE w:val="0"/>
              <w:autoSpaceDN w:val="0"/>
              <w:adjustRightInd w:val="0"/>
              <w:spacing w:before="29" w:line="360" w:lineRule="auto"/>
              <w:ind w:left="15"/>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2.09</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B</w:t>
            </w: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采矿业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32,436,334.78</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2.93</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lastRenderedPageBreak/>
              <w:t>C</w:t>
            </w: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制造业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351,623,149.07</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31.77</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D</w:t>
            </w: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电力、热力、燃气及水生产和供应业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22,693,704.20</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2.05</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E</w:t>
            </w: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建筑业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20,200,751.00</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1.83</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F</w:t>
            </w: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批发和零售业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26,483,522.58</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2.39</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G</w:t>
            </w: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交通运输、仓储和邮政业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27,486,060.32</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2.48</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H</w:t>
            </w: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住宿和餐饮业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I</w:t>
            </w: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信息传输、软件和信息技术服务业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10,236,908.00</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0.92</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J</w:t>
            </w: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金融业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291,985,515.53</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26.38</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K</w:t>
            </w: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房地产业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r w:rsidRPr="00105C87">
              <w:rPr>
                <w:rFonts w:eastAsiaTheme="minorEastAsia"/>
                <w:color w:themeColor="text1" w:val="000000"/>
                <w:sz w:val="24"/>
              </w:rPr>
              <w:lastRenderedPageBreak/>
              <w:t/>
            </w:r>
            <w:proofErr w:type="spellEnd"/>
            <w:r w:rsidRPr="00105C87">
              <w:rPr>
                <w:rFonts w:eastAsiaTheme="minorEastAsia"/>
                <w:color w:themeColor="text1" w:val="000000"/>
                <w:sz w:val="24"/>
              </w:rPr>
              <w:t>32,569,809.32</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lastRenderedPageBreak/>
              <w:t/>
            </w:r>
            <w:proofErr w:type="spellStart"/>
            <w:r w:rsidRPr="00105C87">
              <w:rPr>
                <w:rFonts w:eastAsiaTheme="minorEastAsia"/>
                <w:color w:themeColor="text1" w:val="000000"/>
                <w:sz w:val="24"/>
              </w:rPr>
              <w:t/>
            </w:r>
            <w:r w:rsidRPr="00105C87">
              <w:rPr>
                <w:rFonts w:eastAsiaTheme="minorEastAsia"/>
                <w:color w:themeColor="text1" w:val="000000"/>
                <w:sz w:val="24"/>
              </w:rPr>
              <w:lastRenderedPageBreak/>
              <w:t/>
            </w:r>
            <w:proofErr w:type="spellEnd"/>
            <w:r w:rsidRPr="00105C87">
              <w:rPr>
                <w:rFonts w:eastAsiaTheme="minorEastAsia"/>
                <w:color w:themeColor="text1" w:val="000000"/>
                <w:sz w:val="24"/>
              </w:rPr>
              <w:t>2.94</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lastRenderedPageBreak/>
              <w:t>L</w:t>
            </w: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租赁和商务服务业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M</w:t>
            </w: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科学研究和技术服务业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N</w:t>
            </w: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水利、环境和公共设施管理业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O</w:t>
            </w: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居民服务、修理和其他服务业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P</w:t>
            </w: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教育</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2,034,075.00</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0.18</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Q</w:t>
            </w: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卫生和社会工作</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t>R</w:t>
            </w: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文化、体育和娱乐业</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7,780,968.00</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0.70</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r w:rsidRPr="00105C87">
              <w:rPr>
                <w:rFonts w:eastAsiaTheme="minorEastAsia"/>
                <w:color w:themeColor="text1" w:val="000000"/>
                <w:sz w:val="24"/>
              </w:rPr>
              <w:lastRenderedPageBreak/>
              <w:t>S</w:t>
            </w: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综合</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w:t>
            </w:r>
          </w:p>
        </w:tc>
      </w:tr>
      <w:tr w:rsidR="008624F9" w:rsidRPr="00105C87" w:rsidTr="00496AF7">
        <w:trPr>
          <w:trHeight w:val="285"/>
        </w:trPr>
        <w:tc>
          <w:tcPr>
            <w:tcW w:type="dxa" w:w="540"/>
            <w:tcMar>
              <w:top w:type="dxa" w:w="15"/>
              <w:left w:type="dxa" w:w="15"/>
              <w:bottom w:type="dxa" w:w="0"/>
              <w:right w:type="dxa" w:w="15"/>
            </w:tcMar>
            <w:vAlign w:val="center"/>
          </w:tcPr>
          <w:p w:rsidP="004E2319" w:rsidR="008624F9" w:rsidRDefault="008624F9" w:rsidRPr="00105C87">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4E2319" w:rsidR="008624F9" w:rsidRDefault="008624F9" w:rsidRPr="00105C87">
            <w:pPr>
              <w:adjustRightInd w:val="0"/>
              <w:snapToGrid w:val="0"/>
              <w:spacing w:line="400" w:lineRule="exact"/>
              <w:rPr>
                <w:rFonts w:eastAsiaTheme="minorEastAsia"/>
                <w:color w:themeColor="text1" w:val="000000"/>
                <w:sz w:val="24"/>
              </w:rPr>
            </w:pPr>
            <w:r w:rsidRPr="00105C87">
              <w:rPr>
                <w:rFonts w:eastAsiaTheme="minorEastAsia"/>
                <w:color w:themeColor="text1" w:val="000000"/>
                <w:sz w:val="24"/>
              </w:rPr>
              <w:t>合计</w:t>
            </w:r>
          </w:p>
        </w:tc>
        <w:tc>
          <w:tcPr>
            <w:tcW w:type="dxa" w:w="2852"/>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848,608,651.40</w:t>
            </w:r>
          </w:p>
        </w:tc>
        <w:tc>
          <w:tcPr>
            <w:tcW w:type="dxa" w:w="1648"/>
            <w:tcMar>
              <w:top w:type="dxa" w:w="15"/>
              <w:left w:type="dxa" w:w="15"/>
              <w:bottom w:type="dxa" w:w="0"/>
              <w:right w:type="dxa" w:w="15"/>
            </w:tcMar>
            <w:vAlign w:val="center"/>
          </w:tcPr>
          <w:p w:rsidP="004E2319" w:rsidR="008624F9" w:rsidRDefault="008624F9" w:rsidRPr="00105C87">
            <w:pPr>
              <w:jc w:val="right"/>
              <w:rPr>
                <w:rFonts w:eastAsiaTheme="minorEastAsia"/>
                <w:color w:themeColor="text1" w:val="000000"/>
                <w:sz w:val="24"/>
              </w:rPr>
            </w:pPr>
            <w:r w:rsidRPr="00105C87">
              <w:rPr>
                <w:rFonts w:eastAsiaTheme="minorEastAsia"/>
                <w:color w:themeColor="text1" w:val="000000"/>
                <w:sz w:val="24"/>
              </w:rPr>
              <w:t/>
            </w:r>
            <w:proofErr w:type="spellStart"/>
            <w:r w:rsidRPr="00105C87">
              <w:rPr>
                <w:rFonts w:eastAsiaTheme="minorEastAsia"/>
                <w:color w:themeColor="text1" w:val="000000"/>
                <w:sz w:val="24"/>
              </w:rPr>
              <w:t/>
            </w:r>
            <w:proofErr w:type="spellEnd"/>
            <w:r w:rsidRPr="00105C87">
              <w:rPr>
                <w:rFonts w:eastAsiaTheme="minorEastAsia"/>
                <w:color w:themeColor="text1" w:val="000000"/>
                <w:sz w:val="24"/>
              </w:rPr>
              <w:t>76.67</w:t>
            </w:r>
          </w:p>
        </w:tc>
      </w:tr>
    </w:tbl>
    <w:p w:rsidP="00774C7D" w:rsidR="00774C7D" w:rsidRDefault="00774C7D" w:rsidRPr="00EC5CE0">
      <w:pPr>
        <w:autoSpaceDE w:val="0"/>
        <w:autoSpaceDN w:val="0"/>
        <w:adjustRightInd w:val="0"/>
        <w:spacing w:line="360" w:lineRule="auto"/>
        <w:jc w:val="left"/>
        <w:rPr>
          <w:rFonts w:ascii="宋体" w:cs="Arial"/>
          <w:b/>
          <w:color w:val="000000"/>
          <w:kern w:val="0"/>
          <w:sz w:val="24"/>
        </w:rPr>
      </w:pPr>
      <w:r w:rsidRPr="00EC5CE0">
        <w:rPr>
          <w:rFonts w:ascii="宋体" w:cs="Arial" w:hAnsi="宋体"/>
          <w:b/>
          <w:color w:val="000000"/>
          <w:kern w:val="0"/>
          <w:sz w:val="24"/>
        </w:rPr>
        <w:t>5.3</w:t>
      </w:r>
      <w:r w:rsidRPr="007F456A">
        <w:rPr>
          <w:rFonts w:ascii="宋体" w:cs="Arial" w:hAnsi="宋体" w:hint="eastAsia"/>
          <w:b/>
          <w:color w:val="000000"/>
          <w:kern w:val="0"/>
          <w:sz w:val="24"/>
        </w:rPr>
        <w:t>报告期末按公允价值占基金资产净值比例大小排序的股票投资明细</w:t>
      </w:r>
    </w:p>
    <w:p w:rsidP="00774C7D" w:rsidR="00774C7D" w:rsidRDefault="00774C7D" w:rsidRPr="00045BEC">
      <w:pPr>
        <w:spacing w:line="360" w:lineRule="auto"/>
        <w:rPr>
          <w:rFonts w:ascii="宋体"/>
          <w:b/>
          <w:sz w:val="24"/>
        </w:rPr>
      </w:pPr>
      <w:r w:rsidRPr="00045BEC">
        <w:rPr>
          <w:rFonts w:ascii="宋体" w:cs="Arial" w:hAnsi="宋体"/>
          <w:b/>
          <w:color w:val="000000"/>
          <w:kern w:val="0"/>
          <w:sz w:val="24"/>
        </w:rPr>
        <w:t>5.3.1</w:t>
      </w:r>
      <w:r w:rsidRPr="00045BEC">
        <w:rPr>
          <w:rFonts w:ascii="宋体" w:cs="Arial" w:hAnsi="宋体" w:hint="eastAsia"/>
          <w:b/>
          <w:color w:val="000000"/>
          <w:kern w:val="0"/>
          <w:sz w:val="24"/>
        </w:rPr>
        <w:t>期末</w:t>
      </w:r>
      <w:r w:rsidRPr="00045BEC">
        <w:rPr>
          <w:rFonts w:ascii="宋体" w:hAnsi="宋体" w:hint="eastAsia"/>
          <w:b/>
          <w:sz w:val="24"/>
        </w:rPr>
        <w:t>指数投资按公允价值占基金资产净值比例大小排序的前十名股票投资明细</w:t>
      </w:r>
    </w:p>
    <w:tbl>
      <w:tblPr>
        <w:tblW w:type="dxa" w:w="8897"/>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559"/>
        <w:gridCol w:w="1843"/>
        <w:gridCol w:w="2268"/>
        <w:gridCol w:w="1134"/>
      </w:tblGrid>
      <w:tr w:rsidR="00774C7D" w:rsidRPr="00EC5CE0" w:rsidTr="00573C43">
        <w:tc>
          <w:tcPr>
            <w:tcW w:type="dxa" w:w="817"/>
            <w:vAlign w:val="center"/>
          </w:tcPr>
          <w:p w:rsidP="00573C43" w:rsidR="00774C7D" w:rsidRDefault="00774C7D" w:rsidRPr="00C1648E">
            <w:pPr>
              <w:spacing w:before="29" w:line="360" w:lineRule="auto"/>
              <w:ind w:left="17"/>
              <w:jc w:val="center"/>
              <w:rPr>
                <w:color w:val="000000"/>
                <w:sz w:val="24"/>
              </w:rPr>
            </w:pPr>
            <w:r w:rsidRPr="00C1648E">
              <w:rPr>
                <w:color w:val="000000"/>
                <w:sz w:val="24"/>
              </w:rPr>
              <w:t>序号</w:t>
            </w:r>
          </w:p>
        </w:tc>
        <w:tc>
          <w:tcPr>
            <w:tcW w:type="dxa" w:w="1276"/>
            <w:vAlign w:val="center"/>
          </w:tcPr>
          <w:p w:rsidP="00573C43" w:rsidR="00774C7D" w:rsidRDefault="00774C7D" w:rsidRPr="00C1648E">
            <w:pPr>
              <w:spacing w:before="29" w:line="360" w:lineRule="auto"/>
              <w:ind w:left="17"/>
              <w:jc w:val="center"/>
              <w:rPr>
                <w:color w:val="000000"/>
                <w:sz w:val="24"/>
              </w:rPr>
            </w:pPr>
            <w:r w:rsidRPr="00C1648E">
              <w:rPr>
                <w:color w:val="000000"/>
                <w:sz w:val="24"/>
              </w:rPr>
              <w:t>股票代码</w:t>
            </w:r>
          </w:p>
        </w:tc>
        <w:tc>
          <w:tcPr>
            <w:tcW w:type="dxa" w:w="1559"/>
            <w:vAlign w:val="center"/>
          </w:tcPr>
          <w:p w:rsidP="00573C43" w:rsidR="00774C7D" w:rsidRDefault="00774C7D" w:rsidRPr="00C1648E">
            <w:pPr>
              <w:spacing w:before="29" w:line="360" w:lineRule="auto"/>
              <w:ind w:left="17"/>
              <w:jc w:val="center"/>
              <w:rPr>
                <w:color w:val="000000"/>
                <w:sz w:val="24"/>
              </w:rPr>
            </w:pPr>
            <w:r w:rsidRPr="00C1648E">
              <w:rPr>
                <w:color w:val="000000"/>
                <w:sz w:val="24"/>
              </w:rPr>
              <w:t>股票名称</w:t>
            </w:r>
          </w:p>
        </w:tc>
        <w:tc>
          <w:tcPr>
            <w:tcW w:type="dxa" w:w="1843"/>
            <w:vAlign w:val="center"/>
          </w:tcPr>
          <w:p w:rsidP="00573C43" w:rsidR="00774C7D" w:rsidRDefault="00774C7D" w:rsidRPr="00C1648E">
            <w:pPr>
              <w:spacing w:before="29" w:line="360" w:lineRule="auto"/>
              <w:ind w:left="17"/>
              <w:jc w:val="center"/>
              <w:rPr>
                <w:color w:val="000000"/>
                <w:sz w:val="24"/>
              </w:rPr>
            </w:pPr>
            <w:r w:rsidRPr="00C1648E">
              <w:rPr>
                <w:color w:val="000000"/>
                <w:sz w:val="24"/>
              </w:rPr>
              <w:t>数量（股）</w:t>
            </w:r>
          </w:p>
        </w:tc>
        <w:tc>
          <w:tcPr>
            <w:tcW w:type="dxa" w:w="2268"/>
            <w:vAlign w:val="center"/>
          </w:tcPr>
          <w:p w:rsidP="00573C43" w:rsidR="00774C7D" w:rsidRDefault="00774C7D" w:rsidRPr="00C1648E">
            <w:pPr>
              <w:autoSpaceDE w:val="0"/>
              <w:autoSpaceDN w:val="0"/>
              <w:adjustRightInd w:val="0"/>
              <w:spacing w:before="29" w:line="360" w:lineRule="auto"/>
              <w:ind w:left="17"/>
              <w:jc w:val="center"/>
              <w:rPr>
                <w:color w:val="000000"/>
                <w:sz w:val="24"/>
              </w:rPr>
            </w:pPr>
            <w:r w:rsidRPr="00C1648E">
              <w:rPr>
                <w:color w:val="000000"/>
                <w:sz w:val="24"/>
              </w:rPr>
              <w:t>公允价值（元）</w:t>
            </w:r>
          </w:p>
        </w:tc>
        <w:tc>
          <w:tcPr>
            <w:tcW w:type="dxa" w:w="1134"/>
            <w:vAlign w:val="center"/>
          </w:tcPr>
          <w:p w:rsidP="00573C43" w:rsidR="00774C7D" w:rsidRDefault="00774C7D" w:rsidRPr="00C1648E">
            <w:pPr>
              <w:spacing w:before="29" w:line="360" w:lineRule="auto"/>
              <w:ind w:left="17"/>
              <w:jc w:val="center"/>
              <w:rPr>
                <w:color w:val="000000"/>
                <w:sz w:val="24"/>
              </w:rPr>
            </w:pPr>
            <w:r w:rsidRPr="00C1648E">
              <w:rPr>
                <w:color w:val="000000"/>
                <w:sz w:val="24"/>
              </w:rPr>
              <w:t>占基金资产净值比例</w:t>
            </w:r>
            <w:r w:rsidRPr="00C1648E">
              <w:rPr>
                <w:color w:val="000000"/>
                <w:sz w:val="24"/>
              </w:rPr>
              <w:t>(</w:t>
            </w:r>
            <w:r w:rsidRPr="00C1648E">
              <w:rPr>
                <w:color w:val="000000"/>
                <w:sz w:val="24"/>
              </w:rPr>
              <w:t>％</w:t>
            </w:r>
            <w:r w:rsidRPr="00C1648E">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600519</w:t>
            </w:r>
          </w:p>
        </w:tc>
        <w:tc>
          <w:tcPr>
            <w:vAlign w:val="center"/>
          </w:tcPr>
          <w:p>
            <w:pPr>
              <w:jc w:val="center"/>
            </w:pPr>
            <w:r>
              <w:rPr>
                <w:color w:val="000000"/>
                <w:sz w:val="24"/>
              </w:rPr>
              <w:t>贵州茅台</w:t>
            </w:r>
          </w:p>
        </w:tc>
        <w:tc>
          <w:tcPr>
            <w:vAlign w:val="center"/>
          </w:tcPr>
          <w:p>
            <w:pPr>
              <w:jc w:val="right"/>
            </w:pPr>
            <w:r>
              <w:rPr>
                <w:color w:val="000000"/>
                <w:sz w:val="24"/>
              </w:rPr>
              <w:t>40,018</w:t>
            </w:r>
          </w:p>
        </w:tc>
        <w:tc>
          <w:tcPr>
            <w:vAlign w:val="center"/>
          </w:tcPr>
          <w:p>
            <w:pPr>
              <w:jc w:val="right"/>
            </w:pPr>
            <w:r>
              <w:rPr>
                <w:color w:val="000000"/>
                <w:sz w:val="24"/>
              </w:rPr>
              <w:t>58,541,531.84</w:t>
            </w:r>
          </w:p>
        </w:tc>
        <w:tc>
          <w:tcPr>
            <w:vAlign w:val="center"/>
          </w:tcPr>
          <w:p>
            <w:pPr>
              <w:jc w:val="right"/>
            </w:pPr>
            <w:r>
              <w:rPr>
                <w:color w:val="000000"/>
                <w:sz w:val="24"/>
              </w:rPr>
              <w:t>5.29</w:t>
            </w:r>
          </w:p>
        </w:tc>
      </w:tr>
      <w:tr>
        <w:tc>
          <w:tcPr>
            <w:vAlign w:val="center"/>
          </w:tcPr>
          <w:p>
            <w:pPr>
              <w:jc w:val="center"/>
            </w:pPr>
            <w:r>
              <w:rPr>
                <w:color w:val="000000"/>
                <w:sz w:val="24"/>
              </w:rPr>
              <w:t>2</w:t>
            </w:r>
          </w:p>
        </w:tc>
        <w:tc>
          <w:tcPr>
            <w:vAlign w:val="center"/>
          </w:tcPr>
          <w:p>
            <w:pPr>
              <w:jc w:val="center"/>
            </w:pPr>
            <w:r>
              <w:rPr>
                <w:color w:val="000000"/>
                <w:sz w:val="24"/>
              </w:rPr>
              <w:t>601318</w:t>
            </w:r>
          </w:p>
        </w:tc>
        <w:tc>
          <w:tcPr>
            <w:vAlign w:val="center"/>
          </w:tcPr>
          <w:p>
            <w:pPr>
              <w:jc w:val="center"/>
            </w:pPr>
            <w:r>
              <w:rPr>
                <w:color w:val="000000"/>
                <w:sz w:val="24"/>
              </w:rPr>
              <w:t>中国平安</w:t>
            </w:r>
          </w:p>
        </w:tc>
        <w:tc>
          <w:tcPr>
            <w:vAlign w:val="center"/>
          </w:tcPr>
          <w:p>
            <w:pPr>
              <w:jc w:val="right"/>
            </w:pPr>
            <w:r>
              <w:rPr>
                <w:color w:val="000000"/>
                <w:sz w:val="24"/>
              </w:rPr>
              <w:t>717,503</w:t>
            </w:r>
          </w:p>
        </w:tc>
        <w:tc>
          <w:tcPr>
            <w:vAlign w:val="center"/>
          </w:tcPr>
          <w:p>
            <w:pPr>
              <w:jc w:val="right"/>
            </w:pPr>
            <w:r>
              <w:rPr>
                <w:color w:val="000000"/>
                <w:sz w:val="24"/>
              </w:rPr>
              <w:t>51,229,714.20</w:t>
            </w:r>
          </w:p>
        </w:tc>
        <w:tc>
          <w:tcPr>
            <w:vAlign w:val="center"/>
          </w:tcPr>
          <w:p>
            <w:pPr>
              <w:jc w:val="right"/>
            </w:pPr>
            <w:r>
              <w:rPr>
                <w:color w:val="000000"/>
                <w:sz w:val="24"/>
              </w:rPr>
              <w:t>4.63</w:t>
            </w:r>
          </w:p>
        </w:tc>
      </w:tr>
      <w:tr>
        <w:tc>
          <w:tcPr>
            <w:vAlign w:val="center"/>
          </w:tcPr>
          <w:p>
            <w:pPr>
              <w:jc w:val="center"/>
            </w:pPr>
            <w:r>
              <w:rPr>
                <w:color w:val="000000"/>
                <w:sz w:val="24"/>
              </w:rPr>
              <w:t>3</w:t>
            </w:r>
          </w:p>
        </w:tc>
        <w:tc>
          <w:tcPr>
            <w:vAlign w:val="center"/>
          </w:tcPr>
          <w:p>
            <w:pPr>
              <w:jc w:val="center"/>
            </w:pPr>
            <w:r>
              <w:rPr>
                <w:color w:val="000000"/>
                <w:sz w:val="24"/>
              </w:rPr>
              <w:t>002475</w:t>
            </w:r>
          </w:p>
        </w:tc>
        <w:tc>
          <w:tcPr>
            <w:vAlign w:val="center"/>
          </w:tcPr>
          <w:p>
            <w:pPr>
              <w:jc w:val="center"/>
            </w:pPr>
            <w:r>
              <w:rPr>
                <w:color w:val="000000"/>
                <w:sz w:val="24"/>
              </w:rPr>
              <w:t>立讯精密</w:t>
            </w:r>
          </w:p>
        </w:tc>
        <w:tc>
          <w:tcPr>
            <w:vAlign w:val="center"/>
          </w:tcPr>
          <w:p>
            <w:pPr>
              <w:jc w:val="right"/>
            </w:pPr>
            <w:r>
              <w:rPr>
                <w:color w:val="000000"/>
                <w:sz w:val="24"/>
              </w:rPr>
              <w:t>691,804</w:t>
            </w:r>
          </w:p>
        </w:tc>
        <w:tc>
          <w:tcPr>
            <w:vAlign w:val="center"/>
          </w:tcPr>
          <w:p>
            <w:pPr>
              <w:jc w:val="right"/>
            </w:pPr>
            <w:r>
              <w:rPr>
                <w:color w:val="000000"/>
                <w:sz w:val="24"/>
              </w:rPr>
              <w:t>35,524,135.40</w:t>
            </w:r>
          </w:p>
        </w:tc>
        <w:tc>
          <w:tcPr>
            <w:vAlign w:val="center"/>
          </w:tcPr>
          <w:p>
            <w:pPr>
              <w:jc w:val="right"/>
            </w:pPr>
            <w:r>
              <w:rPr>
                <w:color w:val="000000"/>
                <w:sz w:val="24"/>
              </w:rPr>
              <w:t>3.21</w:t>
            </w:r>
          </w:p>
        </w:tc>
      </w:tr>
      <w:tr>
        <w:tc>
          <w:tcPr>
            <w:vAlign w:val="center"/>
          </w:tcPr>
          <w:p>
            <w:pPr>
              <w:jc w:val="center"/>
            </w:pPr>
            <w:r>
              <w:rPr>
                <w:color w:val="000000"/>
                <w:sz w:val="24"/>
              </w:rPr>
              <w:t>4</w:t>
            </w:r>
          </w:p>
        </w:tc>
        <w:tc>
          <w:tcPr>
            <w:vAlign w:val="center"/>
          </w:tcPr>
          <w:p>
            <w:pPr>
              <w:jc w:val="center"/>
            </w:pPr>
            <w:r>
              <w:rPr>
                <w:color w:val="000000"/>
                <w:sz w:val="24"/>
              </w:rPr>
              <w:t>600276</w:t>
            </w:r>
          </w:p>
        </w:tc>
        <w:tc>
          <w:tcPr>
            <w:vAlign w:val="center"/>
          </w:tcPr>
          <w:p>
            <w:pPr>
              <w:jc w:val="center"/>
            </w:pPr>
            <w:r>
              <w:rPr>
                <w:color w:val="000000"/>
                <w:sz w:val="24"/>
              </w:rPr>
              <w:t>恒瑞医药</w:t>
            </w:r>
          </w:p>
        </w:tc>
        <w:tc>
          <w:tcPr>
            <w:vAlign w:val="center"/>
          </w:tcPr>
          <w:p>
            <w:pPr>
              <w:jc w:val="right"/>
            </w:pPr>
            <w:r>
              <w:rPr>
                <w:color w:val="000000"/>
                <w:sz w:val="24"/>
              </w:rPr>
              <w:t>355,622</w:t>
            </w:r>
          </w:p>
        </w:tc>
        <w:tc>
          <w:tcPr>
            <w:vAlign w:val="center"/>
          </w:tcPr>
          <w:p>
            <w:pPr>
              <w:jc w:val="right"/>
            </w:pPr>
            <w:r>
              <w:rPr>
                <w:color w:val="000000"/>
                <w:sz w:val="24"/>
              </w:rPr>
              <w:t>32,823,910.60</w:t>
            </w:r>
          </w:p>
        </w:tc>
        <w:tc>
          <w:tcPr>
            <w:vAlign w:val="center"/>
          </w:tcPr>
          <w:p>
            <w:pPr>
              <w:jc w:val="right"/>
            </w:pPr>
            <w:r>
              <w:rPr>
                <w:color w:val="000000"/>
                <w:sz w:val="24"/>
              </w:rPr>
              <w:t>2.97</w:t>
            </w:r>
          </w:p>
        </w:tc>
      </w:tr>
      <w:tr>
        <w:tc>
          <w:tcPr>
            <w:vAlign w:val="center"/>
          </w:tcPr>
          <w:p>
            <w:pPr>
              <w:jc w:val="center"/>
            </w:pPr>
            <w:r>
              <w:rPr>
                <w:color w:val="000000"/>
                <w:sz w:val="24"/>
              </w:rPr>
              <w:t>5</w:t>
            </w:r>
          </w:p>
        </w:tc>
        <w:tc>
          <w:tcPr>
            <w:vAlign w:val="center"/>
          </w:tcPr>
          <w:p>
            <w:pPr>
              <w:jc w:val="center"/>
            </w:pPr>
            <w:r>
              <w:rPr>
                <w:color w:val="000000"/>
                <w:sz w:val="24"/>
              </w:rPr>
              <w:t>000858</w:t>
            </w:r>
          </w:p>
        </w:tc>
        <w:tc>
          <w:tcPr>
            <w:vAlign w:val="center"/>
          </w:tcPr>
          <w:p>
            <w:pPr>
              <w:jc w:val="center"/>
            </w:pPr>
            <w:r>
              <w:rPr>
                <w:color w:val="000000"/>
                <w:sz w:val="24"/>
              </w:rPr>
              <w:t>五粮液</w:t>
            </w:r>
          </w:p>
        </w:tc>
        <w:tc>
          <w:tcPr>
            <w:vAlign w:val="center"/>
          </w:tcPr>
          <w:p>
            <w:pPr>
              <w:jc w:val="right"/>
            </w:pPr>
            <w:r>
              <w:rPr>
                <w:color w:val="000000"/>
                <w:sz w:val="24"/>
              </w:rPr>
              <w:t>173,100</w:t>
            </w:r>
          </w:p>
        </w:tc>
        <w:tc>
          <w:tcPr>
            <w:vAlign w:val="center"/>
          </w:tcPr>
          <w:p>
            <w:pPr>
              <w:jc w:val="right"/>
            </w:pPr>
            <w:r>
              <w:rPr>
                <w:color w:val="000000"/>
                <w:sz w:val="24"/>
              </w:rPr>
              <w:t>29,620,872.00</w:t>
            </w:r>
          </w:p>
        </w:tc>
        <w:tc>
          <w:tcPr>
            <w:vAlign w:val="center"/>
          </w:tcPr>
          <w:p>
            <w:pPr>
              <w:jc w:val="right"/>
            </w:pPr>
            <w:r>
              <w:rPr>
                <w:color w:val="000000"/>
                <w:sz w:val="24"/>
              </w:rPr>
              <w:t>2.68</w:t>
            </w:r>
          </w:p>
        </w:tc>
      </w:tr>
      <w:tr>
        <w:tc>
          <w:tcPr>
            <w:vAlign w:val="center"/>
          </w:tcPr>
          <w:p>
            <w:pPr>
              <w:jc w:val="center"/>
            </w:pPr>
            <w:r>
              <w:rPr>
                <w:color w:val="000000"/>
                <w:sz w:val="24"/>
              </w:rPr>
              <w:t>6</w:t>
            </w:r>
          </w:p>
        </w:tc>
        <w:tc>
          <w:tcPr>
            <w:vAlign w:val="center"/>
          </w:tcPr>
          <w:p>
            <w:pPr>
              <w:jc w:val="center"/>
            </w:pPr>
            <w:r>
              <w:rPr>
                <w:color w:val="000000"/>
                <w:sz w:val="24"/>
              </w:rPr>
              <w:t>600036</w:t>
            </w:r>
          </w:p>
        </w:tc>
        <w:tc>
          <w:tcPr>
            <w:vAlign w:val="center"/>
          </w:tcPr>
          <w:p>
            <w:pPr>
              <w:jc w:val="center"/>
            </w:pPr>
            <w:r>
              <w:rPr>
                <w:color w:val="000000"/>
                <w:sz w:val="24"/>
              </w:rPr>
              <w:t>招商银行</w:t>
            </w:r>
          </w:p>
        </w:tc>
        <w:tc>
          <w:tcPr>
            <w:vAlign w:val="center"/>
          </w:tcPr>
          <w:p>
            <w:pPr>
              <w:jc w:val="right"/>
            </w:pPr>
            <w:r>
              <w:rPr>
                <w:color w:val="000000"/>
                <w:sz w:val="24"/>
              </w:rPr>
              <w:t>773,447</w:t>
            </w:r>
          </w:p>
        </w:tc>
        <w:tc>
          <w:tcPr>
            <w:vAlign w:val="center"/>
          </w:tcPr>
          <w:p>
            <w:pPr>
              <w:jc w:val="right"/>
            </w:pPr>
            <w:r>
              <w:rPr>
                <w:color w:val="000000"/>
                <w:sz w:val="24"/>
              </w:rPr>
              <w:t>26,080,632.84</w:t>
            </w:r>
          </w:p>
        </w:tc>
        <w:tc>
          <w:tcPr>
            <w:vAlign w:val="center"/>
          </w:tcPr>
          <w:p>
            <w:pPr>
              <w:jc w:val="right"/>
            </w:pPr>
            <w:r>
              <w:rPr>
                <w:color w:val="000000"/>
                <w:sz w:val="24"/>
              </w:rPr>
              <w:t>2.36</w:t>
            </w:r>
          </w:p>
        </w:tc>
      </w:tr>
      <w:tr>
        <w:tc>
          <w:tcPr>
            <w:vAlign w:val="center"/>
          </w:tcPr>
          <w:p>
            <w:pPr>
              <w:jc w:val="center"/>
            </w:pPr>
            <w:r>
              <w:rPr>
                <w:color w:val="000000"/>
                <w:sz w:val="24"/>
              </w:rPr>
              <w:t>7</w:t>
            </w:r>
          </w:p>
        </w:tc>
        <w:tc>
          <w:tcPr>
            <w:vAlign w:val="center"/>
          </w:tcPr>
          <w:p>
            <w:pPr>
              <w:jc w:val="center"/>
            </w:pPr>
            <w:r>
              <w:rPr>
                <w:color w:val="000000"/>
                <w:sz w:val="24"/>
              </w:rPr>
              <w:t>601688</w:t>
            </w:r>
          </w:p>
        </w:tc>
        <w:tc>
          <w:tcPr>
            <w:vAlign w:val="center"/>
          </w:tcPr>
          <w:p>
            <w:pPr>
              <w:jc w:val="center"/>
            </w:pPr>
            <w:r>
              <w:rPr>
                <w:color w:val="000000"/>
                <w:sz w:val="24"/>
              </w:rPr>
              <w:t>华泰证券</w:t>
            </w:r>
          </w:p>
        </w:tc>
        <w:tc>
          <w:tcPr>
            <w:vAlign w:val="center"/>
          </w:tcPr>
          <w:p>
            <w:pPr>
              <w:jc w:val="right"/>
            </w:pPr>
            <w:r>
              <w:rPr>
                <w:color w:val="000000"/>
                <w:sz w:val="24"/>
              </w:rPr>
              <w:t>1,126,000</w:t>
            </w:r>
          </w:p>
        </w:tc>
        <w:tc>
          <w:tcPr>
            <w:vAlign w:val="center"/>
          </w:tcPr>
          <w:p>
            <w:pPr>
              <w:jc w:val="right"/>
            </w:pPr>
            <w:r>
              <w:rPr>
                <w:color w:val="000000"/>
                <w:sz w:val="24"/>
              </w:rPr>
              <w:t>21,168,800.00</w:t>
            </w:r>
          </w:p>
        </w:tc>
        <w:tc>
          <w:tcPr>
            <w:vAlign w:val="center"/>
          </w:tcPr>
          <w:p>
            <w:pPr>
              <w:jc w:val="right"/>
            </w:pPr>
            <w:r>
              <w:rPr>
                <w:color w:val="000000"/>
                <w:sz w:val="24"/>
              </w:rPr>
              <w:t>1.91</w:t>
            </w:r>
          </w:p>
        </w:tc>
      </w:tr>
      <w:tr>
        <w:tc>
          <w:tcPr>
            <w:vAlign w:val="center"/>
          </w:tcPr>
          <w:p>
            <w:pPr>
              <w:jc w:val="center"/>
            </w:pPr>
            <w:r>
              <w:rPr>
                <w:color w:val="000000"/>
                <w:sz w:val="24"/>
              </w:rPr>
              <w:t>8</w:t>
            </w:r>
          </w:p>
        </w:tc>
        <w:tc>
          <w:tcPr>
            <w:vAlign w:val="center"/>
          </w:tcPr>
          <w:p>
            <w:pPr>
              <w:jc w:val="center"/>
            </w:pPr>
            <w:r>
              <w:rPr>
                <w:color w:val="000000"/>
                <w:sz w:val="24"/>
              </w:rPr>
              <w:t>002352</w:t>
            </w:r>
          </w:p>
        </w:tc>
        <w:tc>
          <w:tcPr>
            <w:vAlign w:val="center"/>
          </w:tcPr>
          <w:p>
            <w:pPr>
              <w:jc w:val="center"/>
            </w:pPr>
            <w:r>
              <w:rPr>
                <w:color w:val="000000"/>
                <w:sz w:val="24"/>
              </w:rPr>
              <w:t>顺丰控股</w:t>
            </w:r>
          </w:p>
        </w:tc>
        <w:tc>
          <w:tcPr>
            <w:vAlign w:val="center"/>
          </w:tcPr>
          <w:p>
            <w:pPr>
              <w:jc w:val="right"/>
            </w:pPr>
            <w:r>
              <w:rPr>
                <w:color w:val="000000"/>
                <w:sz w:val="24"/>
              </w:rPr>
              <w:t>383,356</w:t>
            </w:r>
          </w:p>
        </w:tc>
        <w:tc>
          <w:tcPr>
            <w:vAlign w:val="center"/>
          </w:tcPr>
          <w:p>
            <w:pPr>
              <w:jc w:val="right"/>
            </w:pPr>
            <w:r>
              <w:rPr>
                <w:color w:val="000000"/>
                <w:sz w:val="24"/>
              </w:rPr>
              <w:t>20,969,573.20</w:t>
            </w:r>
          </w:p>
        </w:tc>
        <w:tc>
          <w:tcPr>
            <w:vAlign w:val="center"/>
          </w:tcPr>
          <w:p>
            <w:pPr>
              <w:jc w:val="right"/>
            </w:pPr>
            <w:r>
              <w:rPr>
                <w:color w:val="000000"/>
                <w:sz w:val="24"/>
              </w:rPr>
              <w:t>1.89</w:t>
            </w:r>
          </w:p>
        </w:tc>
      </w:tr>
      <w:tr>
        <w:tc>
          <w:tcPr>
            <w:vAlign w:val="center"/>
          </w:tcPr>
          <w:p>
            <w:pPr>
              <w:jc w:val="center"/>
            </w:pPr>
            <w:r>
              <w:rPr>
                <w:color w:val="000000"/>
                <w:sz w:val="24"/>
              </w:rPr>
              <w:t>9</w:t>
            </w:r>
          </w:p>
        </w:tc>
        <w:tc>
          <w:tcPr>
            <w:vAlign w:val="center"/>
          </w:tcPr>
          <w:p>
            <w:pPr>
              <w:jc w:val="center"/>
            </w:pPr>
            <w:r>
              <w:rPr>
                <w:color w:val="000000"/>
                <w:sz w:val="24"/>
              </w:rPr>
              <w:t>000166</w:t>
            </w:r>
          </w:p>
        </w:tc>
        <w:tc>
          <w:tcPr>
            <w:vAlign w:val="center"/>
          </w:tcPr>
          <w:p>
            <w:pPr>
              <w:jc w:val="center"/>
            </w:pPr>
            <w:r>
              <w:rPr>
                <w:color w:val="000000"/>
                <w:sz w:val="24"/>
              </w:rPr>
              <w:t>申万宏源</w:t>
            </w:r>
          </w:p>
        </w:tc>
        <w:tc>
          <w:tcPr>
            <w:vAlign w:val="center"/>
          </w:tcPr>
          <w:p>
            <w:pPr>
              <w:jc w:val="right"/>
            </w:pPr>
            <w:r>
              <w:rPr>
                <w:color w:val="000000"/>
                <w:sz w:val="24"/>
              </w:rPr>
              <w:t>3,877,035</w:t>
            </w:r>
          </w:p>
        </w:tc>
        <w:tc>
          <w:tcPr>
            <w:vAlign w:val="center"/>
          </w:tcPr>
          <w:p>
            <w:pPr>
              <w:jc w:val="right"/>
            </w:pPr>
            <w:r>
              <w:rPr>
                <w:color w:val="000000"/>
                <w:sz w:val="24"/>
              </w:rPr>
              <w:t>19,579,026.75</w:t>
            </w:r>
          </w:p>
        </w:tc>
        <w:tc>
          <w:tcPr>
            <w:vAlign w:val="center"/>
          </w:tcPr>
          <w:p>
            <w:pPr>
              <w:jc w:val="right"/>
            </w:pPr>
            <w:r>
              <w:rPr>
                <w:color w:val="000000"/>
                <w:sz w:val="24"/>
              </w:rPr>
              <w:t>1.77</w:t>
            </w:r>
          </w:p>
        </w:tc>
      </w:tr>
      <w:tr>
        <w:tc>
          <w:tcPr>
            <w:vAlign w:val="center"/>
          </w:tcPr>
          <w:p>
            <w:pPr>
              <w:jc w:val="center"/>
            </w:pPr>
            <w:r>
              <w:rPr>
                <w:color w:val="000000"/>
                <w:sz w:val="24"/>
              </w:rPr>
              <w:t>10</w:t>
            </w:r>
          </w:p>
        </w:tc>
        <w:tc>
          <w:tcPr>
            <w:vAlign w:val="center"/>
          </w:tcPr>
          <w:p>
            <w:pPr>
              <w:jc w:val="center"/>
            </w:pPr>
            <w:r>
              <w:rPr>
                <w:color w:val="000000"/>
                <w:sz w:val="24"/>
              </w:rPr>
              <w:t>002714</w:t>
            </w:r>
          </w:p>
        </w:tc>
        <w:tc>
          <w:tcPr>
            <w:vAlign w:val="center"/>
          </w:tcPr>
          <w:p>
            <w:pPr>
              <w:jc w:val="center"/>
            </w:pPr>
            <w:r>
              <w:rPr>
                <w:color w:val="000000"/>
                <w:sz w:val="24"/>
              </w:rPr>
              <w:t>牧原股份</w:t>
            </w:r>
          </w:p>
        </w:tc>
        <w:tc>
          <w:tcPr>
            <w:vAlign w:val="center"/>
          </w:tcPr>
          <w:p>
            <w:pPr>
              <w:jc w:val="right"/>
            </w:pPr>
            <w:r>
              <w:rPr>
                <w:color w:val="000000"/>
                <w:sz w:val="24"/>
              </w:rPr>
              <w:t>226,732</w:t>
            </w:r>
          </w:p>
        </w:tc>
        <w:tc>
          <w:tcPr>
            <w:vAlign w:val="center"/>
          </w:tcPr>
          <w:p>
            <w:pPr>
              <w:jc w:val="right"/>
            </w:pPr>
            <w:r>
              <w:rPr>
                <w:color w:val="000000"/>
                <w:sz w:val="24"/>
              </w:rPr>
              <w:t>18,592,024.00</w:t>
            </w:r>
          </w:p>
        </w:tc>
        <w:tc>
          <w:tcPr>
            <w:vAlign w:val="center"/>
          </w:tcPr>
          <w:p>
            <w:pPr>
              <w:jc w:val="right"/>
            </w:pPr>
            <w:r>
              <w:rPr>
                <w:color w:val="000000"/>
                <w:sz w:val="24"/>
              </w:rPr>
              <w:t>1.68</w:t>
            </w:r>
          </w:p>
        </w:tc>
      </w:tr>
    </w:tbl>
    <w:p w:rsidP="00774C7D" w:rsidR="00774C7D" w:rsidRDefault="00774C7D" w:rsidRPr="00045BEC">
      <w:pPr>
        <w:spacing w:line="360" w:lineRule="auto"/>
        <w:rPr>
          <w:rFonts w:ascii="宋体"/>
          <w:b/>
          <w:sz w:val="24"/>
        </w:rPr>
      </w:pPr>
      <w:r w:rsidRPr="00045BEC">
        <w:rPr>
          <w:rFonts w:ascii="宋体" w:cs="Arial" w:hAnsi="宋体"/>
          <w:b/>
          <w:color w:val="000000"/>
          <w:kern w:val="0"/>
          <w:sz w:val="24"/>
        </w:rPr>
        <w:t>5.3.2</w:t>
      </w:r>
      <w:r w:rsidRPr="00045BEC">
        <w:rPr>
          <w:rFonts w:ascii="宋体" w:cs="Arial" w:hAnsi="宋体" w:hint="eastAsia"/>
          <w:b/>
          <w:color w:val="000000"/>
          <w:kern w:val="0"/>
          <w:sz w:val="24"/>
        </w:rPr>
        <w:t>期末</w:t>
      </w:r>
      <w:r w:rsidRPr="00045BEC">
        <w:rPr>
          <w:rFonts w:ascii="宋体" w:hAnsi="宋体" w:hint="eastAsia"/>
          <w:b/>
          <w:sz w:val="24"/>
        </w:rPr>
        <w:t>积极投资按公允价值占基金资产净值比例大小排序的前五名股票投资明细</w:t>
      </w:r>
    </w:p>
    <w:tbl>
      <w:tblPr>
        <w:tblW w:type="dxa" w:w="8897"/>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701"/>
        <w:gridCol w:w="1843"/>
        <w:gridCol w:w="2126"/>
        <w:gridCol w:w="1134"/>
      </w:tblGrid>
      <w:tr w:rsidR="00774C7D" w:rsidRPr="00EC5CE0" w:rsidTr="00573C43">
        <w:tc>
          <w:tcPr>
            <w:tcW w:type="dxa" w:w="817"/>
            <w:vAlign w:val="center"/>
          </w:tcPr>
          <w:p w:rsidP="00573C43" w:rsidR="00774C7D" w:rsidRDefault="00774C7D" w:rsidRPr="00C1648E">
            <w:pPr>
              <w:spacing w:before="29" w:line="360" w:lineRule="auto"/>
              <w:ind w:left="17"/>
              <w:jc w:val="center"/>
              <w:rPr>
                <w:color w:val="000000"/>
                <w:sz w:val="24"/>
              </w:rPr>
            </w:pPr>
            <w:r w:rsidRPr="00C1648E">
              <w:rPr>
                <w:color w:val="000000"/>
                <w:sz w:val="24"/>
              </w:rPr>
              <w:t>序号</w:t>
            </w:r>
          </w:p>
        </w:tc>
        <w:tc>
          <w:tcPr>
            <w:tcW w:type="dxa" w:w="1276"/>
            <w:vAlign w:val="center"/>
          </w:tcPr>
          <w:p w:rsidP="00573C43" w:rsidR="00774C7D" w:rsidRDefault="00774C7D" w:rsidRPr="00C1648E">
            <w:pPr>
              <w:spacing w:before="29" w:line="360" w:lineRule="auto"/>
              <w:ind w:left="17"/>
              <w:jc w:val="center"/>
              <w:rPr>
                <w:color w:val="000000"/>
                <w:sz w:val="24"/>
              </w:rPr>
            </w:pPr>
            <w:r w:rsidRPr="00C1648E">
              <w:rPr>
                <w:color w:val="000000"/>
                <w:sz w:val="24"/>
              </w:rPr>
              <w:t>股票代码</w:t>
            </w:r>
          </w:p>
        </w:tc>
        <w:tc>
          <w:tcPr>
            <w:tcW w:type="dxa" w:w="1701"/>
            <w:vAlign w:val="center"/>
          </w:tcPr>
          <w:p w:rsidP="00573C43" w:rsidR="00774C7D" w:rsidRDefault="00774C7D" w:rsidRPr="00C1648E">
            <w:pPr>
              <w:spacing w:before="29" w:line="360" w:lineRule="auto"/>
              <w:ind w:left="17"/>
              <w:jc w:val="center"/>
              <w:rPr>
                <w:color w:val="000000"/>
                <w:sz w:val="24"/>
              </w:rPr>
            </w:pPr>
            <w:r w:rsidRPr="00C1648E">
              <w:rPr>
                <w:color w:val="000000"/>
                <w:sz w:val="24"/>
              </w:rPr>
              <w:t>股票名称</w:t>
            </w:r>
          </w:p>
        </w:tc>
        <w:tc>
          <w:tcPr>
            <w:tcW w:type="dxa" w:w="1843"/>
            <w:vAlign w:val="center"/>
          </w:tcPr>
          <w:p w:rsidP="00573C43" w:rsidR="00774C7D" w:rsidRDefault="00774C7D" w:rsidRPr="00C1648E">
            <w:pPr>
              <w:spacing w:before="29" w:line="360" w:lineRule="auto"/>
              <w:ind w:left="17"/>
              <w:jc w:val="center"/>
              <w:rPr>
                <w:color w:val="000000"/>
                <w:sz w:val="24"/>
              </w:rPr>
            </w:pPr>
            <w:r w:rsidRPr="00C1648E">
              <w:rPr>
                <w:color w:val="000000"/>
                <w:sz w:val="24"/>
              </w:rPr>
              <w:t>数量（股）</w:t>
            </w:r>
          </w:p>
        </w:tc>
        <w:tc>
          <w:tcPr>
            <w:tcW w:type="dxa" w:w="2126"/>
            <w:vAlign w:val="center"/>
          </w:tcPr>
          <w:p w:rsidP="00573C43" w:rsidR="00774C7D" w:rsidRDefault="00774C7D" w:rsidRPr="00C1648E">
            <w:pPr>
              <w:autoSpaceDE w:val="0"/>
              <w:autoSpaceDN w:val="0"/>
              <w:adjustRightInd w:val="0"/>
              <w:spacing w:before="29" w:line="360" w:lineRule="auto"/>
              <w:ind w:left="17"/>
              <w:jc w:val="center"/>
              <w:rPr>
                <w:color w:val="000000"/>
                <w:sz w:val="24"/>
              </w:rPr>
            </w:pPr>
            <w:r w:rsidRPr="00C1648E">
              <w:rPr>
                <w:color w:val="000000"/>
                <w:sz w:val="24"/>
              </w:rPr>
              <w:t>公允价值（元）</w:t>
            </w:r>
          </w:p>
        </w:tc>
        <w:tc>
          <w:tcPr>
            <w:tcW w:type="dxa" w:w="1134"/>
            <w:vAlign w:val="center"/>
          </w:tcPr>
          <w:p w:rsidP="00573C43" w:rsidR="00774C7D" w:rsidRDefault="00774C7D" w:rsidRPr="00C1648E">
            <w:pPr>
              <w:spacing w:before="29" w:line="360" w:lineRule="auto"/>
              <w:ind w:left="17"/>
              <w:jc w:val="center"/>
              <w:rPr>
                <w:color w:val="000000"/>
                <w:sz w:val="24"/>
              </w:rPr>
            </w:pPr>
            <w:r w:rsidRPr="00C1648E">
              <w:rPr>
                <w:color w:val="000000"/>
                <w:sz w:val="24"/>
              </w:rPr>
              <w:t>占基金资产净值比例</w:t>
            </w:r>
            <w:r w:rsidRPr="00C1648E">
              <w:rPr>
                <w:color w:val="000000"/>
                <w:sz w:val="24"/>
              </w:rPr>
              <w:t>(</w:t>
            </w:r>
            <w:r w:rsidRPr="00C1648E">
              <w:rPr>
                <w:color w:val="000000"/>
                <w:sz w:val="24"/>
              </w:rPr>
              <w:t>％</w:t>
            </w:r>
            <w:r w:rsidRPr="00C1648E">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300558</w:t>
            </w:r>
          </w:p>
        </w:tc>
        <w:tc>
          <w:tcPr>
            <w:vAlign w:val="center"/>
          </w:tcPr>
          <w:p>
            <w:pPr>
              <w:jc w:val="center"/>
            </w:pPr>
            <w:r>
              <w:rPr>
                <w:color w:val="000000"/>
                <w:sz w:val="24"/>
              </w:rPr>
              <w:t>贝达药业</w:t>
            </w:r>
          </w:p>
        </w:tc>
        <w:tc>
          <w:tcPr>
            <w:vAlign w:val="center"/>
          </w:tcPr>
          <w:p>
            <w:pPr>
              <w:jc w:val="right"/>
            </w:pPr>
            <w:r>
              <w:rPr>
                <w:color w:val="000000"/>
                <w:sz w:val="24"/>
              </w:rPr>
              <w:t>123,584</w:t>
            </w:r>
          </w:p>
        </w:tc>
        <w:tc>
          <w:tcPr>
            <w:vAlign w:val="center"/>
          </w:tcPr>
          <w:p>
            <w:pPr>
              <w:jc w:val="right"/>
            </w:pPr>
            <w:r>
              <w:rPr>
                <w:color w:val="000000"/>
                <w:sz w:val="24"/>
              </w:rPr>
              <w:t>17,299,288.32</w:t>
            </w:r>
          </w:p>
        </w:tc>
        <w:tc>
          <w:tcPr>
            <w:vAlign w:val="center"/>
          </w:tcPr>
          <w:p>
            <w:pPr>
              <w:jc w:val="right"/>
            </w:pPr>
            <w:r>
              <w:rPr>
                <w:color w:val="000000"/>
                <w:sz w:val="24"/>
              </w:rPr>
              <w:t>1.56</w:t>
            </w:r>
          </w:p>
        </w:tc>
      </w:tr>
      <w:tr>
        <w:tc>
          <w:tcPr>
            <w:vAlign w:val="center"/>
          </w:tcPr>
          <w:p>
            <w:pPr>
              <w:jc w:val="center"/>
            </w:pPr>
            <w:r>
              <w:rPr>
                <w:color w:val="000000"/>
                <w:sz w:val="24"/>
              </w:rPr>
              <w:t>2</w:t>
            </w:r>
          </w:p>
        </w:tc>
        <w:tc>
          <w:tcPr>
            <w:vAlign w:val="center"/>
          </w:tcPr>
          <w:p>
            <w:pPr>
              <w:jc w:val="center"/>
            </w:pPr>
            <w:r>
              <w:rPr>
                <w:color w:val="000000"/>
                <w:sz w:val="24"/>
              </w:rPr>
              <w:t>603218</w:t>
            </w:r>
          </w:p>
        </w:tc>
        <w:tc>
          <w:tcPr>
            <w:vAlign w:val="center"/>
          </w:tcPr>
          <w:p>
            <w:pPr>
              <w:jc w:val="center"/>
            </w:pPr>
            <w:r>
              <w:rPr>
                <w:color w:val="000000"/>
                <w:sz w:val="24"/>
              </w:rPr>
              <w:t>日月股份</w:t>
            </w:r>
          </w:p>
        </w:tc>
        <w:tc>
          <w:tcPr>
            <w:vAlign w:val="center"/>
          </w:tcPr>
          <w:p>
            <w:pPr>
              <w:jc w:val="right"/>
            </w:pPr>
            <w:r>
              <w:rPr>
                <w:color w:val="000000"/>
                <w:sz w:val="24"/>
              </w:rPr>
              <w:t>858,980</w:t>
            </w:r>
          </w:p>
        </w:tc>
        <w:tc>
          <w:tcPr>
            <w:vAlign w:val="center"/>
          </w:tcPr>
          <w:p>
            <w:pPr>
              <w:jc w:val="right"/>
            </w:pPr>
            <w:r>
              <w:rPr>
                <w:color w:val="000000"/>
                <w:sz w:val="24"/>
              </w:rPr>
              <w:t>15,719,334.00</w:t>
            </w:r>
          </w:p>
        </w:tc>
        <w:tc>
          <w:tcPr>
            <w:vAlign w:val="center"/>
          </w:tcPr>
          <w:p>
            <w:pPr>
              <w:jc w:val="right"/>
            </w:pPr>
            <w:r>
              <w:rPr>
                <w:color w:val="000000"/>
                <w:sz w:val="24"/>
              </w:rPr>
              <w:t>1.42</w:t>
            </w:r>
          </w:p>
        </w:tc>
      </w:tr>
      <w:tr>
        <w:tc>
          <w:tcPr>
            <w:vAlign w:val="center"/>
          </w:tcPr>
          <w:p>
            <w:pPr>
              <w:jc w:val="center"/>
            </w:pPr>
            <w:r>
              <w:rPr>
                <w:color w:val="000000"/>
                <w:sz w:val="24"/>
              </w:rPr>
              <w:t>3</w:t>
            </w:r>
          </w:p>
        </w:tc>
        <w:tc>
          <w:tcPr>
            <w:vAlign w:val="center"/>
          </w:tcPr>
          <w:p>
            <w:pPr>
              <w:jc w:val="center"/>
            </w:pPr>
            <w:r>
              <w:rPr>
                <w:color w:val="000000"/>
                <w:sz w:val="24"/>
              </w:rPr>
              <w:t>002920</w:t>
            </w:r>
          </w:p>
        </w:tc>
        <w:tc>
          <w:tcPr>
            <w:vAlign w:val="center"/>
          </w:tcPr>
          <w:p>
            <w:pPr>
              <w:jc w:val="center"/>
            </w:pPr>
            <w:r>
              <w:rPr>
                <w:color w:val="000000"/>
                <w:sz w:val="24"/>
              </w:rPr>
              <w:t>德赛西威</w:t>
            </w:r>
          </w:p>
        </w:tc>
        <w:tc>
          <w:tcPr>
            <w:vAlign w:val="center"/>
          </w:tcPr>
          <w:p>
            <w:pPr>
              <w:jc w:val="right"/>
            </w:pPr>
            <w:r>
              <w:rPr>
                <w:color w:val="000000"/>
                <w:sz w:val="24"/>
              </w:rPr>
              <w:t>241,600</w:t>
            </w:r>
          </w:p>
        </w:tc>
        <w:tc>
          <w:tcPr>
            <w:vAlign w:val="center"/>
          </w:tcPr>
          <w:p>
            <w:pPr>
              <w:jc w:val="right"/>
            </w:pPr>
            <w:r>
              <w:rPr>
                <w:color w:val="000000"/>
                <w:sz w:val="24"/>
              </w:rPr>
              <w:t>14,817,328.00</w:t>
            </w:r>
          </w:p>
        </w:tc>
        <w:tc>
          <w:tcPr>
            <w:vAlign w:val="center"/>
          </w:tcPr>
          <w:p>
            <w:pPr>
              <w:jc w:val="right"/>
            </w:pPr>
            <w:r>
              <w:rPr>
                <w:color w:val="000000"/>
                <w:sz w:val="24"/>
              </w:rPr>
              <w:t>1.34</w:t>
            </w:r>
          </w:p>
        </w:tc>
      </w:tr>
      <w:tr>
        <w:tc>
          <w:tcPr>
            <w:vAlign w:val="center"/>
          </w:tcPr>
          <w:p>
            <w:pPr>
              <w:jc w:val="center"/>
            </w:pPr>
            <w:r>
              <w:rPr>
                <w:color w:val="000000"/>
                <w:sz w:val="24"/>
              </w:rPr>
              <w:t>4</w:t>
            </w:r>
          </w:p>
        </w:tc>
        <w:tc>
          <w:tcPr>
            <w:vAlign w:val="center"/>
          </w:tcPr>
          <w:p>
            <w:pPr>
              <w:jc w:val="center"/>
            </w:pPr>
            <w:r>
              <w:rPr>
                <w:color w:val="000000"/>
                <w:sz w:val="24"/>
              </w:rPr>
              <w:t>002414</w:t>
            </w:r>
          </w:p>
        </w:tc>
        <w:tc>
          <w:tcPr>
            <w:vAlign w:val="center"/>
          </w:tcPr>
          <w:p>
            <w:pPr>
              <w:jc w:val="center"/>
            </w:pPr>
            <w:r>
              <w:rPr>
                <w:color w:val="000000"/>
                <w:sz w:val="24"/>
              </w:rPr>
              <w:t>高德红外</w:t>
            </w:r>
          </w:p>
        </w:tc>
        <w:tc>
          <w:tcPr>
            <w:vAlign w:val="center"/>
          </w:tcPr>
          <w:p>
            <w:pPr>
              <w:jc w:val="right"/>
            </w:pPr>
            <w:r>
              <w:rPr>
                <w:color w:val="000000"/>
                <w:sz w:val="24"/>
              </w:rPr>
              <w:t>439,630</w:t>
            </w:r>
          </w:p>
        </w:tc>
        <w:tc>
          <w:tcPr>
            <w:vAlign w:val="center"/>
          </w:tcPr>
          <w:p>
            <w:pPr>
              <w:jc w:val="right"/>
            </w:pPr>
            <w:r>
              <w:rPr>
                <w:color w:val="000000"/>
                <w:sz w:val="24"/>
              </w:rPr>
              <w:t>12,872,366.40</w:t>
            </w:r>
          </w:p>
        </w:tc>
        <w:tc>
          <w:tcPr>
            <w:vAlign w:val="center"/>
          </w:tcPr>
          <w:p>
            <w:pPr>
              <w:jc w:val="right"/>
            </w:pPr>
            <w:r>
              <w:rPr>
                <w:color w:val="000000"/>
                <w:sz w:val="24"/>
              </w:rPr>
              <w:t>1.16</w:t>
            </w:r>
          </w:p>
        </w:tc>
      </w:tr>
      <w:tr>
        <w:tc>
          <w:tcPr>
            <w:vAlign w:val="center"/>
          </w:tcPr>
          <w:p>
            <w:pPr>
              <w:jc w:val="center"/>
            </w:pPr>
            <w:r>
              <w:rPr>
                <w:color w:val="000000"/>
                <w:sz w:val="24"/>
              </w:rPr>
              <w:t>5</w:t>
            </w:r>
          </w:p>
        </w:tc>
        <w:tc>
          <w:tcPr>
            <w:vAlign w:val="center"/>
          </w:tcPr>
          <w:p>
            <w:pPr>
              <w:jc w:val="center"/>
            </w:pPr>
            <w:r>
              <w:rPr>
                <w:color w:val="000000"/>
                <w:sz w:val="24"/>
              </w:rPr>
              <w:t>603444</w:t>
            </w:r>
          </w:p>
        </w:tc>
        <w:tc>
          <w:tcPr>
            <w:vAlign w:val="center"/>
          </w:tcPr>
          <w:p>
            <w:pPr>
              <w:jc w:val="center"/>
            </w:pPr>
            <w:r>
              <w:rPr>
                <w:color w:val="000000"/>
                <w:sz w:val="24"/>
              </w:rPr>
              <w:t>吉比特</w:t>
            </w:r>
          </w:p>
        </w:tc>
        <w:tc>
          <w:tcPr>
            <w:vAlign w:val="center"/>
          </w:tcPr>
          <w:p>
            <w:pPr>
              <w:jc w:val="right"/>
            </w:pPr>
            <w:r>
              <w:rPr>
                <w:color w:val="000000"/>
                <w:sz w:val="24"/>
              </w:rPr>
              <w:t>22,768</w:t>
            </w:r>
          </w:p>
        </w:tc>
        <w:tc>
          <w:tcPr>
            <w:vAlign w:val="center"/>
          </w:tcPr>
          <w:p>
            <w:pPr>
              <w:jc w:val="right"/>
            </w:pPr>
            <w:r>
              <w:rPr>
                <w:color w:val="000000"/>
                <w:sz w:val="24"/>
              </w:rPr>
              <w:t>12,499,859.68</w:t>
            </w:r>
          </w:p>
        </w:tc>
        <w:tc>
          <w:tcPr>
            <w:vAlign w:val="center"/>
          </w:tcPr>
          <w:p>
            <w:pPr>
              <w:jc w:val="right"/>
            </w:pPr>
            <w:r>
              <w:rPr>
                <w:color w:val="000000"/>
                <w:sz w:val="24"/>
              </w:rPr>
              <w:t>1.13</w:t>
            </w:r>
          </w:p>
        </w:tc>
      </w:tr>
    </w:tbl>
    <w:p w:rsidP="00712EE5" w:rsidR="00712EE5" w:rsidRDefault="00A62673" w:rsidRPr="00712EE5">
      <w:pPr>
        <w:autoSpaceDE w:val="0"/>
        <w:autoSpaceDN w:val="0"/>
        <w:adjustRightInd w:val="0"/>
        <w:spacing w:line="360" w:lineRule="auto"/>
        <w:jc w:val="left"/>
        <w:rPr>
          <w:rFonts w:eastAsiaTheme="minorEastAsia"/>
          <w:b/>
          <w:color w:themeColor="text1" w:val="000000"/>
          <w:kern w:val="0"/>
          <w:sz w:val="24"/>
        </w:rPr>
      </w:pPr>
      <w:r w:rsidRPr="00EC5CE0">
        <w:rPr>
          <w:rFonts w:ascii="宋体" w:cs="Arial" w:hAnsi="宋体"/>
          <w:b/>
          <w:color w:val="000000"/>
          <w:kern w:val="0"/>
          <w:sz w:val="24"/>
        </w:rPr>
        <w:t xml:space="preserve">5.4 </w:t>
      </w:r>
      <w:r w:rsidRPr="00EC5CE0">
        <w:rPr>
          <w:rFonts w:ascii="宋体" w:cs="Arial" w:hAnsi="宋体" w:hint="eastAsia"/>
          <w:b/>
          <w:color w:val="000000"/>
          <w:kern w:val="0"/>
          <w:sz w:val="24"/>
        </w:rPr>
        <w:t>报告期末按债券品种分类的债券投资组合</w:t>
      </w:r>
    </w:p>
    <w:p w:rsidP="00712EE5" w:rsidR="00A62673" w:rsidRDefault="00712EE5" w:rsidRPr="00BF18E8">
      <w:pPr>
        <w:spacing w:line="360" w:lineRule="auto"/>
        <w:ind w:firstLine="480" w:firstLineChars="200"/>
        <w:rPr>
          <w:color w:val="000000"/>
          <w:sz w:val="24"/>
        </w:rPr>
      </w:pPr>
      <w:r w:rsidRPr="00BF18E8">
        <w:rPr>
          <w:color w:val="000000"/>
          <w:sz w:val="24"/>
        </w:rPr>
        <w:t/>
      </w:r>
      <w:proofErr w:type="spellStart"/>
      <w:r w:rsidRPr="00BF18E8">
        <w:rPr>
          <w:color w:val="000000"/>
          <w:sz w:val="24"/>
        </w:rPr>
        <w:t/>
      </w:r>
      <w:proofErr w:type="spellEnd"/>
      <w:r w:rsidRPr="00BF18E8">
        <w:rPr>
          <w:color w:val="000000"/>
          <w:sz w:val="24"/>
        </w:rPr>
        <w:t/>
      </w:r>
      <w:proofErr w:type="spellStart"/>
      <w:r w:rsidRPr="00BF18E8">
        <w:rPr>
          <w:color w:val="000000"/>
          <w:sz w:val="24"/>
        </w:rPr>
        <w:t/>
      </w:r>
      <w:proofErr w:type="spellEnd"/>
      <w:r w:rsidRPr="00BF18E8">
        <w:rPr>
          <w:color w:val="000000"/>
          <w:sz w:val="24"/>
        </w:rPr>
        <w:t>本基金本报告期末未持有债券。</w:t>
      </w:r>
    </w:p>
    <w:p w:rsidP="00045BEC" w:rsidR="00A62673" w:rsidRDefault="00A62673" w:rsidRPr="00EC5CE0">
      <w:pPr>
        <w:autoSpaceDE w:val="0"/>
        <w:autoSpaceDN w:val="0"/>
        <w:adjustRightInd w:val="0"/>
        <w:spacing w:line="360" w:lineRule="auto"/>
        <w:jc w:val="left"/>
        <w:rPr>
          <w:rFonts w:ascii="宋体" w:cs="Arial"/>
          <w:b/>
          <w:color w:val="000000"/>
          <w:kern w:val="0"/>
          <w:sz w:val="24"/>
        </w:rPr>
      </w:pPr>
      <w:r w:rsidRPr="00EC5CE0">
        <w:rPr>
          <w:rFonts w:ascii="宋体" w:cs="Arial" w:hAnsi="宋体"/>
          <w:b/>
          <w:color w:val="000000"/>
          <w:kern w:val="0"/>
          <w:sz w:val="24"/>
        </w:rPr>
        <w:t xml:space="preserve">5.5 </w:t>
      </w:r>
      <w:r w:rsidRPr="00EC5CE0">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EC5CE0">
        <w:rPr>
          <w:rFonts w:ascii="宋体" w:cs="Arial" w:hAnsi="宋体" w:hint="eastAsia"/>
          <w:b/>
          <w:color w:val="000000"/>
          <w:kern w:val="0"/>
          <w:sz w:val="24"/>
        </w:rPr>
        <w:t>的前五名债券投资明细</w:t>
      </w:r>
    </w:p>
    <w:p w:rsidP="00C1648E" w:rsidR="00A62673" w:rsidRDefault="00A62673" w:rsidRPr="00C1648E">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
      </w:r>
      <w:proofErr w:type="spellStart"/>
      <w:r w:rsidRPr="00DC315B">
        <w:rPr>
          <w:color w:val="000000"/>
          <w:sz w:val="24"/>
        </w:rPr>
        <w:t/>
      </w:r>
      <w:proofErr w:type="spellEnd"/>
      <w:r w:rsidRPr="00DC315B">
        <w:rPr>
          <w:color w:val="000000"/>
          <w:sz w:val="24"/>
        </w:rPr>
        <w:t>本基金本报告期末未持有债券。</w:t>
      </w:r>
    </w:p>
    <w:p w:rsidP="00045BEC" w:rsidR="00A62673" w:rsidRDefault="00A62673" w:rsidRPr="00EC5CE0">
      <w:pPr>
        <w:autoSpaceDE w:val="0"/>
        <w:autoSpaceDN w:val="0"/>
        <w:adjustRightInd w:val="0"/>
        <w:spacing w:line="360" w:lineRule="auto"/>
        <w:jc w:val="left"/>
        <w:rPr>
          <w:rFonts w:ascii="宋体" w:cs="Arial"/>
          <w:b/>
          <w:color w:val="000000"/>
          <w:kern w:val="0"/>
          <w:sz w:val="24"/>
        </w:rPr>
      </w:pPr>
      <w:r w:rsidRPr="00EC5CE0">
        <w:rPr>
          <w:rFonts w:ascii="宋体" w:cs="Arial" w:hAnsi="宋体"/>
          <w:b/>
          <w:color w:val="000000"/>
          <w:kern w:val="0"/>
          <w:sz w:val="24"/>
        </w:rPr>
        <w:t>5.6</w:t>
      </w:r>
      <w:r w:rsidRPr="00EC5CE0">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EC5CE0">
        <w:rPr>
          <w:rFonts w:ascii="宋体" w:cs="Arial" w:hAnsi="宋体" w:hint="eastAsia"/>
          <w:b/>
          <w:color w:val="000000"/>
          <w:kern w:val="0"/>
          <w:sz w:val="24"/>
        </w:rPr>
        <w:t>的前十名资产支持证券投资明细</w:t>
      </w:r>
    </w:p>
    <w:p w:rsidP="00C1648E" w:rsidR="00A62673" w:rsidRDefault="00A62673" w:rsidRPr="00C1648E">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
      </w:r>
      <w:proofErr w:type="spellStart"/>
      <w:r w:rsidRPr="00DC315B">
        <w:rPr>
          <w:color w:val="000000"/>
          <w:sz w:val="24"/>
        </w:rPr>
        <w:t/>
      </w:r>
      <w:proofErr w:type="spellEnd"/>
      <w:r w:rsidRPr="00DC315B">
        <w:rPr>
          <w:color w:val="000000"/>
          <w:sz w:val="24"/>
        </w:rPr>
        <w:t>本基金本报告期末未持有资产支持证券。</w:t>
      </w:r>
    </w:p>
    <w:p w:rsidP="008021E8" w:rsidR="00A62673" w:rsidRDefault="00A62673"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C1648E" w:rsidR="00A62673" w:rsidRDefault="00A62673" w:rsidRPr="00C1648E">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
      </w:r>
      <w:proofErr w:type="spellStart"/>
      <w:r w:rsidRPr="00DC315B">
        <w:rPr>
          <w:color w:val="000000"/>
          <w:sz w:val="24"/>
        </w:rPr>
        <w:t/>
      </w:r>
      <w:proofErr w:type="spellEnd"/>
      <w:r w:rsidRPr="00DC315B">
        <w:rPr>
          <w:color w:val="000000"/>
          <w:sz w:val="24"/>
        </w:rPr>
        <w:t>本基金本报告期末未持有贵金属。</w:t>
      </w:r>
    </w:p>
    <w:p w:rsidP="00045BEC" w:rsidR="00A62673" w:rsidRDefault="00A62673" w:rsidRPr="00EC5CE0">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r>
        <w:rPr>
          <w:rFonts w:ascii="宋体" w:cs="Arial" w:hAnsi="宋体"/>
          <w:b/>
          <w:color w:val="000000"/>
          <w:kern w:val="0"/>
          <w:sz w:val="24"/>
        </w:rPr>
        <w:t/>
      </w:r>
      <w:r w:rsidRPr="00EC5CE0">
        <w:rPr>
          <w:rFonts w:ascii="宋体" w:cs="Arial"/>
          <w:b/>
          <w:color w:val="000000"/>
          <w:kern w:val="0"/>
          <w:sz w:val="24"/>
        </w:rPr>
        <w:t>5.</w:t>
      </w:r>
      <w:r>
        <w:rPr>
          <w:rFonts w:ascii="宋体" w:cs="Arial"/>
          <w:b/>
          <w:color w:val="000000"/>
          <w:kern w:val="0"/>
          <w:sz w:val="24"/>
        </w:rPr>
        <w:t/>
      </w:r>
      <w:r>
        <w:rPr>
          <w:rFonts w:ascii="宋体" w:cs="Arial" w:hAnsi="宋体"/>
          <w:b/>
          <w:color w:val="000000"/>
          <w:kern w:val="0"/>
          <w:sz w:val="24"/>
        </w:rPr>
        <w:t/>
      </w:r>
      <w:r w:rsidRPr="00EC5CE0">
        <w:rPr>
          <w:rFonts w:ascii="宋体" w:cs="Arial"/>
          <w:b/>
          <w:color w:val="000000"/>
          <w:kern w:val="0"/>
          <w:sz w:val="24"/>
        </w:rPr>
        <w:t>8</w:t>
      </w:r>
      <w:r w:rsidRPr="00EC5CE0">
        <w:rPr>
          <w:rFonts w:ascii="宋体" w:hAnsi="宋体" w:hint="eastAsia"/>
          <w:b/>
          <w:bCs/>
          <w:color w:val="000000"/>
          <w:sz w:val="24"/>
        </w:rPr>
        <w:t>报告期末按公允价值占基金资产净值比例大小排</w:t>
      </w:r>
      <w:r>
        <w:rPr>
          <w:rFonts w:ascii="宋体" w:hAnsi="宋体" w:hint="eastAsia"/>
          <w:b/>
          <w:bCs/>
          <w:color w:val="000000"/>
          <w:sz w:val="24"/>
        </w:rPr>
        <w:t>序</w:t>
      </w:r>
      <w:r w:rsidRPr="00EC5CE0">
        <w:rPr>
          <w:rFonts w:ascii="宋体" w:hAnsi="宋体" w:hint="eastAsia"/>
          <w:b/>
          <w:bCs/>
          <w:color w:val="000000"/>
          <w:sz w:val="24"/>
        </w:rPr>
        <w:t>的前五名权证投资明细</w:t>
      </w:r>
    </w:p>
    <w:p w:rsidP="00C1648E" w:rsidR="00A62673" w:rsidRDefault="00A62673" w:rsidRPr="00C1648E">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
      </w:r>
      <w:proofErr w:type="spellStart"/>
      <w:r w:rsidRPr="00DC315B">
        <w:rPr>
          <w:color w:val="000000"/>
          <w:sz w:val="24"/>
        </w:rPr>
        <w:t/>
      </w:r>
      <w:proofErr w:type="spellEnd"/>
      <w:r w:rsidRPr="00DC315B">
        <w:rPr>
          <w:color w:val="000000"/>
          <w:sz w:val="24"/>
        </w:rPr>
        <w:t>本基金本报告期末未持有权证。</w:t>
      </w:r>
    </w:p>
    <w:p w:rsidP="00045BEC" w:rsidR="00A62673" w:rsidRDefault="00A62673" w:rsidRPr="00EC5CE0">
      <w:pPr>
        <w:adjustRightInd w:val="0"/>
        <w:snapToGrid w:val="0"/>
        <w:spacing w:line="360" w:lineRule="auto"/>
        <w:rPr>
          <w:rFonts w:ascii="宋体"/>
          <w:b/>
          <w:sz w:val="24"/>
        </w:rPr>
      </w:pPr>
      <w:r w:rsidRPr="00EC5CE0">
        <w:rPr>
          <w:rFonts w:ascii="宋体"/>
          <w:b/>
          <w:sz w:val="24"/>
        </w:rPr>
        <w:t/>
      </w:r>
      <w:proofErr w:type="spellStart"/>
      <w:r w:rsidRPr="00EC5CE0">
        <w:rPr>
          <w:rFonts w:ascii="宋体" w:hAnsi="宋体"/>
          <w:b/>
          <w:sz w:val="24"/>
        </w:rPr>
        <w:t/>
      </w:r>
      <w:proofErr w:type="spellEnd"/>
      <w:r w:rsidRPr="00EC5CE0">
        <w:rPr>
          <w:rFonts w:ascii="宋体" w:hAnsi="宋体"/>
          <w:b/>
          <w:sz w:val="24"/>
        </w:rPr>
        <w:t xml:space="preserve">5.9 </w:t>
      </w:r>
      <w:r w:rsidRPr="00EC5CE0">
        <w:rPr>
          <w:rFonts w:ascii="宋体" w:hAnsi="宋体" w:hint="eastAsia"/>
          <w:b/>
          <w:sz w:val="24"/>
        </w:rPr>
        <w:t>报告期末本基金投资的股指期货交易情况说明</w:t>
      </w:r>
    </w:p>
    <w:p w:rsidP="00950044" w:rsidR="00950044" w:rsidRDefault="00A62673">
      <w:pPr>
        <w:autoSpaceDE w:val="0"/>
        <w:autoSpaceDN w:val="0"/>
        <w:adjustRightInd w:val="0"/>
        <w:spacing w:line="360" w:lineRule="auto"/>
        <w:jc w:val="left"/>
        <w:rPr>
          <w:rFonts w:ascii="宋体"/>
          <w:b/>
          <w:bCs/>
          <w:color w:val="000000"/>
          <w:kern w:val="0"/>
          <w:sz w:val="24"/>
        </w:rPr>
      </w:pPr>
      <w:r w:rsidRPr="00EC5CE0">
        <w:rPr>
          <w:rFonts w:ascii="宋体"/>
          <w:b/>
          <w:sz w:val="24"/>
        </w:rPr>
        <w:t/>
      </w:r>
      <w:proofErr w:type="spellStart"/>
      <w:r w:rsidRPr="00EC5CE0">
        <w:rPr>
          <w:rFonts w:ascii="宋体" w:hAnsi="宋体"/>
          <w:b/>
          <w:sz w:val="24"/>
        </w:rPr>
        <w:t/>
      </w:r>
      <w:proofErr w:type="spellEnd"/>
      <w:r w:rsidRPr="00EC5CE0">
        <w:rPr>
          <w:rFonts w:ascii="宋体" w:hAnsi="宋体"/>
          <w:b/>
          <w:sz w:val="24"/>
        </w:rPr>
        <w:t xml:space="preserve">5.9.1 </w:t>
      </w:r>
      <w:r w:rsidRPr="00EC5CE0">
        <w:rPr>
          <w:rFonts w:ascii="宋体" w:hAnsi="宋体" w:hint="eastAsia"/>
          <w:b/>
          <w:sz w:val="24"/>
        </w:rPr>
        <w:t>报告期末本基金投资的股指期货持仓和损益明细</w:t>
      </w:r>
      <w:r w:rsidRPr="0069335C">
        <w:rPr>
          <w:rFonts w:ascii="宋体"/>
          <w:b/>
          <w:sz w:val="24"/>
        </w:rPr>
        <w:t/>
      </w:r>
      <w:proofErr w:type="spellStart"/>
      <w:r w:rsidRPr="0069335C">
        <w:rPr>
          <w:rFonts w:ascii="宋体" w:hAnsi="宋体"/>
          <w:b/>
          <w:sz w:val="24"/>
        </w:rPr>
        <w:t/>
      </w:r>
      <w:proofErr w:type="spellEnd"/>
      <w:r w:rsidRPr="0069335C">
        <w:rPr>
          <w:rFonts w:ascii="宋体" w:hAnsi="宋体"/>
          <w:b/>
          <w:sz w:val="24"/>
        </w:rPr>
        <w:t/>
      </w:r>
    </w:p>
    <w:tbl>
      <w:tblPr>
        <w:tblW w:type="dxa" w:w="8843"/>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1133"/>
        <w:gridCol w:w="1302"/>
        <w:gridCol w:w="993"/>
        <w:gridCol w:w="1700"/>
        <w:gridCol w:w="1641"/>
        <w:gridCol w:w="2074"/>
      </w:tblGrid>
      <w:tr w:rsidR="00950044" w:rsidTr="00496AF7">
        <w:trPr>
          <w:trHeight w:val="105"/>
          <w:jc w:val="center"/>
        </w:trPr>
        <w:tc>
          <w:tcPr>
            <w:tcW w:type="dxa" w:w="1134"/>
            <w:hideMark/>
          </w:tcPr>
          <w:p w:rsidR="00950044" w:rsidRDefault="00950044">
            <w:pPr>
              <w:pStyle w:val="Default"/>
              <w:rPr>
                <w:rFonts w:ascii="Times New Roman" w:cs="Times New Roman" w:hAnsi="Times New Roman"/>
              </w:rPr>
            </w:pPr>
            <w:r>
              <w:rPr>
                <w:rFonts w:ascii="Times New Roman" w:cs="Times New Roman" w:hAnsi="Times New Roman" w:hint="eastAsia"/>
              </w:rPr>
              <w:t>代码</w:t>
            </w:r>
            <w:r>
              <w:rPr>
                <w:rFonts w:ascii="Times New Roman" w:cs="Times New Roman" w:hAnsi="Times New Roman"/>
                <w:b/>
              </w:rPr>
              <w:t/>
            </w:r>
            <w:proofErr w:type="spellStart"/>
            <w:r>
              <w:rPr>
                <w:rFonts w:ascii="Times New Roman" w:cs="Times New Roman" w:hAnsi="Times New Roman"/>
                <w:b/>
              </w:rPr>
              <w:t/>
            </w:r>
            <w:proofErr w:type="spellEnd"/>
            <w:r>
              <w:rPr>
                <w:rFonts w:ascii="Times New Roman" w:cs="Times New Roman" w:hAnsi="Times New Roman"/>
              </w:rPr>
              <w:t/>
            </w:r>
            <w:r>
              <w:rPr>
                <w:rFonts w:ascii="Times New Roman" w:cs="Times New Roman" w:eastAsiaTheme="minorEastAsia" w:hAnsi="Times New Roman"/>
                <w:b/>
              </w:rPr>
              <w:t/>
            </w:r>
            <w:proofErr w:type="spellStart"/>
            <w:r>
              <w:rPr>
                <w:rFonts w:ascii="Times New Roman" w:cs="Times New Roman" w:eastAsiaTheme="minorEastAsia" w:hAnsi="Times New Roman"/>
                <w:b/>
              </w:rPr>
              <w:t/>
            </w:r>
            <w:proofErr w:type="spellEnd"/>
            <w:r>
              <w:rPr>
                <w:rFonts w:ascii="Times New Roman" w:cs="Times New Roman" w:eastAsiaTheme="minorEastAsia" w:hAnsi="Times New Roman"/>
                <w:b/>
              </w:rPr>
              <w:t/>
            </w:r>
          </w:p>
        </w:tc>
        <w:tc>
          <w:tcPr>
            <w:tcW w:type="dxa" w:w="1303"/>
            <w:hideMark/>
          </w:tcPr>
          <w:p w:rsidR="00950044" w:rsidRDefault="00950044">
            <w:pPr>
              <w:pStyle w:val="Default"/>
              <w:rPr>
                <w:rFonts w:ascii="Times New Roman" w:cs="Times New Roman" w:hAnsi="Times New Roman"/>
              </w:rPr>
            </w:pPr>
            <w:r>
              <w:rPr>
                <w:rFonts w:ascii="Times New Roman" w:cs="Times New Roman" w:hAnsi="Times New Roman" w:hint="eastAsia"/>
              </w:rPr>
              <w:t>名称</w:t>
            </w:r>
          </w:p>
        </w:tc>
        <w:tc>
          <w:tcPr>
            <w:tcW w:type="dxa" w:w="993"/>
            <w:hideMark/>
          </w:tcPr>
          <w:p w:rsidR="00950044" w:rsidRDefault="00950044">
            <w:pPr>
              <w:pStyle w:val="Default"/>
              <w:rPr>
                <w:rFonts w:ascii="Times New Roman" w:cs="Times New Roman" w:hAnsi="Times New Roman"/>
              </w:rPr>
            </w:pPr>
            <w:r>
              <w:rPr>
                <w:rFonts w:ascii="Times New Roman" w:cs="Times New Roman" w:hAnsi="Times New Roman" w:hint="eastAsia"/>
              </w:rPr>
              <w:t>持仓量</w:t>
            </w:r>
          </w:p>
        </w:tc>
        <w:tc>
          <w:tcPr>
            <w:tcW w:type="dxa" w:w="1700"/>
            <w:hideMark/>
          </w:tcPr>
          <w:p w:rsidR="00950044" w:rsidRDefault="00950044">
            <w:pPr>
              <w:pStyle w:val="Default"/>
              <w:rPr>
                <w:rFonts w:ascii="Times New Roman" w:cs="Times New Roman" w:hAnsi="Times New Roman"/>
              </w:rPr>
            </w:pPr>
            <w:r>
              <w:rPr>
                <w:rFonts w:ascii="Times New Roman" w:cs="Times New Roman" w:hAnsi="Times New Roman" w:hint="eastAsia"/>
              </w:rPr>
              <w:t>合约市值（元）</w:t>
            </w:r>
          </w:p>
        </w:tc>
        <w:tc>
          <w:tcPr>
            <w:tcW w:type="dxa" w:w="1641"/>
            <w:hideMark/>
          </w:tcPr>
          <w:p w:rsidR="00950044" w:rsidRDefault="00950044">
            <w:pPr>
              <w:pStyle w:val="Default"/>
              <w:rPr>
                <w:rFonts w:ascii="Times New Roman" w:cs="Times New Roman" w:hAnsi="Times New Roman"/>
              </w:rPr>
            </w:pPr>
            <w:r>
              <w:rPr>
                <w:rFonts w:ascii="Times New Roman" w:cs="Times New Roman" w:hAnsi="Times New Roman" w:hint="eastAsia"/>
              </w:rPr>
              <w:t>公允价值变动（元）</w:t>
            </w:r>
          </w:p>
        </w:tc>
        <w:tc>
          <w:tcPr>
            <w:tcW w:type="dxa" w:w="2074"/>
            <w:hideMark/>
          </w:tcPr>
          <w:p w:rsidR="00950044" w:rsidRDefault="00950044">
            <w:pPr>
              <w:pStyle w:val="Default"/>
              <w:jc w:val="center"/>
              <w:rPr>
                <w:rFonts w:ascii="Times New Roman" w:cs="Times New Roman" w:hAnsi="Times New Roman"/>
                <w:color w:val="auto"/>
              </w:rPr>
            </w:pPr>
            <w:r>
              <w:rPr>
                <w:rFonts w:ascii="Times New Roman" w:cs="Times New Roman" w:hAnsi="Times New Roman" w:hint="eastAsia"/>
                <w:color w:val="auto"/>
              </w:rPr>
              <w:t>风险说明</w:t>
            </w:r>
          </w:p>
        </w:tc>
      </w:tr>
      <w:tr>
        <w:tc>
          <w:tcPr>
            <w:vAlign w:val="center"/>
          </w:tcPr>
          <w:p>
            <w:pPr>
              <w:jc w:val="center"/>
            </w:pPr>
            <w:r>
              <w:rPr>
                <w:rFonts w:ascii="Times New Roman" w:cs="Times New Roman" w:hAnsi="Times New Roman"/>
              </w:rPr>
              <w:t>-</w:t>
            </w:r>
          </w:p>
        </w:tc>
        <w:tc>
          <w:tcPr>
            <w:vAlign w:val="center"/>
          </w:tcPr>
          <w:p>
            <w:pPr>
              <w:jc w:val="center"/>
            </w:pPr>
            <w:r>
              <w:rPr>
                <w:rFonts w:ascii="Times New Roman" w:cs="Times New Roman" w:hAnsi="Times New Roman"/>
              </w:rPr>
              <w:t>-</w:t>
            </w:r>
          </w:p>
        </w:tc>
        <w:tc>
          <w:tcPr>
            <w:vAlign w:val="center"/>
          </w:tcPr>
          <w:p>
            <w:pPr>
              <w:jc w:val="center"/>
            </w:pPr>
            <w:r>
              <w:rPr>
                <w:rFonts w:ascii="Times New Roman" w:cs="Times New Roman" w:hAnsi="Times New Roman"/>
              </w:rPr>
              <w:t>-</w:t>
            </w:r>
          </w:p>
        </w:tc>
        <w:tc>
          <w:tcPr>
            <w:vAlign w:val="center"/>
          </w:tcPr>
          <w:p>
            <w:pPr>
              <w:jc w:val="center"/>
            </w:pPr>
            <w:r>
              <w:rPr>
                <w:rFonts w:ascii="Times New Roman" w:cs="Times New Roman" w:hAnsi="Times New Roman"/>
              </w:rPr>
              <w:t>-</w:t>
            </w:r>
          </w:p>
        </w:tc>
        <w:tc>
          <w:tcPr>
            <w:vAlign w:val="center"/>
          </w:tcPr>
          <w:p>
            <w:pPr>
              <w:jc w:val="center"/>
            </w:pPr>
            <w:r>
              <w:rPr>
                <w:rFonts w:ascii="Times New Roman" w:cs="Times New Roman" w:hAnsi="Times New Roman"/>
              </w:rPr>
              <w:t>-</w:t>
            </w:r>
          </w:p>
        </w:tc>
        <w:tc>
          <w:tcPr>
            <w:vAlign w:val="center"/>
          </w:tcPr>
          <w:p>
            <w:pPr>
              <w:jc w:val="center"/>
            </w:pPr>
            <w:r>
              <w:rPr>
                <w:rFonts w:ascii="Times New Roman" w:cs="Times New Roman" w:hAnsi="Times New Roman"/>
              </w:rPr>
              <w:t>-</w:t>
            </w:r>
          </w:p>
        </w:tc>
      </w:tr>
      <w:tr w:rsidR="00950044" w:rsidTr="00496AF7">
        <w:trPr>
          <w:trHeight w:val="105"/>
          <w:jc w:val="center"/>
        </w:trPr>
        <w:tc>
          <w:tcPr>
            <w:tcW w:type="dxa" w:w="6771"/>
            <w:gridSpan w:val="5"/>
            <w:hideMark/>
          </w:tcPr>
          <w:p w:rsidR="00950044" w:rsidRDefault="00950044">
            <w:pPr>
              <w:pStyle w:val="Default"/>
              <w:rPr>
                <w:rFonts w:ascii="Times New Roman" w:cs="Times New Roman" w:hAnsi="Times New Roman"/>
              </w:rPr>
            </w:pPr>
            <w:r>
              <w:rPr>
                <w:rFonts w:ascii="Times New Roman" w:cs="Times New Roman" w:hAnsi="Times New Roman" w:hint="eastAsia"/>
              </w:rPr>
              <w:t>公允价值变动总额合计</w:t>
            </w:r>
            <w:r>
              <w:rPr>
                <w:rFonts w:ascii="Times New Roman" w:cs="Times New Roman" w:hAnsi="Times New Roman"/>
              </w:rPr>
              <w:t>(</w:t>
            </w:r>
            <w:r>
              <w:rPr>
                <w:rFonts w:ascii="Times New Roman" w:cs="Times New Roman" w:hAnsi="Times New Roman" w:hint="eastAsia"/>
              </w:rPr>
              <w:t>元</w:t>
            </w:r>
            <w:r>
              <w:rPr>
                <w:rFonts w:ascii="Times New Roman" w:cs="Times New Roman" w:hAnsi="Times New Roman"/>
              </w:rPr>
              <w:t>)</w:t>
            </w:r>
          </w:p>
        </w:tc>
        <w:tc>
          <w:tcPr>
            <w:tcW w:type="dxa" w:w="2074"/>
            <w:hideMark/>
          </w:tcPr>
          <w:p w:rsidR="00950044" w:rsidRDefault="00950044">
            <w:pPr>
              <w:pStyle w:val="Default"/>
              <w:jc w:val="right"/>
              <w:rPr>
                <w:rFonts w:ascii="Times New Roman" w:cs="Times New Roman" w:hAnsi="Times New Roman"/>
                <w:color w:val="auto"/>
              </w:rPr>
            </w:pPr>
            <w:r>
              <w:rPr>
                <w:rFonts w:ascii="Times New Roman" w:cs="Times New Roman" w:hAnsi="Times New Roman"/>
                <w:color w:val="auto"/>
              </w:rPr>
              <w:t/>
            </w:r>
            <w:proofErr w:type="spellStart"/>
            <w:r>
              <w:rPr>
                <w:rFonts w:ascii="Times New Roman" w:cs="Times New Roman" w:hAnsi="Times New Roman"/>
                <w:color w:val="auto"/>
              </w:rPr>
              <w:t/>
            </w:r>
            <w:proofErr w:type="spellEnd"/>
            <w:r>
              <w:rPr>
                <w:rFonts w:ascii="Times New Roman" w:cs="Times New Roman" w:hAnsi="Times New Roman"/>
                <w:color w:val="auto"/>
              </w:rPr>
              <w:t>-</w:t>
            </w:r>
          </w:p>
        </w:tc>
      </w:tr>
      <w:tr w:rsidR="00950044" w:rsidTr="00496AF7">
        <w:trPr>
          <w:trHeight w:val="105"/>
          <w:jc w:val="center"/>
        </w:trPr>
        <w:tc>
          <w:tcPr>
            <w:tcW w:type="dxa" w:w="6771"/>
            <w:gridSpan w:val="5"/>
            <w:hideMark/>
          </w:tcPr>
          <w:p w:rsidR="00950044" w:rsidRDefault="00950044">
            <w:pPr>
              <w:pStyle w:val="Default"/>
              <w:rPr>
                <w:rFonts w:ascii="Times New Roman" w:cs="Times New Roman" w:hAnsi="Times New Roman"/>
                <w:color w:val="auto"/>
              </w:rPr>
            </w:pPr>
            <w:r>
              <w:rPr>
                <w:rFonts w:ascii="Times New Roman" w:cs="Times New Roman" w:hAnsi="Times New Roman" w:hint="eastAsia"/>
                <w:color w:val="auto"/>
              </w:rPr>
              <w:t>股指期货投资本期收益</w:t>
            </w:r>
            <w:r>
              <w:rPr>
                <w:rFonts w:ascii="Times New Roman" w:cs="Times New Roman" w:hAnsi="Times New Roman"/>
              </w:rPr>
              <w:t>(</w:t>
            </w:r>
            <w:r>
              <w:rPr>
                <w:rFonts w:ascii="Times New Roman" w:cs="Times New Roman" w:hAnsi="Times New Roman" w:hint="eastAsia"/>
              </w:rPr>
              <w:t>元</w:t>
            </w:r>
            <w:r>
              <w:rPr>
                <w:rFonts w:ascii="Times New Roman" w:cs="Times New Roman" w:hAnsi="Times New Roman"/>
              </w:rPr>
              <w:t>)</w:t>
            </w:r>
          </w:p>
        </w:tc>
        <w:tc>
          <w:tcPr>
            <w:tcW w:type="dxa" w:w="2074"/>
            <w:hideMark/>
          </w:tcPr>
          <w:p w:rsidR="00950044" w:rsidRDefault="00950044">
            <w:pPr>
              <w:pStyle w:val="Default"/>
              <w:jc w:val="right"/>
              <w:rPr>
                <w:rFonts w:ascii="Times New Roman" w:cs="Times New Roman" w:hAnsi="Times New Roman"/>
                <w:color w:val="auto"/>
              </w:rPr>
            </w:pPr>
            <w:r>
              <w:rPr>
                <w:rFonts w:ascii="Times New Roman" w:cs="Times New Roman" w:hAnsi="Times New Roman"/>
                <w:color w:val="auto"/>
              </w:rPr>
              <w:t/>
            </w:r>
            <w:proofErr w:type="spellStart"/>
            <w:r>
              <w:rPr>
                <w:rFonts w:ascii="Times New Roman" w:cs="Times New Roman" w:hAnsi="Times New Roman"/>
                <w:color w:val="auto"/>
              </w:rPr>
              <w:t/>
            </w:r>
            <w:r>
              <w:rPr>
                <w:rFonts w:ascii="Times New Roman" w:cs="Times New Roman" w:hAnsi="Times New Roman"/>
                <w:color w:val="auto"/>
              </w:rPr>
              <w:lastRenderedPageBreak/>
              <w:t/>
            </w:r>
            <w:proofErr w:type="spellEnd"/>
            <w:r>
              <w:rPr>
                <w:rFonts w:ascii="Times New Roman" w:cs="Times New Roman" w:hAnsi="Times New Roman"/>
                <w:color w:val="auto"/>
              </w:rPr>
              <w:t>2,104,776.70</w:t>
            </w:r>
          </w:p>
        </w:tc>
      </w:tr>
      <w:tr w:rsidR="00950044" w:rsidTr="00496AF7">
        <w:trPr>
          <w:trHeight w:val="105"/>
          <w:jc w:val="center"/>
        </w:trPr>
        <w:tc>
          <w:tcPr>
            <w:tcW w:type="dxa" w:w="6771"/>
            <w:gridSpan w:val="5"/>
            <w:hideMark/>
          </w:tcPr>
          <w:p w:rsidR="00950044" w:rsidRDefault="00950044">
            <w:pPr>
              <w:pStyle w:val="Default"/>
              <w:rPr>
                <w:rFonts w:ascii="Times New Roman" w:cs="Times New Roman" w:hAnsi="Times New Roman"/>
                <w:color w:val="auto"/>
              </w:rPr>
            </w:pPr>
            <w:r>
              <w:rPr>
                <w:rFonts w:ascii="Times New Roman" w:cs="Times New Roman" w:hAnsi="Times New Roman" w:hint="eastAsia"/>
                <w:color w:val="auto"/>
              </w:rPr>
              <w:lastRenderedPageBreak/>
              <w:t>股指期货投资本期公允价值变动</w:t>
            </w:r>
            <w:r>
              <w:rPr>
                <w:rFonts w:ascii="Times New Roman" w:cs="Times New Roman" w:hAnsi="Times New Roman"/>
              </w:rPr>
              <w:t>(</w:t>
            </w:r>
            <w:r>
              <w:rPr>
                <w:rFonts w:ascii="Times New Roman" w:cs="Times New Roman" w:hAnsi="Times New Roman" w:hint="eastAsia"/>
              </w:rPr>
              <w:t>元</w:t>
            </w:r>
            <w:r>
              <w:rPr>
                <w:rFonts w:ascii="Times New Roman" w:cs="Times New Roman" w:hAnsi="Times New Roman"/>
              </w:rPr>
              <w:t>)</w:t>
            </w:r>
          </w:p>
        </w:tc>
        <w:tc>
          <w:tcPr>
            <w:tcW w:type="dxa" w:w="2074"/>
            <w:hideMark/>
          </w:tcPr>
          <w:p w:rsidR="00950044" w:rsidRDefault="00950044">
            <w:pPr>
              <w:pStyle w:val="Default"/>
              <w:jc w:val="right"/>
              <w:rPr>
                <w:rFonts w:ascii="Times New Roman" w:cs="Times New Roman" w:hAnsi="Times New Roman"/>
                <w:color w:val="auto"/>
              </w:rPr>
            </w:pPr>
            <w:r>
              <w:rPr>
                <w:rFonts w:ascii="Times New Roman" w:cs="Times New Roman" w:hAnsi="Times New Roman"/>
                <w:color w:val="auto"/>
              </w:rPr>
              <w:t>-308,460.00</w:t>
            </w:r>
          </w:p>
        </w:tc>
      </w:tr>
    </w:tbl>
    <w:p w:rsidP="00950044" w:rsidR="00950044" w:rsidRDefault="00950044">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注：本基金本报告期末未投资股指期货。</w:t>
      </w:r>
    </w:p>
    <w:p w:rsidP="00950044" w:rsidR="00A62673" w:rsidRDefault="00A62673" w:rsidRPr="00EC5CE0">
      <w:pPr>
        <w:autoSpaceDE w:val="0"/>
        <w:autoSpaceDN w:val="0"/>
        <w:adjustRightInd w:val="0"/>
        <w:spacing w:line="360" w:lineRule="auto"/>
        <w:jc w:val="left"/>
        <w:rPr>
          <w:rFonts w:ascii="宋体"/>
          <w:b/>
          <w:sz w:val="24"/>
        </w:rPr>
      </w:pPr>
      <w:r w:rsidRPr="00EC5CE0">
        <w:rPr>
          <w:rFonts w:ascii="宋体"/>
          <w:b/>
          <w:sz w:val="24"/>
        </w:rPr>
        <w:t/>
      </w:r>
      <w:proofErr w:type="spellStart"/>
      <w:r w:rsidRPr="00EC5CE0">
        <w:rPr>
          <w:rFonts w:ascii="宋体" w:hAnsi="宋体"/>
          <w:b/>
          <w:sz w:val="24"/>
        </w:rPr>
        <w:t/>
      </w:r>
      <w:proofErr w:type="spellEnd"/>
      <w:r w:rsidRPr="00EC5CE0">
        <w:rPr>
          <w:rFonts w:ascii="宋体" w:hAnsi="宋体"/>
          <w:b/>
          <w:sz w:val="24"/>
        </w:rPr>
        <w:t xml:space="preserve">5.9.2 </w:t>
      </w:r>
      <w:r w:rsidRPr="00EC5CE0">
        <w:rPr>
          <w:rFonts w:ascii="宋体" w:hAnsi="宋体" w:hint="eastAsia"/>
          <w:b/>
          <w:sz w:val="24"/>
        </w:rPr>
        <w:t>本基金投资股指期货的投资政策</w:t>
      </w:r>
      <w:r w:rsidRPr="00786A23">
        <w:rPr>
          <w:rFonts w:ascii="宋体"/>
          <w:b/>
          <w:sz w:val="24"/>
        </w:rPr>
        <w:t/>
      </w:r>
      <w:proofErr w:type="spellStart"/>
      <w:r w:rsidRPr="00786A23">
        <w:rPr>
          <w:rFonts w:ascii="宋体" w:hAnsi="宋体"/>
          <w:b/>
          <w:sz w:val="24"/>
        </w:rPr>
        <w:t/>
      </w:r>
      <w:proofErr w:type="spellEnd"/>
      <w:r w:rsidRPr="00786A23">
        <w:rPr>
          <w:rFonts w:ascii="宋体" w:hAnsi="宋体"/>
          <w:b/>
          <w:sz w:val="24"/>
        </w:rPr>
        <w:t/>
      </w:r>
    </w:p>
    <w:p w:rsidP="00C1648E" w:rsidR="00A62673" w:rsidRDefault="00A62673" w:rsidRPr="00C1648E">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 xml:space="preserve">本基金可投资股指期货和其他经中国证监会允许的衍生金融产品。本基金投资股指期货根据风险管理的原则，以套期保值为目的,主要选择流动性好、交易活跃的股指期货合约。本基金力争利用股指期货的杠杆作用,降低股票仓位频繁调整的交易成本和跟踪误差，达到有效跟踪标的指数的目的。本报告期内，本基金投资股指期货符合既定的投资政策和投资目的。 </w:t>
      </w:r>
    </w:p>
    <w:p w:rsidP="00045BEC" w:rsidR="00A62673" w:rsidRDefault="00A62673" w:rsidRPr="00EC5CE0">
      <w:pPr>
        <w:adjustRightInd w:val="0"/>
        <w:snapToGrid w:val="0"/>
        <w:spacing w:line="360" w:lineRule="auto"/>
        <w:rPr>
          <w:rFonts w:ascii="宋体"/>
          <w:b/>
          <w:sz w:val="24"/>
        </w:rPr>
      </w:pPr>
      <w:r w:rsidRPr="00EC5CE0">
        <w:rPr>
          <w:rFonts w:ascii="宋体"/>
          <w:b/>
          <w:sz w:val="24"/>
        </w:rPr>
        <w:t/>
      </w:r>
      <w:proofErr w:type="spellStart"/>
      <w:r w:rsidRPr="00EC5CE0">
        <w:rPr>
          <w:rFonts w:ascii="宋体" w:hAnsi="宋体"/>
          <w:b/>
          <w:sz w:val="24"/>
        </w:rPr>
        <w:t/>
      </w:r>
      <w:proofErr w:type="spellEnd"/>
      <w:r w:rsidRPr="00EC5CE0">
        <w:rPr>
          <w:rFonts w:ascii="宋体" w:hAnsi="宋体"/>
          <w:b/>
          <w:sz w:val="24"/>
        </w:rPr>
        <w:t>5.10</w:t>
      </w:r>
      <w:r w:rsidRPr="00EC5CE0">
        <w:rPr>
          <w:rFonts w:ascii="宋体" w:hAnsi="宋体" w:hint="eastAsia"/>
          <w:b/>
          <w:sz w:val="24"/>
        </w:rPr>
        <w:t>报告期末本基金投资的国债期货交易情况说明</w:t>
      </w:r>
    </w:p>
    <w:p w:rsidP="00F75CC2" w:rsidR="00F75CC2" w:rsidRDefault="00F75CC2">
      <w:pPr>
        <w:spacing w:line="360" w:lineRule="auto"/>
        <w:ind w:firstLine="480" w:firstLineChars="200"/>
      </w:pPr>
      <w:r>
        <w:rPr>
          <w:color w:val="000000"/>
          <w:sz w:val="24"/>
        </w:rPr>
        <w:lastRenderedPageBreak/>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045BEC" w:rsidR="00A62673" w:rsidRDefault="00A62673" w:rsidRPr="00EC5CE0">
      <w:pPr>
        <w:autoSpaceDE w:val="0"/>
        <w:autoSpaceDN w:val="0"/>
        <w:adjustRightInd w:val="0"/>
        <w:spacing w:line="360" w:lineRule="auto"/>
        <w:jc w:val="left"/>
        <w:rPr>
          <w:rFonts w:ascii="宋体" w:cs="Arial"/>
          <w:b/>
          <w:color w:val="000000"/>
          <w:kern w:val="0"/>
          <w:sz w:val="24"/>
        </w:rPr>
      </w:pPr>
      <w:r w:rsidRPr="00EC5CE0">
        <w:rPr>
          <w:rFonts w:ascii="宋体" w:cs="Arial"/>
          <w:b/>
          <w:color w:val="000000"/>
          <w:kern w:val="0"/>
          <w:sz w:val="24"/>
        </w:rPr>
        <w:t/>
      </w:r>
      <w:r w:rsidRPr="00EC5CE0">
        <w:rPr>
          <w:rFonts w:ascii="宋体" w:cs="Arial" w:hAnsi="宋体"/>
          <w:b/>
          <w:color w:val="000000"/>
          <w:kern w:val="0"/>
          <w:sz w:val="24"/>
        </w:rPr>
        <w:t>5.11</w:t>
      </w:r>
      <w:r w:rsidRPr="00EC5CE0">
        <w:rPr>
          <w:rFonts w:ascii="宋体" w:cs="Arial" w:hAnsi="宋体" w:hint="eastAsia"/>
          <w:b/>
          <w:color w:val="000000"/>
          <w:kern w:val="0"/>
          <w:sz w:val="24"/>
        </w:rPr>
        <w:t>投资组合报告附注</w:t>
      </w:r>
    </w:p>
    <w:p w:rsidP="00045BEC" w:rsidR="00A62673" w:rsidRDefault="00DD51D8" w:rsidRPr="00C1648E">
      <w:pPr>
        <w:spacing w:line="360" w:lineRule="auto"/>
        <w:rPr>
          <w:color w:val="000000"/>
          <w:sz w:val="24"/>
        </w:rPr>
      </w:pPr>
      <w:r>
        <w:rPr>
          <w:rFonts w:hint="eastAsia"/>
          <w:color w:val="000000"/>
          <w:sz w:val="24"/>
        </w:rPr>
        <w:t/>
      </w:r>
      <w:r w:rsidR="00A62673" w:rsidRPr="00EC5CE0">
        <w:rPr>
          <w:rFonts w:ascii="宋体"/>
          <w:color w:val="000000"/>
          <w:sz w:val="24"/>
        </w:rPr>
        <w:t/>
      </w:r>
      <w:r w:rsidR="00A62673" w:rsidRPr="00EC5CE0">
        <w:rPr>
          <w:rFonts w:ascii="宋体" w:hAnsi="宋体"/>
          <w:color w:val="000000"/>
          <w:sz w:val="24"/>
        </w:rPr>
        <w:t>5.11.1</w:t>
      </w:r>
      <w:r w:rsidR="00CC2E9F">
        <w:rPr>
          <w:rFonts w:ascii="宋体" w:hAnsi="宋体" w:hint="eastAsia"/>
          <w:color w:val="000000"/>
          <w:sz w:val="24"/>
        </w:rPr>
        <w:t xml:space="preserve"> </w:t>
      </w:r>
      <w:r w:rsidR="00A62673" w:rsidRPr="00C1648E">
        <w:rPr>
          <w:color w:val="000000"/>
          <w:sz w:val="24"/>
        </w:rPr>
        <w:t>2019年7月8日，中国银行保险监督管理委员会上海监管局对招商银行股份有限公司信用卡中心2016年9月至2018年6月在为部分客户办理信用卡业务时，未遵守总授信额度管理制度的违法违规事实，处以责令改正，并处罚款20万元的行政处罚。</w:t>
      </w:r>
    </w:p>
    <w:p>
      <w:pPr>
        <w:spacing w:line="360" w:lineRule="auto"/>
        <w:rPr>
          <w:color w:val="000000"/>
          <w:sz w:val="24"/>
        </w:rPr>
      </w:pPr>
      <w:r>
        <w:rPr>
          <w:color w:val="000000"/>
          <w:sz w:val="24"/>
        </w:rPr>
        <w:t>2020年2月10日，中国人民银行针对华泰证券股份有限公司如下违法事实：1、未按规定履行客户身份识别义务；2、未按规定报送可疑交易报告；3、与身份不明的客户进行交易，处以责令改正，并处罚款1010万元的行政处罚。</w:t>
      </w:r>
    </w:p>
    <w:p>
      <w:pPr>
        <w:spacing w:line="360" w:lineRule="auto"/>
        <w:rPr>
          <w:color w:val="000000"/>
          <w:sz w:val="24"/>
        </w:rPr>
      </w:pPr>
      <w:r>
        <w:rPr>
          <w:color w:val="000000"/>
          <w:sz w:val="24"/>
        </w:rPr>
        <w:t>本基金投资招商银行、华泰证券的投资决策程序符合公司投资制度的规定。</w:t>
      </w:r>
    </w:p>
    <w:p>
      <w:pPr>
        <w:spacing w:line="360" w:lineRule="auto"/>
        <w:rPr>
          <w:color w:val="000000"/>
          <w:sz w:val="24"/>
        </w:rPr>
      </w:pPr>
      <w:r>
        <w:rPr>
          <w:color w:val="000000"/>
          <w:sz w:val="24"/>
        </w:rPr>
        <w:t>除招商银行、华泰证券外，本基金投资的前十名证券的发行主体本期没有出现被监管部门立案调查，或在报告编制日前一年内受到公开谴责、处罚的情形。</w:t>
      </w:r>
    </w:p>
    <w:p w:rsidP="00045BEC" w:rsidR="00A62673" w:rsidRDefault="00DD51D8" w:rsidRPr="00C1648E">
      <w:pPr>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A62673" w:rsidRPr="00EC5CE0">
        <w:rPr>
          <w:rFonts w:ascii="宋体" w:hAnsi="宋体"/>
          <w:color w:val="000000"/>
          <w:sz w:val="24"/>
        </w:rPr>
        <w:t/>
      </w:r>
      <w:proofErr w:type="gramStart"/>
      <w:r w:rsidR="00A62673" w:rsidRPr="00EC5CE0">
        <w:rPr>
          <w:rFonts w:ascii="宋体" w:hAnsi="宋体"/>
          <w:color w:val="000000"/>
          <w:sz w:val="24"/>
        </w:rPr>
        <w:t/>
      </w:r>
      <w:proofErr w:type="gramEnd"/>
      <w:r w:rsidR="00A62673" w:rsidRPr="00EC5CE0">
        <w:rPr>
          <w:rFonts w:ascii="宋体" w:hAnsi="宋体"/>
          <w:color w:val="000000"/>
          <w:sz w:val="24"/>
        </w:rPr>
        <w:t>5.11.2</w:t>
      </w:r>
      <w:r w:rsidR="00CC2E9F">
        <w:rPr>
          <w:rFonts w:ascii="宋体" w:hAnsi="宋体" w:hint="eastAsia"/>
          <w:color w:val="000000"/>
          <w:sz w:val="24"/>
        </w:rPr>
        <w:t xml:space="preserve"> </w:t>
      </w:r>
      <w:r w:rsidR="00A62673" w:rsidRPr="00C1648E">
        <w:rPr>
          <w:color w:val="000000"/>
          <w:sz w:val="24"/>
        </w:rPr>
        <w:t>本基金投资的前十名股票没有超出基金合同规定的备选股票库。</w:t>
      </w:r>
    </w:p>
    <w:p w:rsidP="00045BEC" w:rsidR="00A62673" w:rsidRDefault="00A62673" w:rsidRPr="00977154">
      <w:pPr>
        <w:autoSpaceDE w:val="0"/>
        <w:autoSpaceDN w:val="0"/>
        <w:adjustRightInd w:val="0"/>
        <w:spacing w:line="360" w:lineRule="auto"/>
        <w:jc w:val="left"/>
        <w:rPr>
          <w:rFonts w:ascii="宋体" w:cs="Arial"/>
          <w:color w:val="000000"/>
          <w:kern w:val="0"/>
          <w:sz w:val="24"/>
        </w:rPr>
      </w:pPr>
      <w:r w:rsidRPr="00977154">
        <w:rPr>
          <w:rFonts w:ascii="宋体"/>
          <w:color w:val="000000"/>
          <w:kern w:val="0"/>
          <w:sz w:val="24"/>
        </w:rPr>
        <w:t/>
      </w:r>
      <w:r w:rsidRPr="00977154">
        <w:rPr>
          <w:rFonts w:ascii="宋体" w:hAnsi="宋体"/>
          <w:color w:val="000000"/>
          <w:kern w:val="0"/>
          <w:sz w:val="24"/>
        </w:rPr>
        <w:t>5.11.3</w:t>
      </w:r>
      <w:r w:rsidR="00317227">
        <w:rPr>
          <w:rFonts w:ascii="宋体" w:cs="Arial" w:hAnsi="宋体" w:hint="eastAsia"/>
          <w:color w:val="000000"/>
          <w:kern w:val="0"/>
          <w:sz w:val="24"/>
        </w:rPr>
        <w:t>其他</w:t>
      </w:r>
      <w:bookmarkStart w:id="2" w:name="_GoBack"/>
      <w:bookmarkEnd w:id="2"/>
      <w:r w:rsidRPr="00977154">
        <w:rPr>
          <w:rFonts w:ascii="宋体" w:cs="Arial" w:hAnsi="宋体" w:hint="eastAsia"/>
          <w:color w:val="000000"/>
          <w:kern w:val="0"/>
          <w:sz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44"/>
        <w:gridCol w:w="2761"/>
        <w:gridCol w:w="4808"/>
      </w:tblGrid>
      <w:tr w:rsidR="00A62673" w:rsidRPr="00EC5CE0" w:rsidTr="006B315F">
        <w:tc>
          <w:tcPr>
            <w:tcW w:type="dxa" w:w="944"/>
            <w:vAlign w:val="center"/>
          </w:tcPr>
          <w:p w:rsidP="006B315F" w:rsidR="00A62673" w:rsidRDefault="00A62673" w:rsidRPr="00C1648E">
            <w:pPr>
              <w:autoSpaceDE w:val="0"/>
              <w:autoSpaceDN w:val="0"/>
              <w:adjustRightInd w:val="0"/>
              <w:spacing w:before="29" w:line="360" w:lineRule="auto"/>
              <w:ind w:left="17"/>
              <w:jc w:val="center"/>
              <w:rPr>
                <w:color w:val="000000"/>
                <w:kern w:val="0"/>
                <w:sz w:val="24"/>
              </w:rPr>
            </w:pPr>
            <w:r w:rsidRPr="00C1648E">
              <w:rPr>
                <w:color w:val="000000"/>
                <w:kern w:val="0"/>
                <w:sz w:val="24"/>
              </w:rPr>
              <w:t>序号</w:t>
            </w:r>
          </w:p>
        </w:tc>
        <w:tc>
          <w:tcPr>
            <w:tcW w:type="dxa" w:w="2761"/>
            <w:vAlign w:val="center"/>
          </w:tcPr>
          <w:p w:rsidP="006B315F" w:rsidR="00A62673" w:rsidRDefault="00A62673" w:rsidRPr="00C1648E">
            <w:pPr>
              <w:autoSpaceDE w:val="0"/>
              <w:autoSpaceDN w:val="0"/>
              <w:adjustRightInd w:val="0"/>
              <w:spacing w:before="29" w:line="360" w:lineRule="auto"/>
              <w:ind w:left="17"/>
              <w:jc w:val="center"/>
              <w:rPr>
                <w:color w:val="000000"/>
                <w:kern w:val="0"/>
                <w:sz w:val="24"/>
              </w:rPr>
            </w:pPr>
            <w:r w:rsidRPr="00C1648E">
              <w:rPr>
                <w:color w:val="000000"/>
                <w:kern w:val="0"/>
                <w:sz w:val="24"/>
              </w:rPr>
              <w:t>名称</w:t>
            </w:r>
          </w:p>
        </w:tc>
        <w:tc>
          <w:tcPr>
            <w:tcW w:type="dxa" w:w="4808"/>
            <w:vAlign w:val="center"/>
          </w:tcPr>
          <w:p w:rsidP="006B315F" w:rsidR="00A62673" w:rsidRDefault="00A62673" w:rsidRPr="00C1648E">
            <w:pPr>
              <w:autoSpaceDE w:val="0"/>
              <w:autoSpaceDN w:val="0"/>
              <w:adjustRightInd w:val="0"/>
              <w:spacing w:before="29" w:line="360" w:lineRule="auto"/>
              <w:ind w:left="17"/>
              <w:jc w:val="center"/>
              <w:rPr>
                <w:color w:val="000000"/>
                <w:kern w:val="0"/>
                <w:sz w:val="24"/>
              </w:rPr>
            </w:pPr>
            <w:r w:rsidRPr="00C1648E">
              <w:rPr>
                <w:color w:val="000000"/>
                <w:kern w:val="0"/>
                <w:sz w:val="24"/>
              </w:rPr>
              <w:t>金额</w:t>
            </w:r>
            <w:r w:rsidR="005A2769" w:rsidRPr="00C1648E">
              <w:rPr>
                <w:color w:val="000000"/>
                <w:kern w:val="0"/>
                <w:sz w:val="24"/>
              </w:rPr>
              <w:t>（元）</w:t>
            </w:r>
          </w:p>
        </w:tc>
      </w:tr>
      <w:tr w:rsidR="00A62673" w:rsidRPr="00EC5CE0" w:rsidTr="006B315F">
        <w:tc>
          <w:tcPr>
            <w:tcW w:type="dxa" w:w="944"/>
            <w:vAlign w:val="center"/>
          </w:tcPr>
          <w:p w:rsidP="006B315F" w:rsidR="00A62673" w:rsidRDefault="00A62673" w:rsidRPr="00C1648E">
            <w:pPr>
              <w:autoSpaceDE w:val="0"/>
              <w:autoSpaceDN w:val="0"/>
              <w:adjustRightInd w:val="0"/>
              <w:spacing w:before="29" w:line="360" w:lineRule="auto"/>
              <w:ind w:left="15"/>
              <w:jc w:val="center"/>
              <w:rPr>
                <w:color w:val="000000"/>
                <w:kern w:val="0"/>
                <w:sz w:val="24"/>
              </w:rPr>
            </w:pPr>
            <w:r w:rsidRPr="00C1648E">
              <w:rPr>
                <w:color w:val="000000"/>
                <w:sz w:val="24"/>
              </w:rPr>
              <w:t>1</w:t>
            </w:r>
          </w:p>
        </w:tc>
        <w:tc>
          <w:tcPr>
            <w:tcW w:type="dxa" w:w="2761"/>
            <w:vAlign w:val="center"/>
          </w:tcPr>
          <w:p w:rsidP="006B315F" w:rsidR="00A62673" w:rsidRDefault="00A62673" w:rsidRPr="00C1648E">
            <w:pPr>
              <w:autoSpaceDE w:val="0"/>
              <w:autoSpaceDN w:val="0"/>
              <w:adjustRightInd w:val="0"/>
              <w:spacing w:before="29" w:line="360" w:lineRule="auto"/>
              <w:ind w:left="15"/>
              <w:jc w:val="left"/>
              <w:rPr>
                <w:color w:val="000000"/>
                <w:kern w:val="0"/>
                <w:sz w:val="24"/>
              </w:rPr>
            </w:pPr>
            <w:r w:rsidRPr="00C1648E">
              <w:rPr>
                <w:color w:val="000000"/>
                <w:kern w:val="0"/>
                <w:sz w:val="24"/>
              </w:rPr>
              <w:t>存出保证金</w:t>
            </w:r>
          </w:p>
        </w:tc>
        <w:tc>
          <w:tcPr>
            <w:tcW w:type="dxa" w:w="4808"/>
            <w:vAlign w:val="center"/>
          </w:tcPr>
          <w:p w:rsidP="006B315F" w:rsidR="00A62673" w:rsidRDefault="00A62673" w:rsidRPr="00C1648E">
            <w:pPr>
              <w:autoSpaceDE w:val="0"/>
              <w:autoSpaceDN w:val="0"/>
              <w:adjustRightInd w:val="0"/>
              <w:spacing w:before="29" w:line="360" w:lineRule="auto"/>
              <w:ind w:left="15"/>
              <w:jc w:val="right"/>
              <w:rPr>
                <w:color w:val="000000"/>
                <w:kern w:val="0"/>
                <w:sz w:val="24"/>
              </w:rPr>
            </w:pPr>
            <w:r w:rsidRPr="00C1648E">
              <w:rPr>
                <w:color w:val="000000"/>
                <w:kern w:val="0"/>
                <w:sz w:val="24"/>
              </w:rPr>
              <w:t/>
            </w:r>
            <w:proofErr w:type="spellStart"/>
            <w:r w:rsidRPr="00C1648E">
              <w:rPr>
                <w:color w:val="000000"/>
                <w:kern w:val="0"/>
                <w:sz w:val="24"/>
              </w:rPr>
              <w:t/>
            </w:r>
            <w:proofErr w:type="spellEnd"/>
            <w:r w:rsidRPr="00C1648E">
              <w:rPr>
                <w:color w:val="000000"/>
                <w:kern w:val="0"/>
                <w:sz w:val="24"/>
              </w:rPr>
              <w:t>164,461.84</w:t>
            </w:r>
          </w:p>
        </w:tc>
      </w:tr>
      <w:tr w:rsidR="00A62673" w:rsidRPr="00EC5CE0" w:rsidTr="006B315F">
        <w:tc>
          <w:tcPr>
            <w:tcW w:type="dxa" w:w="944"/>
            <w:vAlign w:val="center"/>
          </w:tcPr>
          <w:p w:rsidP="006B315F" w:rsidR="00A62673" w:rsidRDefault="00A62673" w:rsidRPr="00C1648E">
            <w:pPr>
              <w:autoSpaceDE w:val="0"/>
              <w:autoSpaceDN w:val="0"/>
              <w:adjustRightInd w:val="0"/>
              <w:spacing w:before="29" w:line="360" w:lineRule="auto"/>
              <w:ind w:left="15"/>
              <w:jc w:val="center"/>
              <w:rPr>
                <w:color w:val="000000"/>
                <w:sz w:val="24"/>
              </w:rPr>
            </w:pPr>
            <w:r w:rsidRPr="00C1648E">
              <w:rPr>
                <w:color w:val="000000"/>
                <w:sz w:val="24"/>
              </w:rPr>
              <w:t>2</w:t>
            </w:r>
          </w:p>
        </w:tc>
        <w:tc>
          <w:tcPr>
            <w:tcW w:type="dxa" w:w="2761"/>
            <w:vAlign w:val="center"/>
          </w:tcPr>
          <w:p w:rsidP="006B315F" w:rsidR="00A62673" w:rsidRDefault="00A62673" w:rsidRPr="00C1648E">
            <w:pPr>
              <w:autoSpaceDE w:val="0"/>
              <w:autoSpaceDN w:val="0"/>
              <w:adjustRightInd w:val="0"/>
              <w:spacing w:before="29" w:line="360" w:lineRule="auto"/>
              <w:ind w:left="15"/>
              <w:jc w:val="left"/>
              <w:rPr>
                <w:color w:val="000000"/>
                <w:kern w:val="0"/>
                <w:sz w:val="24"/>
              </w:rPr>
            </w:pPr>
            <w:r w:rsidRPr="00C1648E">
              <w:rPr>
                <w:color w:val="000000"/>
                <w:kern w:val="0"/>
                <w:sz w:val="24"/>
              </w:rPr>
              <w:t>应收证券清算款</w:t>
            </w:r>
          </w:p>
        </w:tc>
        <w:tc>
          <w:tcPr>
            <w:tcW w:type="dxa" w:w="4808"/>
            <w:vAlign w:val="center"/>
          </w:tcPr>
          <w:p w:rsidP="006B315F" w:rsidR="00A62673" w:rsidRDefault="00A62673" w:rsidRPr="00C1648E">
            <w:pPr>
              <w:autoSpaceDE w:val="0"/>
              <w:autoSpaceDN w:val="0"/>
              <w:adjustRightInd w:val="0"/>
              <w:spacing w:before="29" w:line="360" w:lineRule="auto"/>
              <w:ind w:left="15"/>
              <w:jc w:val="right"/>
              <w:rPr>
                <w:color w:val="000000"/>
                <w:kern w:val="0"/>
                <w:sz w:val="24"/>
              </w:rPr>
            </w:pPr>
            <w:r w:rsidRPr="00C1648E">
              <w:rPr>
                <w:color w:val="000000"/>
                <w:kern w:val="0"/>
                <w:sz w:val="24"/>
              </w:rPr>
              <w:t/>
            </w:r>
            <w:proofErr w:type="spellStart"/>
            <w:r w:rsidRPr="00C1648E">
              <w:rPr>
                <w:color w:val="000000"/>
                <w:kern w:val="0"/>
                <w:sz w:val="24"/>
              </w:rPr>
              <w:t/>
            </w:r>
            <w:proofErr w:type="spellEnd"/>
            <w:r w:rsidRPr="00C1648E">
              <w:rPr>
                <w:color w:val="000000"/>
                <w:kern w:val="0"/>
                <w:sz w:val="24"/>
              </w:rPr>
              <w:t>-</w:t>
            </w:r>
          </w:p>
        </w:tc>
      </w:tr>
      <w:tr w:rsidR="00A62673" w:rsidRPr="00EC5CE0" w:rsidTr="006B315F">
        <w:tc>
          <w:tcPr>
            <w:tcW w:type="dxa" w:w="944"/>
            <w:vAlign w:val="center"/>
          </w:tcPr>
          <w:p w:rsidP="006B315F" w:rsidR="00A62673" w:rsidRDefault="00A62673" w:rsidRPr="00C1648E">
            <w:pPr>
              <w:autoSpaceDE w:val="0"/>
              <w:autoSpaceDN w:val="0"/>
              <w:adjustRightInd w:val="0"/>
              <w:spacing w:before="29" w:line="360" w:lineRule="auto"/>
              <w:ind w:left="15"/>
              <w:jc w:val="center"/>
              <w:rPr>
                <w:color w:val="000000"/>
                <w:sz w:val="24"/>
              </w:rPr>
            </w:pPr>
            <w:r w:rsidRPr="00C1648E">
              <w:rPr>
                <w:color w:val="000000"/>
                <w:sz w:val="24"/>
              </w:rPr>
              <w:t>3</w:t>
            </w:r>
          </w:p>
        </w:tc>
        <w:tc>
          <w:tcPr>
            <w:tcW w:type="dxa" w:w="2761"/>
            <w:vAlign w:val="center"/>
          </w:tcPr>
          <w:p w:rsidP="006B315F" w:rsidR="00A62673" w:rsidRDefault="00A62673" w:rsidRPr="00C1648E">
            <w:pPr>
              <w:autoSpaceDE w:val="0"/>
              <w:autoSpaceDN w:val="0"/>
              <w:adjustRightInd w:val="0"/>
              <w:spacing w:before="29" w:line="360" w:lineRule="auto"/>
              <w:ind w:left="15"/>
              <w:jc w:val="left"/>
              <w:rPr>
                <w:color w:val="000000"/>
                <w:kern w:val="0"/>
                <w:sz w:val="24"/>
              </w:rPr>
            </w:pPr>
            <w:r w:rsidRPr="00C1648E">
              <w:rPr>
                <w:color w:val="000000"/>
                <w:kern w:val="0"/>
                <w:sz w:val="24"/>
              </w:rPr>
              <w:t>应收股利</w:t>
            </w:r>
          </w:p>
        </w:tc>
        <w:tc>
          <w:tcPr>
            <w:tcW w:type="dxa" w:w="4808"/>
            <w:vAlign w:val="center"/>
          </w:tcPr>
          <w:p w:rsidP="006B315F" w:rsidR="00A62673" w:rsidRDefault="00A62673" w:rsidRPr="00C1648E">
            <w:pPr>
              <w:autoSpaceDE w:val="0"/>
              <w:autoSpaceDN w:val="0"/>
              <w:adjustRightInd w:val="0"/>
              <w:spacing w:before="29" w:line="360" w:lineRule="auto"/>
              <w:ind w:left="15"/>
              <w:jc w:val="right"/>
              <w:rPr>
                <w:color w:val="000000"/>
                <w:kern w:val="0"/>
                <w:sz w:val="24"/>
              </w:rPr>
            </w:pPr>
            <w:r w:rsidRPr="00C1648E">
              <w:rPr>
                <w:color w:val="000000"/>
                <w:kern w:val="0"/>
                <w:sz w:val="24"/>
              </w:rPr>
              <w:t/>
            </w:r>
            <w:proofErr w:type="spellStart"/>
            <w:r w:rsidRPr="00C1648E">
              <w:rPr>
                <w:color w:val="000000"/>
                <w:kern w:val="0"/>
                <w:sz w:val="24"/>
              </w:rPr>
              <w:t/>
            </w:r>
            <w:proofErr w:type="spellEnd"/>
            <w:r w:rsidRPr="00C1648E">
              <w:rPr>
                <w:color w:val="000000"/>
                <w:kern w:val="0"/>
                <w:sz w:val="24"/>
              </w:rPr>
              <w:t>-</w:t>
            </w:r>
          </w:p>
        </w:tc>
      </w:tr>
      <w:tr w:rsidR="00A62673" w:rsidRPr="00EC5CE0" w:rsidTr="006B315F">
        <w:tc>
          <w:tcPr>
            <w:tcW w:type="dxa" w:w="944"/>
            <w:vAlign w:val="center"/>
          </w:tcPr>
          <w:p w:rsidP="006B315F" w:rsidR="00A62673" w:rsidRDefault="00A62673" w:rsidRPr="00C1648E">
            <w:pPr>
              <w:autoSpaceDE w:val="0"/>
              <w:autoSpaceDN w:val="0"/>
              <w:adjustRightInd w:val="0"/>
              <w:spacing w:before="29" w:line="360" w:lineRule="auto"/>
              <w:ind w:left="15"/>
              <w:jc w:val="center"/>
              <w:rPr>
                <w:color w:val="000000"/>
                <w:sz w:val="24"/>
              </w:rPr>
            </w:pPr>
            <w:r w:rsidRPr="00C1648E">
              <w:rPr>
                <w:color w:val="000000"/>
                <w:sz w:val="24"/>
              </w:rPr>
              <w:t>4</w:t>
            </w:r>
          </w:p>
        </w:tc>
        <w:tc>
          <w:tcPr>
            <w:tcW w:type="dxa" w:w="2761"/>
            <w:vAlign w:val="center"/>
          </w:tcPr>
          <w:p w:rsidP="006B315F" w:rsidR="00A62673" w:rsidRDefault="00A62673" w:rsidRPr="00C1648E">
            <w:pPr>
              <w:autoSpaceDE w:val="0"/>
              <w:autoSpaceDN w:val="0"/>
              <w:adjustRightInd w:val="0"/>
              <w:spacing w:before="29" w:line="360" w:lineRule="auto"/>
              <w:ind w:left="15"/>
              <w:jc w:val="left"/>
              <w:rPr>
                <w:color w:val="000000"/>
                <w:kern w:val="0"/>
                <w:sz w:val="24"/>
              </w:rPr>
            </w:pPr>
            <w:r w:rsidRPr="00C1648E">
              <w:rPr>
                <w:color w:val="000000"/>
                <w:kern w:val="0"/>
                <w:sz w:val="24"/>
              </w:rPr>
              <w:t>应收利息</w:t>
            </w:r>
          </w:p>
        </w:tc>
        <w:tc>
          <w:tcPr>
            <w:tcW w:type="dxa" w:w="4808"/>
            <w:vAlign w:val="center"/>
          </w:tcPr>
          <w:p w:rsidP="006B315F" w:rsidR="00A62673" w:rsidRDefault="00A62673" w:rsidRPr="00C1648E">
            <w:pPr>
              <w:autoSpaceDE w:val="0"/>
              <w:autoSpaceDN w:val="0"/>
              <w:adjustRightInd w:val="0"/>
              <w:spacing w:before="29" w:line="360" w:lineRule="auto"/>
              <w:ind w:left="15"/>
              <w:jc w:val="right"/>
              <w:rPr>
                <w:color w:val="000000"/>
                <w:kern w:val="0"/>
                <w:sz w:val="24"/>
              </w:rPr>
            </w:pPr>
            <w:r w:rsidRPr="00C1648E">
              <w:rPr>
                <w:color w:val="000000"/>
                <w:kern w:val="0"/>
                <w:sz w:val="24"/>
              </w:rPr>
              <w:t/>
            </w:r>
            <w:proofErr w:type="spellStart"/>
            <w:r w:rsidRPr="00C1648E">
              <w:rPr>
                <w:color w:val="000000"/>
                <w:kern w:val="0"/>
                <w:sz w:val="24"/>
              </w:rPr>
              <w:t/>
            </w:r>
            <w:proofErr w:type="spellEnd"/>
            <w:r w:rsidRPr="00C1648E">
              <w:rPr>
                <w:color w:val="000000"/>
                <w:kern w:val="0"/>
                <w:sz w:val="24"/>
              </w:rPr>
              <w:t>13,613.43</w:t>
            </w:r>
          </w:p>
        </w:tc>
      </w:tr>
      <w:tr w:rsidR="00A62673" w:rsidRPr="00EC5CE0" w:rsidTr="006B315F">
        <w:tc>
          <w:tcPr>
            <w:tcW w:type="dxa" w:w="944"/>
            <w:vAlign w:val="center"/>
          </w:tcPr>
          <w:p w:rsidP="006B315F" w:rsidR="00A62673" w:rsidRDefault="00A62673" w:rsidRPr="00C1648E">
            <w:pPr>
              <w:autoSpaceDE w:val="0"/>
              <w:autoSpaceDN w:val="0"/>
              <w:adjustRightInd w:val="0"/>
              <w:spacing w:before="29" w:line="360" w:lineRule="auto"/>
              <w:ind w:left="15"/>
              <w:jc w:val="center"/>
              <w:rPr>
                <w:color w:val="000000"/>
                <w:sz w:val="24"/>
              </w:rPr>
            </w:pPr>
            <w:r w:rsidRPr="00C1648E">
              <w:rPr>
                <w:color w:val="000000"/>
                <w:sz w:val="24"/>
              </w:rPr>
              <w:t>5</w:t>
            </w:r>
          </w:p>
        </w:tc>
        <w:tc>
          <w:tcPr>
            <w:tcW w:type="dxa" w:w="2761"/>
            <w:vAlign w:val="center"/>
          </w:tcPr>
          <w:p w:rsidP="006B315F" w:rsidR="00A62673" w:rsidRDefault="00A62673" w:rsidRPr="00C1648E">
            <w:pPr>
              <w:autoSpaceDE w:val="0"/>
              <w:autoSpaceDN w:val="0"/>
              <w:adjustRightInd w:val="0"/>
              <w:spacing w:before="29" w:line="360" w:lineRule="auto"/>
              <w:ind w:left="15"/>
              <w:jc w:val="left"/>
              <w:rPr>
                <w:color w:val="000000"/>
                <w:kern w:val="0"/>
                <w:sz w:val="24"/>
              </w:rPr>
            </w:pPr>
            <w:r w:rsidRPr="00C1648E">
              <w:rPr>
                <w:color w:val="000000"/>
                <w:kern w:val="0"/>
                <w:sz w:val="24"/>
              </w:rPr>
              <w:t>应收申购款</w:t>
            </w:r>
          </w:p>
        </w:tc>
        <w:tc>
          <w:tcPr>
            <w:tcW w:type="dxa" w:w="4808"/>
            <w:vAlign w:val="center"/>
          </w:tcPr>
          <w:p w:rsidP="006B315F" w:rsidR="00A62673" w:rsidRDefault="00A62673" w:rsidRPr="00C1648E">
            <w:pPr>
              <w:autoSpaceDE w:val="0"/>
              <w:autoSpaceDN w:val="0"/>
              <w:adjustRightInd w:val="0"/>
              <w:spacing w:before="29" w:line="360" w:lineRule="auto"/>
              <w:ind w:left="15"/>
              <w:jc w:val="right"/>
              <w:rPr>
                <w:color w:val="000000"/>
                <w:kern w:val="0"/>
                <w:sz w:val="24"/>
              </w:rPr>
            </w:pPr>
            <w:r w:rsidRPr="00C1648E">
              <w:rPr>
                <w:color w:val="000000"/>
                <w:kern w:val="0"/>
                <w:sz w:val="24"/>
              </w:rPr>
              <w:t/>
            </w:r>
            <w:proofErr w:type="spellStart"/>
            <w:r w:rsidRPr="00C1648E">
              <w:rPr>
                <w:color w:val="000000"/>
                <w:kern w:val="0"/>
                <w:sz w:val="24"/>
              </w:rPr>
              <w:t/>
            </w:r>
            <w:proofErr w:type="spellEnd"/>
            <w:r w:rsidRPr="00C1648E">
              <w:rPr>
                <w:color w:val="000000"/>
                <w:kern w:val="0"/>
                <w:sz w:val="24"/>
              </w:rPr>
              <w:t>6,512,542.81</w:t>
            </w:r>
          </w:p>
        </w:tc>
      </w:tr>
      <w:tr w:rsidR="00A62673" w:rsidRPr="00EC5CE0" w:rsidTr="006B315F">
        <w:tc>
          <w:tcPr>
            <w:tcW w:type="dxa" w:w="944"/>
            <w:vAlign w:val="center"/>
          </w:tcPr>
          <w:p w:rsidP="006B315F" w:rsidR="00A62673" w:rsidRDefault="00A62673" w:rsidRPr="00C1648E">
            <w:pPr>
              <w:autoSpaceDE w:val="0"/>
              <w:autoSpaceDN w:val="0"/>
              <w:adjustRightInd w:val="0"/>
              <w:spacing w:before="29" w:line="360" w:lineRule="auto"/>
              <w:ind w:left="15"/>
              <w:jc w:val="center"/>
              <w:rPr>
                <w:color w:val="000000"/>
                <w:sz w:val="24"/>
              </w:rPr>
            </w:pPr>
            <w:r w:rsidRPr="00C1648E">
              <w:rPr>
                <w:color w:val="000000"/>
                <w:sz w:val="24"/>
              </w:rPr>
              <w:t>6</w:t>
            </w:r>
          </w:p>
        </w:tc>
        <w:tc>
          <w:tcPr>
            <w:tcW w:type="dxa" w:w="2761"/>
            <w:vAlign w:val="center"/>
          </w:tcPr>
          <w:p w:rsidP="006B315F" w:rsidR="00A62673" w:rsidRDefault="00A62673" w:rsidRPr="00C1648E">
            <w:pPr>
              <w:autoSpaceDE w:val="0"/>
              <w:autoSpaceDN w:val="0"/>
              <w:adjustRightInd w:val="0"/>
              <w:spacing w:before="29" w:line="360" w:lineRule="auto"/>
              <w:ind w:left="15"/>
              <w:jc w:val="left"/>
              <w:rPr>
                <w:color w:val="000000"/>
                <w:kern w:val="0"/>
                <w:sz w:val="24"/>
              </w:rPr>
            </w:pPr>
            <w:r w:rsidRPr="00C1648E">
              <w:rPr>
                <w:color w:val="000000"/>
                <w:kern w:val="0"/>
                <w:sz w:val="24"/>
              </w:rPr>
              <w:t>其他应收款</w:t>
            </w:r>
          </w:p>
        </w:tc>
        <w:tc>
          <w:tcPr>
            <w:tcW w:type="dxa" w:w="4808"/>
            <w:vAlign w:val="center"/>
          </w:tcPr>
          <w:p w:rsidP="006B315F" w:rsidR="00A62673" w:rsidRDefault="00A62673" w:rsidRPr="00C1648E">
            <w:pPr>
              <w:autoSpaceDE w:val="0"/>
              <w:autoSpaceDN w:val="0"/>
              <w:adjustRightInd w:val="0"/>
              <w:spacing w:before="29" w:line="360" w:lineRule="auto"/>
              <w:ind w:left="15"/>
              <w:jc w:val="right"/>
              <w:rPr>
                <w:color w:val="000000"/>
                <w:kern w:val="0"/>
                <w:sz w:val="24"/>
              </w:rPr>
            </w:pPr>
            <w:r w:rsidRPr="00C1648E">
              <w:rPr>
                <w:color w:val="000000"/>
                <w:kern w:val="0"/>
                <w:sz w:val="24"/>
              </w:rPr>
              <w:t/>
            </w:r>
            <w:proofErr w:type="spellStart"/>
            <w:r w:rsidRPr="00C1648E">
              <w:rPr>
                <w:color w:val="000000"/>
                <w:kern w:val="0"/>
                <w:sz w:val="24"/>
              </w:rPr>
              <w:t/>
            </w:r>
            <w:proofErr w:type="spellEnd"/>
            <w:r w:rsidRPr="00C1648E">
              <w:rPr>
                <w:color w:val="000000"/>
                <w:kern w:val="0"/>
                <w:sz w:val="24"/>
              </w:rPr>
              <w:t>-</w:t>
            </w:r>
          </w:p>
        </w:tc>
      </w:tr>
      <w:tr w:rsidR="00A62673" w:rsidRPr="00EC5CE0" w:rsidTr="006B315F">
        <w:tc>
          <w:tcPr>
            <w:tcW w:type="dxa" w:w="944"/>
          </w:tcPr>
          <w:p w:rsidP="006B315F" w:rsidR="00A62673" w:rsidRDefault="00A62673" w:rsidRPr="00C1648E">
            <w:pPr>
              <w:autoSpaceDE w:val="0"/>
              <w:autoSpaceDN w:val="0"/>
              <w:adjustRightInd w:val="0"/>
              <w:spacing w:before="29" w:line="360" w:lineRule="auto"/>
              <w:ind w:left="15"/>
              <w:jc w:val="center"/>
              <w:rPr>
                <w:color w:val="000000"/>
                <w:sz w:val="24"/>
              </w:rPr>
            </w:pPr>
            <w:r w:rsidRPr="00C1648E">
              <w:rPr>
                <w:color w:val="000000"/>
                <w:sz w:val="24"/>
              </w:rPr>
              <w:t>7</w:t>
            </w:r>
          </w:p>
        </w:tc>
        <w:tc>
          <w:tcPr>
            <w:tcW w:type="dxa" w:w="2761"/>
          </w:tcPr>
          <w:p w:rsidP="006B315F" w:rsidR="00A62673" w:rsidRDefault="00A62673" w:rsidRPr="00C1648E">
            <w:pPr>
              <w:autoSpaceDE w:val="0"/>
              <w:autoSpaceDN w:val="0"/>
              <w:adjustRightInd w:val="0"/>
              <w:spacing w:before="29" w:line="360" w:lineRule="auto"/>
              <w:ind w:left="15"/>
              <w:jc w:val="left"/>
              <w:rPr>
                <w:color w:val="000000"/>
                <w:kern w:val="0"/>
                <w:sz w:val="24"/>
              </w:rPr>
            </w:pPr>
            <w:r w:rsidRPr="00C1648E">
              <w:rPr>
                <w:color w:val="000000"/>
                <w:kern w:val="0"/>
                <w:sz w:val="24"/>
              </w:rPr>
              <w:t>待摊费用</w:t>
            </w:r>
          </w:p>
        </w:tc>
        <w:tc>
          <w:tcPr>
            <w:tcW w:type="dxa" w:w="4808"/>
            <w:vAlign w:val="center"/>
          </w:tcPr>
          <w:p w:rsidP="006B315F" w:rsidR="00A62673" w:rsidRDefault="00A62673" w:rsidRPr="00C1648E">
            <w:pPr>
              <w:autoSpaceDE w:val="0"/>
              <w:autoSpaceDN w:val="0"/>
              <w:adjustRightInd w:val="0"/>
              <w:spacing w:before="29" w:line="360" w:lineRule="auto"/>
              <w:ind w:left="15"/>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w:t>
            </w:r>
          </w:p>
        </w:tc>
      </w:tr>
      <w:tr w:rsidR="00A62673" w:rsidRPr="00EC5CE0" w:rsidTr="006B315F">
        <w:tc>
          <w:tcPr>
            <w:tcW w:type="dxa" w:w="944"/>
            <w:vAlign w:val="center"/>
          </w:tcPr>
          <w:p w:rsidP="006B315F" w:rsidR="00A62673" w:rsidRDefault="00A62673" w:rsidRPr="00C1648E">
            <w:pPr>
              <w:autoSpaceDE w:val="0"/>
              <w:autoSpaceDN w:val="0"/>
              <w:adjustRightInd w:val="0"/>
              <w:spacing w:before="29" w:line="360" w:lineRule="auto"/>
              <w:ind w:left="15"/>
              <w:jc w:val="center"/>
              <w:rPr>
                <w:color w:val="000000"/>
                <w:sz w:val="24"/>
              </w:rPr>
            </w:pPr>
            <w:r w:rsidRPr="00C1648E">
              <w:rPr>
                <w:color w:val="000000"/>
                <w:sz w:val="24"/>
              </w:rPr>
              <w:t>8</w:t>
            </w:r>
          </w:p>
        </w:tc>
        <w:tc>
          <w:tcPr>
            <w:tcW w:type="dxa" w:w="2761"/>
            <w:vAlign w:val="center"/>
          </w:tcPr>
          <w:p w:rsidP="006B315F" w:rsidR="00A62673" w:rsidRDefault="00A62673" w:rsidRPr="00C1648E">
            <w:pPr>
              <w:autoSpaceDE w:val="0"/>
              <w:autoSpaceDN w:val="0"/>
              <w:adjustRightInd w:val="0"/>
              <w:spacing w:before="29" w:line="360" w:lineRule="auto"/>
              <w:ind w:left="15"/>
              <w:jc w:val="left"/>
              <w:rPr>
                <w:color w:val="000000"/>
                <w:kern w:val="0"/>
                <w:sz w:val="24"/>
              </w:rPr>
            </w:pPr>
            <w:r w:rsidRPr="00C1648E">
              <w:rPr>
                <w:color w:val="000000"/>
                <w:kern w:val="0"/>
                <w:sz w:val="24"/>
              </w:rPr>
              <w:t>其他</w:t>
            </w:r>
          </w:p>
        </w:tc>
        <w:tc>
          <w:tcPr>
            <w:tcW w:type="dxa" w:w="4808"/>
            <w:vAlign w:val="center"/>
          </w:tcPr>
          <w:p w:rsidP="006B315F" w:rsidR="00A62673" w:rsidRDefault="00A62673" w:rsidRPr="00C1648E">
            <w:pPr>
              <w:autoSpaceDE w:val="0"/>
              <w:autoSpaceDN w:val="0"/>
              <w:adjustRightInd w:val="0"/>
              <w:spacing w:before="29" w:line="360" w:lineRule="auto"/>
              <w:ind w:left="15"/>
              <w:jc w:val="right"/>
              <w:rPr>
                <w:color w:val="000000"/>
                <w:kern w:val="0"/>
                <w:sz w:val="24"/>
              </w:rPr>
            </w:pPr>
            <w:r w:rsidRPr="00C1648E">
              <w:rPr>
                <w:color w:val="000000"/>
                <w:kern w:val="0"/>
                <w:sz w:val="24"/>
              </w:rPr>
              <w:t/>
            </w:r>
            <w:proofErr w:type="spellStart"/>
            <w:r w:rsidRPr="00C1648E">
              <w:rPr>
                <w:color w:val="000000"/>
                <w:kern w:val="0"/>
                <w:sz w:val="24"/>
              </w:rPr>
              <w:t/>
            </w:r>
            <w:proofErr w:type="spellEnd"/>
            <w:r w:rsidRPr="00C1648E">
              <w:rPr>
                <w:color w:val="000000"/>
                <w:kern w:val="0"/>
                <w:sz w:val="24"/>
              </w:rPr>
              <w:t>-</w:t>
            </w:r>
          </w:p>
        </w:tc>
      </w:tr>
      <w:tr w:rsidR="00A62673" w:rsidRPr="00EC5CE0" w:rsidTr="006B315F">
        <w:tc>
          <w:tcPr>
            <w:tcW w:type="dxa" w:w="944"/>
            <w:vAlign w:val="center"/>
          </w:tcPr>
          <w:p w:rsidP="006B315F" w:rsidR="00A62673" w:rsidRDefault="00A62673" w:rsidRPr="00C1648E">
            <w:pPr>
              <w:autoSpaceDE w:val="0"/>
              <w:autoSpaceDN w:val="0"/>
              <w:adjustRightInd w:val="0"/>
              <w:spacing w:before="29" w:line="360" w:lineRule="auto"/>
              <w:ind w:left="15"/>
              <w:jc w:val="center"/>
              <w:rPr>
                <w:color w:val="000000"/>
                <w:sz w:val="24"/>
              </w:rPr>
            </w:pPr>
            <w:r w:rsidRPr="00C1648E">
              <w:rPr>
                <w:color w:val="000000"/>
                <w:sz w:val="24"/>
              </w:rPr>
              <w:t>9</w:t>
            </w:r>
          </w:p>
        </w:tc>
        <w:tc>
          <w:tcPr>
            <w:tcW w:type="dxa" w:w="2761"/>
            <w:vAlign w:val="center"/>
          </w:tcPr>
          <w:p w:rsidP="006B315F" w:rsidR="00A62673" w:rsidRDefault="00A62673" w:rsidRPr="00C1648E">
            <w:pPr>
              <w:autoSpaceDE w:val="0"/>
              <w:autoSpaceDN w:val="0"/>
              <w:adjustRightInd w:val="0"/>
              <w:spacing w:before="29" w:line="360" w:lineRule="auto"/>
              <w:ind w:left="15"/>
              <w:jc w:val="left"/>
              <w:rPr>
                <w:color w:val="000000"/>
                <w:kern w:val="0"/>
                <w:sz w:val="24"/>
              </w:rPr>
            </w:pPr>
            <w:r w:rsidRPr="00C1648E">
              <w:rPr>
                <w:color w:val="000000"/>
                <w:kern w:val="0"/>
                <w:sz w:val="24"/>
              </w:rPr>
              <w:t>合计</w:t>
            </w:r>
          </w:p>
        </w:tc>
        <w:tc>
          <w:tcPr>
            <w:tcW w:type="dxa" w:w="4808"/>
            <w:vAlign w:val="center"/>
          </w:tcPr>
          <w:p w:rsidP="006B315F" w:rsidR="00A62673" w:rsidRDefault="00A62673" w:rsidRPr="00C1648E">
            <w:pPr>
              <w:autoSpaceDE w:val="0"/>
              <w:autoSpaceDN w:val="0"/>
              <w:adjustRightInd w:val="0"/>
              <w:spacing w:before="29" w:line="360" w:lineRule="auto"/>
              <w:ind w:left="15"/>
              <w:jc w:val="right"/>
              <w:rPr>
                <w:color w:val="000000"/>
                <w:kern w:val="0"/>
                <w:sz w:val="24"/>
              </w:rPr>
            </w:pPr>
            <w:r w:rsidRPr="00C1648E">
              <w:rPr>
                <w:color w:val="000000"/>
                <w:kern w:val="0"/>
                <w:sz w:val="24"/>
              </w:rPr>
              <w:t/>
            </w:r>
            <w:proofErr w:type="spellStart"/>
            <w:r w:rsidRPr="00C1648E">
              <w:rPr>
                <w:color w:val="000000"/>
                <w:kern w:val="0"/>
                <w:sz w:val="24"/>
              </w:rPr>
              <w:t/>
            </w:r>
            <w:proofErr w:type="spellEnd"/>
            <w:r w:rsidRPr="00C1648E">
              <w:rPr>
                <w:color w:val="000000"/>
                <w:kern w:val="0"/>
                <w:sz w:val="24"/>
              </w:rPr>
              <w:t>6,690,618.08</w:t>
            </w:r>
          </w:p>
        </w:tc>
      </w:tr>
    </w:tbl>
    <w:p w:rsidP="00045BEC" w:rsidR="00A62673" w:rsidRDefault="00A62673" w:rsidRPr="00977154">
      <w:pPr>
        <w:autoSpaceDE w:val="0"/>
        <w:autoSpaceDN w:val="0"/>
        <w:adjustRightInd w:val="0"/>
        <w:spacing w:line="360" w:lineRule="auto"/>
        <w:jc w:val="left"/>
        <w:rPr>
          <w:rFonts w:ascii="宋体" w:cs="Arial"/>
          <w:color w:val="000000"/>
          <w:kern w:val="0"/>
          <w:sz w:val="24"/>
        </w:rPr>
      </w:pPr>
      <w:r w:rsidRPr="00977154">
        <w:rPr>
          <w:rFonts w:ascii="宋体"/>
          <w:color w:val="000000"/>
          <w:kern w:val="0"/>
          <w:sz w:val="24"/>
        </w:rPr>
        <w:lastRenderedPageBreak/>
        <w:t/>
      </w:r>
      <w:r w:rsidRPr="00977154">
        <w:rPr>
          <w:rFonts w:ascii="宋体" w:hAnsi="宋体"/>
          <w:color w:val="000000"/>
          <w:kern w:val="0"/>
          <w:sz w:val="24"/>
        </w:rPr>
        <w:t>5.11.4</w:t>
      </w:r>
      <w:r w:rsidRPr="00977154">
        <w:rPr>
          <w:rFonts w:ascii="宋体" w:cs="Arial" w:hAnsi="宋体" w:hint="eastAsia"/>
          <w:color w:val="000000"/>
          <w:kern w:val="0"/>
          <w:sz w:val="24"/>
        </w:rPr>
        <w:t>报告期末持有的处于转股期的可转换债券明细</w:t>
      </w:r>
    </w:p>
    <w:p w:rsidP="00DC315B" w:rsidR="00A62673" w:rsidRDefault="00A62673" w:rsidRPr="00DC315B">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
      </w:r>
      <w:proofErr w:type="spellStart"/>
      <w:r w:rsidRPr="00DC315B">
        <w:rPr>
          <w:color w:val="000000"/>
          <w:sz w:val="24"/>
        </w:rPr>
        <w:t/>
      </w:r>
      <w:proofErr w:type="spellEnd"/>
      <w:r w:rsidRPr="00DC315B">
        <w:rPr>
          <w:color w:val="000000"/>
          <w:sz w:val="24"/>
        </w:rPr>
        <w:t>本基金本报告期末未持有处于转股期的可转换债券。</w:t>
      </w:r>
    </w:p>
    <w:p w:rsidP="00774C7D" w:rsidR="00774C7D" w:rsidRDefault="00774C7D" w:rsidRPr="00977154">
      <w:pPr>
        <w:spacing w:line="360" w:lineRule="auto"/>
        <w:rPr>
          <w:rFonts w:ascii="宋体" w:cs="Arial"/>
          <w:color w:val="000000"/>
          <w:kern w:val="0"/>
          <w:sz w:val="24"/>
        </w:rPr>
      </w:pPr>
      <w:r w:rsidRPr="00977154">
        <w:rPr>
          <w:rFonts w:ascii="宋体"/>
          <w:color w:val="000000"/>
          <w:kern w:val="0"/>
          <w:sz w:val="24"/>
        </w:rPr>
        <w:t/>
      </w:r>
      <w:r w:rsidRPr="00977154">
        <w:rPr>
          <w:rFonts w:ascii="宋体" w:hAnsi="宋体"/>
          <w:color w:val="000000"/>
          <w:kern w:val="0"/>
          <w:sz w:val="24"/>
        </w:rPr>
        <w:t>5.11.5</w:t>
      </w:r>
      <w:r w:rsidRPr="00977154">
        <w:rPr>
          <w:rFonts w:ascii="宋体" w:hAnsi="宋体" w:hint="eastAsia"/>
          <w:sz w:val="24"/>
        </w:rPr>
        <w:t>报告期末前十名股票中存在流通受限情况的说明</w:t>
      </w:r>
    </w:p>
    <w:p w:rsidP="00774C7D" w:rsidR="00774C7D" w:rsidRDefault="00774C7D" w:rsidRPr="00977154">
      <w:pPr>
        <w:spacing w:line="360" w:lineRule="auto"/>
        <w:rPr>
          <w:rFonts w:ascii="宋体" w:cs="Arial"/>
          <w:color w:val="000000"/>
          <w:kern w:val="0"/>
          <w:sz w:val="24"/>
        </w:rPr>
      </w:pPr>
      <w:r w:rsidRPr="00977154">
        <w:rPr>
          <w:rFonts w:ascii="宋体"/>
          <w:color w:val="000000"/>
          <w:kern w:val="0"/>
          <w:sz w:val="24"/>
        </w:rPr>
        <w:t/>
      </w:r>
      <w:r w:rsidRPr="00977154">
        <w:rPr>
          <w:rFonts w:ascii="宋体" w:hAnsi="宋体"/>
          <w:color w:val="000000"/>
          <w:kern w:val="0"/>
          <w:sz w:val="24"/>
        </w:rPr>
        <w:t>5.11.5</w:t>
      </w:r>
      <w:r w:rsidRPr="00977154">
        <w:rPr>
          <w:rFonts w:ascii="宋体" w:cs="Arial"/>
          <w:color w:val="000000"/>
          <w:kern w:val="0"/>
          <w:sz w:val="24"/>
        </w:rPr>
        <w:t>.</w:t>
      </w:r>
      <w:r w:rsidRPr="00977154">
        <w:rPr>
          <w:rFonts w:ascii="宋体" w:cs="Arial" w:hAnsi="宋体"/>
          <w:color w:val="000000"/>
          <w:kern w:val="0"/>
          <w:sz w:val="24"/>
        </w:rPr>
        <w:t>1</w:t>
      </w:r>
      <w:r w:rsidRPr="00977154">
        <w:rPr>
          <w:rFonts w:ascii="宋体" w:hAnsi="宋体" w:hint="eastAsia"/>
          <w:sz w:val="24"/>
        </w:rPr>
        <w:t>期末指数投资前十名股票中存在流通受限情况的说明</w:t>
      </w:r>
    </w:p>
    <w:p w:rsidP="00774C7D" w:rsidR="00774C7D" w:rsidRDefault="00774C7D" w:rsidRPr="00DC315B">
      <w:pPr>
        <w:spacing w:line="360" w:lineRule="auto"/>
        <w:ind w:firstLine="480" w:firstLineChars="200"/>
        <w:rPr>
          <w:color w:val="000000"/>
          <w:sz w:val="24"/>
        </w:rPr>
      </w:pPr>
      <w:r w:rsidRPr="00DC315B">
        <w:rPr>
          <w:color w:val="000000"/>
          <w:sz w:val="24"/>
        </w:rPr>
        <w:t>本基金本报告期末指数投资前十名股票中不存在流通受限情况。</w:t>
      </w:r>
    </w:p>
    <w:p w:rsidP="00774C7D" w:rsidR="00774C7D" w:rsidRDefault="00774C7D" w:rsidRPr="00977154">
      <w:pPr>
        <w:spacing w:line="360" w:lineRule="auto"/>
        <w:rPr>
          <w:rFonts w:ascii="宋体" w:cs="STSong-Light"/>
          <w:sz w:val="24"/>
        </w:rPr>
      </w:pPr>
      <w:r w:rsidRPr="00977154">
        <w:rPr>
          <w:rFonts w:ascii="宋体"/>
          <w:color w:val="000000"/>
          <w:kern w:val="0"/>
          <w:sz w:val="24"/>
        </w:rPr>
        <w:t/>
      </w:r>
      <w:r w:rsidRPr="00977154">
        <w:rPr>
          <w:rFonts w:ascii="宋体" w:hAnsi="宋体"/>
          <w:color w:val="000000"/>
          <w:kern w:val="0"/>
          <w:sz w:val="24"/>
        </w:rPr>
        <w:t>5.11.5</w:t>
      </w:r>
      <w:r w:rsidRPr="00977154">
        <w:rPr>
          <w:rFonts w:ascii="宋体" w:cs="Arial"/>
          <w:color w:val="000000"/>
          <w:kern w:val="0"/>
          <w:sz w:val="24"/>
        </w:rPr>
        <w:t>.</w:t>
      </w:r>
      <w:r w:rsidRPr="00977154">
        <w:rPr>
          <w:rFonts w:ascii="宋体" w:cs="Arial" w:hAnsi="宋体"/>
          <w:color w:val="000000"/>
          <w:kern w:val="0"/>
          <w:sz w:val="24"/>
        </w:rPr>
        <w:t>2</w:t>
      </w:r>
      <w:r w:rsidRPr="00977154">
        <w:rPr>
          <w:rFonts w:ascii="宋体" w:hAnsi="宋体" w:hint="eastAsia"/>
          <w:sz w:val="24"/>
        </w:rPr>
        <w:t>期末积极投资前五名股票中存在流通受限情况的说明</w:t>
      </w:r>
    </w:p>
    <w:p w:rsidP="00C1648E" w:rsidR="00A62673" w:rsidRDefault="00774C7D" w:rsidRPr="00C1648E">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
      </w:r>
      <w:proofErr w:type="spellStart"/>
      <w:r w:rsidRPr="00DC315B">
        <w:rPr>
          <w:color w:val="000000"/>
          <w:sz w:val="24"/>
        </w:rPr>
        <w:t/>
      </w:r>
      <w:proofErr w:type="spellEnd"/>
      <w:r w:rsidRPr="00DC315B">
        <w:rPr>
          <w:color w:val="000000"/>
          <w:sz w:val="24"/>
        </w:rPr>
        <w:t>本基金本报告期末积极投资前五名股票中不存在流通受限情况。</w:t>
      </w:r>
    </w:p>
    <w:p w:rsidP="007467A8" w:rsidR="00A62673" w:rsidRDefault="00A62673" w:rsidRPr="00EC5CE0">
      <w:pPr>
        <w:pStyle w:val="1"/>
        <w:spacing w:after="312" w:afterLines="100" w:before="312" w:beforeLines="100" w:line="360" w:lineRule="auto"/>
        <w:jc w:val="center"/>
        <w:rPr>
          <w:rFonts w:ascii="宋体" w:cs="Arial"/>
          <w:color w:val="000000"/>
          <w:kern w:val="0"/>
          <w:sz w:val="24"/>
          <w:szCs w:val="24"/>
        </w:rPr>
      </w:pPr>
      <w:r w:rsidRPr="00EC5CE0">
        <w:rPr>
          <w:rFonts w:ascii="宋体" w:cs="Arial" w:hAnsi="宋体" w:hint="eastAsia"/>
          <w:color w:val="000000"/>
          <w:kern w:val="0"/>
          <w:sz w:val="24"/>
          <w:szCs w:val="24"/>
        </w:rPr>
        <w:t>§</w:t>
      </w:r>
      <w:r w:rsidRPr="00EC5CE0">
        <w:rPr>
          <w:rFonts w:ascii="宋体" w:cs="Arial" w:hAnsi="宋体"/>
          <w:color w:val="000000"/>
          <w:kern w:val="0"/>
          <w:sz w:val="24"/>
          <w:szCs w:val="24"/>
        </w:rPr>
        <w:t xml:space="preserve">6  </w:t>
      </w:r>
      <w:r w:rsidRPr="00EC5CE0">
        <w:rPr>
          <w:rFonts w:ascii="宋体" w:cs="Arial" w:hAnsi="宋体" w:hint="eastAsia"/>
          <w:color w:val="000000"/>
          <w:kern w:val="0"/>
          <w:sz w:val="24"/>
          <w:szCs w:val="24"/>
        </w:rPr>
        <w:t>开放式基金份额变动</w:t>
      </w:r>
    </w:p>
    <w:p w:rsidP="0019563C" w:rsidR="00A62673" w:rsidRDefault="00A62673" w:rsidRPr="00EC5CE0">
      <w:pPr>
        <w:autoSpaceDE w:val="0"/>
        <w:autoSpaceDN w:val="0"/>
        <w:adjustRightInd w:val="0"/>
        <w:spacing w:before="29" w:line="360" w:lineRule="auto"/>
        <w:ind w:left="15"/>
        <w:jc w:val="right"/>
        <w:rPr>
          <w:rFonts w:ascii="宋体" w:cs="Arial"/>
          <w:color w:val="000000"/>
          <w:kern w:val="0"/>
          <w:sz w:val="24"/>
        </w:rPr>
      </w:pPr>
      <w:r w:rsidRPr="00EC5CE0">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A62673" w:rsidRPr="00EC5CE0" w:rsidTr="00496AF7">
        <w:tc>
          <w:tcPr>
            <w:tcW w:type="dxa" w:w="4609"/>
            <w:vAlign w:val="center"/>
          </w:tcPr>
          <w:p w:rsidP="00C21C43" w:rsidR="00A62673" w:rsidRDefault="00A62673" w:rsidRPr="00C1648E">
            <w:pPr>
              <w:autoSpaceDE w:val="0"/>
              <w:autoSpaceDN w:val="0"/>
              <w:adjustRightInd w:val="0"/>
              <w:spacing w:before="29" w:line="360" w:lineRule="auto"/>
              <w:ind w:left="17"/>
              <w:jc w:val="left"/>
              <w:rPr>
                <w:color w:val="000000"/>
                <w:kern w:val="0"/>
                <w:sz w:val="24"/>
              </w:rPr>
            </w:pPr>
            <w:r w:rsidRPr="00C1648E">
              <w:rPr>
                <w:color w:val="000000"/>
                <w:kern w:val="0"/>
                <w:sz w:val="24"/>
              </w:rPr>
              <w:t>报告期期初基金份额总额</w:t>
            </w:r>
          </w:p>
        </w:tc>
        <w:tc>
          <w:tcPr>
            <w:tcW w:type="dxa" w:w="4025"/>
            <w:vAlign w:val="center"/>
          </w:tcPr>
          <w:p w:rsidP="00C21C43" w:rsidR="00A62673" w:rsidRDefault="00A62673" w:rsidRPr="00C1648E">
            <w:pPr>
              <w:autoSpaceDE w:val="0"/>
              <w:autoSpaceDN w:val="0"/>
              <w:adjustRightInd w:val="0"/>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481,995,902.77</w:t>
            </w:r>
          </w:p>
        </w:tc>
      </w:tr>
      <w:tr w:rsidR="00A62673" w:rsidRPr="00EC5CE0" w:rsidTr="00496AF7">
        <w:tc>
          <w:tcPr>
            <w:tcW w:type="dxa" w:w="4609"/>
            <w:vAlign w:val="center"/>
          </w:tcPr>
          <w:p w:rsidP="00C21C43" w:rsidR="00A62673" w:rsidRDefault="00A62673" w:rsidRPr="00C1648E">
            <w:pPr>
              <w:autoSpaceDE w:val="0"/>
              <w:autoSpaceDN w:val="0"/>
              <w:adjustRightInd w:val="0"/>
              <w:spacing w:before="29" w:line="360" w:lineRule="auto"/>
              <w:ind w:left="17"/>
              <w:jc w:val="left"/>
              <w:rPr>
                <w:color w:val="000000"/>
                <w:kern w:val="0"/>
                <w:sz w:val="24"/>
              </w:rPr>
            </w:pPr>
            <w:r w:rsidRPr="00C1648E">
              <w:rPr>
                <w:color w:val="000000"/>
                <w:kern w:val="0"/>
                <w:sz w:val="24"/>
              </w:rPr>
              <w:t/>
            </w:r>
            <w:proofErr w:type="spellStart"/>
            <w:r w:rsidRPr="00C1648E">
              <w:rPr>
                <w:color w:val="000000"/>
                <w:kern w:val="0"/>
                <w:sz w:val="24"/>
              </w:rPr>
              <w:t/>
            </w:r>
            <w:proofErr w:type="spellEnd"/>
            <w:r w:rsidRPr="00C1648E">
              <w:rPr>
                <w:color w:val="000000"/>
                <w:kern w:val="0"/>
                <w:sz w:val="24"/>
              </w:rPr>
              <w:t>报告期</w:t>
            </w:r>
            <w:r w:rsidRPr="00C1648E">
              <w:rPr>
                <w:color w:val="000000"/>
                <w:kern w:val="0"/>
                <w:sz w:val="24"/>
              </w:rPr>
              <w:t>基金总申购份额</w:t>
            </w:r>
          </w:p>
        </w:tc>
        <w:tc>
          <w:tcPr>
            <w:tcW w:type="dxa" w:w="4025"/>
            <w:vAlign w:val="center"/>
          </w:tcPr>
          <w:p w:rsidP="00C21C43" w:rsidR="00A62673" w:rsidRDefault="00A62673" w:rsidRPr="00C1648E">
            <w:pPr>
              <w:autoSpaceDE w:val="0"/>
              <w:autoSpaceDN w:val="0"/>
              <w:adjustRightInd w:val="0"/>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58,284,296.55</w:t>
            </w:r>
          </w:p>
        </w:tc>
      </w:tr>
      <w:tr w:rsidR="00A62673" w:rsidRPr="00EC5CE0" w:rsidTr="00496AF7">
        <w:tc>
          <w:tcPr>
            <w:tcW w:type="dxa" w:w="4609"/>
            <w:vAlign w:val="center"/>
          </w:tcPr>
          <w:p w:rsidP="00C21C43" w:rsidR="00A62673" w:rsidRDefault="00A62673" w:rsidRPr="00C1648E">
            <w:pPr>
              <w:autoSpaceDE w:val="0"/>
              <w:autoSpaceDN w:val="0"/>
              <w:adjustRightInd w:val="0"/>
              <w:spacing w:before="29" w:line="360" w:lineRule="auto"/>
              <w:ind w:left="17"/>
              <w:jc w:val="left"/>
              <w:rPr>
                <w:color w:val="000000"/>
                <w:kern w:val="0"/>
                <w:sz w:val="24"/>
              </w:rPr>
            </w:pPr>
            <w:r w:rsidRPr="00C1648E">
              <w:rPr>
                <w:color w:val="000000"/>
                <w:kern w:val="0"/>
                <w:sz w:val="24"/>
              </w:rPr>
              <w:t>减：</w:t>
            </w:r>
            <w:r w:rsidRPr="00C1648E">
              <w:rPr>
                <w:color w:val="000000"/>
                <w:kern w:val="0"/>
                <w:sz w:val="24"/>
              </w:rPr>
              <w:t/>
            </w:r>
            <w:proofErr w:type="spellStart"/>
            <w:r w:rsidRPr="00C1648E">
              <w:rPr>
                <w:color w:val="000000"/>
                <w:kern w:val="0"/>
                <w:sz w:val="24"/>
              </w:rPr>
              <w:t/>
            </w:r>
            <w:proofErr w:type="spellEnd"/>
            <w:r w:rsidRPr="00C1648E">
              <w:rPr>
                <w:color w:val="000000"/>
                <w:kern w:val="0"/>
                <w:sz w:val="24"/>
              </w:rPr>
              <w:t>报告期</w:t>
            </w:r>
            <w:r w:rsidRPr="00C1648E">
              <w:rPr>
                <w:color w:val="000000"/>
                <w:kern w:val="0"/>
                <w:sz w:val="24"/>
              </w:rPr>
              <w:t>基金总赎回份额</w:t>
            </w:r>
          </w:p>
        </w:tc>
        <w:tc>
          <w:tcPr>
            <w:tcW w:type="dxa" w:w="4025"/>
            <w:vAlign w:val="center"/>
          </w:tcPr>
          <w:p w:rsidP="00C21C43" w:rsidR="00A62673" w:rsidRDefault="00A62673" w:rsidRPr="00C1648E">
            <w:pPr>
              <w:autoSpaceDE w:val="0"/>
              <w:autoSpaceDN w:val="0"/>
              <w:adjustRightInd w:val="0"/>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131,236,249.14</w:t>
            </w:r>
          </w:p>
        </w:tc>
      </w:tr>
      <w:tr w:rsidR="00A62673" w:rsidRPr="00EC5CE0" w:rsidTr="00496AF7">
        <w:tc>
          <w:tcPr>
            <w:tcW w:type="dxa" w:w="4609"/>
            <w:vAlign w:val="center"/>
          </w:tcPr>
          <w:p w:rsidP="00C21C43" w:rsidR="00A62673" w:rsidRDefault="00A62673" w:rsidRPr="00C1648E">
            <w:pPr>
              <w:autoSpaceDE w:val="0"/>
              <w:autoSpaceDN w:val="0"/>
              <w:adjustRightInd w:val="0"/>
              <w:spacing w:before="29" w:line="360" w:lineRule="auto"/>
              <w:ind w:left="17"/>
              <w:jc w:val="left"/>
              <w:rPr>
                <w:color w:val="000000"/>
                <w:kern w:val="0"/>
                <w:sz w:val="24"/>
              </w:rPr>
            </w:pPr>
            <w:r w:rsidRPr="00C1648E">
              <w:rPr>
                <w:color w:val="000000"/>
                <w:kern w:val="0"/>
                <w:sz w:val="24"/>
              </w:rPr>
              <w:t/>
            </w:r>
            <w:proofErr w:type="spellStart"/>
            <w:r w:rsidRPr="00C1648E">
              <w:rPr>
                <w:color w:val="000000"/>
                <w:kern w:val="0"/>
                <w:sz w:val="24"/>
              </w:rPr>
              <w:t/>
            </w:r>
            <w:proofErr w:type="spellEnd"/>
            <w:r w:rsidRPr="00C1648E">
              <w:rPr>
                <w:color w:val="000000"/>
                <w:kern w:val="0"/>
                <w:sz w:val="24"/>
              </w:rPr>
              <w:t>报告期</w:t>
            </w:r>
            <w:r w:rsidRPr="00C1648E">
              <w:rPr>
                <w:color w:val="000000"/>
                <w:kern w:val="0"/>
                <w:sz w:val="24"/>
              </w:rPr>
              <w:t>基金拆分变动份额</w:t>
            </w:r>
            <w:r w:rsidR="00736B25">
              <w:rPr>
                <w:rFonts w:hint="eastAsia"/>
                <w:color w:val="000000"/>
                <w:kern w:val="0"/>
                <w:sz w:val="24"/>
              </w:rPr>
              <w:t>（份额减少以“</w:t>
            </w:r>
            <w:r w:rsidR="00736B25">
              <w:rPr>
                <w:color w:val="000000"/>
                <w:kern w:val="0"/>
                <w:sz w:val="24"/>
              </w:rPr>
              <w:t>-</w:t>
            </w:r>
            <w:r w:rsidR="00736B25">
              <w:rPr>
                <w:rFonts w:hint="eastAsia"/>
                <w:color w:val="000000"/>
                <w:kern w:val="0"/>
                <w:sz w:val="24"/>
              </w:rPr>
              <w:t>”填列）</w:t>
            </w:r>
          </w:p>
        </w:tc>
        <w:tc>
          <w:tcPr>
            <w:tcW w:type="dxa" w:w="4025"/>
            <w:vAlign w:val="center"/>
          </w:tcPr>
          <w:p w:rsidP="00C21C43" w:rsidR="00A62673" w:rsidRDefault="00A62673" w:rsidRPr="00C1648E">
            <w:pPr>
              <w:autoSpaceDE w:val="0"/>
              <w:autoSpaceDN w:val="0"/>
              <w:adjustRightInd w:val="0"/>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w:t>
            </w:r>
          </w:p>
        </w:tc>
      </w:tr>
      <w:tr w:rsidR="00A62673" w:rsidRPr="00EC5CE0" w:rsidTr="00496AF7">
        <w:tc>
          <w:tcPr>
            <w:tcW w:type="dxa" w:w="4609"/>
            <w:vAlign w:val="center"/>
          </w:tcPr>
          <w:p w:rsidP="00C21C43" w:rsidR="00A62673" w:rsidRDefault="00A62673" w:rsidRPr="00C1648E">
            <w:pPr>
              <w:autoSpaceDE w:val="0"/>
              <w:autoSpaceDN w:val="0"/>
              <w:adjustRightInd w:val="0"/>
              <w:spacing w:before="29" w:line="360" w:lineRule="auto"/>
              <w:ind w:left="17"/>
              <w:jc w:val="left"/>
              <w:rPr>
                <w:color w:val="000000"/>
                <w:kern w:val="0"/>
                <w:sz w:val="24"/>
              </w:rPr>
            </w:pPr>
            <w:r w:rsidRPr="00C1648E">
              <w:rPr>
                <w:color w:val="000000"/>
                <w:kern w:val="0"/>
                <w:sz w:val="24"/>
              </w:rPr>
              <w:t>报告期期末基金份额总额</w:t>
            </w:r>
          </w:p>
        </w:tc>
        <w:tc>
          <w:tcPr>
            <w:tcW w:type="dxa" w:w="4025"/>
            <w:vAlign w:val="center"/>
          </w:tcPr>
          <w:p w:rsidP="00C21C43" w:rsidR="00A62673" w:rsidRDefault="00A62673" w:rsidRPr="00C1648E">
            <w:pPr>
              <w:autoSpaceDE w:val="0"/>
              <w:autoSpaceDN w:val="0"/>
              <w:adjustRightInd w:val="0"/>
              <w:spacing w:before="29" w:line="360" w:lineRule="auto"/>
              <w:ind w:left="17"/>
              <w:jc w:val="right"/>
              <w:rPr>
                <w:color w:val="000000"/>
                <w:sz w:val="24"/>
              </w:rPr>
            </w:pPr>
            <w:r w:rsidRPr="00C1648E">
              <w:rPr>
                <w:color w:val="000000"/>
                <w:sz w:val="24"/>
              </w:rPr>
              <w:t/>
            </w:r>
            <w:proofErr w:type="spellStart"/>
            <w:r w:rsidRPr="00C1648E">
              <w:rPr>
                <w:color w:val="000000"/>
                <w:sz w:val="24"/>
              </w:rPr>
              <w:t/>
            </w:r>
            <w:proofErr w:type="spellEnd"/>
            <w:r w:rsidRPr="00C1648E">
              <w:rPr>
                <w:color w:val="000000"/>
                <w:sz w:val="24"/>
              </w:rPr>
              <w:t>409,043,950.18</w:t>
            </w:r>
          </w:p>
        </w:tc>
      </w:tr>
    </w:tbl>
    <w:p w:rsidP="007467A8" w:rsidR="00A62673" w:rsidRDefault="00A62673">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olor w:val="000000"/>
          <w:kern w:val="0"/>
          <w:sz w:val="24"/>
          <w:szCs w:val="24"/>
        </w:rPr>
        <w:t/>
      </w:r>
      <w:proofErr w:type="spellStart"/>
      <w:r>
        <w:rPr>
          <w:rFonts w:ascii="宋体" w:hAnsi="宋体"/>
          <w:color w:val="000000"/>
          <w:kern w:val="0"/>
          <w:sz w:val="24"/>
          <w:szCs w:val="24"/>
        </w:rPr>
        <w:t/>
      </w:r>
      <w:proofErr w:type="spellEnd"/>
      <w:r>
        <w:rPr>
          <w:rFonts w:ascii="宋体" w:hAnsi="宋体"/>
          <w:color w:val="000000"/>
          <w:kern w:val="0"/>
          <w:sz w:val="24"/>
          <w:szCs w:val="24"/>
        </w:rPr>
        <w:t/>
      </w:r>
      <w:r>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413689" w:rsidR="00A62673" w:rsidRDefault="00A62673">
      <w:pPr>
        <w:spacing w:line="360" w:lineRule="auto"/>
        <w:jc w:val="left"/>
        <w:rPr>
          <w:sz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C1648E" w:rsidR="00A62673" w:rsidRDefault="006D442E" w:rsidRPr="00C1648E">
      <w:pPr>
        <w:spacing w:line="360" w:lineRule="auto"/>
        <w:ind w:firstLine="480" w:firstLineChars="200"/>
        <w:rPr>
          <w:color w:val="000000"/>
          <w:sz w:val="24"/>
        </w:rPr>
      </w:pPr>
      <w:r w:rsidRPr="00BF18E8">
        <w:rPr>
          <w:color w:val="000000"/>
          <w:sz w:val="24"/>
        </w:rPr>
        <w:t/>
      </w:r>
      <w:proofErr w:type="spellStart"/>
      <w:r w:rsidRPr="00BF18E8">
        <w:rPr>
          <w:color w:val="000000"/>
          <w:sz w:val="24"/>
        </w:rPr>
        <w:t/>
      </w:r>
      <w:proofErr w:type="spellEnd"/>
      <w:r w:rsidRPr="00BF18E8">
        <w:rPr>
          <w:color w:val="000000"/>
          <w:sz w:val="24"/>
        </w:rPr>
        <w:t>本报告期内基金管理人未持有本基金份额。</w:t>
      </w:r>
    </w:p>
    <w:p w:rsidP="00413689" w:rsidR="00A62673" w:rsidRDefault="00A62673">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DC315B" w:rsidR="00A62673" w:rsidRDefault="00A62673" w:rsidRPr="00DC315B">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
      </w:r>
      <w:proofErr w:type="spellStart"/>
      <w:r w:rsidRPr="00DC315B">
        <w:rPr>
          <w:color w:val="000000"/>
          <w:sz w:val="24"/>
        </w:rPr>
        <w:t/>
      </w:r>
      <w:proofErr w:type="spellEnd"/>
      <w:r w:rsidRPr="00DC315B">
        <w:rPr>
          <w:color w:val="000000"/>
          <w:sz w:val="24"/>
        </w:rPr>
        <w:t>本报告期内基金管理人未运用固有资金申购、赎回、买卖本基金份额。</w:t>
      </w:r>
    </w:p>
    <w:p w:rsidP="007467A8" w:rsidR="00A62673" w:rsidRDefault="00A62673" w:rsidRPr="00EC5CE0">
      <w:pPr>
        <w:pStyle w:val="1"/>
        <w:spacing w:after="312" w:afterLines="100" w:before="312" w:beforeLines="100" w:line="360" w:lineRule="auto"/>
        <w:jc w:val="center"/>
        <w:rPr>
          <w:rFonts w:ascii="宋体" w:cs="Arial"/>
          <w:color w:val="000000"/>
          <w:kern w:val="0"/>
          <w:sz w:val="24"/>
          <w:szCs w:val="24"/>
        </w:rPr>
      </w:pPr>
      <w:r w:rsidRPr="00EC5CE0">
        <w:rPr>
          <w:rFonts w:ascii="宋体" w:cs="Arial" w:hAnsi="宋体" w:hint="eastAsia"/>
          <w:color w:val="000000"/>
          <w:kern w:val="0"/>
          <w:sz w:val="24"/>
          <w:szCs w:val="24"/>
        </w:rPr>
        <w:t>§</w:t>
      </w:r>
      <w:r w:rsidRPr="00EC5CE0">
        <w:rPr>
          <w:rFonts w:ascii="宋体" w:cs="Arial"/>
          <w:color w:val="000000"/>
          <w:kern w:val="0"/>
          <w:sz w:val="24"/>
          <w:szCs w:val="24"/>
        </w:rPr>
        <w:t/>
      </w:r>
      <w:r w:rsidRPr="00EC5CE0">
        <w:rPr>
          <w:rFonts w:ascii="宋体" w:cs="Arial" w:hAnsi="宋体"/>
          <w:color w:val="000000"/>
          <w:kern w:val="0"/>
          <w:sz w:val="24"/>
          <w:szCs w:val="24"/>
        </w:rPr>
        <w:t>8</w:t>
      </w:r>
      <w:r w:rsidR="00900A07" w:rsidRPr="00EC5CE0">
        <w:rPr>
          <w:rFonts w:ascii="宋体" w:cs="Arial" w:hAnsi="宋体"/>
          <w:color w:val="000000"/>
          <w:kern w:val="0"/>
          <w:sz w:val="24"/>
          <w:szCs w:val="24"/>
        </w:rPr>
        <w:t xml:space="preserve">  </w:t>
      </w:r>
      <w:r w:rsidRPr="00EC5CE0">
        <w:rPr>
          <w:rFonts w:ascii="宋体" w:cs="Arial" w:hAnsi="宋体" w:hint="eastAsia"/>
          <w:color w:val="000000"/>
          <w:kern w:val="0"/>
          <w:sz w:val="24"/>
          <w:szCs w:val="24"/>
        </w:rPr>
        <w:t>备查文件目录</w:t>
      </w:r>
    </w:p>
    <w:p w:rsidP="009A037F" w:rsidR="00A62673" w:rsidRDefault="00A62673" w:rsidRPr="00511B6A">
      <w:pPr>
        <w:spacing w:line="360" w:lineRule="auto"/>
        <w:rPr>
          <w:rFonts w:ascii="宋体"/>
          <w:b/>
          <w:color w:val="000000"/>
          <w:sz w:val="24"/>
        </w:rPr>
      </w:pPr>
      <w:r w:rsidRPr="00511B6A">
        <w:rPr>
          <w:rFonts w:ascii="宋体"/>
          <w:b/>
          <w:color w:val="000000"/>
          <w:sz w:val="24"/>
        </w:rPr>
        <w:t/>
      </w:r>
      <w:r w:rsidRPr="00511B6A">
        <w:rPr>
          <w:rFonts w:ascii="宋体" w:hAnsi="宋体"/>
          <w:b/>
          <w:color w:val="000000"/>
          <w:sz w:val="24"/>
        </w:rPr>
        <w:t xml:space="preserve">8.1 </w:t>
      </w:r>
      <w:r w:rsidRPr="00511B6A">
        <w:rPr>
          <w:rFonts w:ascii="宋体" w:hAnsi="宋体" w:hint="eastAsia"/>
          <w:b/>
          <w:color w:val="000000"/>
          <w:sz w:val="24"/>
        </w:rPr>
        <w:t>备查文件目录</w:t>
      </w:r>
    </w:p>
    <w:p>
      <w:pPr>
        <w:spacing w:line="360" w:lineRule="auto"/>
        <w:ind w:firstLine="480" w:firstLineChars="200"/>
        <w:rPr>
          <w:color w:val="000000"/>
          <w:sz w:val="24"/>
        </w:rPr>
      </w:pPr>
      <w:r>
        <w:rPr>
          <w:color w:val="000000"/>
          <w:sz w:val="24"/>
        </w:rPr>
        <w:t>1.中国证监会核准易方达量化衍伸股票型证券投资基金募集的文件；</w:t>
      </w:r>
    </w:p>
    <w:p>
      <w:pPr>
        <w:spacing w:line="360" w:lineRule="auto"/>
        <w:ind w:firstLine="480" w:firstLineChars="200"/>
        <w:rPr>
          <w:color w:val="000000"/>
          <w:sz w:val="24"/>
        </w:rPr>
      </w:pPr>
      <w:r>
        <w:rPr>
          <w:color w:val="000000"/>
          <w:sz w:val="24"/>
        </w:rPr>
        <w:t>2.中国证监会《关于核准易方达量化衍伸股票型证券投资基金基金份额持有人大会决议的批复》；</w:t>
      </w:r>
    </w:p>
    <w:p>
      <w:pPr>
        <w:spacing w:line="360" w:lineRule="auto"/>
        <w:ind w:firstLine="480" w:firstLineChars="200"/>
        <w:rPr>
          <w:color w:val="000000"/>
          <w:sz w:val="24"/>
        </w:rPr>
      </w:pPr>
      <w:r>
        <w:rPr>
          <w:color w:val="000000"/>
          <w:sz w:val="24"/>
        </w:rPr>
        <w:t>3.《易方达沪深300量化增强证券投资基金基金合同》；</w:t>
      </w:r>
    </w:p>
    <w:p>
      <w:pPr>
        <w:spacing w:line="360" w:lineRule="auto"/>
        <w:ind w:firstLine="480" w:firstLineChars="200"/>
        <w:rPr>
          <w:color w:val="000000"/>
          <w:sz w:val="24"/>
        </w:rPr>
      </w:pPr>
      <w:r>
        <w:rPr>
          <w:color w:val="000000"/>
          <w:sz w:val="24"/>
        </w:rPr>
        <w:t>4.《易方达沪深300量化增强证券投资基金托管协议》；</w:t>
      </w:r>
    </w:p>
    <w:p>
      <w:pPr>
        <w:spacing w:line="360" w:lineRule="auto"/>
        <w:ind w:firstLine="480" w:firstLineChars="200"/>
        <w:rPr>
          <w:color w:val="000000"/>
          <w:sz w:val="24"/>
        </w:rPr>
      </w:pPr>
      <w:r>
        <w:rPr>
          <w:color w:val="000000"/>
          <w:sz w:val="24"/>
        </w:rPr>
        <w:t>5.《易方达基金管理有限公司开放式基金业务规则》；</w:t>
      </w:r>
    </w:p>
    <w:p w:rsidP="00C1648E" w:rsidR="00A62673" w:rsidRDefault="00A62673" w:rsidRPr="00C1648E">
      <w:pPr>
        <w:spacing w:line="360" w:lineRule="auto"/>
        <w:ind w:firstLine="480" w:firstLineChars="200"/>
        <w:rPr>
          <w:color w:val="000000"/>
          <w:sz w:val="24"/>
        </w:rPr>
      </w:pPr>
      <w:r w:rsidRPr="00DC315B">
        <w:rPr>
          <w:color w:val="000000"/>
          <w:sz w:val="24"/>
        </w:rPr>
        <w:lastRenderedPageBreak/>
        <w:t/>
      </w:r>
      <w:proofErr w:type="spellStart"/>
      <w:r w:rsidRPr="00DC315B">
        <w:rPr>
          <w:color w:val="000000"/>
          <w:sz w:val="24"/>
        </w:rPr>
        <w:t/>
      </w:r>
      <w:proofErr w:type="spellEnd"/>
      <w:r w:rsidRPr="00DC315B">
        <w:rPr>
          <w:color w:val="000000"/>
          <w:sz w:val="24"/>
        </w:rPr>
        <w:t>6.基金管理人业务资格批件和营业执照。</w:t>
      </w:r>
    </w:p>
    <w:p w:rsidP="009A037F" w:rsidR="00A62673" w:rsidRDefault="00A62673" w:rsidRPr="00511B6A">
      <w:pPr>
        <w:spacing w:line="360" w:lineRule="auto"/>
        <w:rPr>
          <w:rFonts w:ascii="宋体"/>
          <w:b/>
          <w:color w:val="000000"/>
          <w:sz w:val="24"/>
        </w:rPr>
      </w:pPr>
      <w:r w:rsidRPr="00511B6A">
        <w:rPr>
          <w:rFonts w:ascii="宋体"/>
          <w:b/>
          <w:color w:val="000000"/>
          <w:sz w:val="24"/>
        </w:rPr>
        <w:t/>
      </w:r>
      <w:r w:rsidRPr="00511B6A">
        <w:rPr>
          <w:rFonts w:ascii="宋体" w:hAnsi="宋体"/>
          <w:b/>
          <w:color w:val="000000"/>
          <w:sz w:val="24"/>
        </w:rPr>
        <w:t xml:space="preserve">8.2 </w:t>
      </w:r>
      <w:r w:rsidRPr="00511B6A">
        <w:rPr>
          <w:rFonts w:ascii="宋体" w:hAnsi="宋体" w:hint="eastAsia"/>
          <w:b/>
          <w:color w:val="000000"/>
          <w:sz w:val="24"/>
        </w:rPr>
        <w:t>存放地点</w:t>
      </w:r>
    </w:p>
    <w:p w:rsidP="00C1648E" w:rsidR="00A62673" w:rsidRDefault="00A62673" w:rsidRPr="00C1648E">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广州市天河区珠江新城珠江东路30号广州银行大厦40-43楼。</w:t>
      </w:r>
    </w:p>
    <w:p w:rsidP="009A037F" w:rsidR="00A62673" w:rsidRDefault="00A62673" w:rsidRPr="00511B6A">
      <w:pPr>
        <w:spacing w:line="360" w:lineRule="auto"/>
        <w:rPr>
          <w:rFonts w:ascii="宋体"/>
          <w:b/>
          <w:color w:val="000000"/>
          <w:sz w:val="24"/>
        </w:rPr>
      </w:pPr>
      <w:r w:rsidRPr="00511B6A">
        <w:rPr>
          <w:rFonts w:ascii="宋体"/>
          <w:b/>
          <w:color w:val="000000"/>
          <w:sz w:val="24"/>
        </w:rPr>
        <w:t/>
      </w:r>
      <w:r w:rsidRPr="00511B6A">
        <w:rPr>
          <w:rFonts w:ascii="宋体" w:hAnsi="宋体"/>
          <w:b/>
          <w:color w:val="000000"/>
          <w:sz w:val="24"/>
        </w:rPr>
        <w:t xml:space="preserve">8.3 </w:t>
      </w:r>
      <w:r w:rsidRPr="00511B6A">
        <w:rPr>
          <w:rFonts w:ascii="宋体" w:hAnsi="宋体" w:hint="eastAsia"/>
          <w:b/>
          <w:color w:val="000000"/>
          <w:sz w:val="24"/>
        </w:rPr>
        <w:t>查阅方式</w:t>
      </w:r>
    </w:p>
    <w:p w:rsidP="005A2769" w:rsidR="00A62673" w:rsidRDefault="00A62673" w:rsidRPr="00DC315B">
      <w:pPr>
        <w:spacing w:line="360" w:lineRule="auto"/>
        <w:ind w:firstLine="480" w:firstLineChars="200"/>
        <w:rPr>
          <w:color w:val="000000"/>
          <w:sz w:val="24"/>
        </w:rPr>
      </w:pPr>
      <w:r w:rsidRPr="00DC315B">
        <w:rPr>
          <w:color w:val="000000"/>
          <w:sz w:val="24"/>
        </w:rPr>
        <w:t/>
      </w:r>
      <w:proofErr w:type="spellStart"/>
      <w:r w:rsidRPr="00DC315B">
        <w:rPr>
          <w:color w:val="000000"/>
          <w:sz w:val="24"/>
        </w:rPr>
        <w:t/>
      </w:r>
      <w:proofErr w:type="spellEnd"/>
      <w:r w:rsidRPr="00DC315B">
        <w:rPr>
          <w:color w:val="000000"/>
          <w:sz w:val="24"/>
        </w:rPr>
        <w:t>投资者可在营业时间免费查阅，也可按工本费购买复印件。</w:t>
      </w:r>
    </w:p>
    <w:p w:rsidP="0019563C" w:rsidR="00A62673" w:rsidRDefault="00A62673">
      <w:pPr>
        <w:spacing w:line="360" w:lineRule="auto"/>
        <w:ind w:left="840"/>
        <w:jc w:val="right"/>
        <w:rPr>
          <w:rFonts w:ascii="宋体"/>
          <w:color w:val="000000"/>
          <w:sz w:val="24"/>
        </w:rPr>
      </w:pPr>
    </w:p>
    <w:p w:rsidP="0019563C" w:rsidR="00A62673" w:rsidRDefault="00A62673">
      <w:pPr>
        <w:spacing w:line="360" w:lineRule="auto"/>
        <w:ind w:left="840"/>
        <w:jc w:val="right"/>
        <w:rPr>
          <w:rFonts w:ascii="宋体"/>
          <w:color w:val="000000"/>
          <w:sz w:val="24"/>
        </w:rPr>
      </w:pPr>
    </w:p>
    <w:p w:rsidP="0019563C" w:rsidR="00A62673" w:rsidRDefault="00A62673">
      <w:pPr>
        <w:spacing w:line="360" w:lineRule="auto"/>
        <w:ind w:left="840"/>
        <w:jc w:val="right"/>
        <w:rPr>
          <w:rFonts w:ascii="宋体"/>
          <w:color w:val="000000"/>
          <w:sz w:val="24"/>
        </w:rPr>
      </w:pPr>
    </w:p>
    <w:p w:rsidP="0019563C" w:rsidR="00A62673" w:rsidRDefault="00A62673" w:rsidRPr="00EC5CE0">
      <w:pPr>
        <w:spacing w:line="360" w:lineRule="auto"/>
        <w:ind w:left="840"/>
        <w:jc w:val="right"/>
        <w:rPr>
          <w:rFonts w:ascii="宋体"/>
          <w:color w:val="000000"/>
          <w:sz w:val="24"/>
        </w:rPr>
      </w:pPr>
    </w:p>
    <w:p w:rsidP="0019563C" w:rsidR="00A62673" w:rsidRDefault="00A62673" w:rsidRPr="00EC5CE0">
      <w:pPr>
        <w:spacing w:line="360" w:lineRule="auto"/>
        <w:ind w:left="840"/>
        <w:jc w:val="right"/>
        <w:rPr>
          <w:rFonts w:ascii="宋体"/>
          <w:color w:val="000000"/>
          <w:sz w:val="24"/>
        </w:rPr>
      </w:pPr>
    </w:p>
    <w:p w:rsidP="009A037F" w:rsidR="00A62673" w:rsidRDefault="00A62673" w:rsidRPr="00EC5CE0">
      <w:pPr>
        <w:spacing w:line="360" w:lineRule="auto"/>
        <w:jc w:val="right"/>
        <w:rPr>
          <w:rFonts w:ascii="宋体" w:hAnsi="宋体"/>
          <w:b/>
          <w:bCs/>
          <w:sz w:val="24"/>
        </w:rPr>
      </w:pPr>
      <w:r w:rsidRPr="00EC5CE0">
        <w:rPr>
          <w:rFonts w:ascii="宋体"/>
          <w:b/>
          <w:bCs/>
          <w:sz w:val="24"/>
        </w:rPr>
        <w:t/>
      </w:r>
      <w:proofErr w:type="spellStart"/>
      <w:r w:rsidRPr="00EC5CE0">
        <w:rPr>
          <w:rFonts w:ascii="宋体" w:hAnsi="宋体"/>
          <w:b/>
          <w:bCs/>
          <w:sz w:val="24"/>
        </w:rPr>
        <w:t/>
      </w:r>
      <w:proofErr w:type="spellEnd"/>
      <w:r w:rsidRPr="00EC5CE0">
        <w:rPr>
          <w:rFonts w:ascii="宋体" w:hAnsi="宋体"/>
          <w:b/>
          <w:bCs/>
          <w:sz w:val="24"/>
        </w:rPr>
        <w:t>易方达基金管理有限公司</w:t>
      </w:r>
    </w:p>
    <w:p w:rsidP="001E4DBA" w:rsidR="00A62673" w:rsidRDefault="00A62673" w:rsidRPr="001E4DBA">
      <w:pPr>
        <w:spacing w:line="360" w:lineRule="auto"/>
        <w:jc w:val="right"/>
        <w:rPr>
          <w:rFonts w:ascii="宋体" w:hAnsi="宋体"/>
          <w:b/>
          <w:bCs/>
          <w:sz w:val="24"/>
        </w:rPr>
      </w:pPr>
      <w:r w:rsidRPr="00EC5CE0">
        <w:rPr>
          <w:rFonts w:ascii="宋体" w:hAnsi="宋体"/>
          <w:b/>
          <w:bCs/>
          <w:sz w:val="24"/>
        </w:rPr>
        <w:t/>
      </w:r>
      <w:proofErr w:type="spellStart"/>
      <w:r w:rsidRPr="00EC5CE0">
        <w:rPr>
          <w:rFonts w:ascii="宋体" w:hAnsi="宋体"/>
          <w:b/>
          <w:bCs/>
          <w:sz w:val="24"/>
        </w:rPr>
        <w:t/>
      </w:r>
      <w:proofErr w:type="spellEnd"/>
      <w:r w:rsidRPr="00EC5CE0">
        <w:rPr>
          <w:rFonts w:ascii="宋体" w:hAnsi="宋体"/>
          <w:b/>
          <w:bCs/>
          <w:sz w:val="24"/>
        </w:rPr>
        <w:t>二〇二〇年七月二十一日</w:t>
      </w:r>
    </w:p>
    <w:sectPr w:rsidR="00A62673" w:rsidRPr="001E4DBA" w:rsidSect="00DB4450">
      <w:footerReference r:id="rId11" w:type="even"/>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429" w:rsidRDefault="00871429">
      <w:r>
        <w:separator/>
      </w:r>
    </w:p>
  </w:endnote>
  <w:endnote w:type="continuationSeparator" w:id="0">
    <w:p w:rsidR="00871429" w:rsidRDefault="00871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Song-Light">
    <w:altName w:val="Times New Roman"/>
    <w:panose1 w:val="00000000000000000000"/>
    <w:charset w:val="00"/>
    <w:family w:val="roman"/>
    <w:notTrueType/>
    <w:pitch w:val="default"/>
    <w:sig w:usb0="00000003" w:usb1="00000000" w:usb2="00000000" w:usb3="00000000" w:csb0="00000001" w:csb1="00000000"/>
  </w:font>
  <w:font w:name="方正仿宋简体">
    <w:altName w:val="Arial Unicode MS"/>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230A66" w:rsidR="00A62673" w:rsidRDefault="00A62673" w:rsidRPr="001D0DB0">
    <w:pPr>
      <w:pStyle w:val="a6"/>
      <w:jc w:val="center"/>
    </w:pPr>
    <w:r>
      <w:rPr>
        <w:rFonts w:hint="eastAsia"/>
        <w:szCs w:val="21"/>
      </w:rPr>
      <w:t>第</w:t>
    </w:r>
    <w:r w:rsidR="00C85F94">
      <w:rPr>
        <w:szCs w:val="21"/>
      </w:rPr>
      <w:fldChar w:fldCharType="begin"/>
    </w:r>
    <w:r>
      <w:rPr>
        <w:szCs w:val="21"/>
      </w:rPr>
      <w:instrText xml:space="preserve"> PAGE </w:instrText>
    </w:r>
    <w:r w:rsidR="00C85F94">
      <w:rPr>
        <w:szCs w:val="21"/>
      </w:rPr>
      <w:fldChar w:fldCharType="separate"/>
    </w:r>
    <w:r w:rsidR="00317227">
      <w:rPr>
        <w:noProof/>
        <w:szCs w:val="21"/>
      </w:rPr>
      <w:t>1</w:t>
    </w:r>
    <w:r w:rsidR="00C85F94">
      <w:rPr>
        <w:szCs w:val="21"/>
      </w:rPr>
      <w:fldChar w:fldCharType="end"/>
    </w:r>
    <w:proofErr w:type="gramStart"/>
    <w:r>
      <w:rPr>
        <w:rFonts w:hint="eastAsia"/>
        <w:szCs w:val="21"/>
      </w:rPr>
      <w:t>页共</w:t>
    </w:r>
    <w:proofErr w:type="gramEnd"/>
    <w:r w:rsidR="00C85F94">
      <w:rPr>
        <w:szCs w:val="21"/>
      </w:rPr>
      <w:fldChar w:fldCharType="begin"/>
    </w:r>
    <w:r>
      <w:rPr>
        <w:szCs w:val="21"/>
      </w:rPr>
      <w:instrText xml:space="preserve"> NUMPAGES </w:instrText>
    </w:r>
    <w:r w:rsidR="00C85F94">
      <w:rPr>
        <w:szCs w:val="21"/>
      </w:rPr>
      <w:fldChar w:fldCharType="separate"/>
    </w:r>
    <w:r w:rsidR="00317227">
      <w:rPr>
        <w:noProof/>
        <w:szCs w:val="21"/>
      </w:rPr>
      <w:t>31</w:t>
    </w:r>
    <w:r w:rsidR="00C85F94">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A62673" w:rsidRDefault="00C85F94">
    <w:pPr>
      <w:pStyle w:val="a6"/>
      <w:framePr w:hAnchor="margin" w:vAnchor="text" w:wrap="around" w:xAlign="center" w:y="1"/>
      <w:rPr>
        <w:rStyle w:val="a7"/>
      </w:rPr>
    </w:pPr>
    <w:r>
      <w:rPr>
        <w:rStyle w:val="a7"/>
      </w:rPr>
      <w:fldChar w:fldCharType="begin"/>
    </w:r>
    <w:r w:rsidR="00A62673">
      <w:rPr>
        <w:rStyle w:val="a7"/>
      </w:rPr>
      <w:instrText xml:space="preserve">PAGE  </w:instrText>
    </w:r>
    <w:r>
      <w:rPr>
        <w:rStyle w:val="a7"/>
      </w:rPr>
      <w:fldChar w:fldCharType="end"/>
    </w:r>
  </w:p>
  <w:p w:rsidR="00A62673" w:rsidRDefault="00A62673">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A62673" w:rsidRDefault="00C85F94">
    <w:pPr>
      <w:pStyle w:val="a6"/>
      <w:framePr w:hAnchor="margin" w:vAnchor="text" w:wrap="around" w:xAlign="center" w:y="1"/>
      <w:rPr>
        <w:rStyle w:val="a7"/>
      </w:rPr>
    </w:pPr>
    <w:r>
      <w:rPr>
        <w:rStyle w:val="a7"/>
      </w:rPr>
      <w:fldChar w:fldCharType="begin"/>
    </w:r>
    <w:r w:rsidR="00A62673">
      <w:rPr>
        <w:rStyle w:val="a7"/>
      </w:rPr>
      <w:instrText xml:space="preserve">PAGE  </w:instrText>
    </w:r>
    <w:r>
      <w:rPr>
        <w:rStyle w:val="a7"/>
      </w:rPr>
      <w:fldChar w:fldCharType="separate"/>
    </w:r>
    <w:r w:rsidR="00317227">
      <w:rPr>
        <w:rStyle w:val="a7"/>
        <w:noProof/>
      </w:rPr>
      <w:t>22</w:t>
    </w:r>
    <w:r>
      <w:rPr>
        <w:rStyle w:val="a7"/>
      </w:rPr>
      <w:fldChar w:fldCharType="end"/>
    </w:r>
  </w:p>
  <w:p w:rsidR="00A62673" w:rsidRDefault="00A62673">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871429" w:rsidRDefault="00871429">
      <w:r>
        <w:separator/>
      </w:r>
    </w:p>
  </w:footnote>
  <w:footnote w:id="0" w:type="continuationSeparator">
    <w:p w:rsidR="00871429" w:rsidRDefault="00871429">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5E491F" w:rsidR="00A62673" w:rsidRDefault="00A62673" w:rsidRPr="00977154">
    <w:pPr>
      <w:pStyle w:val="a9"/>
      <w:pBdr>
        <w:bottom w:color="auto" w:space="0" w:sz="6" w:val="single"/>
      </w:pBdr>
      <w:jc w:val="right"/>
    </w:pPr>
    <w:r w:rsidRPr="00977154">
      <w:t/>
    </w:r>
    <w:proofErr w:type="spellStart"/>
    <w:proofErr w:type="gramStart"/>
    <w:r w:rsidRPr="00977154">
      <w:t/>
    </w:r>
    <w:proofErr w:type="spellEnd"/>
    <w:proofErr w:type="gramEnd"/>
    <w:r w:rsidRPr="00977154">
      <w:t>易方达沪深300量化增强证券投资基金</w:t>
    </w:r>
    <w:proofErr w:type="spellStart"/>
    <w:r w:rsidRPr="00977154">
      <w:t/>
    </w:r>
    <w:proofErr w:type="spellEnd"/>
    <w:r w:rsidRPr="0097715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doNotDisplayPageBoundaries/>
  <w:printPostScriptOverText/>
  <w:bordersDoNotSurroundHeader/>
  <w:bordersDoNotSurroundFooter/>
  <w:proofState w:grammar="clean" w:spelling="clean"/>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42A56"/>
    <w:rsid w:val="0000021D"/>
    <w:rsid w:val="000020BB"/>
    <w:rsid w:val="0000369F"/>
    <w:rsid w:val="0000403B"/>
    <w:rsid w:val="00005911"/>
    <w:rsid w:val="00010A83"/>
    <w:rsid w:val="00010A8E"/>
    <w:rsid w:val="00010AC3"/>
    <w:rsid w:val="000115A7"/>
    <w:rsid w:val="00011EB5"/>
    <w:rsid w:val="0001280C"/>
    <w:rsid w:val="00017581"/>
    <w:rsid w:val="00020583"/>
    <w:rsid w:val="00021DD4"/>
    <w:rsid w:val="00023BE7"/>
    <w:rsid w:val="00024709"/>
    <w:rsid w:val="00037FCF"/>
    <w:rsid w:val="000421B8"/>
    <w:rsid w:val="00043ABF"/>
    <w:rsid w:val="000445E4"/>
    <w:rsid w:val="00045BEC"/>
    <w:rsid w:val="000510AB"/>
    <w:rsid w:val="00055AF1"/>
    <w:rsid w:val="000625A6"/>
    <w:rsid w:val="00064AE3"/>
    <w:rsid w:val="0006511D"/>
    <w:rsid w:val="00066524"/>
    <w:rsid w:val="00070CD1"/>
    <w:rsid w:val="0007171B"/>
    <w:rsid w:val="00072E4F"/>
    <w:rsid w:val="00074E9F"/>
    <w:rsid w:val="000770DE"/>
    <w:rsid w:val="00081D05"/>
    <w:rsid w:val="000820A8"/>
    <w:rsid w:val="00084895"/>
    <w:rsid w:val="00084EE5"/>
    <w:rsid w:val="00087CF7"/>
    <w:rsid w:val="00091560"/>
    <w:rsid w:val="00093160"/>
    <w:rsid w:val="00094876"/>
    <w:rsid w:val="00095912"/>
    <w:rsid w:val="00095CE0"/>
    <w:rsid w:val="00096933"/>
    <w:rsid w:val="00097230"/>
    <w:rsid w:val="0009778D"/>
    <w:rsid w:val="000A457E"/>
    <w:rsid w:val="000A53FD"/>
    <w:rsid w:val="000A549A"/>
    <w:rsid w:val="000A5F96"/>
    <w:rsid w:val="000A72F2"/>
    <w:rsid w:val="000B0C56"/>
    <w:rsid w:val="000B3E43"/>
    <w:rsid w:val="000B5CC0"/>
    <w:rsid w:val="000C1723"/>
    <w:rsid w:val="000C1B20"/>
    <w:rsid w:val="000C4107"/>
    <w:rsid w:val="000C45E7"/>
    <w:rsid w:val="000C7776"/>
    <w:rsid w:val="000D01F4"/>
    <w:rsid w:val="000D1519"/>
    <w:rsid w:val="000D1C87"/>
    <w:rsid w:val="000E4456"/>
    <w:rsid w:val="000F175F"/>
    <w:rsid w:val="000F17D1"/>
    <w:rsid w:val="000F60FF"/>
    <w:rsid w:val="000F635F"/>
    <w:rsid w:val="000F6C61"/>
    <w:rsid w:val="00100C12"/>
    <w:rsid w:val="00101DBA"/>
    <w:rsid w:val="001049B6"/>
    <w:rsid w:val="001051C6"/>
    <w:rsid w:val="00107CB4"/>
    <w:rsid w:val="0011177A"/>
    <w:rsid w:val="00112E9B"/>
    <w:rsid w:val="00116E31"/>
    <w:rsid w:val="00122A26"/>
    <w:rsid w:val="0012304E"/>
    <w:rsid w:val="001248EF"/>
    <w:rsid w:val="001257C7"/>
    <w:rsid w:val="00126DDF"/>
    <w:rsid w:val="001270BF"/>
    <w:rsid w:val="00127BAC"/>
    <w:rsid w:val="0013360F"/>
    <w:rsid w:val="00141121"/>
    <w:rsid w:val="00142A56"/>
    <w:rsid w:val="00144DF5"/>
    <w:rsid w:val="00145A97"/>
    <w:rsid w:val="00146485"/>
    <w:rsid w:val="00150AD6"/>
    <w:rsid w:val="00153B40"/>
    <w:rsid w:val="00154ADA"/>
    <w:rsid w:val="0015531A"/>
    <w:rsid w:val="001600E8"/>
    <w:rsid w:val="00163B27"/>
    <w:rsid w:val="00165317"/>
    <w:rsid w:val="00165A09"/>
    <w:rsid w:val="00171BAD"/>
    <w:rsid w:val="0017347D"/>
    <w:rsid w:val="001744B4"/>
    <w:rsid w:val="001756A1"/>
    <w:rsid w:val="001761EE"/>
    <w:rsid w:val="0017659B"/>
    <w:rsid w:val="00176EAA"/>
    <w:rsid w:val="0017725A"/>
    <w:rsid w:val="001779ED"/>
    <w:rsid w:val="00177C4B"/>
    <w:rsid w:val="00182635"/>
    <w:rsid w:val="0018325A"/>
    <w:rsid w:val="00185053"/>
    <w:rsid w:val="00186199"/>
    <w:rsid w:val="001928F7"/>
    <w:rsid w:val="00194537"/>
    <w:rsid w:val="0019563C"/>
    <w:rsid w:val="00195F18"/>
    <w:rsid w:val="001968CE"/>
    <w:rsid w:val="00196E83"/>
    <w:rsid w:val="001A0A1E"/>
    <w:rsid w:val="001A21A9"/>
    <w:rsid w:val="001A59D8"/>
    <w:rsid w:val="001A5FA6"/>
    <w:rsid w:val="001A6A3B"/>
    <w:rsid w:val="001A6F8A"/>
    <w:rsid w:val="001B0A62"/>
    <w:rsid w:val="001B2F0C"/>
    <w:rsid w:val="001C13C9"/>
    <w:rsid w:val="001C37F6"/>
    <w:rsid w:val="001C6288"/>
    <w:rsid w:val="001D0DB0"/>
    <w:rsid w:val="001D0F6A"/>
    <w:rsid w:val="001D21BC"/>
    <w:rsid w:val="001D2FA5"/>
    <w:rsid w:val="001D35E0"/>
    <w:rsid w:val="001D3711"/>
    <w:rsid w:val="001D3CDF"/>
    <w:rsid w:val="001D5045"/>
    <w:rsid w:val="001D5A44"/>
    <w:rsid w:val="001D63BB"/>
    <w:rsid w:val="001D724B"/>
    <w:rsid w:val="001E11D3"/>
    <w:rsid w:val="001E2A6A"/>
    <w:rsid w:val="001E3742"/>
    <w:rsid w:val="001E3DC2"/>
    <w:rsid w:val="001E4DBA"/>
    <w:rsid w:val="001E56FF"/>
    <w:rsid w:val="001E5C6B"/>
    <w:rsid w:val="001F03E1"/>
    <w:rsid w:val="001F3CC6"/>
    <w:rsid w:val="001F4530"/>
    <w:rsid w:val="001F5265"/>
    <w:rsid w:val="002010DE"/>
    <w:rsid w:val="00202885"/>
    <w:rsid w:val="00202968"/>
    <w:rsid w:val="00202C32"/>
    <w:rsid w:val="00203AEF"/>
    <w:rsid w:val="00211A26"/>
    <w:rsid w:val="002125F7"/>
    <w:rsid w:val="00214463"/>
    <w:rsid w:val="00214756"/>
    <w:rsid w:val="00215CF2"/>
    <w:rsid w:val="00217171"/>
    <w:rsid w:val="00220542"/>
    <w:rsid w:val="00221174"/>
    <w:rsid w:val="00225421"/>
    <w:rsid w:val="00225ADC"/>
    <w:rsid w:val="00227748"/>
    <w:rsid w:val="00230A66"/>
    <w:rsid w:val="00230EC2"/>
    <w:rsid w:val="002359EB"/>
    <w:rsid w:val="002363AB"/>
    <w:rsid w:val="00236807"/>
    <w:rsid w:val="00237F06"/>
    <w:rsid w:val="0024260D"/>
    <w:rsid w:val="00245012"/>
    <w:rsid w:val="0024504E"/>
    <w:rsid w:val="0024651F"/>
    <w:rsid w:val="00250062"/>
    <w:rsid w:val="00250BE3"/>
    <w:rsid w:val="0025158D"/>
    <w:rsid w:val="002517C2"/>
    <w:rsid w:val="0025281A"/>
    <w:rsid w:val="00253D3C"/>
    <w:rsid w:val="00255292"/>
    <w:rsid w:val="00257D8C"/>
    <w:rsid w:val="00257F8D"/>
    <w:rsid w:val="00260200"/>
    <w:rsid w:val="00263563"/>
    <w:rsid w:val="002648D8"/>
    <w:rsid w:val="00264E55"/>
    <w:rsid w:val="00267B74"/>
    <w:rsid w:val="00270548"/>
    <w:rsid w:val="00273F86"/>
    <w:rsid w:val="002774F0"/>
    <w:rsid w:val="00283272"/>
    <w:rsid w:val="0028459B"/>
    <w:rsid w:val="00284C5F"/>
    <w:rsid w:val="002873F0"/>
    <w:rsid w:val="00287AC3"/>
    <w:rsid w:val="0029046D"/>
    <w:rsid w:val="00295C5D"/>
    <w:rsid w:val="002964F9"/>
    <w:rsid w:val="002A1F14"/>
    <w:rsid w:val="002A2678"/>
    <w:rsid w:val="002A2E01"/>
    <w:rsid w:val="002A398F"/>
    <w:rsid w:val="002A3B4A"/>
    <w:rsid w:val="002A5C6B"/>
    <w:rsid w:val="002A5D31"/>
    <w:rsid w:val="002A714F"/>
    <w:rsid w:val="002B1851"/>
    <w:rsid w:val="002B27FF"/>
    <w:rsid w:val="002B6793"/>
    <w:rsid w:val="002B7C16"/>
    <w:rsid w:val="002C1726"/>
    <w:rsid w:val="002C21A6"/>
    <w:rsid w:val="002C2610"/>
    <w:rsid w:val="002C26D5"/>
    <w:rsid w:val="002C5777"/>
    <w:rsid w:val="002D32E3"/>
    <w:rsid w:val="002E0FEB"/>
    <w:rsid w:val="002E300D"/>
    <w:rsid w:val="002F0F79"/>
    <w:rsid w:val="002F1CC8"/>
    <w:rsid w:val="002F280E"/>
    <w:rsid w:val="002F3709"/>
    <w:rsid w:val="002F3A6C"/>
    <w:rsid w:val="002F4296"/>
    <w:rsid w:val="00300951"/>
    <w:rsid w:val="003023C9"/>
    <w:rsid w:val="00302CA8"/>
    <w:rsid w:val="00302DE9"/>
    <w:rsid w:val="00305084"/>
    <w:rsid w:val="00310086"/>
    <w:rsid w:val="00312FE8"/>
    <w:rsid w:val="0031358C"/>
    <w:rsid w:val="00313AE2"/>
    <w:rsid w:val="0031630D"/>
    <w:rsid w:val="00317227"/>
    <w:rsid w:val="003204E9"/>
    <w:rsid w:val="00321E8C"/>
    <w:rsid w:val="00322A86"/>
    <w:rsid w:val="00323AE8"/>
    <w:rsid w:val="00324548"/>
    <w:rsid w:val="003251F4"/>
    <w:rsid w:val="003303E3"/>
    <w:rsid w:val="00331FA4"/>
    <w:rsid w:val="003329EA"/>
    <w:rsid w:val="003347EF"/>
    <w:rsid w:val="00337293"/>
    <w:rsid w:val="003407A5"/>
    <w:rsid w:val="00341188"/>
    <w:rsid w:val="0034147B"/>
    <w:rsid w:val="00345AA8"/>
    <w:rsid w:val="00350238"/>
    <w:rsid w:val="0035109C"/>
    <w:rsid w:val="00351F0A"/>
    <w:rsid w:val="0035432B"/>
    <w:rsid w:val="00354CAC"/>
    <w:rsid w:val="00357172"/>
    <w:rsid w:val="0035753B"/>
    <w:rsid w:val="003613A8"/>
    <w:rsid w:val="00361E7E"/>
    <w:rsid w:val="0036360E"/>
    <w:rsid w:val="00364504"/>
    <w:rsid w:val="00364559"/>
    <w:rsid w:val="00370AA4"/>
    <w:rsid w:val="00371FF4"/>
    <w:rsid w:val="00376C39"/>
    <w:rsid w:val="00377520"/>
    <w:rsid w:val="003802CC"/>
    <w:rsid w:val="00380D36"/>
    <w:rsid w:val="003822D3"/>
    <w:rsid w:val="0038237A"/>
    <w:rsid w:val="003834E0"/>
    <w:rsid w:val="00384C43"/>
    <w:rsid w:val="00386630"/>
    <w:rsid w:val="00390B25"/>
    <w:rsid w:val="00397156"/>
    <w:rsid w:val="00397960"/>
    <w:rsid w:val="003A0A94"/>
    <w:rsid w:val="003A3BC4"/>
    <w:rsid w:val="003A458A"/>
    <w:rsid w:val="003B2DA8"/>
    <w:rsid w:val="003B2F13"/>
    <w:rsid w:val="003B405E"/>
    <w:rsid w:val="003B57D3"/>
    <w:rsid w:val="003C1A49"/>
    <w:rsid w:val="003C1F58"/>
    <w:rsid w:val="003C6C58"/>
    <w:rsid w:val="003C792F"/>
    <w:rsid w:val="003D124B"/>
    <w:rsid w:val="003D18F3"/>
    <w:rsid w:val="003D23CB"/>
    <w:rsid w:val="003D6F64"/>
    <w:rsid w:val="003D78B5"/>
    <w:rsid w:val="003E244F"/>
    <w:rsid w:val="003E62A6"/>
    <w:rsid w:val="003E68A0"/>
    <w:rsid w:val="003E695F"/>
    <w:rsid w:val="003E6C9B"/>
    <w:rsid w:val="003E709C"/>
    <w:rsid w:val="003E7B89"/>
    <w:rsid w:val="003F4241"/>
    <w:rsid w:val="003F7040"/>
    <w:rsid w:val="003F7C45"/>
    <w:rsid w:val="0040132C"/>
    <w:rsid w:val="00405085"/>
    <w:rsid w:val="00405481"/>
    <w:rsid w:val="004066FC"/>
    <w:rsid w:val="00407C10"/>
    <w:rsid w:val="004103DF"/>
    <w:rsid w:val="00410E6E"/>
    <w:rsid w:val="004113B4"/>
    <w:rsid w:val="00413689"/>
    <w:rsid w:val="004143D6"/>
    <w:rsid w:val="00414827"/>
    <w:rsid w:val="00416C10"/>
    <w:rsid w:val="00420355"/>
    <w:rsid w:val="00421E6B"/>
    <w:rsid w:val="00424EF3"/>
    <w:rsid w:val="004268BB"/>
    <w:rsid w:val="00431047"/>
    <w:rsid w:val="004318F0"/>
    <w:rsid w:val="00431B86"/>
    <w:rsid w:val="00435368"/>
    <w:rsid w:val="004408EC"/>
    <w:rsid w:val="004419E2"/>
    <w:rsid w:val="00441E6A"/>
    <w:rsid w:val="0044398D"/>
    <w:rsid w:val="00443C8F"/>
    <w:rsid w:val="00447C82"/>
    <w:rsid w:val="00450215"/>
    <w:rsid w:val="00452481"/>
    <w:rsid w:val="00457251"/>
    <w:rsid w:val="004575E9"/>
    <w:rsid w:val="004576F2"/>
    <w:rsid w:val="00457804"/>
    <w:rsid w:val="004646BF"/>
    <w:rsid w:val="00464744"/>
    <w:rsid w:val="004665E3"/>
    <w:rsid w:val="00467683"/>
    <w:rsid w:val="004731F1"/>
    <w:rsid w:val="00480BC8"/>
    <w:rsid w:val="00481265"/>
    <w:rsid w:val="004814BF"/>
    <w:rsid w:val="0048587E"/>
    <w:rsid w:val="00487C2B"/>
    <w:rsid w:val="00490626"/>
    <w:rsid w:val="00491631"/>
    <w:rsid w:val="0049297D"/>
    <w:rsid w:val="004929F2"/>
    <w:rsid w:val="00495A03"/>
    <w:rsid w:val="004967FC"/>
    <w:rsid w:val="00496AF7"/>
    <w:rsid w:val="00497079"/>
    <w:rsid w:val="004A00BD"/>
    <w:rsid w:val="004A1A57"/>
    <w:rsid w:val="004A1BBA"/>
    <w:rsid w:val="004A3E3C"/>
    <w:rsid w:val="004B0E4B"/>
    <w:rsid w:val="004B0E6D"/>
    <w:rsid w:val="004B16E8"/>
    <w:rsid w:val="004B2DB9"/>
    <w:rsid w:val="004B5E54"/>
    <w:rsid w:val="004B6250"/>
    <w:rsid w:val="004B76B1"/>
    <w:rsid w:val="004C0057"/>
    <w:rsid w:val="004C03A7"/>
    <w:rsid w:val="004C0541"/>
    <w:rsid w:val="004C2C46"/>
    <w:rsid w:val="004C5189"/>
    <w:rsid w:val="004C7235"/>
    <w:rsid w:val="004C7955"/>
    <w:rsid w:val="004D047F"/>
    <w:rsid w:val="004D1930"/>
    <w:rsid w:val="004D1A45"/>
    <w:rsid w:val="004D3D96"/>
    <w:rsid w:val="004D650F"/>
    <w:rsid w:val="004E2133"/>
    <w:rsid w:val="004E5AB9"/>
    <w:rsid w:val="004E60FB"/>
    <w:rsid w:val="004F4EA9"/>
    <w:rsid w:val="004F779C"/>
    <w:rsid w:val="004F7846"/>
    <w:rsid w:val="005000D4"/>
    <w:rsid w:val="0050069E"/>
    <w:rsid w:val="005009C0"/>
    <w:rsid w:val="00500F1D"/>
    <w:rsid w:val="0050148E"/>
    <w:rsid w:val="00504285"/>
    <w:rsid w:val="00504432"/>
    <w:rsid w:val="00505EE0"/>
    <w:rsid w:val="0050638D"/>
    <w:rsid w:val="00510CAF"/>
    <w:rsid w:val="00511B6A"/>
    <w:rsid w:val="005128C5"/>
    <w:rsid w:val="00514754"/>
    <w:rsid w:val="0051478B"/>
    <w:rsid w:val="0051566A"/>
    <w:rsid w:val="00515D7B"/>
    <w:rsid w:val="005166E9"/>
    <w:rsid w:val="0052009E"/>
    <w:rsid w:val="00521065"/>
    <w:rsid w:val="00524EC3"/>
    <w:rsid w:val="00525E59"/>
    <w:rsid w:val="005318CC"/>
    <w:rsid w:val="00531D1B"/>
    <w:rsid w:val="005349B1"/>
    <w:rsid w:val="005374BC"/>
    <w:rsid w:val="00543188"/>
    <w:rsid w:val="00543367"/>
    <w:rsid w:val="00543BFA"/>
    <w:rsid w:val="00547D9C"/>
    <w:rsid w:val="00547DA1"/>
    <w:rsid w:val="00551CED"/>
    <w:rsid w:val="00554EAB"/>
    <w:rsid w:val="0055513C"/>
    <w:rsid w:val="00560C94"/>
    <w:rsid w:val="00560F37"/>
    <w:rsid w:val="0056291C"/>
    <w:rsid w:val="00565A63"/>
    <w:rsid w:val="00566588"/>
    <w:rsid w:val="00570B1A"/>
    <w:rsid w:val="00572736"/>
    <w:rsid w:val="0057275D"/>
    <w:rsid w:val="005800A9"/>
    <w:rsid w:val="00580488"/>
    <w:rsid w:val="0058074D"/>
    <w:rsid w:val="00580FD1"/>
    <w:rsid w:val="0058111B"/>
    <w:rsid w:val="00582FAD"/>
    <w:rsid w:val="00583489"/>
    <w:rsid w:val="00583A98"/>
    <w:rsid w:val="00584D71"/>
    <w:rsid w:val="005858C4"/>
    <w:rsid w:val="00590DB7"/>
    <w:rsid w:val="00590FE4"/>
    <w:rsid w:val="00591D9C"/>
    <w:rsid w:val="00597057"/>
    <w:rsid w:val="00597D8B"/>
    <w:rsid w:val="005A1C30"/>
    <w:rsid w:val="005A2769"/>
    <w:rsid w:val="005A2DCB"/>
    <w:rsid w:val="005A3295"/>
    <w:rsid w:val="005A46FF"/>
    <w:rsid w:val="005A6166"/>
    <w:rsid w:val="005B011E"/>
    <w:rsid w:val="005B1C7D"/>
    <w:rsid w:val="005B1DEC"/>
    <w:rsid w:val="005B2E84"/>
    <w:rsid w:val="005B53CA"/>
    <w:rsid w:val="005B5A04"/>
    <w:rsid w:val="005B7B0E"/>
    <w:rsid w:val="005C0A04"/>
    <w:rsid w:val="005C5409"/>
    <w:rsid w:val="005C69AC"/>
    <w:rsid w:val="005C722E"/>
    <w:rsid w:val="005D01A4"/>
    <w:rsid w:val="005D14DE"/>
    <w:rsid w:val="005D3F12"/>
    <w:rsid w:val="005D44E4"/>
    <w:rsid w:val="005D45B3"/>
    <w:rsid w:val="005D4CEB"/>
    <w:rsid w:val="005E491F"/>
    <w:rsid w:val="005E58CE"/>
    <w:rsid w:val="005E59E9"/>
    <w:rsid w:val="005F04E6"/>
    <w:rsid w:val="005F43B9"/>
    <w:rsid w:val="005F68CB"/>
    <w:rsid w:val="005F6A4A"/>
    <w:rsid w:val="00602154"/>
    <w:rsid w:val="006033E3"/>
    <w:rsid w:val="00604FE3"/>
    <w:rsid w:val="0061321C"/>
    <w:rsid w:val="00620DB0"/>
    <w:rsid w:val="0062386E"/>
    <w:rsid w:val="00623D9A"/>
    <w:rsid w:val="00623F01"/>
    <w:rsid w:val="006242FB"/>
    <w:rsid w:val="00626E2D"/>
    <w:rsid w:val="00627D94"/>
    <w:rsid w:val="00630B42"/>
    <w:rsid w:val="00636CDE"/>
    <w:rsid w:val="00637BA7"/>
    <w:rsid w:val="00640ACD"/>
    <w:rsid w:val="00642072"/>
    <w:rsid w:val="00643330"/>
    <w:rsid w:val="006440ED"/>
    <w:rsid w:val="00645293"/>
    <w:rsid w:val="00647C64"/>
    <w:rsid w:val="00651B78"/>
    <w:rsid w:val="00652263"/>
    <w:rsid w:val="00652881"/>
    <w:rsid w:val="00661974"/>
    <w:rsid w:val="00664551"/>
    <w:rsid w:val="00664E44"/>
    <w:rsid w:val="00665677"/>
    <w:rsid w:val="0066704D"/>
    <w:rsid w:val="006676A0"/>
    <w:rsid w:val="00670857"/>
    <w:rsid w:val="00671124"/>
    <w:rsid w:val="006727B0"/>
    <w:rsid w:val="0067307E"/>
    <w:rsid w:val="00677AC6"/>
    <w:rsid w:val="00687AD5"/>
    <w:rsid w:val="00691AFA"/>
    <w:rsid w:val="0069335C"/>
    <w:rsid w:val="00695251"/>
    <w:rsid w:val="00695ADE"/>
    <w:rsid w:val="00695C0D"/>
    <w:rsid w:val="00696356"/>
    <w:rsid w:val="006A72C6"/>
    <w:rsid w:val="006B02DA"/>
    <w:rsid w:val="006B2065"/>
    <w:rsid w:val="006B315F"/>
    <w:rsid w:val="006B3940"/>
    <w:rsid w:val="006B3FC5"/>
    <w:rsid w:val="006C168D"/>
    <w:rsid w:val="006C1D5C"/>
    <w:rsid w:val="006C3C80"/>
    <w:rsid w:val="006C3F43"/>
    <w:rsid w:val="006C642C"/>
    <w:rsid w:val="006C6FC6"/>
    <w:rsid w:val="006D442E"/>
    <w:rsid w:val="006D6A40"/>
    <w:rsid w:val="006D6F20"/>
    <w:rsid w:val="006D7693"/>
    <w:rsid w:val="006E231B"/>
    <w:rsid w:val="006E346E"/>
    <w:rsid w:val="006E34B7"/>
    <w:rsid w:val="006F0F87"/>
    <w:rsid w:val="006F2F3E"/>
    <w:rsid w:val="006F4CD8"/>
    <w:rsid w:val="006F53D9"/>
    <w:rsid w:val="006F6A94"/>
    <w:rsid w:val="00700348"/>
    <w:rsid w:val="007004DC"/>
    <w:rsid w:val="00701575"/>
    <w:rsid w:val="00701A03"/>
    <w:rsid w:val="00703E8A"/>
    <w:rsid w:val="00711522"/>
    <w:rsid w:val="007124FE"/>
    <w:rsid w:val="00712EE5"/>
    <w:rsid w:val="00713186"/>
    <w:rsid w:val="00713757"/>
    <w:rsid w:val="0071379B"/>
    <w:rsid w:val="0071497D"/>
    <w:rsid w:val="00717772"/>
    <w:rsid w:val="00721AF1"/>
    <w:rsid w:val="0072280F"/>
    <w:rsid w:val="00722B5E"/>
    <w:rsid w:val="00723309"/>
    <w:rsid w:val="00723845"/>
    <w:rsid w:val="0072708F"/>
    <w:rsid w:val="007323FB"/>
    <w:rsid w:val="00732D1D"/>
    <w:rsid w:val="00736034"/>
    <w:rsid w:val="0073681C"/>
    <w:rsid w:val="00736B25"/>
    <w:rsid w:val="00741EBE"/>
    <w:rsid w:val="00746130"/>
    <w:rsid w:val="007467A8"/>
    <w:rsid w:val="00746A40"/>
    <w:rsid w:val="007479DC"/>
    <w:rsid w:val="00750358"/>
    <w:rsid w:val="00755CDF"/>
    <w:rsid w:val="00757222"/>
    <w:rsid w:val="00757A4C"/>
    <w:rsid w:val="0076110A"/>
    <w:rsid w:val="00764A94"/>
    <w:rsid w:val="00764DC3"/>
    <w:rsid w:val="007651E5"/>
    <w:rsid w:val="007670DC"/>
    <w:rsid w:val="00767239"/>
    <w:rsid w:val="0077111A"/>
    <w:rsid w:val="00772272"/>
    <w:rsid w:val="00774C7D"/>
    <w:rsid w:val="007756ED"/>
    <w:rsid w:val="007869A0"/>
    <w:rsid w:val="00786A23"/>
    <w:rsid w:val="007870FC"/>
    <w:rsid w:val="00787CD0"/>
    <w:rsid w:val="00791053"/>
    <w:rsid w:val="00791A3A"/>
    <w:rsid w:val="00794196"/>
    <w:rsid w:val="00797637"/>
    <w:rsid w:val="007A2E54"/>
    <w:rsid w:val="007A3680"/>
    <w:rsid w:val="007A59B8"/>
    <w:rsid w:val="007B2862"/>
    <w:rsid w:val="007B662A"/>
    <w:rsid w:val="007B6FEC"/>
    <w:rsid w:val="007C1A93"/>
    <w:rsid w:val="007C751E"/>
    <w:rsid w:val="007D021A"/>
    <w:rsid w:val="007D28C9"/>
    <w:rsid w:val="007D3CC8"/>
    <w:rsid w:val="007D62F9"/>
    <w:rsid w:val="007D63A4"/>
    <w:rsid w:val="007E1AA2"/>
    <w:rsid w:val="007E4C1F"/>
    <w:rsid w:val="007E6601"/>
    <w:rsid w:val="007F0746"/>
    <w:rsid w:val="007F0759"/>
    <w:rsid w:val="007F25C0"/>
    <w:rsid w:val="007F456A"/>
    <w:rsid w:val="007F4C9B"/>
    <w:rsid w:val="007F5F52"/>
    <w:rsid w:val="007F77C6"/>
    <w:rsid w:val="007F77D8"/>
    <w:rsid w:val="008003A1"/>
    <w:rsid w:val="008006B7"/>
    <w:rsid w:val="00800FDB"/>
    <w:rsid w:val="00802081"/>
    <w:rsid w:val="008020B5"/>
    <w:rsid w:val="008021E8"/>
    <w:rsid w:val="008034CF"/>
    <w:rsid w:val="008063D8"/>
    <w:rsid w:val="00806461"/>
    <w:rsid w:val="00806722"/>
    <w:rsid w:val="0081096D"/>
    <w:rsid w:val="00810EAD"/>
    <w:rsid w:val="00811833"/>
    <w:rsid w:val="008174D4"/>
    <w:rsid w:val="00820FE6"/>
    <w:rsid w:val="00821A66"/>
    <w:rsid w:val="00822476"/>
    <w:rsid w:val="00822882"/>
    <w:rsid w:val="0082435E"/>
    <w:rsid w:val="00824CB2"/>
    <w:rsid w:val="00825F68"/>
    <w:rsid w:val="008273D3"/>
    <w:rsid w:val="00835408"/>
    <w:rsid w:val="008359DA"/>
    <w:rsid w:val="00837CEF"/>
    <w:rsid w:val="00840035"/>
    <w:rsid w:val="00840220"/>
    <w:rsid w:val="008419D5"/>
    <w:rsid w:val="00841B65"/>
    <w:rsid w:val="008428A9"/>
    <w:rsid w:val="00844112"/>
    <w:rsid w:val="008456C9"/>
    <w:rsid w:val="0084611D"/>
    <w:rsid w:val="00847BEF"/>
    <w:rsid w:val="00847D9E"/>
    <w:rsid w:val="00850C62"/>
    <w:rsid w:val="008624F9"/>
    <w:rsid w:val="00863011"/>
    <w:rsid w:val="00865075"/>
    <w:rsid w:val="00866F96"/>
    <w:rsid w:val="0086748F"/>
    <w:rsid w:val="00871429"/>
    <w:rsid w:val="00872CE4"/>
    <w:rsid w:val="00874F4B"/>
    <w:rsid w:val="0087539B"/>
    <w:rsid w:val="00877B62"/>
    <w:rsid w:val="00880199"/>
    <w:rsid w:val="00881015"/>
    <w:rsid w:val="008810B0"/>
    <w:rsid w:val="008813D6"/>
    <w:rsid w:val="008819B6"/>
    <w:rsid w:val="00881AAC"/>
    <w:rsid w:val="008836B7"/>
    <w:rsid w:val="008841D3"/>
    <w:rsid w:val="0088709F"/>
    <w:rsid w:val="00887DE6"/>
    <w:rsid w:val="00894C2A"/>
    <w:rsid w:val="00897708"/>
    <w:rsid w:val="00897D88"/>
    <w:rsid w:val="008A2F16"/>
    <w:rsid w:val="008B1823"/>
    <w:rsid w:val="008B203C"/>
    <w:rsid w:val="008B6E16"/>
    <w:rsid w:val="008B7110"/>
    <w:rsid w:val="008C2029"/>
    <w:rsid w:val="008C61D6"/>
    <w:rsid w:val="008C64F1"/>
    <w:rsid w:val="008D1531"/>
    <w:rsid w:val="008D1BB0"/>
    <w:rsid w:val="008D20FF"/>
    <w:rsid w:val="008D2265"/>
    <w:rsid w:val="008D3DE6"/>
    <w:rsid w:val="008D4223"/>
    <w:rsid w:val="008D44CC"/>
    <w:rsid w:val="008D46E3"/>
    <w:rsid w:val="008D6709"/>
    <w:rsid w:val="008D7EF7"/>
    <w:rsid w:val="008E083A"/>
    <w:rsid w:val="008E1338"/>
    <w:rsid w:val="008E2450"/>
    <w:rsid w:val="008E2983"/>
    <w:rsid w:val="008E6038"/>
    <w:rsid w:val="008E7896"/>
    <w:rsid w:val="008F2477"/>
    <w:rsid w:val="008F2F2B"/>
    <w:rsid w:val="008F385C"/>
    <w:rsid w:val="008F3EF6"/>
    <w:rsid w:val="008F4AAB"/>
    <w:rsid w:val="008F60C5"/>
    <w:rsid w:val="00900A07"/>
    <w:rsid w:val="009010F0"/>
    <w:rsid w:val="00901162"/>
    <w:rsid w:val="0090223A"/>
    <w:rsid w:val="009028E2"/>
    <w:rsid w:val="00914EAB"/>
    <w:rsid w:val="00916597"/>
    <w:rsid w:val="00922D49"/>
    <w:rsid w:val="009259CF"/>
    <w:rsid w:val="00925E37"/>
    <w:rsid w:val="00925EDD"/>
    <w:rsid w:val="00927D0E"/>
    <w:rsid w:val="009309DA"/>
    <w:rsid w:val="00936688"/>
    <w:rsid w:val="00937CFA"/>
    <w:rsid w:val="009406B3"/>
    <w:rsid w:val="00942DF0"/>
    <w:rsid w:val="00945CF5"/>
    <w:rsid w:val="00950044"/>
    <w:rsid w:val="009500A1"/>
    <w:rsid w:val="0095037E"/>
    <w:rsid w:val="00950845"/>
    <w:rsid w:val="00952AAD"/>
    <w:rsid w:val="00954567"/>
    <w:rsid w:val="009547A9"/>
    <w:rsid w:val="009548FE"/>
    <w:rsid w:val="00956F0B"/>
    <w:rsid w:val="00957466"/>
    <w:rsid w:val="0096260B"/>
    <w:rsid w:val="009664D5"/>
    <w:rsid w:val="00970C69"/>
    <w:rsid w:val="00971DF7"/>
    <w:rsid w:val="00971F1C"/>
    <w:rsid w:val="0097211D"/>
    <w:rsid w:val="00972E10"/>
    <w:rsid w:val="009746CA"/>
    <w:rsid w:val="00974975"/>
    <w:rsid w:val="00974EA8"/>
    <w:rsid w:val="00977154"/>
    <w:rsid w:val="00981963"/>
    <w:rsid w:val="00983C82"/>
    <w:rsid w:val="00984520"/>
    <w:rsid w:val="0098545C"/>
    <w:rsid w:val="00992BA2"/>
    <w:rsid w:val="00992F83"/>
    <w:rsid w:val="0099508A"/>
    <w:rsid w:val="009974EB"/>
    <w:rsid w:val="009A037F"/>
    <w:rsid w:val="009A1126"/>
    <w:rsid w:val="009A552C"/>
    <w:rsid w:val="009A63AC"/>
    <w:rsid w:val="009B1584"/>
    <w:rsid w:val="009B1B32"/>
    <w:rsid w:val="009B21CA"/>
    <w:rsid w:val="009B2648"/>
    <w:rsid w:val="009C03E5"/>
    <w:rsid w:val="009C0C11"/>
    <w:rsid w:val="009C3730"/>
    <w:rsid w:val="009C37BD"/>
    <w:rsid w:val="009C3AAC"/>
    <w:rsid w:val="009C4D19"/>
    <w:rsid w:val="009C5FDB"/>
    <w:rsid w:val="009C6493"/>
    <w:rsid w:val="009C693E"/>
    <w:rsid w:val="009C70CB"/>
    <w:rsid w:val="009D1EA4"/>
    <w:rsid w:val="009D27AA"/>
    <w:rsid w:val="009D38BA"/>
    <w:rsid w:val="009D4991"/>
    <w:rsid w:val="009D5BB5"/>
    <w:rsid w:val="009D696D"/>
    <w:rsid w:val="009D6ED2"/>
    <w:rsid w:val="009D7F16"/>
    <w:rsid w:val="009E0F1A"/>
    <w:rsid w:val="009E140D"/>
    <w:rsid w:val="009E348F"/>
    <w:rsid w:val="009E4465"/>
    <w:rsid w:val="009E4DF2"/>
    <w:rsid w:val="009E6401"/>
    <w:rsid w:val="009E6C54"/>
    <w:rsid w:val="009F2261"/>
    <w:rsid w:val="009F2A25"/>
    <w:rsid w:val="009F5235"/>
    <w:rsid w:val="009F531A"/>
    <w:rsid w:val="009F6550"/>
    <w:rsid w:val="009F786E"/>
    <w:rsid w:val="00A00902"/>
    <w:rsid w:val="00A039FF"/>
    <w:rsid w:val="00A0522C"/>
    <w:rsid w:val="00A05ACE"/>
    <w:rsid w:val="00A078CB"/>
    <w:rsid w:val="00A14AE3"/>
    <w:rsid w:val="00A1522A"/>
    <w:rsid w:val="00A16675"/>
    <w:rsid w:val="00A22CD6"/>
    <w:rsid w:val="00A234EC"/>
    <w:rsid w:val="00A2417A"/>
    <w:rsid w:val="00A25E8C"/>
    <w:rsid w:val="00A26668"/>
    <w:rsid w:val="00A27804"/>
    <w:rsid w:val="00A3489D"/>
    <w:rsid w:val="00A348F0"/>
    <w:rsid w:val="00A36822"/>
    <w:rsid w:val="00A36AB5"/>
    <w:rsid w:val="00A411D1"/>
    <w:rsid w:val="00A428A4"/>
    <w:rsid w:val="00A42CE1"/>
    <w:rsid w:val="00A43389"/>
    <w:rsid w:val="00A43E71"/>
    <w:rsid w:val="00A45753"/>
    <w:rsid w:val="00A47B15"/>
    <w:rsid w:val="00A52F84"/>
    <w:rsid w:val="00A56B05"/>
    <w:rsid w:val="00A57678"/>
    <w:rsid w:val="00A60E2F"/>
    <w:rsid w:val="00A618F3"/>
    <w:rsid w:val="00A62673"/>
    <w:rsid w:val="00A63284"/>
    <w:rsid w:val="00A64CB8"/>
    <w:rsid w:val="00A67018"/>
    <w:rsid w:val="00A672F3"/>
    <w:rsid w:val="00A673DC"/>
    <w:rsid w:val="00A677FA"/>
    <w:rsid w:val="00A7076E"/>
    <w:rsid w:val="00A709BE"/>
    <w:rsid w:val="00A70F13"/>
    <w:rsid w:val="00A7162E"/>
    <w:rsid w:val="00A7195A"/>
    <w:rsid w:val="00A72D71"/>
    <w:rsid w:val="00A75705"/>
    <w:rsid w:val="00A77C69"/>
    <w:rsid w:val="00A829DE"/>
    <w:rsid w:val="00A83953"/>
    <w:rsid w:val="00A85AF5"/>
    <w:rsid w:val="00A903B6"/>
    <w:rsid w:val="00A90F4F"/>
    <w:rsid w:val="00A92C40"/>
    <w:rsid w:val="00A947AA"/>
    <w:rsid w:val="00AA0AC5"/>
    <w:rsid w:val="00AA19FE"/>
    <w:rsid w:val="00AA1B53"/>
    <w:rsid w:val="00AA3556"/>
    <w:rsid w:val="00AA35FD"/>
    <w:rsid w:val="00AA38A5"/>
    <w:rsid w:val="00AA3ADC"/>
    <w:rsid w:val="00AA3DB7"/>
    <w:rsid w:val="00AA6B2E"/>
    <w:rsid w:val="00AB3012"/>
    <w:rsid w:val="00AB321C"/>
    <w:rsid w:val="00AB5B99"/>
    <w:rsid w:val="00AB688F"/>
    <w:rsid w:val="00AB75EA"/>
    <w:rsid w:val="00AB7AA2"/>
    <w:rsid w:val="00AC44D9"/>
    <w:rsid w:val="00AC4BC1"/>
    <w:rsid w:val="00AC6FFD"/>
    <w:rsid w:val="00AD04BD"/>
    <w:rsid w:val="00AD25F6"/>
    <w:rsid w:val="00AD610E"/>
    <w:rsid w:val="00AD67CB"/>
    <w:rsid w:val="00AD7214"/>
    <w:rsid w:val="00AE1066"/>
    <w:rsid w:val="00AE4518"/>
    <w:rsid w:val="00AE480B"/>
    <w:rsid w:val="00AE5D7F"/>
    <w:rsid w:val="00AE79F0"/>
    <w:rsid w:val="00AF0030"/>
    <w:rsid w:val="00AF2DAE"/>
    <w:rsid w:val="00AF5585"/>
    <w:rsid w:val="00AF6EC1"/>
    <w:rsid w:val="00B00331"/>
    <w:rsid w:val="00B01A80"/>
    <w:rsid w:val="00B03EF2"/>
    <w:rsid w:val="00B07C27"/>
    <w:rsid w:val="00B10017"/>
    <w:rsid w:val="00B10DE1"/>
    <w:rsid w:val="00B10FF8"/>
    <w:rsid w:val="00B203C4"/>
    <w:rsid w:val="00B22E81"/>
    <w:rsid w:val="00B23996"/>
    <w:rsid w:val="00B23CB2"/>
    <w:rsid w:val="00B2561A"/>
    <w:rsid w:val="00B25A64"/>
    <w:rsid w:val="00B32AB3"/>
    <w:rsid w:val="00B34E7C"/>
    <w:rsid w:val="00B368EA"/>
    <w:rsid w:val="00B37EEF"/>
    <w:rsid w:val="00B51D20"/>
    <w:rsid w:val="00B5298E"/>
    <w:rsid w:val="00B54370"/>
    <w:rsid w:val="00B54B5F"/>
    <w:rsid w:val="00B55185"/>
    <w:rsid w:val="00B60D38"/>
    <w:rsid w:val="00B61923"/>
    <w:rsid w:val="00B621D6"/>
    <w:rsid w:val="00B63EF5"/>
    <w:rsid w:val="00B65D6F"/>
    <w:rsid w:val="00B677E1"/>
    <w:rsid w:val="00B67C23"/>
    <w:rsid w:val="00B7090F"/>
    <w:rsid w:val="00B70DC7"/>
    <w:rsid w:val="00B73042"/>
    <w:rsid w:val="00B75283"/>
    <w:rsid w:val="00B75735"/>
    <w:rsid w:val="00B77142"/>
    <w:rsid w:val="00B80A2C"/>
    <w:rsid w:val="00B81F60"/>
    <w:rsid w:val="00B841AC"/>
    <w:rsid w:val="00B865B0"/>
    <w:rsid w:val="00B90780"/>
    <w:rsid w:val="00B91F9C"/>
    <w:rsid w:val="00B9240D"/>
    <w:rsid w:val="00BA22A8"/>
    <w:rsid w:val="00BA285B"/>
    <w:rsid w:val="00BA3E48"/>
    <w:rsid w:val="00BA4BD3"/>
    <w:rsid w:val="00BA7473"/>
    <w:rsid w:val="00BB0187"/>
    <w:rsid w:val="00BB07B5"/>
    <w:rsid w:val="00BB1EB3"/>
    <w:rsid w:val="00BB22CA"/>
    <w:rsid w:val="00BB2678"/>
    <w:rsid w:val="00BB3E96"/>
    <w:rsid w:val="00BB6CE3"/>
    <w:rsid w:val="00BC013A"/>
    <w:rsid w:val="00BC2343"/>
    <w:rsid w:val="00BC23F8"/>
    <w:rsid w:val="00BD30C8"/>
    <w:rsid w:val="00BD3EB4"/>
    <w:rsid w:val="00BD5C65"/>
    <w:rsid w:val="00BD7DB4"/>
    <w:rsid w:val="00BE1A80"/>
    <w:rsid w:val="00BE2F07"/>
    <w:rsid w:val="00BE6018"/>
    <w:rsid w:val="00BF0F8F"/>
    <w:rsid w:val="00BF18E8"/>
    <w:rsid w:val="00BF1F57"/>
    <w:rsid w:val="00BF4086"/>
    <w:rsid w:val="00BF426C"/>
    <w:rsid w:val="00BF47C9"/>
    <w:rsid w:val="00BF4E32"/>
    <w:rsid w:val="00BF58D0"/>
    <w:rsid w:val="00BF7D6A"/>
    <w:rsid w:val="00C013E1"/>
    <w:rsid w:val="00C01611"/>
    <w:rsid w:val="00C02D59"/>
    <w:rsid w:val="00C030B6"/>
    <w:rsid w:val="00C03284"/>
    <w:rsid w:val="00C050D7"/>
    <w:rsid w:val="00C05B5F"/>
    <w:rsid w:val="00C104CC"/>
    <w:rsid w:val="00C152FE"/>
    <w:rsid w:val="00C1648E"/>
    <w:rsid w:val="00C16739"/>
    <w:rsid w:val="00C21C43"/>
    <w:rsid w:val="00C22C7D"/>
    <w:rsid w:val="00C22CCE"/>
    <w:rsid w:val="00C231D6"/>
    <w:rsid w:val="00C23BA2"/>
    <w:rsid w:val="00C32AF2"/>
    <w:rsid w:val="00C33204"/>
    <w:rsid w:val="00C338EB"/>
    <w:rsid w:val="00C3465D"/>
    <w:rsid w:val="00C379E9"/>
    <w:rsid w:val="00C439FB"/>
    <w:rsid w:val="00C43F23"/>
    <w:rsid w:val="00C47790"/>
    <w:rsid w:val="00C50011"/>
    <w:rsid w:val="00C5274B"/>
    <w:rsid w:val="00C55A77"/>
    <w:rsid w:val="00C55B19"/>
    <w:rsid w:val="00C645E6"/>
    <w:rsid w:val="00C64D82"/>
    <w:rsid w:val="00C64FBC"/>
    <w:rsid w:val="00C65A83"/>
    <w:rsid w:val="00C72C6F"/>
    <w:rsid w:val="00C76CF1"/>
    <w:rsid w:val="00C80F23"/>
    <w:rsid w:val="00C81151"/>
    <w:rsid w:val="00C82CC6"/>
    <w:rsid w:val="00C850A3"/>
    <w:rsid w:val="00C85C32"/>
    <w:rsid w:val="00C85F94"/>
    <w:rsid w:val="00C87568"/>
    <w:rsid w:val="00C90DB6"/>
    <w:rsid w:val="00C9394F"/>
    <w:rsid w:val="00C93B1A"/>
    <w:rsid w:val="00C96A14"/>
    <w:rsid w:val="00C96F5F"/>
    <w:rsid w:val="00CA21B5"/>
    <w:rsid w:val="00CA5927"/>
    <w:rsid w:val="00CA79EC"/>
    <w:rsid w:val="00CB26A5"/>
    <w:rsid w:val="00CB39C2"/>
    <w:rsid w:val="00CB4664"/>
    <w:rsid w:val="00CB4C8C"/>
    <w:rsid w:val="00CB6782"/>
    <w:rsid w:val="00CC080A"/>
    <w:rsid w:val="00CC2E9F"/>
    <w:rsid w:val="00CC52E1"/>
    <w:rsid w:val="00CD319D"/>
    <w:rsid w:val="00CD6BC3"/>
    <w:rsid w:val="00CD72D0"/>
    <w:rsid w:val="00CE3519"/>
    <w:rsid w:val="00CE5277"/>
    <w:rsid w:val="00CE6358"/>
    <w:rsid w:val="00CF2D54"/>
    <w:rsid w:val="00CF3CDE"/>
    <w:rsid w:val="00CF6570"/>
    <w:rsid w:val="00D03538"/>
    <w:rsid w:val="00D049B8"/>
    <w:rsid w:val="00D0516C"/>
    <w:rsid w:val="00D05EE7"/>
    <w:rsid w:val="00D068D0"/>
    <w:rsid w:val="00D078D1"/>
    <w:rsid w:val="00D129A8"/>
    <w:rsid w:val="00D12FB9"/>
    <w:rsid w:val="00D200BD"/>
    <w:rsid w:val="00D22399"/>
    <w:rsid w:val="00D26460"/>
    <w:rsid w:val="00D3268B"/>
    <w:rsid w:val="00D33751"/>
    <w:rsid w:val="00D33924"/>
    <w:rsid w:val="00D36F6E"/>
    <w:rsid w:val="00D37343"/>
    <w:rsid w:val="00D4205E"/>
    <w:rsid w:val="00D42507"/>
    <w:rsid w:val="00D50E63"/>
    <w:rsid w:val="00D5574C"/>
    <w:rsid w:val="00D61982"/>
    <w:rsid w:val="00D6267A"/>
    <w:rsid w:val="00D67D12"/>
    <w:rsid w:val="00D7585A"/>
    <w:rsid w:val="00D80618"/>
    <w:rsid w:val="00D81A17"/>
    <w:rsid w:val="00D82494"/>
    <w:rsid w:val="00D84A4B"/>
    <w:rsid w:val="00D8681D"/>
    <w:rsid w:val="00D92168"/>
    <w:rsid w:val="00D940A9"/>
    <w:rsid w:val="00D940B5"/>
    <w:rsid w:val="00D95CB0"/>
    <w:rsid w:val="00D977C0"/>
    <w:rsid w:val="00DA00A3"/>
    <w:rsid w:val="00DA13F3"/>
    <w:rsid w:val="00DA2DE3"/>
    <w:rsid w:val="00DA7146"/>
    <w:rsid w:val="00DA716A"/>
    <w:rsid w:val="00DB1F4F"/>
    <w:rsid w:val="00DB37EE"/>
    <w:rsid w:val="00DB4450"/>
    <w:rsid w:val="00DB4A22"/>
    <w:rsid w:val="00DB7B69"/>
    <w:rsid w:val="00DC02EC"/>
    <w:rsid w:val="00DC234A"/>
    <w:rsid w:val="00DC315B"/>
    <w:rsid w:val="00DC41E4"/>
    <w:rsid w:val="00DC5116"/>
    <w:rsid w:val="00DC77DD"/>
    <w:rsid w:val="00DC7C77"/>
    <w:rsid w:val="00DD2417"/>
    <w:rsid w:val="00DD51D8"/>
    <w:rsid w:val="00DD7EA2"/>
    <w:rsid w:val="00DE00F2"/>
    <w:rsid w:val="00DE117F"/>
    <w:rsid w:val="00DE401C"/>
    <w:rsid w:val="00DE4CDE"/>
    <w:rsid w:val="00DF1ED6"/>
    <w:rsid w:val="00DF63FA"/>
    <w:rsid w:val="00E00A1C"/>
    <w:rsid w:val="00E012CC"/>
    <w:rsid w:val="00E02B71"/>
    <w:rsid w:val="00E02DEB"/>
    <w:rsid w:val="00E042A1"/>
    <w:rsid w:val="00E04CE6"/>
    <w:rsid w:val="00E062A5"/>
    <w:rsid w:val="00E104FA"/>
    <w:rsid w:val="00E1082A"/>
    <w:rsid w:val="00E11166"/>
    <w:rsid w:val="00E13182"/>
    <w:rsid w:val="00E15383"/>
    <w:rsid w:val="00E1738C"/>
    <w:rsid w:val="00E22D28"/>
    <w:rsid w:val="00E230E3"/>
    <w:rsid w:val="00E23611"/>
    <w:rsid w:val="00E25852"/>
    <w:rsid w:val="00E30EDF"/>
    <w:rsid w:val="00E31FBA"/>
    <w:rsid w:val="00E36AAE"/>
    <w:rsid w:val="00E41773"/>
    <w:rsid w:val="00E427F2"/>
    <w:rsid w:val="00E513F6"/>
    <w:rsid w:val="00E514F1"/>
    <w:rsid w:val="00E52F3B"/>
    <w:rsid w:val="00E53D94"/>
    <w:rsid w:val="00E53DEA"/>
    <w:rsid w:val="00E55094"/>
    <w:rsid w:val="00E55A61"/>
    <w:rsid w:val="00E57F92"/>
    <w:rsid w:val="00E616DB"/>
    <w:rsid w:val="00E627A4"/>
    <w:rsid w:val="00E630ED"/>
    <w:rsid w:val="00E70C95"/>
    <w:rsid w:val="00E74E84"/>
    <w:rsid w:val="00E74EC5"/>
    <w:rsid w:val="00E75FDC"/>
    <w:rsid w:val="00E76B86"/>
    <w:rsid w:val="00E8342F"/>
    <w:rsid w:val="00E847A7"/>
    <w:rsid w:val="00E85F25"/>
    <w:rsid w:val="00E86E79"/>
    <w:rsid w:val="00E906B4"/>
    <w:rsid w:val="00E9095B"/>
    <w:rsid w:val="00E926B8"/>
    <w:rsid w:val="00E92E98"/>
    <w:rsid w:val="00E9399B"/>
    <w:rsid w:val="00E94008"/>
    <w:rsid w:val="00E94762"/>
    <w:rsid w:val="00E96B52"/>
    <w:rsid w:val="00EA2244"/>
    <w:rsid w:val="00EA4C93"/>
    <w:rsid w:val="00EA6FA7"/>
    <w:rsid w:val="00EB067F"/>
    <w:rsid w:val="00EB0BF5"/>
    <w:rsid w:val="00EB1F02"/>
    <w:rsid w:val="00EB5BC5"/>
    <w:rsid w:val="00EC086C"/>
    <w:rsid w:val="00EC42D0"/>
    <w:rsid w:val="00EC5CE0"/>
    <w:rsid w:val="00EC638F"/>
    <w:rsid w:val="00ED48AC"/>
    <w:rsid w:val="00EE224C"/>
    <w:rsid w:val="00EE4874"/>
    <w:rsid w:val="00EE4A8C"/>
    <w:rsid w:val="00EE674E"/>
    <w:rsid w:val="00EE79A6"/>
    <w:rsid w:val="00EF2689"/>
    <w:rsid w:val="00EF454D"/>
    <w:rsid w:val="00EF6111"/>
    <w:rsid w:val="00F005A0"/>
    <w:rsid w:val="00F02501"/>
    <w:rsid w:val="00F06616"/>
    <w:rsid w:val="00F11352"/>
    <w:rsid w:val="00F1498D"/>
    <w:rsid w:val="00F14DDF"/>
    <w:rsid w:val="00F152AD"/>
    <w:rsid w:val="00F20DFE"/>
    <w:rsid w:val="00F2285F"/>
    <w:rsid w:val="00F23155"/>
    <w:rsid w:val="00F24236"/>
    <w:rsid w:val="00F24E0E"/>
    <w:rsid w:val="00F26693"/>
    <w:rsid w:val="00F3366A"/>
    <w:rsid w:val="00F36130"/>
    <w:rsid w:val="00F40444"/>
    <w:rsid w:val="00F40868"/>
    <w:rsid w:val="00F423BD"/>
    <w:rsid w:val="00F432FF"/>
    <w:rsid w:val="00F4715C"/>
    <w:rsid w:val="00F54869"/>
    <w:rsid w:val="00F556B2"/>
    <w:rsid w:val="00F5754B"/>
    <w:rsid w:val="00F576DE"/>
    <w:rsid w:val="00F63BF7"/>
    <w:rsid w:val="00F65617"/>
    <w:rsid w:val="00F710BE"/>
    <w:rsid w:val="00F736D2"/>
    <w:rsid w:val="00F7564C"/>
    <w:rsid w:val="00F75CC2"/>
    <w:rsid w:val="00F76220"/>
    <w:rsid w:val="00F769BE"/>
    <w:rsid w:val="00F76A67"/>
    <w:rsid w:val="00F82E6B"/>
    <w:rsid w:val="00F837C4"/>
    <w:rsid w:val="00F97B71"/>
    <w:rsid w:val="00FA1EC5"/>
    <w:rsid w:val="00FA2DDA"/>
    <w:rsid w:val="00FA34CA"/>
    <w:rsid w:val="00FA4A55"/>
    <w:rsid w:val="00FA4D4F"/>
    <w:rsid w:val="00FA54E8"/>
    <w:rsid w:val="00FA7193"/>
    <w:rsid w:val="00FA7EC0"/>
    <w:rsid w:val="00FB2D17"/>
    <w:rsid w:val="00FB2F69"/>
    <w:rsid w:val="00FB368B"/>
    <w:rsid w:val="00FB45FF"/>
    <w:rsid w:val="00FB5D97"/>
    <w:rsid w:val="00FC1CA5"/>
    <w:rsid w:val="00FC2979"/>
    <w:rsid w:val="00FD1C3C"/>
    <w:rsid w:val="00FD38A8"/>
    <w:rsid w:val="00FD4622"/>
    <w:rsid w:val="00FD5477"/>
    <w:rsid w:val="00FD6AC8"/>
    <w:rsid w:val="00FD7C9C"/>
    <w:rsid w:val="00FE2D29"/>
    <w:rsid w:val="00FE3EA1"/>
    <w:rsid w:val="00FE4818"/>
    <w:rsid w:val="00FE5D80"/>
    <w:rsid w:val="00FE7205"/>
    <w:rsid w:val="00FE754E"/>
    <w:rsid w:val="00FF1577"/>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header"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2A5D31"/>
    <w:pPr>
      <w:widowControl w:val="0"/>
      <w:jc w:val="both"/>
    </w:pPr>
    <w:rPr>
      <w:kern w:val="2"/>
      <w:sz w:val="21"/>
      <w:szCs w:val="24"/>
    </w:rPr>
  </w:style>
  <w:style w:styleId="1" w:type="paragraph">
    <w:name w:val="heading 1"/>
    <w:basedOn w:val="a"/>
    <w:next w:val="a"/>
    <w:link w:val="1Char"/>
    <w:uiPriority w:val="99"/>
    <w:qFormat/>
    <w:rsid w:val="004F4EA9"/>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337293"/>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F4EA9"/>
    <w:rPr>
      <w:rFonts w:cs="Times New Roman"/>
      <w:b/>
      <w:bCs/>
      <w:kern w:val="44"/>
      <w:sz w:val="44"/>
      <w:szCs w:val="44"/>
    </w:rPr>
  </w:style>
  <w:style w:customStyle="1" w:styleId="2Char" w:type="character">
    <w:name w:val="标题 2 Char"/>
    <w:link w:val="2"/>
    <w:uiPriority w:val="99"/>
    <w:semiHidden/>
    <w:locked/>
    <w:rsid w:val="00F76A67"/>
    <w:rPr>
      <w:rFonts w:ascii="Cambria" w:cs="Times New Roman" w:eastAsia="宋体" w:hAnsi="Cambria"/>
      <w:b/>
      <w:bCs/>
      <w:sz w:val="32"/>
      <w:szCs w:val="32"/>
    </w:rPr>
  </w:style>
  <w:style w:styleId="a0" w:type="paragraph">
    <w:name w:val="Normal Indent"/>
    <w:basedOn w:val="a"/>
    <w:uiPriority w:val="99"/>
    <w:rsid w:val="00337293"/>
    <w:pPr>
      <w:ind w:firstLine="420" w:firstLineChars="200"/>
    </w:pPr>
  </w:style>
  <w:style w:styleId="a4" w:type="paragraph">
    <w:name w:val="Body Text Indent"/>
    <w:basedOn w:val="a"/>
    <w:link w:val="Char"/>
    <w:uiPriority w:val="99"/>
    <w:rsid w:val="00337293"/>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F76A67"/>
    <w:rPr>
      <w:rFonts w:cs="Times New Roman"/>
      <w:sz w:val="24"/>
      <w:szCs w:val="24"/>
    </w:rPr>
  </w:style>
  <w:style w:styleId="a5" w:type="paragraph">
    <w:name w:val="Plain Text"/>
    <w:basedOn w:val="a"/>
    <w:link w:val="Char0"/>
    <w:uiPriority w:val="99"/>
    <w:rsid w:val="00337293"/>
    <w:rPr>
      <w:rFonts w:ascii="宋体" w:hAnsi="Courier New"/>
      <w:szCs w:val="20"/>
    </w:rPr>
  </w:style>
  <w:style w:customStyle="1" w:styleId="Char0" w:type="character">
    <w:name w:val="纯文本 Char"/>
    <w:link w:val="a5"/>
    <w:uiPriority w:val="99"/>
    <w:locked/>
    <w:rsid w:val="00CE3519"/>
    <w:rPr>
      <w:rFonts w:ascii="宋体" w:cs="Times New Roman" w:hAnsi="Courier New"/>
      <w:kern w:val="2"/>
      <w:sz w:val="21"/>
    </w:rPr>
  </w:style>
  <w:style w:styleId="20" w:type="paragraph">
    <w:name w:val="Body Text Indent 2"/>
    <w:basedOn w:val="a"/>
    <w:link w:val="2Char0"/>
    <w:uiPriority w:val="99"/>
    <w:rsid w:val="00337293"/>
    <w:pPr>
      <w:spacing w:line="560" w:lineRule="exact"/>
      <w:ind w:firstLine="480" w:firstLineChars="200"/>
    </w:pPr>
    <w:rPr>
      <w:kern w:val="0"/>
      <w:sz w:val="24"/>
    </w:rPr>
  </w:style>
  <w:style w:customStyle="1" w:styleId="2Char0" w:type="character">
    <w:name w:val="正文文本缩进 2 Char"/>
    <w:link w:val="20"/>
    <w:uiPriority w:val="99"/>
    <w:semiHidden/>
    <w:locked/>
    <w:rsid w:val="00F76A67"/>
    <w:rPr>
      <w:rFonts w:cs="Times New Roman"/>
      <w:sz w:val="24"/>
      <w:szCs w:val="24"/>
    </w:rPr>
  </w:style>
  <w:style w:styleId="a6" w:type="paragraph">
    <w:name w:val="footer"/>
    <w:basedOn w:val="a"/>
    <w:link w:val="Char1"/>
    <w:uiPriority w:val="99"/>
    <w:rsid w:val="00337293"/>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F76A67"/>
    <w:rPr>
      <w:rFonts w:cs="Times New Roman"/>
      <w:sz w:val="18"/>
      <w:szCs w:val="18"/>
    </w:rPr>
  </w:style>
  <w:style w:styleId="a7" w:type="character">
    <w:name w:val="page number"/>
    <w:uiPriority w:val="99"/>
    <w:rsid w:val="00337293"/>
    <w:rPr>
      <w:rFonts w:cs="Times New Roman"/>
    </w:rPr>
  </w:style>
  <w:style w:styleId="a8" w:type="character">
    <w:name w:val="Hyperlink"/>
    <w:uiPriority w:val="99"/>
    <w:rsid w:val="00337293"/>
    <w:rPr>
      <w:rFonts w:cs="Times New Roman"/>
      <w:color w:val="0000FF"/>
      <w:u w:val="single"/>
    </w:rPr>
  </w:style>
  <w:style w:styleId="3" w:type="paragraph">
    <w:name w:val="Body Text Indent 3"/>
    <w:basedOn w:val="a"/>
    <w:link w:val="3Char"/>
    <w:uiPriority w:val="99"/>
    <w:rsid w:val="00337293"/>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F76A67"/>
    <w:rPr>
      <w:rFonts w:cs="Times New Roman"/>
      <w:sz w:val="16"/>
      <w:szCs w:val="16"/>
    </w:rPr>
  </w:style>
  <w:style w:styleId="a9" w:type="paragraph">
    <w:name w:val="header"/>
    <w:basedOn w:val="a"/>
    <w:link w:val="Char2"/>
    <w:uiPriority w:val="99"/>
    <w:rsid w:val="00337293"/>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5E491F"/>
    <w:rPr>
      <w:rFonts w:cs="Times New Roman"/>
      <w:kern w:val="2"/>
      <w:sz w:val="18"/>
      <w:szCs w:val="18"/>
    </w:rPr>
  </w:style>
  <w:style w:styleId="aa" w:type="character">
    <w:name w:val="FollowedHyperlink"/>
    <w:uiPriority w:val="99"/>
    <w:rsid w:val="00337293"/>
    <w:rPr>
      <w:rFonts w:cs="Times New Roman"/>
      <w:color w:val="800080"/>
      <w:u w:val="single"/>
    </w:rPr>
  </w:style>
  <w:style w:styleId="ab" w:type="paragraph">
    <w:name w:val="List"/>
    <w:basedOn w:val="ac"/>
    <w:uiPriority w:val="99"/>
    <w:rsid w:val="00337293"/>
    <w:pPr>
      <w:spacing w:after="220" w:line="220" w:lineRule="atLeast"/>
      <w:ind w:hanging="360" w:left="1440"/>
    </w:pPr>
    <w:rPr>
      <w:szCs w:val="20"/>
    </w:rPr>
  </w:style>
  <w:style w:styleId="ac" w:type="paragraph">
    <w:name w:val="Body Text"/>
    <w:basedOn w:val="a"/>
    <w:link w:val="Char3"/>
    <w:uiPriority w:val="99"/>
    <w:rsid w:val="00337293"/>
    <w:pPr>
      <w:spacing w:after="120"/>
    </w:pPr>
    <w:rPr>
      <w:kern w:val="0"/>
      <w:sz w:val="24"/>
    </w:rPr>
  </w:style>
  <w:style w:customStyle="1" w:styleId="Char3" w:type="character">
    <w:name w:val="正文文本 Char"/>
    <w:link w:val="ac"/>
    <w:uiPriority w:val="99"/>
    <w:semiHidden/>
    <w:locked/>
    <w:rsid w:val="00F76A67"/>
    <w:rPr>
      <w:rFonts w:cs="Times New Roman"/>
      <w:sz w:val="24"/>
      <w:szCs w:val="24"/>
    </w:rPr>
  </w:style>
  <w:style w:styleId="ad" w:type="paragraph">
    <w:name w:val="Date"/>
    <w:basedOn w:val="a"/>
    <w:next w:val="a"/>
    <w:link w:val="Char4"/>
    <w:uiPriority w:val="99"/>
    <w:rsid w:val="00337293"/>
    <w:rPr>
      <w:sz w:val="24"/>
      <w:szCs w:val="20"/>
    </w:rPr>
  </w:style>
  <w:style w:customStyle="1" w:styleId="Char4" w:type="character">
    <w:name w:val="日期 Char"/>
    <w:link w:val="ad"/>
    <w:uiPriority w:val="99"/>
    <w:locked/>
    <w:rsid w:val="005B1DEC"/>
    <w:rPr>
      <w:rFonts w:cs="Times New Roman"/>
      <w:kern w:val="2"/>
      <w:sz w:val="24"/>
    </w:rPr>
  </w:style>
  <w:style w:customStyle="1" w:styleId="c1" w:type="character">
    <w:name w:val="c1"/>
    <w:uiPriority w:val="99"/>
    <w:rsid w:val="00337293"/>
    <w:rPr>
      <w:rFonts w:cs="Times New Roman"/>
      <w:color w:val="000000"/>
      <w:sz w:val="18"/>
      <w:szCs w:val="18"/>
    </w:rPr>
  </w:style>
  <w:style w:styleId="10" w:type="paragraph">
    <w:name w:val="index 1"/>
    <w:basedOn w:val="a"/>
    <w:next w:val="a"/>
    <w:autoRedefine/>
    <w:uiPriority w:val="99"/>
    <w:semiHidden/>
    <w:rsid w:val="00337293"/>
    <w:pPr>
      <w:jc w:val="right"/>
    </w:pPr>
    <w:rPr>
      <w:color w:val="008000"/>
    </w:rPr>
  </w:style>
  <w:style w:customStyle="1" w:styleId="font5" w:type="paragraph">
    <w:name w:val="font5"/>
    <w:basedOn w:val="a"/>
    <w:uiPriority w:val="99"/>
    <w:rsid w:val="00337293"/>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337293"/>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337293"/>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337293"/>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337293"/>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337293"/>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337293"/>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337293"/>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337293"/>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337293"/>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337293"/>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337293"/>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337293"/>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337293"/>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337293"/>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337293"/>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337293"/>
    <w:rPr>
      <w:kern w:val="0"/>
      <w:sz w:val="2"/>
      <w:szCs w:val="20"/>
    </w:rPr>
  </w:style>
  <w:style w:customStyle="1" w:styleId="Char5" w:type="character">
    <w:name w:val="批注框文本 Char"/>
    <w:link w:val="ae"/>
    <w:uiPriority w:val="99"/>
    <w:semiHidden/>
    <w:locked/>
    <w:rsid w:val="00F76A67"/>
    <w:rPr>
      <w:rFonts w:cs="Times New Roman"/>
      <w:sz w:val="2"/>
    </w:rPr>
  </w:style>
  <w:style w:styleId="af" w:type="character">
    <w:name w:val="annotation reference"/>
    <w:uiPriority w:val="99"/>
    <w:semiHidden/>
    <w:rsid w:val="00337293"/>
    <w:rPr>
      <w:rFonts w:cs="Times New Roman"/>
      <w:sz w:val="21"/>
      <w:szCs w:val="21"/>
    </w:rPr>
  </w:style>
  <w:style w:styleId="af0" w:type="paragraph">
    <w:name w:val="annotation text"/>
    <w:basedOn w:val="a"/>
    <w:link w:val="Char6"/>
    <w:uiPriority w:val="99"/>
    <w:semiHidden/>
    <w:rsid w:val="00337293"/>
    <w:pPr>
      <w:jc w:val="left"/>
    </w:pPr>
    <w:rPr>
      <w:kern w:val="0"/>
      <w:sz w:val="24"/>
    </w:rPr>
  </w:style>
  <w:style w:customStyle="1" w:styleId="Char6" w:type="character">
    <w:name w:val="批注文字 Char"/>
    <w:link w:val="af0"/>
    <w:uiPriority w:val="99"/>
    <w:semiHidden/>
    <w:locked/>
    <w:rsid w:val="00F76A67"/>
    <w:rPr>
      <w:rFonts w:cs="Times New Roman"/>
      <w:sz w:val="24"/>
      <w:szCs w:val="24"/>
    </w:rPr>
  </w:style>
  <w:style w:styleId="af1" w:type="paragraph">
    <w:name w:val="annotation subject"/>
    <w:basedOn w:val="af0"/>
    <w:next w:val="af0"/>
    <w:link w:val="Char7"/>
    <w:uiPriority w:val="99"/>
    <w:semiHidden/>
    <w:rsid w:val="00337293"/>
    <w:rPr>
      <w:b/>
      <w:bCs/>
    </w:rPr>
  </w:style>
  <w:style w:customStyle="1" w:styleId="Char7" w:type="character">
    <w:name w:val="批注主题 Char"/>
    <w:link w:val="af1"/>
    <w:uiPriority w:val="99"/>
    <w:semiHidden/>
    <w:locked/>
    <w:rsid w:val="00F76A67"/>
    <w:rPr>
      <w:rFonts w:cs="Times New Roman"/>
      <w:b/>
      <w:bCs/>
      <w:sz w:val="24"/>
      <w:szCs w:val="24"/>
    </w:rPr>
  </w:style>
  <w:style w:customStyle="1" w:styleId="Char8" w:type="paragraph">
    <w:name w:val="Char"/>
    <w:basedOn w:val="a"/>
    <w:uiPriority w:val="99"/>
    <w:rsid w:val="00337293"/>
  </w:style>
  <w:style w:styleId="af2"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2"/>
    <w:uiPriority w:val="99"/>
    <w:semiHidden/>
    <w:locked/>
    <w:rsid w:val="00F76A67"/>
    <w:rPr>
      <w:rFonts w:cs="Times New Roman"/>
      <w:sz w:val="2"/>
    </w:rPr>
  </w:style>
  <w:style w:customStyle="1" w:styleId="af3" w:type="paragraph">
    <w:name w:val="正文 + (符号) 宋体"/>
    <w:aliases w:val="小四,紧缩量  0.2 磅"/>
    <w:basedOn w:val="a"/>
    <w:uiPriority w:val="99"/>
    <w:rsid w:val="00C22CCE"/>
    <w:pPr>
      <w:autoSpaceDE w:val="0"/>
      <w:autoSpaceDN w:val="0"/>
      <w:adjustRightInd w:val="0"/>
      <w:ind w:firstLine="1229" w:firstLineChars="512" w:right="1409" w:rightChars="671"/>
      <w:jc w:val="distribute"/>
    </w:pPr>
    <w:rPr>
      <w:sz w:val="24"/>
    </w:rPr>
  </w:style>
  <w:style w:styleId="af4" w:type="paragraph">
    <w:name w:val="footnote text"/>
    <w:basedOn w:val="a"/>
    <w:link w:val="Chara"/>
    <w:uiPriority w:val="99"/>
    <w:semiHidden/>
    <w:rsid w:val="00547D9C"/>
    <w:pPr>
      <w:snapToGrid w:val="0"/>
      <w:jc w:val="left"/>
    </w:pPr>
    <w:rPr>
      <w:kern w:val="0"/>
      <w:sz w:val="18"/>
      <w:szCs w:val="18"/>
    </w:rPr>
  </w:style>
  <w:style w:customStyle="1" w:styleId="Chara" w:type="character">
    <w:name w:val="脚注文本 Char"/>
    <w:link w:val="af4"/>
    <w:uiPriority w:val="99"/>
    <w:semiHidden/>
    <w:locked/>
    <w:rsid w:val="00F76A67"/>
    <w:rPr>
      <w:rFonts w:cs="Times New Roman"/>
      <w:sz w:val="18"/>
      <w:szCs w:val="18"/>
    </w:rPr>
  </w:style>
  <w:style w:styleId="af5" w:type="character">
    <w:name w:val="footnote reference"/>
    <w:uiPriority w:val="99"/>
    <w:semiHidden/>
    <w:rsid w:val="00547D9C"/>
    <w:rPr>
      <w:rFonts w:cs="Times New Roman"/>
      <w:vertAlign w:val="superscript"/>
    </w:rPr>
  </w:style>
  <w:style w:styleId="af6" w:type="paragraph">
    <w:name w:val="Normal (Web)"/>
    <w:basedOn w:val="a"/>
    <w:uiPriority w:val="99"/>
    <w:rsid w:val="005D45B3"/>
    <w:pPr>
      <w:widowControl/>
      <w:spacing w:after="100" w:afterAutospacing="1" w:before="100" w:beforeAutospacing="1"/>
      <w:jc w:val="left"/>
    </w:pPr>
    <w:rPr>
      <w:rFonts w:ascii="宋体" w:hAnsi="宋体"/>
      <w:kern w:val="0"/>
      <w:sz w:val="24"/>
    </w:rPr>
  </w:style>
  <w:style w:styleId="af7" w:type="table">
    <w:name w:val="Table Grid"/>
    <w:basedOn w:val="a2"/>
    <w:qFormat/>
    <w:rsid w:val="002A5D31"/>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043ABF"/>
  </w:style>
  <w:style w:customStyle="1" w:styleId="CharCharCharCharCharChar1CharCharChar" w:type="paragraph">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customStyle="1" w:styleId="Default" w:type="paragraph">
    <w:name w:val="Default"/>
    <w:uiPriority w:val="99"/>
    <w:rsid w:val="00295C5D"/>
    <w:pPr>
      <w:widowControl w:val="0"/>
      <w:autoSpaceDE w:val="0"/>
      <w:autoSpaceDN w:val="0"/>
      <w:adjustRightInd w:val="0"/>
    </w:pPr>
    <w:rPr>
      <w:rFonts w:ascii="FangSong" w:cs="FangSong" w:hAnsi="FangSong"/>
      <w:color w:val="000000"/>
      <w:sz w:val="24"/>
      <w:szCs w:val="24"/>
    </w:rPr>
  </w:style>
  <w:style w:styleId="af8" w:type="character">
    <w:name w:val="Strong"/>
    <w:uiPriority w:val="22"/>
    <w:qFormat/>
    <w:locked/>
    <w:rsid w:val="0045725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213109">
      <w:bodyDiv w:val="1"/>
      <w:marLeft w:val="0"/>
      <w:marRight w:val="0"/>
      <w:marTop w:val="0"/>
      <w:marBottom w:val="0"/>
      <w:divBdr>
        <w:top w:val="none" w:sz="0" w:space="0" w:color="auto"/>
        <w:left w:val="none" w:sz="0" w:space="0" w:color="auto"/>
        <w:bottom w:val="none" w:sz="0" w:space="0" w:color="auto"/>
        <w:right w:val="none" w:sz="0" w:space="0" w:color="auto"/>
      </w:divBdr>
    </w:div>
    <w:div w:id="1604335068">
      <w:bodyDiv w:val="1"/>
      <w:marLeft w:val="0"/>
      <w:marRight w:val="0"/>
      <w:marTop w:val="0"/>
      <w:marBottom w:val="0"/>
      <w:divBdr>
        <w:top w:val="none" w:sz="0" w:space="0" w:color="auto"/>
        <w:left w:val="none" w:sz="0" w:space="0" w:color="auto"/>
        <w:bottom w:val="none" w:sz="0" w:space="0" w:color="auto"/>
        <w:right w:val="none" w:sz="0" w:space="0" w:color="auto"/>
      </w:divBdr>
    </w:div>
    <w:div w:id="1863275524">
      <w:marLeft w:val="0"/>
      <w:marRight w:val="0"/>
      <w:marTop w:val="0"/>
      <w:marBottom w:val="0"/>
      <w:divBdr>
        <w:top w:val="none" w:sz="0" w:space="0" w:color="auto"/>
        <w:left w:val="none" w:sz="0" w:space="0" w:color="auto"/>
        <w:bottom w:val="none" w:sz="0" w:space="0" w:color="auto"/>
        <w:right w:val="none" w:sz="0" w:space="0" w:color="auto"/>
      </w:divBdr>
    </w:div>
    <w:div w:id="1863275525">
      <w:marLeft w:val="0"/>
      <w:marRight w:val="0"/>
      <w:marTop w:val="0"/>
      <w:marBottom w:val="0"/>
      <w:divBdr>
        <w:top w:val="none" w:sz="0" w:space="0" w:color="auto"/>
        <w:left w:val="none" w:sz="0" w:space="0" w:color="auto"/>
        <w:bottom w:val="none" w:sz="0" w:space="0" w:color="auto"/>
        <w:right w:val="none" w:sz="0" w:space="0" w:color="auto"/>
      </w:divBdr>
    </w:div>
    <w:div w:id="1863275526">
      <w:marLeft w:val="0"/>
      <w:marRight w:val="0"/>
      <w:marTop w:val="0"/>
      <w:marBottom w:val="0"/>
      <w:divBdr>
        <w:top w:val="none" w:sz="0" w:space="0" w:color="auto"/>
        <w:left w:val="none" w:sz="0" w:space="0" w:color="auto"/>
        <w:bottom w:val="none" w:sz="0" w:space="0" w:color="auto"/>
        <w:right w:val="none" w:sz="0" w:space="0" w:color="auto"/>
      </w:divBdr>
    </w:div>
    <w:div w:id="1863275527">
      <w:marLeft w:val="0"/>
      <w:marRight w:val="0"/>
      <w:marTop w:val="0"/>
      <w:marBottom w:val="0"/>
      <w:divBdr>
        <w:top w:val="none" w:sz="0" w:space="0" w:color="auto"/>
        <w:left w:val="none" w:sz="0" w:space="0" w:color="auto"/>
        <w:bottom w:val="none" w:sz="0" w:space="0" w:color="auto"/>
        <w:right w:val="none" w:sz="0" w:space="0" w:color="auto"/>
      </w:divBdr>
    </w:div>
    <w:div w:id="1863275528">
      <w:marLeft w:val="0"/>
      <w:marRight w:val="0"/>
      <w:marTop w:val="0"/>
      <w:marBottom w:val="0"/>
      <w:divBdr>
        <w:top w:val="none" w:sz="0" w:space="0" w:color="auto"/>
        <w:left w:val="none" w:sz="0" w:space="0" w:color="auto"/>
        <w:bottom w:val="none" w:sz="0" w:space="0" w:color="auto"/>
        <w:right w:val="none" w:sz="0" w:space="0" w:color="auto"/>
      </w:divBdr>
    </w:div>
    <w:div w:id="1863275529">
      <w:marLeft w:val="0"/>
      <w:marRight w:val="0"/>
      <w:marTop w:val="0"/>
      <w:marBottom w:val="0"/>
      <w:divBdr>
        <w:top w:val="none" w:sz="0" w:space="0" w:color="auto"/>
        <w:left w:val="none" w:sz="0" w:space="0" w:color="auto"/>
        <w:bottom w:val="none" w:sz="0" w:space="0" w:color="auto"/>
        <w:right w:val="none" w:sz="0" w:space="0" w:color="auto"/>
      </w:divBdr>
    </w:div>
    <w:div w:id="1863275530">
      <w:marLeft w:val="0"/>
      <w:marRight w:val="0"/>
      <w:marTop w:val="0"/>
      <w:marBottom w:val="0"/>
      <w:divBdr>
        <w:top w:val="none" w:sz="0" w:space="0" w:color="auto"/>
        <w:left w:val="none" w:sz="0" w:space="0" w:color="auto"/>
        <w:bottom w:val="none" w:sz="0" w:space="0" w:color="auto"/>
        <w:right w:val="none" w:sz="0" w:space="0" w:color="auto"/>
      </w:divBdr>
    </w:div>
    <w:div w:id="1863275531">
      <w:marLeft w:val="0"/>
      <w:marRight w:val="0"/>
      <w:marTop w:val="0"/>
      <w:marBottom w:val="0"/>
      <w:divBdr>
        <w:top w:val="none" w:sz="0" w:space="0" w:color="auto"/>
        <w:left w:val="none" w:sz="0" w:space="0" w:color="auto"/>
        <w:bottom w:val="none" w:sz="0" w:space="0" w:color="auto"/>
        <w:right w:val="none" w:sz="0" w:space="0" w:color="auto"/>
      </w:divBdr>
    </w:div>
    <w:div w:id="1863275532">
      <w:marLeft w:val="0"/>
      <w:marRight w:val="0"/>
      <w:marTop w:val="0"/>
      <w:marBottom w:val="0"/>
      <w:divBdr>
        <w:top w:val="none" w:sz="0" w:space="0" w:color="auto"/>
        <w:left w:val="none" w:sz="0" w:space="0" w:color="auto"/>
        <w:bottom w:val="none" w:sz="0" w:space="0" w:color="auto"/>
        <w:right w:val="none" w:sz="0" w:space="0" w:color="auto"/>
      </w:divBdr>
    </w:div>
    <w:div w:id="1863275533">
      <w:marLeft w:val="0"/>
      <w:marRight w:val="0"/>
      <w:marTop w:val="0"/>
      <w:marBottom w:val="0"/>
      <w:divBdr>
        <w:top w:val="none" w:sz="0" w:space="0" w:color="auto"/>
        <w:left w:val="none" w:sz="0" w:space="0" w:color="auto"/>
        <w:bottom w:val="none" w:sz="0" w:space="0" w:color="auto"/>
        <w:right w:val="none" w:sz="0" w:space="0" w:color="auto"/>
      </w:divBdr>
    </w:div>
    <w:div w:id="1887596873">
      <w:bodyDiv w:val="1"/>
      <w:marLeft w:val="0"/>
      <w:marRight w:val="0"/>
      <w:marTop w:val="0"/>
      <w:marBottom w:val="0"/>
      <w:divBdr>
        <w:top w:val="none" w:sz="0" w:space="0" w:color="auto"/>
        <w:left w:val="none" w:sz="0" w:space="0" w:color="auto"/>
        <w:bottom w:val="none" w:sz="0" w:space="0" w:color="auto"/>
        <w:right w:val="none" w:sz="0" w:space="0" w:color="auto"/>
      </w:divBdr>
    </w:div>
    <w:div w:id="212214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footer2.xml" Type="http://schemas.openxmlformats.org/officeDocument/2006/relationships/footer"/>
<Relationship Id="rId12" Target="footer3.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283</TotalTime>
  <Pages>31</Pages>
  <Words>4483</Words>
  <Characters>25559</Characters>
  <Application>Microsoft Office Word</Application>
  <DocSecurity>0</DocSecurity>
  <Lines>212</Lines>
  <Paragraphs>59</Paragraphs>
  <ScaleCrop>false</ScaleCrop>
  <Company>TRT. Ltd. Co.</Company>
  <LinksUpToDate>false</LinksUpToDate>
  <CharactersWithSpaces>29983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2012-11-21T04:46:00Z</dcterms:created>
  <cp:lastModifiedBy>sirong han</cp:lastModifiedBy>
  <cp:lastPrinted>2007-07-19T00:46:00Z</cp:lastPrinted>
  <dcterms:modified xsi:type="dcterms:W3CDTF">2020-07-09T03:00:00Z</dcterms:modified>
  <cp:revision>193</cp:revision>
</cp:coreProperties>
</file>