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易方达科讯混合型证券投资基金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交通银行股份有限公司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易方达科讯混合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110029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110029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2007年12月18日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3,382,076,358.11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根据市场环境变化，综合运用多种投资策略，追求基金资产的长期稳健增值。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综合运用多种投资策略，把握多种投资机会。股票投资策略方面，一般情况下以优势企业策略和成长策略为主，辅以行业周期策略、绝对价值策略、突发事件/收购兼并策略以及新兴技术策略。在特定的市场情况下，后四种策略中一种或多种的资金容量较大、不确定性较小、收益预期较高时，也可成为主策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沪深300指数收益率×80%+中债总指数收益率×20%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本基金是混合基金，理论上其风险收益水平高于债券基金和货币市场基金，低于股票基金。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123,916,915.47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1,414,013,528.00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0.4070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5,486,245,110.41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1.6222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3.本基金已于2008年1月4日对原基金科讯退市时的基金份额进行了拆分，基金拆分比例为1：2.825206742。</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33.77%</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10.03%</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23.74%</w:t>
            </w:r>
          </w:p>
        </w:tc>
        <w:tc>
          <w:tcPr>
            <w:vAlign w:val="center"/>
          </w:tcPr>
          <w:p>
            <w:pPr>
              <w:jc w:val="center"/>
            </w:pPr>
            <w:r>
              <w:rPr>
                <w:color w:val="000000"/>
                <w:kern w:val="0"/>
                <w:sz w:val="24"/>
                <w:szCs w:val="24"/>
              </w:rPr>
              <w:t>0.47%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36.95%</w:t>
            </w:r>
          </w:p>
        </w:tc>
        <w:tc>
          <w:tcPr>
            <w:vAlign w:val="center"/>
          </w:tcPr>
          <w:p>
            <w:pPr>
              <w:jc w:val="center"/>
            </w:pPr>
            <w:r>
              <w:rPr>
                <w:color w:val="000000"/>
                <w:kern w:val="0"/>
                <w:sz w:val="24"/>
                <w:szCs w:val="24"/>
              </w:rPr>
              <w:t>1.73%</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35.47%</w:t>
            </w:r>
          </w:p>
        </w:tc>
        <w:tc>
          <w:tcPr>
            <w:vAlign w:val="center"/>
          </w:tcPr>
          <w:p>
            <w:pPr>
              <w:jc w:val="center"/>
            </w:pPr>
            <w:r>
              <w:rPr>
                <w:color w:val="000000"/>
                <w:kern w:val="0"/>
                <w:sz w:val="24"/>
                <w:szCs w:val="24"/>
              </w:rPr>
              <w:t>0.52%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72.00%</w:t>
            </w:r>
          </w:p>
        </w:tc>
        <w:tc>
          <w:tcPr>
            <w:vAlign w:val="center"/>
          </w:tcPr>
          <w:p>
            <w:pPr>
              <w:jc w:val="center"/>
            </w:pPr>
            <w:r>
              <w:rPr>
                <w:color w:val="000000"/>
                <w:kern w:val="0"/>
                <w:sz w:val="24"/>
                <w:szCs w:val="24"/>
              </w:rPr>
              <w:t>1.47%</w:t>
            </w:r>
          </w:p>
        </w:tc>
        <w:tc>
          <w:tcPr>
            <w:vAlign w:val="center"/>
          </w:tcPr>
          <w:p>
            <w:pPr>
              <w:jc w:val="center"/>
            </w:pPr>
            <w:r>
              <w:rPr>
                <w:color w:val="000000"/>
                <w:kern w:val="0"/>
                <w:sz w:val="24"/>
                <w:szCs w:val="24"/>
              </w:rPr>
              <w:t>7.54%</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64.46%</w:t>
            </w:r>
          </w:p>
        </w:tc>
        <w:tc>
          <w:tcPr>
            <w:vAlign w:val="center"/>
          </w:tcPr>
          <w:p>
            <w:pPr>
              <w:jc w:val="center"/>
            </w:pPr>
            <w:r>
              <w:rPr>
                <w:color w:val="000000"/>
                <w:kern w:val="0"/>
                <w:sz w:val="24"/>
                <w:szCs w:val="24"/>
              </w:rPr>
              <w:t>0.50%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62.02%</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12.10%</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49.92%</w:t>
            </w:r>
          </w:p>
        </w:tc>
        <w:tc>
          <w:tcPr>
            <w:vAlign w:val="center"/>
          </w:tcPr>
          <w:p>
            <w:pPr>
              <w:jc w:val="center"/>
            </w:pPr>
            <w:r>
              <w:rPr>
                <w:color w:val="000000"/>
                <w:kern w:val="0"/>
                <w:sz w:val="24"/>
                <w:szCs w:val="24"/>
              </w:rPr>
              <w:t>0.58%</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-3.70%</w:t>
            </w:r>
          </w:p>
        </w:tc>
        <w:tc>
          <w:tcPr>
            <w:vAlign w:val="center"/>
          </w:tcPr>
          <w:p>
            <w:pPr>
              <w:jc w:val="center"/>
            </w:pPr>
            <w:r>
              <w:rPr>
                <w:color w:val="000000"/>
                <w:kern w:val="0"/>
                <w:sz w:val="24"/>
                <w:szCs w:val="24"/>
              </w:rPr>
              <w:t>2.02%</w:t>
            </w:r>
          </w:p>
        </w:tc>
        <w:tc>
          <w:tcPr>
            <w:vAlign w:val="center"/>
          </w:tcPr>
          <w:p>
            <w:pPr>
              <w:jc w:val="center"/>
            </w:pPr>
            <w:r>
              <w:rPr>
                <w:color w:val="000000"/>
                <w:kern w:val="0"/>
                <w:sz w:val="24"/>
                <w:szCs w:val="24"/>
              </w:rPr>
              <w:t>-4.42%</w:t>
            </w:r>
          </w:p>
        </w:tc>
        <w:tc>
          <w:tcPr>
            <w:vAlign w:val="center"/>
          </w:tcPr>
          <w:p>
            <w:pPr>
              <w:jc w:val="center"/>
            </w:pPr>
            <w:r>
              <w:rPr>
                <w:color w:val="000000"/>
                <w:kern w:val="0"/>
                <w:sz w:val="24"/>
                <w:szCs w:val="24"/>
              </w:rPr>
              <w:t>1.16%</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0.86%</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119.85%</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-8.19%</w:t>
            </w:r>
          </w:p>
        </w:tc>
        <w:tc>
          <w:tcPr>
            <w:vAlign w:val="center"/>
          </w:tcPr>
          <w:p>
            <w:pPr>
              <w:jc w:val="center"/>
            </w:pPr>
            <w:r>
              <w:rPr>
                <w:color w:val="000000"/>
                <w:kern w:val="0"/>
                <w:sz w:val="24"/>
                <w:szCs w:val="24"/>
              </w:rPr>
              <w:t>1.36%</w:t>
            </w:r>
          </w:p>
        </w:tc>
        <w:tc>
          <w:tcPr>
            <w:vAlign w:val="center"/>
          </w:tcPr>
          <w:p>
            <w:pPr>
              <w:jc w:val="center"/>
            </w:pPr>
            <w:r>
              <w:rPr>
                <w:color w:val="000000"/>
                <w:kern w:val="0"/>
                <w:sz w:val="24"/>
                <w:szCs w:val="24"/>
              </w:rPr>
              <w:t>128.04%</w:t>
            </w:r>
          </w:p>
        </w:tc>
        <w:tc>
          <w:tcPr>
            <w:vAlign w:val="center"/>
          </w:tcPr>
          <w:p>
            <w:pPr>
              <w:jc w:val="center"/>
            </w:pPr>
            <w:r>
              <w:rPr>
                <w:color w:val="000000"/>
                <w:kern w:val="0"/>
                <w:sz w:val="24"/>
                <w:szCs w:val="24"/>
              </w:rPr>
              <w:t>0.42%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自基金转型以来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易方达科讯混合型证券投资基金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2007年12月18日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注：1.本基金由原基金科讯于2007年12月18日转型而来。</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2.自基金转型至报告期末，基金份额净值增长率为119.85%，同期业绩比较基准收益率为-8.19%。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陈皓</w:t>
            </w:r>
          </w:p>
        </w:tc>
        <w:tc>
          <w:tcPr>
            <w:vAlign w:val="center"/>
          </w:tcPr>
          <w:p>
            <w:pPr>
              <w:jc w:val="left"/>
            </w:pPr>
            <w:r>
              <w:rPr>
                <w:color w:val="000000"/>
                <w:sz w:val="24"/>
              </w:rPr>
              <w:t>本基金的基金经理、易方达平稳增长证券投资基金的基金经理、易方达科翔混合型证券投资基金的基金经理、易方达新经济灵活配置混合型证券投资基金的基金经理、易方达国防军工混合型证券投资基金的基金经理（自2015年06月19日至2020年06月05日）、易方达科融混合型证券投资基金的基金经理、易方达均衡成长股票型证券投资基金的基金经理、投资一部总经理</w:t>
            </w:r>
          </w:p>
        </w:tc>
        <w:tc>
          <w:tcPr>
            <w:vAlign w:val="center"/>
          </w:tcPr>
          <w:p>
            <w:pPr>
              <w:jc w:val="center"/>
            </w:pPr>
            <w:r>
              <w:rPr>
                <w:color w:val="000000"/>
                <w:sz w:val="24"/>
              </w:rPr>
              <w:t>2018-12-11</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易方达基金管理有限公司行业研究员、基金经理助理、基金投资部基金经理助理、投资一部总经理助理、投资一部副总经理、投资经理、易方达价值精选混合型证券投资基金基金经理、易方达供给改革灵活配置混合型证券投资基金基金经理。</w:t>
            </w:r>
          </w:p>
        </w:tc>
      </w:tr>
      <w:tr>
        <w:tc>
          <w:tcPr>
            <w:vAlign w:val="center"/>
          </w:tcPr>
          <w:p>
            <w:pPr>
              <w:jc w:val="center"/>
            </w:pPr>
            <w:r>
              <w:rPr>
                <w:color w:val="000000"/>
                <w:sz w:val="24"/>
              </w:rPr>
              <w:t>刘健维</w:t>
            </w:r>
          </w:p>
        </w:tc>
        <w:tc>
          <w:tcPr>
            <w:vAlign w:val="center"/>
          </w:tcPr>
          <w:p>
            <w:pPr>
              <w:jc w:val="left"/>
            </w:pPr>
            <w:r>
              <w:rPr>
                <w:color w:val="000000"/>
                <w:sz w:val="24"/>
              </w:rPr>
              <w:t>本基金的基金经理、易方达科融混合型证券投资基金的基金经理</w:t>
            </w:r>
          </w:p>
        </w:tc>
        <w:tc>
          <w:tcPr>
            <w:vAlign w:val="center"/>
          </w:tcPr>
          <w:p>
            <w:pPr>
              <w:jc w:val="center"/>
            </w:pPr>
            <w:r>
              <w:rPr>
                <w:color w:val="000000"/>
                <w:sz w:val="24"/>
              </w:rPr>
              <w:t>2019-07-12</w:t>
            </w:r>
          </w:p>
        </w:tc>
        <w:tc>
          <w:tcPr>
            <w:vAlign w:val="center"/>
          </w:tcPr>
          <w:p>
            <w:pPr>
              <w:jc w:val="center"/>
            </w:pPr>
            <w:r>
              <w:rPr>
                <w:color w:val="000000"/>
                <w:sz w:val="24"/>
              </w:rPr>
              <w:t>-</w:t>
            </w:r>
          </w:p>
        </w:tc>
        <w:tc>
          <w:tcPr>
            <w:vAlign w:val="center"/>
          </w:tcPr>
          <w:p>
            <w:pPr>
              <w:jc w:val="center"/>
            </w:pPr>
            <w:r>
              <w:rPr>
                <w:color w:val="000000"/>
                <w:sz w:val="24"/>
              </w:rPr>
              <w:t>6年</w:t>
            </w:r>
          </w:p>
        </w:tc>
        <w:tc>
          <w:tcPr>
            <w:vAlign w:val="center"/>
          </w:tcPr>
          <w:p>
            <w:pPr>
              <w:jc w:val="both"/>
            </w:pPr>
            <w:r>
              <w:rPr>
                <w:color w:val="000000"/>
                <w:sz w:val="24"/>
              </w:rPr>
              <w:t>硕士研究生，具有基金从业资格。曾任广发基金管理有限公司研究部研究员，国泰基金管理有限公司研究部研究员，易方达基金管理有限公司行业研究员、易方达科讯混合型证券投资基金基金经理助理。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上证综指上涨8.52%，创业板指数上涨30.25%，中证500指数上涨16.32%，二季度市场整体涨幅较大，成长板块表现显著强于大盘蓝筹板块，半导体、云计算、新能源等板块涨幅较大。市场经过3月份的大幅调整，新兴成长板块下跌幅度更大，电子、新能源、计算机等领域的优质个股经过调整后投资风险收益比提升。疫情恐慌过后，新兴成长板块开始大幅度反弹，高兴电子、云计算、新能源等代表未来成长方向的板块涨幅较大。二季度医药生物板块涨幅较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本基金二季度采取了较为积极的投资策略，在市场经历大幅度回调后，提升了组合整体仓位水平，并加大了对新兴成长个股以及部分优质消费龙头个股的配置，取得了较好超额收益。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截至报告期末，本基金份额净值为1.6222元，本报告期份额净值增长率为33.77%，同期业绩比较基准收益率为10.03%。</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5,097,504,789.55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92.07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5,097,504,789.55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92.07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7,360,396.34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7,360,396.34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400,835,020.81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7.24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30,748,718.31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0.56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5,536,448,925.01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3,218,480,379.31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58.66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15,752,337.72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42,958,688.80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65,120,583.93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114,126,203.04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2.08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1,041,708,604.82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18.99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59,603,886.60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140,533,853.80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126,663,433.69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221,852,379.30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50,704,438.54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5,097,504,789.55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92.91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17,900,000</w:t>
            </w:r>
          </w:p>
        </w:tc>
        <w:tc>
          <w:tcPr>
            <w:vAlign w:val="center"/>
          </w:tcPr>
          <w:p>
            <w:pPr>
              <w:jc w:val="right"/>
            </w:pPr>
            <w:r>
              <w:rPr>
                <w:color w:val="000000"/>
                <w:kern w:val="0"/>
                <w:sz w:val="24"/>
                <w:szCs w:val="24"/>
              </w:rPr>
              <w:t>429,991,000.00</w:t>
            </w:r>
          </w:p>
        </w:tc>
        <w:tc>
          <w:tcPr>
            <w:vAlign w:val="center"/>
          </w:tcPr>
          <w:p>
            <w:pPr>
              <w:jc w:val="right"/>
            </w:pPr>
            <w:r>
              <w:rPr>
                <w:color w:val="000000"/>
                <w:kern w:val="0"/>
                <w:sz w:val="24"/>
                <w:szCs w:val="24"/>
              </w:rPr>
              <w:t>7.84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2,542,415</w:t>
            </w:r>
          </w:p>
        </w:tc>
        <w:tc>
          <w:tcPr>
            <w:vAlign w:val="center"/>
          </w:tcPr>
          <w:p>
            <w:pPr>
              <w:jc w:val="right"/>
            </w:pPr>
            <w:r>
              <w:rPr>
                <w:color w:val="000000"/>
                <w:kern w:val="0"/>
                <w:sz w:val="24"/>
                <w:szCs w:val="24"/>
              </w:rPr>
              <w:t>273,818,095.50</w:t>
            </w:r>
          </w:p>
        </w:tc>
        <w:tc>
          <w:tcPr>
            <w:vAlign w:val="center"/>
          </w:tcPr>
          <w:p>
            <w:pPr>
              <w:jc w:val="right"/>
            </w:pPr>
            <w:r>
              <w:rPr>
                <w:color w:val="000000"/>
                <w:kern w:val="0"/>
                <w:sz w:val="24"/>
                <w:szCs w:val="24"/>
              </w:rPr>
              <w:t>4.99</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000403</w:t>
            </w:r>
          </w:p>
        </w:tc>
        <w:tc>
          <w:tcPr>
            <w:vAlign w:val="center"/>
          </w:tcPr>
          <w:p>
            <w:pPr>
              <w:jc w:val="center"/>
            </w:pPr>
            <w:r>
              <w:rPr>
                <w:color w:val="000000"/>
                <w:kern w:val="0"/>
                <w:sz w:val="24"/>
                <w:szCs w:val="24"/>
              </w:rPr>
              <w:t>双林生物</w:t>
            </w:r>
          </w:p>
        </w:tc>
        <w:tc>
          <w:tcPr>
            <w:vAlign w:val="center"/>
          </w:tcPr>
          <w:p>
            <w:pPr>
              <w:jc w:val="right"/>
            </w:pPr>
            <w:r>
              <w:rPr>
                <w:color w:val="000000"/>
                <w:kern w:val="0"/>
                <w:sz w:val="24"/>
                <w:szCs w:val="24"/>
              </w:rPr>
              <w:t>2,711,448</w:t>
            </w:r>
          </w:p>
        </w:tc>
        <w:tc>
          <w:tcPr>
            <w:vAlign w:val="center"/>
          </w:tcPr>
          <w:p>
            <w:pPr>
              <w:jc w:val="right"/>
            </w:pPr>
            <w:r>
              <w:rPr>
                <w:color w:val="000000"/>
                <w:kern w:val="0"/>
                <w:sz w:val="24"/>
                <w:szCs w:val="24"/>
              </w:rPr>
              <w:t>200,999,640.24</w:t>
            </w:r>
          </w:p>
        </w:tc>
        <w:tc>
          <w:tcPr>
            <w:vAlign w:val="center"/>
          </w:tcPr>
          <w:p>
            <w:pPr>
              <w:jc w:val="right"/>
            </w:pPr>
            <w:r>
              <w:rPr>
                <w:color w:val="000000"/>
                <w:kern w:val="0"/>
                <w:sz w:val="24"/>
                <w:szCs w:val="24"/>
              </w:rPr>
              <w:t>3.66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1,065,625</w:t>
            </w:r>
          </w:p>
        </w:tc>
        <w:tc>
          <w:tcPr>
            <w:vAlign w:val="center"/>
          </w:tcPr>
          <w:p>
            <w:pPr>
              <w:jc w:val="right"/>
            </w:pPr>
            <w:r>
              <w:rPr>
                <w:color w:val="000000"/>
                <w:kern w:val="0"/>
                <w:sz w:val="24"/>
                <w:szCs w:val="24"/>
              </w:rPr>
              <w:t>182,349,750.00</w:t>
            </w:r>
          </w:p>
        </w:tc>
        <w:tc>
          <w:tcPr>
            <w:vAlign w:val="center"/>
          </w:tcPr>
          <w:p>
            <w:pPr>
              <w:jc w:val="right"/>
            </w:pPr>
            <w:r>
              <w:rPr>
                <w:color w:val="000000"/>
                <w:kern w:val="0"/>
                <w:sz w:val="24"/>
                <w:szCs w:val="24"/>
              </w:rPr>
              <w:t>3.32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3,631,239</w:t>
            </w:r>
          </w:p>
        </w:tc>
        <w:tc>
          <w:tcPr>
            <w:vAlign w:val="center"/>
          </w:tcPr>
          <w:p>
            <w:pPr>
              <w:jc w:val="right"/>
            </w:pPr>
            <w:r>
              <w:rPr>
                <w:color w:val="000000"/>
                <w:kern w:val="0"/>
                <w:sz w:val="24"/>
                <w:szCs w:val="24"/>
              </w:rPr>
              <w:t>171,835,280.28</w:t>
            </w:r>
          </w:p>
        </w:tc>
        <w:tc>
          <w:tcPr>
            <w:vAlign w:val="center"/>
          </w:tcPr>
          <w:p>
            <w:pPr>
              <w:jc w:val="right"/>
            </w:pPr>
            <w:r>
              <w:rPr>
                <w:color w:val="000000"/>
                <w:kern w:val="0"/>
                <w:sz w:val="24"/>
                <w:szCs w:val="24"/>
              </w:rPr>
              <w:t>3.13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116,992</w:t>
            </w:r>
          </w:p>
        </w:tc>
        <w:tc>
          <w:tcPr>
            <w:vAlign w:val="center"/>
          </w:tcPr>
          <w:p>
            <w:pPr>
              <w:jc w:val="right"/>
            </w:pPr>
            <w:r>
              <w:rPr>
                <w:color w:val="000000"/>
                <w:kern w:val="0"/>
                <w:sz w:val="24"/>
                <w:szCs w:val="24"/>
              </w:rPr>
              <w:t>171,145,256.96</w:t>
            </w:r>
          </w:p>
        </w:tc>
        <w:tc>
          <w:tcPr>
            <w:vAlign w:val="center"/>
          </w:tcPr>
          <w:p>
            <w:pPr>
              <w:jc w:val="right"/>
            </w:pPr>
            <w:r>
              <w:rPr>
                <w:color w:val="000000"/>
                <w:kern w:val="0"/>
                <w:sz w:val="24"/>
                <w:szCs w:val="24"/>
              </w:rPr>
              <w:t>3.12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603520</w:t>
            </w:r>
          </w:p>
        </w:tc>
        <w:tc>
          <w:tcPr>
            <w:vAlign w:val="center"/>
          </w:tcPr>
          <w:p>
            <w:pPr>
              <w:jc w:val="center"/>
            </w:pPr>
            <w:r>
              <w:rPr>
                <w:color w:val="000000"/>
                <w:kern w:val="0"/>
                <w:sz w:val="24"/>
                <w:szCs w:val="24"/>
              </w:rPr>
              <w:t>司太立</w:t>
            </w:r>
          </w:p>
        </w:tc>
        <w:tc>
          <w:tcPr>
            <w:vAlign w:val="center"/>
          </w:tcPr>
          <w:p>
            <w:pPr>
              <w:jc w:val="right"/>
            </w:pPr>
            <w:r>
              <w:rPr>
                <w:color w:val="000000"/>
                <w:kern w:val="0"/>
                <w:sz w:val="24"/>
                <w:szCs w:val="24"/>
              </w:rPr>
              <w:t>2,010,238</w:t>
            </w:r>
          </w:p>
        </w:tc>
        <w:tc>
          <w:tcPr>
            <w:vAlign w:val="center"/>
          </w:tcPr>
          <w:p>
            <w:pPr>
              <w:jc w:val="right"/>
            </w:pPr>
            <w:r>
              <w:rPr>
                <w:color w:val="000000"/>
                <w:kern w:val="0"/>
                <w:sz w:val="24"/>
                <w:szCs w:val="24"/>
              </w:rPr>
              <w:t>168,980,606.28</w:t>
            </w:r>
          </w:p>
        </w:tc>
        <w:tc>
          <w:tcPr>
            <w:vAlign w:val="center"/>
          </w:tcPr>
          <w:p>
            <w:pPr>
              <w:jc w:val="right"/>
            </w:pPr>
            <w:r>
              <w:rPr>
                <w:color w:val="000000"/>
                <w:kern w:val="0"/>
                <w:sz w:val="24"/>
                <w:szCs w:val="24"/>
              </w:rPr>
              <w:t>3.08</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1,603,853</w:t>
            </w:r>
          </w:p>
        </w:tc>
        <w:tc>
          <w:tcPr>
            <w:vAlign w:val="center"/>
          </w:tcPr>
          <w:p>
            <w:pPr>
              <w:jc w:val="right"/>
            </w:pPr>
            <w:r>
              <w:rPr>
                <w:color w:val="000000"/>
                <w:kern w:val="0"/>
                <w:sz w:val="24"/>
                <w:szCs w:val="24"/>
              </w:rPr>
              <w:t>154,932,199.80</w:t>
            </w:r>
          </w:p>
        </w:tc>
        <w:tc>
          <w:tcPr>
            <w:vAlign w:val="center"/>
          </w:tcPr>
          <w:p>
            <w:pPr>
              <w:jc w:val="right"/>
            </w:pPr>
            <w:r>
              <w:rPr>
                <w:color w:val="000000"/>
                <w:kern w:val="0"/>
                <w:sz w:val="24"/>
                <w:szCs w:val="24"/>
              </w:rPr>
              <w:t>2.82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002396</w:t>
            </w:r>
          </w:p>
        </w:tc>
        <w:tc>
          <w:tcPr>
            <w:vAlign w:val="center"/>
          </w:tcPr>
          <w:p>
            <w:pPr>
              <w:jc w:val="center"/>
            </w:pPr>
            <w:r>
              <w:rPr>
                <w:color w:val="000000"/>
                <w:kern w:val="0"/>
                <w:sz w:val="24"/>
                <w:szCs w:val="24"/>
              </w:rPr>
              <w:t>星网锐捷</w:t>
            </w:r>
          </w:p>
        </w:tc>
        <w:tc>
          <w:tcPr>
            <w:vAlign w:val="center"/>
          </w:tcPr>
          <w:p>
            <w:pPr>
              <w:jc w:val="right"/>
            </w:pPr>
            <w:r>
              <w:rPr>
                <w:color w:val="000000"/>
                <w:kern w:val="0"/>
                <w:sz w:val="24"/>
                <w:szCs w:val="24"/>
              </w:rPr>
              <w:t>4,053,416</w:t>
            </w:r>
          </w:p>
        </w:tc>
        <w:tc>
          <w:tcPr>
            <w:vAlign w:val="center"/>
          </w:tcPr>
          <w:p>
            <w:pPr>
              <w:jc w:val="right"/>
            </w:pPr>
            <w:r>
              <w:rPr>
                <w:color w:val="000000"/>
                <w:kern w:val="0"/>
                <w:sz w:val="24"/>
                <w:szCs w:val="24"/>
              </w:rPr>
              <w:t>143,207,187.28</w:t>
            </w:r>
          </w:p>
        </w:tc>
        <w:tc>
          <w:tcPr>
            <w:vAlign w:val="center"/>
          </w:tcPr>
          <w:p>
            <w:pPr>
              <w:jc w:val="right"/>
            </w:pPr>
            <w:r>
              <w:rPr>
                <w:color w:val="000000"/>
                <w:kern w:val="0"/>
                <w:sz w:val="24"/>
                <w:szCs w:val="24"/>
              </w:rPr>
              <w:t>2.61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002410</w:t>
            </w:r>
          </w:p>
        </w:tc>
        <w:tc>
          <w:tcPr>
            <w:vAlign w:val="center"/>
          </w:tcPr>
          <w:p>
            <w:pPr>
              <w:jc w:val="center"/>
            </w:pPr>
            <w:r>
              <w:rPr>
                <w:color w:val="000000"/>
                <w:kern w:val="0"/>
                <w:sz w:val="24"/>
                <w:szCs w:val="24"/>
              </w:rPr>
              <w:t>广联达</w:t>
            </w:r>
          </w:p>
        </w:tc>
        <w:tc>
          <w:tcPr>
            <w:vAlign w:val="center"/>
          </w:tcPr>
          <w:p>
            <w:pPr>
              <w:jc w:val="right"/>
            </w:pPr>
            <w:r>
              <w:rPr>
                <w:color w:val="000000"/>
                <w:kern w:val="0"/>
                <w:sz w:val="24"/>
                <w:szCs w:val="24"/>
              </w:rPr>
              <w:t>2,001,857</w:t>
            </w:r>
          </w:p>
        </w:tc>
        <w:tc>
          <w:tcPr>
            <w:vAlign w:val="center"/>
          </w:tcPr>
          <w:p>
            <w:pPr>
              <w:jc w:val="right"/>
            </w:pPr>
            <w:r>
              <w:rPr>
                <w:color w:val="000000"/>
                <w:kern w:val="0"/>
                <w:sz w:val="24"/>
                <w:szCs w:val="24"/>
              </w:rPr>
              <w:t>139,529,432.90</w:t>
            </w:r>
          </w:p>
        </w:tc>
        <w:tc>
          <w:tcPr>
            <w:vAlign w:val="center"/>
          </w:tcPr>
          <w:p>
            <w:pPr>
              <w:jc w:val="right"/>
            </w:pPr>
            <w:r>
              <w:rPr>
                <w:color w:val="000000"/>
                <w:kern w:val="0"/>
                <w:sz w:val="24"/>
                <w:szCs w:val="24"/>
              </w:rPr>
              <w:t>2.54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7,360,396.34</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7,360,396.34</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113577</w:t>
            </w:r>
          </w:p>
        </w:tc>
        <w:tc>
          <w:tcPr>
            <w:vAlign w:val="center"/>
          </w:tcPr>
          <w:p>
            <w:pPr>
              <w:jc w:val="center"/>
            </w:pPr>
            <w:r>
              <w:rPr>
                <w:color w:val="000000"/>
                <w:kern w:val="0"/>
                <w:sz w:val="24"/>
                <w:szCs w:val="24"/>
              </w:rPr>
              <w:t>春秋转债</w:t>
            </w:r>
          </w:p>
        </w:tc>
        <w:tc>
          <w:tcPr>
            <w:vAlign w:val="center"/>
          </w:tcPr>
          <w:p>
            <w:pPr>
              <w:jc w:val="right"/>
            </w:pPr>
            <w:r>
              <w:rPr>
                <w:color w:val="000000"/>
                <w:kern w:val="0"/>
                <w:sz w:val="24"/>
                <w:szCs w:val="24"/>
              </w:rPr>
              <w:t>29,150</w:t>
            </w:r>
          </w:p>
        </w:tc>
        <w:tc>
          <w:tcPr>
            <w:vAlign w:val="center"/>
          </w:tcPr>
          <w:p>
            <w:pPr>
              <w:jc w:val="right"/>
            </w:pPr>
            <w:r>
              <w:rPr>
                <w:color w:val="000000"/>
                <w:kern w:val="0"/>
                <w:sz w:val="24"/>
                <w:szCs w:val="24"/>
              </w:rPr>
              <w:t>4,529,910.00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128028</w:t>
            </w:r>
          </w:p>
        </w:tc>
        <w:tc>
          <w:tcPr>
            <w:vAlign w:val="center"/>
          </w:tcPr>
          <w:p>
            <w:pPr>
              <w:jc w:val="center"/>
            </w:pPr>
            <w:r>
              <w:rPr>
                <w:color w:val="000000"/>
                <w:kern w:val="0"/>
                <w:sz w:val="24"/>
                <w:szCs w:val="24"/>
              </w:rPr>
              <w:t>赣锋转债</w:t>
            </w:r>
          </w:p>
        </w:tc>
        <w:tc>
          <w:tcPr>
            <w:vAlign w:val="center"/>
          </w:tcPr>
          <w:p>
            <w:pPr>
              <w:jc w:val="right"/>
            </w:pPr>
            <w:r>
              <w:rPr>
                <w:color w:val="000000"/>
                <w:kern w:val="0"/>
                <w:sz w:val="24"/>
                <w:szCs w:val="24"/>
              </w:rPr>
              <w:t>20,274</w:t>
            </w:r>
          </w:p>
        </w:tc>
        <w:tc>
          <w:tcPr>
            <w:vAlign w:val="center"/>
          </w:tcPr>
          <w:p>
            <w:pPr>
              <w:jc w:val="right"/>
            </w:pPr>
            <w:r>
              <w:rPr>
                <w:color w:val="000000"/>
                <w:kern w:val="0"/>
                <w:sz w:val="24"/>
                <w:szCs w:val="24"/>
              </w:rPr>
              <w:t>2,829,439.44</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10</w:t>
            </w:r>
          </w:p>
        </w:tc>
        <w:tc>
          <w:tcPr>
            <w:vAlign w:val="center"/>
          </w:tcPr>
          <w:p>
            <w:pPr>
              <w:jc w:val="right"/>
            </w:pPr>
            <w:r>
              <w:rPr>
                <w:color w:val="000000"/>
                <w:kern w:val="0"/>
                <w:sz w:val="24"/>
                <w:szCs w:val="24"/>
              </w:rPr>
              <w:t>1,046.90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1,327,719.51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11,482,247.95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74,212.56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17,864,538.29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30,748,718.31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128028</w:t>
            </w:r>
          </w:p>
        </w:tc>
        <w:tc>
          <w:tcPr>
            <w:vAlign w:val="center"/>
          </w:tcPr>
          <w:p>
            <w:pPr>
              <w:jc w:val="center"/>
            </w:pPr>
            <w:r>
              <w:rPr>
                <w:color w:val="000000"/>
                <w:kern w:val="0"/>
                <w:sz w:val="24"/>
                <w:szCs w:val="24"/>
              </w:rPr>
              <w:t>赣锋转债</w:t>
            </w:r>
          </w:p>
        </w:tc>
        <w:tc>
          <w:tcPr>
            <w:vAlign w:val="center"/>
          </w:tcPr>
          <w:p>
            <w:pPr>
              <w:jc w:val="right"/>
            </w:pPr>
            <w:r>
              <w:rPr>
                <w:color w:val="000000"/>
                <w:kern w:val="0"/>
                <w:sz w:val="24"/>
                <w:szCs w:val="24"/>
              </w:rPr>
              <w:t>2,829,439.44</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1,046.90</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28,356,000.00</w:t>
            </w:r>
          </w:p>
        </w:tc>
        <w:tc>
          <w:tcPr>
            <w:vAlign w:val="center"/>
          </w:tcPr>
          <w:p>
            <w:pPr>
              <w:jc w:val="right"/>
            </w:pPr>
            <w:r>
              <w:rPr>
                <w:color w:val="000000"/>
                <w:kern w:val="0"/>
                <w:sz w:val="24"/>
                <w:szCs w:val="24"/>
              </w:rPr>
              <w:t>0.52</w:t>
            </w:r>
          </w:p>
        </w:tc>
        <w:tc>
          <w:tcPr>
            <w:vAlign w:val="center"/>
          </w:tcPr>
          <w:p>
            <w:pPr>
              <w:jc w:val="right"/>
            </w:pPr>
            <w:r>
              <w:rPr>
                <w:color w:val="000000"/>
                <w:kern w:val="0"/>
                <w:sz w:val="24"/>
                <w:szCs w:val="24"/>
              </w:rPr>
              <w:t>大宗交易流通受限</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18,091,029.18</w:t>
            </w:r>
          </w:p>
        </w:tc>
        <w:tc>
          <w:tcPr>
            <w:vAlign w:val="center"/>
          </w:tcPr>
          <w:p>
            <w:pPr>
              <w:jc w:val="right"/>
            </w:pPr>
            <w:r>
              <w:rPr>
                <w:color w:val="000000"/>
                <w:kern w:val="0"/>
                <w:sz w:val="24"/>
                <w:szCs w:val="24"/>
              </w:rPr>
              <w:t>0.33</w:t>
            </w:r>
          </w:p>
        </w:tc>
        <w:tc>
          <w:tcPr>
            <w:vAlign w:val="center"/>
          </w:tcPr>
          <w:p>
            <w:pPr>
              <w:jc w:val="right"/>
            </w:pPr>
            <w:r>
              <w:rPr>
                <w:color w:val="000000"/>
                <w:kern w:val="0"/>
                <w:sz w:val="24"/>
                <w:szCs w:val="24"/>
              </w:rPr>
              <w:t>大宗交易流通受限</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注：根据《深圳/上海证券交易所上市公司股东及董事、监事、高级管理人员减持股份实施细则》，大股东减持或者特定股东减持，采取大宗交易方式的，在任意连续90日内，减持股份的总数不得超过公司股份总数的2%；前款交易的受让方在受让后6个月内，不得转让所受让的股份。</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3,479,784,635.64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291,840,338.82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389,548,616.35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3,382,076,358.11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1.中国证监会《关于核准科讯证券投资基金基金份额持有人大会决议的批复》（证监基金字[2007]330号）；</w:t>
      </w:r>
    </w:p>
    <w:p>
      <w:pPr>
        <w:spacing w:line="360" w:lineRule="auto"/>
        <w:ind w:firstLine="480" w:firstLineChars="200"/>
        <w:rPr>
          <w:color w:val="000000"/>
          <w:sz w:val="24"/>
          <w:szCs w:val="24"/>
        </w:rPr>
      </w:pPr>
      <w:r>
        <w:rPr>
          <w:color w:val="000000"/>
          <w:sz w:val="24"/>
          <w:szCs w:val="24"/>
        </w:rPr>
        <w:t>2.《易方达科讯混合型证券投资基金基金合同》；</w:t>
      </w:r>
    </w:p>
    <w:p>
      <w:pPr>
        <w:spacing w:line="360" w:lineRule="auto"/>
        <w:ind w:firstLine="480" w:firstLineChars="200"/>
        <w:rPr>
          <w:color w:val="000000"/>
          <w:sz w:val="24"/>
          <w:szCs w:val="24"/>
        </w:rPr>
      </w:pPr>
      <w:r>
        <w:rPr>
          <w:color w:val="000000"/>
          <w:sz w:val="24"/>
          <w:szCs w:val="24"/>
        </w:rPr>
        <w:t>3.《易方达科讯混合型证券投资基金托管协议》；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易方达科讯混合型证券投资基金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