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9A2283" w:rsidR="009A2283" w:rsidRDefault="009A2283" w:rsidRPr="00D3639B">
      <w:pPr>
        <w:autoSpaceDE w:val="0"/>
        <w:autoSpaceDN w:val="0"/>
        <w:adjustRightInd w:val="0"/>
        <w:spacing w:line="360" w:lineRule="auto"/>
        <w:jc w:val="left"/>
        <w:rPr>
          <w:rFonts w:eastAsiaTheme="minorEastAsia"/>
          <w:color w:themeColor="text1" w:val="000000"/>
          <w:kern w:val="0"/>
          <w:szCs w:val="21"/>
        </w:rPr>
      </w:pPr>
    </w:p>
    <w:p w:rsidP="009A2283" w:rsidR="009A2283" w:rsidRDefault="009A2283" w:rsidRPr="00D3639B">
      <w:pPr>
        <w:autoSpaceDE w:val="0"/>
        <w:autoSpaceDN w:val="0"/>
        <w:adjustRightInd w:val="0"/>
        <w:spacing w:line="360" w:lineRule="auto"/>
        <w:jc w:val="left"/>
        <w:rPr>
          <w:rFonts w:eastAsiaTheme="minorEastAsia"/>
          <w:color w:themeColor="text1" w:val="000000"/>
          <w:kern w:val="0"/>
          <w:szCs w:val="21"/>
        </w:rPr>
      </w:pPr>
    </w:p>
    <w:p w:rsidP="009A2283" w:rsidR="00FC7F43" w:rsidRDefault="00FC7F43" w:rsidRPr="00D3639B">
      <w:pPr>
        <w:autoSpaceDE w:val="0"/>
        <w:autoSpaceDN w:val="0"/>
        <w:adjustRightInd w:val="0"/>
        <w:spacing w:line="360" w:lineRule="auto"/>
        <w:jc w:val="left"/>
        <w:rPr>
          <w:rFonts w:eastAsiaTheme="minorEastAsia"/>
          <w:color w:themeColor="text1" w:val="000000"/>
          <w:kern w:val="0"/>
          <w:szCs w:val="21"/>
        </w:rPr>
      </w:pPr>
    </w:p>
    <w:p w:rsidP="009A2283" w:rsidR="009A2283" w:rsidRDefault="009A2283" w:rsidRPr="00D3639B">
      <w:pPr>
        <w:autoSpaceDE w:val="0"/>
        <w:autoSpaceDN w:val="0"/>
        <w:adjustRightInd w:val="0"/>
        <w:spacing w:line="360" w:lineRule="auto"/>
        <w:jc w:val="left"/>
        <w:rPr>
          <w:rFonts w:eastAsiaTheme="minorEastAsia"/>
          <w:color w:themeColor="text1" w:val="000000"/>
          <w:kern w:val="0"/>
          <w:szCs w:val="21"/>
        </w:rPr>
      </w:pPr>
    </w:p>
    <w:p w:rsidP="009A2283" w:rsidR="009A2283" w:rsidRDefault="009A2283" w:rsidRPr="00D3639B">
      <w:pPr>
        <w:autoSpaceDE w:val="0"/>
        <w:autoSpaceDN w:val="0"/>
        <w:adjustRightInd w:val="0"/>
        <w:spacing w:line="360" w:lineRule="auto"/>
        <w:jc w:val="left"/>
        <w:rPr>
          <w:rFonts w:eastAsiaTheme="minorEastAsia"/>
          <w:color w:themeColor="text1" w:val="000000"/>
          <w:kern w:val="0"/>
          <w:szCs w:val="21"/>
        </w:rPr>
      </w:pPr>
    </w:p>
    <w:p w:rsidP="00FC13C8" w:rsidR="009A2283" w:rsidRDefault="002D2A00" w:rsidRPr="00D3639B">
      <w:pPr>
        <w:spacing w:line="360" w:lineRule="auto"/>
        <w:jc w:val="center"/>
        <w:rPr>
          <w:rFonts w:eastAsiaTheme="minorEastAsia"/>
          <w:b/>
          <w:color w:themeColor="text1" w:val="000000"/>
          <w:sz w:val="36"/>
          <w:szCs w:val="36"/>
        </w:rPr>
      </w:pPr>
      <w:r w:rsidRPr="00D3639B">
        <w:rPr>
          <w:rFonts w:eastAsiaTheme="minorEastAsia"/>
          <w:b/>
          <w:color w:themeColor="text1" w:val="000000"/>
          <w:sz w:val="36"/>
          <w:szCs w:val="36"/>
        </w:rPr>
        <w:t/>
      </w:r>
      <w:proofErr w:type="spellStart"/>
      <w:proofErr w:type="gramStart"/>
      <w:r w:rsidRPr="00D3639B">
        <w:rPr>
          <w:rFonts w:eastAsiaTheme="minorEastAsia"/>
          <w:b/>
          <w:color w:themeColor="text1" w:val="000000"/>
          <w:sz w:val="36"/>
          <w:szCs w:val="36"/>
        </w:rPr>
        <w:t/>
      </w:r>
      <w:proofErr w:type="spellEnd"/>
      <w:proofErr w:type="gramEnd"/>
      <w:r w:rsidRPr="00D3639B">
        <w:rPr>
          <w:rFonts w:eastAsiaTheme="minorEastAsia"/>
          <w:b/>
          <w:color w:themeColor="text1" w:val="000000"/>
          <w:sz w:val="36"/>
          <w:szCs w:val="36"/>
        </w:rPr>
        <w:t>易方达创业板交易型开放式指数证券投资基金联接基金</w:t>
      </w:r>
    </w:p>
    <w:p w:rsidP="00FC13C8" w:rsidR="002D2A00" w:rsidRDefault="002D2A00" w:rsidRPr="00D3639B">
      <w:pPr>
        <w:spacing w:line="360" w:lineRule="auto"/>
        <w:jc w:val="center"/>
        <w:rPr>
          <w:rFonts w:eastAsiaTheme="minorEastAsia"/>
          <w:b/>
          <w:color w:themeColor="text1" w:val="000000"/>
          <w:sz w:val="36"/>
          <w:szCs w:val="36"/>
        </w:rPr>
      </w:pPr>
      <w:r w:rsidRPr="00D3639B">
        <w:rPr>
          <w:rFonts w:eastAsiaTheme="minorEastAsia"/>
          <w:b/>
          <w:color w:themeColor="text1" w:val="000000"/>
          <w:sz w:val="36"/>
          <w:szCs w:val="36"/>
        </w:rPr>
        <w:t/>
      </w:r>
      <w:proofErr w:type="spellStart"/>
      <w:r w:rsidRPr="00D3639B">
        <w:rPr>
          <w:rFonts w:eastAsiaTheme="minorEastAsia"/>
          <w:b/>
          <w:color w:themeColor="text1" w:val="000000"/>
          <w:sz w:val="36"/>
          <w:szCs w:val="36"/>
        </w:rPr>
        <w:t/>
      </w:r>
      <w:proofErr w:type="spellEnd"/>
      <w:r w:rsidRPr="00D3639B">
        <w:rPr>
          <w:rFonts w:eastAsiaTheme="minorEastAsia"/>
          <w:b/>
          <w:color w:themeColor="text1" w:val="000000"/>
          <w:sz w:val="36"/>
          <w:szCs w:val="36"/>
        </w:rPr>
        <w:t>2020年第2季度报告</w:t>
      </w:r>
    </w:p>
    <w:p w:rsidP="00FC13C8" w:rsidR="009A2283" w:rsidRDefault="00577209" w:rsidRPr="00D3639B">
      <w:pPr>
        <w:spacing w:line="360" w:lineRule="auto"/>
        <w:jc w:val="center"/>
        <w:rPr>
          <w:rFonts w:eastAsiaTheme="minorEastAsia"/>
          <w:b/>
          <w:color w:themeColor="text1" w:val="000000"/>
          <w:sz w:val="36"/>
          <w:szCs w:val="36"/>
        </w:rPr>
      </w:pPr>
      <w:r w:rsidRPr="00D3639B">
        <w:rPr>
          <w:rFonts w:eastAsiaTheme="minorEastAsia"/>
          <w:b/>
          <w:color w:themeColor="text1" w:val="000000"/>
          <w:sz w:val="36"/>
          <w:szCs w:val="36"/>
        </w:rPr>
        <w:t/>
      </w:r>
      <w:proofErr w:type="spellStart"/>
      <w:proofErr w:type="gramStart"/>
      <w:r w:rsidRPr="00D3639B">
        <w:rPr>
          <w:rFonts w:eastAsiaTheme="minorEastAsia"/>
          <w:b/>
          <w:color w:themeColor="text1" w:val="000000"/>
          <w:sz w:val="36"/>
          <w:szCs w:val="36"/>
        </w:rPr>
        <w:t/>
      </w:r>
      <w:proofErr w:type="spellEnd"/>
      <w:proofErr w:type="gramEnd"/>
      <w:r w:rsidR="00121533" w:rsidRPr="00D3639B">
        <w:rPr>
          <w:rFonts w:eastAsiaTheme="minorEastAsia"/>
          <w:b/>
          <w:color w:themeColor="text1" w:val="000000"/>
          <w:sz w:val="36"/>
          <w:szCs w:val="36"/>
        </w:rPr>
        <w:t>2020年6月30日</w:t>
      </w: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E27360" w:rsidR="009A2283" w:rsidRDefault="009A2283" w:rsidRPr="00D3639B">
      <w:pPr>
        <w:spacing w:line="360" w:lineRule="auto"/>
        <w:jc w:val="center"/>
        <w:rPr>
          <w:rFonts w:eastAsiaTheme="minorEastAsia"/>
          <w:b/>
          <w:color w:themeColor="text1" w:val="000000"/>
          <w:szCs w:val="21"/>
        </w:rPr>
      </w:pPr>
    </w:p>
    <w:p w:rsidP="00E27360" w:rsidR="00E27360" w:rsidRDefault="00E27360"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jc w:val="center"/>
        <w:rPr>
          <w:rFonts w:eastAsiaTheme="minorEastAsia"/>
          <w:b/>
          <w:color w:themeColor="text1" w:val="000000"/>
          <w:szCs w:val="21"/>
        </w:rPr>
      </w:pPr>
    </w:p>
    <w:p w:rsidP="009A2283" w:rsidR="009A2283" w:rsidRDefault="009A2283" w:rsidRPr="00D3639B">
      <w:pPr>
        <w:spacing w:line="360" w:lineRule="auto"/>
        <w:rPr>
          <w:rFonts w:eastAsiaTheme="minorEastAsia"/>
          <w:b/>
          <w:color w:themeColor="text1" w:val="000000"/>
          <w:szCs w:val="21"/>
        </w:rPr>
      </w:pPr>
    </w:p>
    <w:p w:rsidP="004B54B8" w:rsidR="009A2283" w:rsidRDefault="009A2283" w:rsidRPr="00D3639B">
      <w:pPr>
        <w:spacing w:line="360" w:lineRule="auto"/>
        <w:ind w:firstLine="2168" w:firstLineChars="900"/>
        <w:rPr>
          <w:rFonts w:eastAsiaTheme="minorEastAsia"/>
          <w:b/>
          <w:color w:themeColor="text1" w:val="000000"/>
          <w:sz w:val="24"/>
        </w:rPr>
      </w:pPr>
      <w:r w:rsidRPr="00D3639B">
        <w:rPr>
          <w:rFonts w:eastAsiaTheme="minorEastAsia"/>
          <w:b/>
          <w:color w:themeColor="text1" w:val="000000"/>
          <w:sz w:val="24"/>
        </w:rPr>
        <w:t>基金管理人：</w:t>
      </w:r>
      <w:r w:rsidR="00BF377F" w:rsidRPr="00D3639B">
        <w:rPr>
          <w:rFonts w:eastAsiaTheme="minorEastAsia"/>
          <w:b/>
          <w:color w:themeColor="text1" w:val="000000"/>
          <w:sz w:val="24"/>
        </w:rPr>
        <w:t/>
      </w:r>
      <w:proofErr w:type="spellStart"/>
      <w:proofErr w:type="gramStart"/>
      <w:r w:rsidR="00BF377F" w:rsidRPr="00D3639B">
        <w:rPr>
          <w:rFonts w:eastAsiaTheme="minorEastAsia"/>
          <w:b/>
          <w:color w:themeColor="text1" w:val="000000"/>
          <w:sz w:val="24"/>
        </w:rPr>
        <w:t/>
      </w:r>
      <w:proofErr w:type="spellEnd"/>
      <w:proofErr w:type="gramEnd"/>
      <w:r w:rsidR="00BF377F" w:rsidRPr="00D3639B">
        <w:rPr>
          <w:rFonts w:eastAsiaTheme="minorEastAsia"/>
          <w:b/>
          <w:color w:themeColor="text1" w:val="000000"/>
          <w:sz w:val="24"/>
        </w:rPr>
        <w:t>易方达基金管理有限公司</w:t>
      </w:r>
    </w:p>
    <w:p w:rsidP="004B54B8" w:rsidR="009A2283" w:rsidRDefault="009A2283" w:rsidRPr="00D3639B">
      <w:pPr>
        <w:spacing w:line="360" w:lineRule="auto"/>
        <w:ind w:firstLine="2168" w:firstLineChars="900"/>
        <w:rPr>
          <w:rFonts w:eastAsiaTheme="minorEastAsia"/>
          <w:b/>
          <w:color w:themeColor="text1" w:val="000000"/>
          <w:sz w:val="24"/>
        </w:rPr>
      </w:pPr>
      <w:r w:rsidRPr="00D3639B">
        <w:rPr>
          <w:rFonts w:eastAsiaTheme="minorEastAsia"/>
          <w:b/>
          <w:color w:themeColor="text1" w:val="000000"/>
          <w:sz w:val="24"/>
        </w:rPr>
        <w:t>基金托管人：</w:t>
      </w:r>
      <w:r w:rsidR="00BF377F" w:rsidRPr="00D3639B">
        <w:rPr>
          <w:rFonts w:eastAsiaTheme="minorEastAsia"/>
          <w:b/>
          <w:color w:themeColor="text1" w:val="000000"/>
          <w:sz w:val="24"/>
        </w:rPr>
        <w:t/>
      </w:r>
      <w:proofErr w:type="spellStart"/>
      <w:proofErr w:type="gramStart"/>
      <w:r w:rsidR="00BF377F" w:rsidRPr="00D3639B">
        <w:rPr>
          <w:rFonts w:eastAsiaTheme="minorEastAsia"/>
          <w:b/>
          <w:color w:themeColor="text1" w:val="000000"/>
          <w:sz w:val="24"/>
        </w:rPr>
        <w:t/>
      </w:r>
      <w:proofErr w:type="spellEnd"/>
      <w:proofErr w:type="gramEnd"/>
      <w:r w:rsidR="00BF377F" w:rsidRPr="00D3639B">
        <w:rPr>
          <w:rFonts w:eastAsiaTheme="minorEastAsia"/>
          <w:b/>
          <w:color w:themeColor="text1" w:val="000000"/>
          <w:sz w:val="24"/>
        </w:rPr>
        <w:t>中国工商银行股份有限公司</w:t>
      </w:r>
    </w:p>
    <w:p w:rsidP="004B54B8" w:rsidR="009A2283" w:rsidRDefault="009A2283" w:rsidRPr="00D3639B">
      <w:pPr>
        <w:spacing w:line="360" w:lineRule="auto"/>
        <w:ind w:firstLine="2168" w:firstLineChars="900"/>
        <w:rPr>
          <w:rFonts w:eastAsiaTheme="minorEastAsia"/>
          <w:color w:themeColor="text1" w:val="000000"/>
          <w:sz w:val="24"/>
        </w:rPr>
        <w:sectPr w:rsidR="009A2283" w:rsidRPr="00D3639B" w:rsidSect="00F7094A">
          <w:headerReference r:id="rId9" w:type="default"/>
          <w:footerReference r:id="rId10" w:type="default"/>
          <w:pgSz w:h="15840" w:w="11926"/>
          <w:pgMar w:bottom="851" w:footer="992" w:gutter="0" w:header="851" w:left="1418" w:right="1418" w:top="1418"/>
          <w:cols w:space="720"/>
          <w:noEndnote/>
        </w:sectPr>
      </w:pPr>
      <w:r w:rsidRPr="00D3639B">
        <w:rPr>
          <w:rFonts w:eastAsiaTheme="minorEastAsia"/>
          <w:b/>
          <w:color w:themeColor="text1" w:val="000000"/>
          <w:sz w:val="24"/>
        </w:rPr>
        <w:t>报告送出日期：</w:t>
      </w:r>
      <w:r w:rsidR="00D04410" w:rsidRPr="00D3639B">
        <w:rPr>
          <w:rFonts w:eastAsiaTheme="minorEastAsia"/>
          <w:b/>
          <w:color w:themeColor="text1" w:val="000000"/>
          <w:sz w:val="24"/>
        </w:rPr>
        <w:t/>
      </w:r>
      <w:proofErr w:type="spellStart"/>
      <w:proofErr w:type="gramStart"/>
      <w:r w:rsidR="00D04410" w:rsidRPr="00D3639B">
        <w:rPr>
          <w:rFonts w:eastAsiaTheme="minorEastAsia"/>
          <w:b/>
          <w:color w:themeColor="text1" w:val="000000"/>
          <w:sz w:val="24"/>
        </w:rPr>
        <w:t/>
      </w:r>
      <w:proofErr w:type="spellEnd"/>
      <w:proofErr w:type="gramEnd"/>
      <w:r w:rsidR="00D04410" w:rsidRPr="00D3639B">
        <w:rPr>
          <w:rFonts w:eastAsiaTheme="minorEastAsia"/>
          <w:b/>
          <w:color w:themeColor="text1" w:val="000000"/>
          <w:sz w:val="24"/>
        </w:rPr>
        <w:t>二〇二〇年七月二十一日</w:t>
      </w:r>
    </w:p>
    <w:p w:rsidP="00C544B8" w:rsidR="009238DB" w:rsidRDefault="009238DB" w:rsidRPr="00B34368">
      <w:pPr>
        <w:pStyle w:val="1"/>
        <w:spacing w:after="312" w:afterLines="100" w:before="312" w:beforeLines="100" w:line="360" w:lineRule="auto"/>
        <w:jc w:val="center"/>
        <w:rPr>
          <w:rFonts w:eastAsiaTheme="minorEastAsia"/>
          <w:b w:val="0"/>
          <w:color w:themeColor="text1" w:val="000000"/>
          <w:kern w:val="0"/>
          <w:sz w:val="24"/>
          <w:szCs w:val="24"/>
        </w:rPr>
      </w:pPr>
      <w:r w:rsidRPr="00B34368">
        <w:rPr>
          <w:rFonts w:eastAsiaTheme="minorEastAsia"/>
          <w:color w:themeColor="text1" w:val="000000"/>
          <w:kern w:val="0"/>
          <w:sz w:val="24"/>
          <w:szCs w:val="24"/>
        </w:rPr>
        <w:lastRenderedPageBreak/>
        <w:t xml:space="preserve">§1  </w:t>
      </w:r>
      <w:r w:rsidRPr="00B34368">
        <w:rPr>
          <w:rFonts w:eastAsiaTheme="minorEastAsia" w:hAnsiTheme="minorEastAsia"/>
          <w:color w:themeColor="text1" w:val="000000"/>
          <w:kern w:val="0"/>
          <w:sz w:val="24"/>
          <w:szCs w:val="24"/>
        </w:rPr>
        <w:t>重要提示</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 xml:space="preserve">基金托管人中国工商银行股份有限公司根据本基金合同规定，于2020年7月17日复核了本报告中的财务指标、净值表现和投资组合报告等内容，保证复核内容不存在虚假记载、误导性陈述或者重大遗漏。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 xml:space="preserve">基金管理人承诺以诚实信用、勤勉尽责的原则管理和运用基金资产，但不保证基金一定盈利。 </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 xml:space="preserve">基金的过往业绩并不代表其未来表现。投资有风险，投资者在作出投资决策前应仔细阅读本基金的招募说明书。 </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本报告中财务资料未经审计。</w:t>
      </w:r>
    </w:p>
    <w:p w:rsidP="00B34368" w:rsidR="009238DB" w:rsidRDefault="00267DA9"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本报告期自2020年4月1日起至6月30日止。</w:t>
      </w:r>
    </w:p>
    <w:p w:rsidP="00C544B8" w:rsidR="009238DB" w:rsidRDefault="009238DB" w:rsidRPr="00B34368">
      <w:pPr>
        <w:pStyle w:val="1"/>
        <w:spacing w:after="312" w:afterLines="100" w:before="312" w:beforeLines="100" w:line="360" w:lineRule="auto"/>
        <w:jc w:val="center"/>
        <w:rPr>
          <w:rFonts w:eastAsiaTheme="minorEastAsia"/>
          <w:color w:themeColor="text1" w:val="000000"/>
          <w:kern w:val="0"/>
          <w:sz w:val="24"/>
          <w:szCs w:val="24"/>
        </w:rPr>
      </w:pPr>
      <w:r w:rsidRPr="00B34368">
        <w:rPr>
          <w:rFonts w:eastAsiaTheme="minorEastAsia"/>
          <w:color w:themeColor="text1" w:val="000000"/>
          <w:kern w:val="0"/>
          <w:sz w:val="24"/>
          <w:szCs w:val="24"/>
        </w:rPr>
        <w:t xml:space="preserve">§2  </w:t>
      </w:r>
      <w:r w:rsidRPr="00B34368">
        <w:rPr>
          <w:rFonts w:eastAsiaTheme="minorEastAsia" w:hAnsiTheme="minorEastAsia"/>
          <w:color w:themeColor="text1" w:val="000000"/>
          <w:kern w:val="0"/>
          <w:sz w:val="24"/>
          <w:szCs w:val="24"/>
        </w:rPr>
        <w:t>基金产品概况</w:t>
      </w:r>
    </w:p>
    <w:p w:rsidP="002C32ED" w:rsidR="002C32ED" w:rsidRDefault="002C32ED" w:rsidRPr="00B34368">
      <w:pPr>
        <w:pStyle w:val="2"/>
        <w:keepNext w:val="0"/>
        <w:keepLines w:val="0"/>
        <w:spacing w:after="0" w:before="0"/>
        <w:rPr>
          <w:rFonts w:ascii="Times New Roman" w:cs="Times New Roman" w:eastAsiaTheme="minorEastAsia" w:hAnsi="Times New Roman"/>
          <w:color w:themeColor="text1" w:val="000000"/>
          <w:szCs w:val="24"/>
        </w:rPr>
      </w:pPr>
      <w:bookmarkStart w:id="0" w:name="_Toc245193810"/>
      <w:r w:rsidRPr="00B34368">
        <w:rPr>
          <w:rFonts w:ascii="Times New Roman" w:cs="Times New Roman" w:eastAsiaTheme="minorEastAsia" w:hAnsi="Times New Roman"/>
          <w:color w:themeColor="text1" w:val="000000"/>
          <w:szCs w:val="24"/>
        </w:rPr>
        <w:t>2.1</w:t>
      </w:r>
      <w:r w:rsidRPr="00B34368">
        <w:rPr>
          <w:rFonts w:ascii="Times New Roman" w:cs="Times New Roman" w:eastAsiaTheme="minorEastAsia" w:hAnsiTheme="minorEastAsia"/>
          <w:color w:themeColor="text1" w:val="000000"/>
          <w:szCs w:val="24"/>
        </w:rPr>
        <w:t>基金产品概况</w:t>
      </w:r>
      <w:bookmarkEnd w:id="0"/>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基金简称</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易方达创业板ETF联接</w:t>
            </w:r>
          </w:p>
        </w:tc>
      </w:tr>
      <w:tr w:rsidR="00D3639B" w:rsidRPr="00B34368" w:rsidTr="004E70B7">
        <w:tc>
          <w:tcPr>
            <w:tcW w:type="dxa" w:w="2835"/>
          </w:tcPr>
          <w:p w:rsidP="00E205AA" w:rsidR="00B95753" w:rsidRDefault="00B95753" w:rsidRPr="00B34368">
            <w:pPr>
              <w:adjustRightInd w:val="0"/>
              <w:spacing w:before="29" w:line="360" w:lineRule="auto"/>
              <w:ind w:left="17"/>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基金主代码</w:t>
            </w:r>
          </w:p>
        </w:tc>
        <w:tc>
          <w:tcPr>
            <w:tcW w:type="dxa" w:w="5479"/>
            <w:gridSpan w:val="2"/>
          </w:tcPr>
          <w:p w:rsidP="00E205AA" w:rsidR="00B95753" w:rsidRDefault="00B95753" w:rsidRPr="00B34368">
            <w:pPr>
              <w:adjustRightInd w:val="0"/>
              <w:spacing w:before="29" w:line="360" w:lineRule="auto"/>
              <w:ind w:left="17"/>
              <w:jc w:val="lef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110026</w:t>
            </w:r>
          </w:p>
        </w:tc>
      </w:tr>
      <w:tr w:rsidR="00D3639B" w:rsidRPr="00B34368" w:rsidTr="004E70B7">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基金运作方式</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契约型开放式</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基金合同生效日</w:t>
            </w:r>
          </w:p>
        </w:tc>
        <w:tc>
          <w:tcPr>
            <w:tcW w:type="dxa" w:w="5479"/>
            <w:gridSpan w:val="2"/>
          </w:tcPr>
          <w:p w:rsidP="00121533" w:rsidR="00A6200E" w:rsidRDefault="00121533" w:rsidRPr="00B34368">
            <w:pPr>
              <w:adjustRightInd w:val="0"/>
              <w:spacing w:before="29" w:line="360" w:lineRule="auto"/>
              <w:ind w:left="17"/>
              <w:jc w:val="lef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2011年9月20日</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报告期末基金份额总额</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2,307,542,887.65</w:t>
            </w:r>
            <w:r w:rsidR="0060758A" w:rsidRPr="00B34368">
              <w:rPr>
                <w:rFonts w:eastAsiaTheme="minorEastAsia" w:hAnsiTheme="minorEastAsia"/>
                <w:color w:themeColor="text1" w:val="000000"/>
                <w:kern w:val="0"/>
                <w:sz w:val="24"/>
              </w:rPr>
              <w:t>份</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投资目标</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紧密跟踪业绩比较基准，追求跟踪偏离度及跟踪误差的最小化。</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投资策略</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本基金为创业板ETF的联接基金。创业板ETF是采用完全复制法实现对创业板指数紧密跟踪的全被动指数基金，本基金主要通过投资于创业板ETF实现对业绩比较基准的紧密跟踪，力争将日均跟踪偏离度控制在0.35%以内，年化跟踪误差控制在4%以内。在投资运作过程中，本基金将在综合考虑合规、风险、效率、成本等因素的基础上，决定采用实物申赎的方式或证券二级市场交易的方式进行创业板ETF的买卖。本基金可以参与股指期货交易，但必须根据风险管理的原则，以套期保值为目的。</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业绩比较基准</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创业板指数收益率X95%+活期存款利率(税后)X5%</w:t>
            </w:r>
          </w:p>
        </w:tc>
      </w:tr>
      <w:tr w:rsidR="00D3639B" w:rsidRPr="00B34368" w:rsidTr="009A045B">
        <w:tc>
          <w:tcPr>
            <w:tcW w:type="dxa" w:w="2835"/>
          </w:tcPr>
          <w:p w:rsidP="00E205AA" w:rsidR="00846C2B" w:rsidRDefault="00846C2B"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风险收益特征</w:t>
            </w:r>
          </w:p>
        </w:tc>
        <w:tc>
          <w:tcPr>
            <w:tcW w:type="dxa" w:w="5479"/>
            <w:gridSpan w:val="2"/>
          </w:tcPr>
          <w:p w:rsidP="00E205AA" w:rsidR="00846C2B" w:rsidRDefault="00846C2B"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本基金为创业板ETF的联接基金，其预期风险收益水平高于混合型基金、债券基金和货币市场基金；本基金主要通过投资创业板ETF追踪业绩比较基准，具有与业绩比较基准相似的风险收益特征。</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基金管理人</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易方达基金管理有限公司</w:t>
            </w:r>
          </w:p>
        </w:tc>
      </w:tr>
      <w:tr w:rsidR="00D3639B" w:rsidRPr="00B34368" w:rsidTr="00950413">
        <w:tc>
          <w:tcPr>
            <w:tcW w:type="dxa" w:w="2835"/>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kern w:val="0"/>
                <w:sz w:val="24"/>
              </w:rPr>
              <w:t>基金托管人</w:t>
            </w:r>
          </w:p>
        </w:tc>
        <w:tc>
          <w:tcPr>
            <w:tcW w:type="dxa" w:w="5479"/>
            <w:gridSpan w:val="2"/>
          </w:tcPr>
          <w:p w:rsidP="00E205AA" w:rsidR="00A6200E" w:rsidRDefault="00A6200E" w:rsidRPr="00B34368">
            <w:pPr>
              <w:adjustRightInd w:val="0"/>
              <w:spacing w:before="29" w:line="360" w:lineRule="auto"/>
              <w:ind w:left="17"/>
              <w:jc w:val="lef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中国工商银行股份有限公司</w:t>
            </w:r>
          </w:p>
        </w:tc>
      </w:tr>
      <w:tr w:rsidR="00D3639B" w:rsidRPr="00B34368" w:rsidTr="00950413">
        <w:tc>
          <w:tcPr>
            <w:tcW w:type="dxa" w:w="2835"/>
          </w:tcPr>
          <w:p w:rsidP="00E205AA" w:rsidR="00950413" w:rsidRDefault="00075E4E" w:rsidRPr="00B34368">
            <w:pPr>
              <w:adjustRightInd w:val="0"/>
              <w:spacing w:before="29" w:line="360" w:lineRule="auto"/>
              <w:ind w:left="17"/>
              <w:jc w:val="left"/>
              <w:rPr>
                <w:rFonts w:eastAsiaTheme="minorEastAsia"/>
                <w:color w:themeColor="text1" w:val="000000"/>
                <w:kern w:val="0"/>
                <w:sz w:val="24"/>
              </w:rPr>
            </w:pPr>
            <w:r>
              <w:rPr>
                <w:rFonts w:eastAsiaTheme="minorEastAsia" w:hAnsiTheme="minorEastAsia"/>
                <w:color w:themeColor="text1" w:val="000000"/>
                <w:sz w:val="24"/>
              </w:rPr>
              <w:t>下属</w:t>
            </w:r>
            <w:r>
              <w:rPr>
                <w:rFonts w:eastAsiaTheme="minorEastAsia" w:hAnsiTheme="minorEastAsia" w:hint="eastAsia"/>
                <w:color w:themeColor="text1" w:val="000000"/>
                <w:sz w:val="24"/>
              </w:rPr>
              <w:t>分</w:t>
            </w:r>
            <w:r w:rsidR="00950413" w:rsidRPr="00B34368">
              <w:rPr>
                <w:rFonts w:eastAsiaTheme="minorEastAsia" w:hAnsiTheme="minorEastAsia"/>
                <w:color w:themeColor="text1" w:val="000000"/>
                <w:sz w:val="24"/>
              </w:rPr>
              <w:t>级基金的基金简称</w:t>
            </w:r>
          </w:p>
        </w:tc>
        <w:tc>
          <w:tcPr>
            <w:tcW w:type="dxa" w:w="2739"/>
            <w:vAlign w:val="center"/>
          </w:tcPr>
          <w:p w:rsidP="00950413" w:rsidR="00950413" w:rsidRDefault="00950413" w:rsidRPr="00B34368">
            <w:pPr>
              <w:jc w:val="left"/>
              <w:rPr>
                <w:rFonts w:eastAsiaTheme="minorEastAsia"/>
                <w:color w:themeColor="text1" w:val="000000"/>
                <w:sz w:val="24"/>
              </w:rPr>
            </w:pPr>
            <w:r w:rsidRPr="00B34368">
              <w:rPr>
                <w:rFonts w:eastAsiaTheme="minorEastAsia"/>
                <w:color w:themeColor="text1" w:val="000000"/>
                <w:kern w:val="0"/>
                <w:sz w:val="24"/>
              </w:rPr>
              <w:t/>
            </w:r>
            <w:r w:rsidR="00AF24AA" w:rsidRPr="00B34368">
              <w:rPr>
                <w:rFonts w:eastAsiaTheme="minorEastAsia"/>
                <w:color w:themeColor="text1" w:val="000000"/>
                <w:kern w:val="0"/>
                <w:sz w:val="24"/>
              </w:rPr>
              <w:t/>
            </w:r>
            <w:proofErr w:type="spellStart"/>
            <w:r w:rsidR="00AF24AA" w:rsidRPr="00B34368">
              <w:rPr>
                <w:rFonts w:eastAsiaTheme="minorEastAsia"/>
                <w:color w:themeColor="text1" w:val="000000"/>
                <w:kern w:val="0"/>
                <w:sz w:val="24"/>
              </w:rPr>
              <w:t/>
            </w:r>
            <w:proofErr w:type="spellEnd"/>
            <w:r w:rsidRPr="00B34368">
              <w:rPr>
                <w:rFonts w:eastAsiaTheme="minorEastAsia"/>
                <w:color w:themeColor="text1" w:val="000000"/>
                <w:sz w:val="24"/>
              </w:rPr>
              <w:t/>
            </w:r>
            <w:r w:rsidR="0042785F" w:rsidRPr="00B34368">
              <w:rPr>
                <w:rFonts w:eastAsiaTheme="minorEastAsia"/>
                <w:color w:themeColor="text1" w:val="000000"/>
                <w:sz w:val="24"/>
              </w:rPr>
              <w:t/>
            </w:r>
            <w:r w:rsidRPr="00B34368">
              <w:rPr>
                <w:rFonts w:eastAsiaTheme="minorEastAsia"/>
                <w:color w:themeColor="text1" w:val="000000"/>
                <w:sz w:val="24"/>
              </w:rPr>
              <w:t>易方达创业板ETF联接A</w:t>
            </w:r>
          </w:p>
        </w:tc>
        <w:tc>
          <w:tcPr>
            <w:tcW w:type="dxa" w:w="2740"/>
            <w:vAlign w:val="center"/>
          </w:tcPr>
          <w:p w:rsidP="00950413" w:rsidR="00950413" w:rsidRDefault="00950413" w:rsidRPr="00B34368">
            <w:pPr>
              <w:jc w:val="left"/>
              <w:rPr>
                <w:rFonts w:eastAsiaTheme="minorEastAsia"/>
                <w:color w:themeColor="text1" w:val="000000"/>
                <w:sz w:val="24"/>
              </w:rPr>
            </w:pPr>
            <w:r w:rsidRPr="00B34368">
              <w:rPr>
                <w:rFonts w:eastAsiaTheme="minorEastAsia"/>
                <w:color w:themeColor="text1" w:val="000000"/>
                <w:kern w:val="0"/>
                <w:sz w:val="24"/>
              </w:rPr>
              <w:t/>
            </w:r>
            <w:r w:rsidRPr="00B34368">
              <w:rPr>
                <w:rFonts w:eastAsiaTheme="minorEastAsia"/>
                <w:color w:themeColor="text1" w:val="000000"/>
                <w:sz w:val="24"/>
              </w:rPr>
              <w:t/>
            </w:r>
            <w:r w:rsidR="004D614E" w:rsidRPr="00B34368">
              <w:rPr>
                <w:rFonts w:eastAsiaTheme="minorEastAsia"/>
                <w:color w:themeColor="text1" w:val="000000"/>
                <w:sz w:val="24"/>
              </w:rPr>
              <w:t/>
            </w:r>
            <w:r w:rsidRPr="00B34368">
              <w:rPr>
                <w:rFonts w:eastAsiaTheme="minorEastAsia"/>
                <w:color w:themeColor="text1" w:val="000000"/>
                <w:sz w:val="24"/>
              </w:rPr>
              <w:t>易方达创业板ETF联接C</w:t>
            </w:r>
          </w:p>
        </w:tc>
      </w:tr>
      <w:tr w:rsidR="00D3639B" w:rsidRPr="00B34368" w:rsidTr="00950413">
        <w:tc>
          <w:tcPr>
            <w:tcW w:type="dxa" w:w="2835"/>
          </w:tcPr>
          <w:p w:rsidP="00E205AA" w:rsidR="00950413" w:rsidRDefault="00950413"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下属</w:t>
            </w:r>
            <w:r w:rsidR="00075E4E">
              <w:rPr>
                <w:rFonts w:eastAsiaTheme="minorEastAsia" w:hAnsiTheme="minorEastAsia" w:hint="eastAsia"/>
                <w:color w:themeColor="text1" w:val="000000"/>
                <w:sz w:val="24"/>
              </w:rPr>
              <w:t>分</w:t>
            </w:r>
            <w:r w:rsidRPr="00B34368">
              <w:rPr>
                <w:rFonts w:eastAsiaTheme="minorEastAsia" w:hAnsiTheme="minorEastAsia"/>
                <w:color w:themeColor="text1" w:val="000000"/>
                <w:sz w:val="24"/>
              </w:rPr>
              <w:t>级基金的交易代</w:t>
            </w:r>
            <w:r w:rsidRPr="00B34368">
              <w:rPr>
                <w:rFonts w:eastAsiaTheme="minorEastAsia" w:hAnsiTheme="minorEastAsia"/>
                <w:color w:themeColor="text1" w:val="000000"/>
                <w:sz w:val="24"/>
              </w:rPr>
              <w:lastRenderedPageBreak/>
              <w:t>码</w:t>
            </w:r>
          </w:p>
        </w:tc>
        <w:tc>
          <w:tcPr>
            <w:tcW w:type="dxa" w:w="2739"/>
            <w:vAlign w:val="center"/>
          </w:tcPr>
          <w:p w:rsidP="00950413" w:rsidR="00950413" w:rsidRDefault="00950413" w:rsidRPr="00B34368">
            <w:pPr>
              <w:jc w:val="left"/>
              <w:rPr>
                <w:rFonts w:eastAsiaTheme="minorEastAsia"/>
                <w:color w:themeColor="text1" w:val="000000"/>
                <w:sz w:val="24"/>
              </w:rPr>
            </w:pPr>
            <w:r w:rsidRPr="00B34368">
              <w:rPr>
                <w:rFonts w:eastAsiaTheme="minorEastAsia"/>
                <w:color w:themeColor="text1" w:val="000000"/>
                <w:kern w:val="0"/>
                <w:sz w:val="24"/>
              </w:rPr>
              <w:lastRenderedPageBreak/>
              <w:t/>
            </w:r>
            <w:proofErr w:type="spellStart"/>
            <w:r w:rsidRPr="00B34368">
              <w:rPr>
                <w:rFonts w:eastAsiaTheme="minorEastAsia"/>
                <w:color w:themeColor="text1" w:val="000000"/>
                <w:sz w:val="24"/>
              </w:rPr>
              <w:t/>
            </w:r>
            <w:r w:rsidRPr="00B34368">
              <w:rPr>
                <w:rFonts w:eastAsiaTheme="minorEastAsia"/>
                <w:color w:themeColor="text1" w:val="000000"/>
                <w:sz w:val="24"/>
              </w:rPr>
              <w:lastRenderedPageBreak/>
              <w:t/>
            </w:r>
            <w:proofErr w:type="spellEnd"/>
            <w:r w:rsidR="0042785F" w:rsidRPr="00B34368">
              <w:rPr>
                <w:rFonts w:eastAsiaTheme="minorEastAsia"/>
                <w:color w:themeColor="text1" w:val="000000"/>
                <w:sz w:val="24"/>
              </w:rPr>
              <w:t/>
            </w:r>
            <w:r w:rsidRPr="00B34368">
              <w:rPr>
                <w:rFonts w:eastAsiaTheme="minorEastAsia"/>
                <w:color w:themeColor="text1" w:val="000000"/>
                <w:sz w:val="24"/>
              </w:rPr>
              <w:t>110026</w:t>
            </w:r>
          </w:p>
        </w:tc>
        <w:tc>
          <w:tcPr>
            <w:tcW w:type="dxa" w:w="2740"/>
            <w:vAlign w:val="center"/>
          </w:tcPr>
          <w:p w:rsidP="00950413" w:rsidR="00950413" w:rsidRDefault="00950413" w:rsidRPr="00B34368">
            <w:pPr>
              <w:jc w:val="left"/>
              <w:rPr>
                <w:rFonts w:eastAsiaTheme="minorEastAsia"/>
                <w:color w:themeColor="text1" w:val="000000"/>
                <w:sz w:val="24"/>
              </w:rPr>
            </w:pPr>
            <w:r w:rsidRPr="00B34368">
              <w:rPr>
                <w:rFonts w:eastAsiaTheme="minorEastAsia"/>
                <w:color w:themeColor="text1" w:val="000000"/>
                <w:kern w:val="0"/>
                <w:sz w:val="24"/>
              </w:rPr>
              <w:lastRenderedPageBreak/>
              <w:t/>
            </w:r>
            <w:r w:rsidRPr="00B34368">
              <w:rPr>
                <w:rFonts w:eastAsiaTheme="minorEastAsia"/>
                <w:color w:themeColor="text1" w:val="000000"/>
                <w:sz w:val="24"/>
              </w:rPr>
              <w:t/>
            </w:r>
            <w:r w:rsidRPr="00B34368">
              <w:rPr>
                <w:rFonts w:eastAsiaTheme="minorEastAsia"/>
                <w:color w:themeColor="text1" w:val="000000"/>
                <w:sz w:val="24"/>
              </w:rPr>
              <w:lastRenderedPageBreak/>
              <w:t/>
            </w:r>
            <w:r w:rsidR="004D614E" w:rsidRPr="00B34368">
              <w:rPr>
                <w:rFonts w:eastAsiaTheme="minorEastAsia"/>
                <w:color w:themeColor="text1" w:val="000000"/>
                <w:sz w:val="24"/>
              </w:rPr>
              <w:t/>
            </w:r>
            <w:r w:rsidR="00FE7FBD" w:rsidRPr="00B34368">
              <w:rPr>
                <w:rFonts w:eastAsiaTheme="minorEastAsia"/>
                <w:color w:themeColor="text1" w:val="000000"/>
                <w:sz w:val="24"/>
              </w:rPr>
              <w:t>004744</w:t>
            </w:r>
          </w:p>
        </w:tc>
      </w:tr>
      <w:tr w:rsidR="00D3639B" w:rsidRPr="00B34368" w:rsidTr="00950413">
        <w:tc>
          <w:tcPr>
            <w:tcW w:type="dxa" w:w="2835"/>
          </w:tcPr>
          <w:p w:rsidP="00E205AA" w:rsidR="00950413" w:rsidRDefault="00950413" w:rsidRPr="00B34368">
            <w:pPr>
              <w:adjustRightInd w:val="0"/>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lastRenderedPageBreak/>
              <w:t>报告期末下属</w:t>
            </w:r>
            <w:r w:rsidR="00075E4E">
              <w:rPr>
                <w:rFonts w:eastAsiaTheme="minorEastAsia" w:hAnsiTheme="minorEastAsia" w:hint="eastAsia"/>
                <w:color w:themeColor="text1" w:val="000000"/>
                <w:sz w:val="24"/>
              </w:rPr>
              <w:t>分</w:t>
            </w:r>
            <w:r w:rsidRPr="00B34368">
              <w:rPr>
                <w:rFonts w:eastAsiaTheme="minorEastAsia" w:hAnsiTheme="minorEastAsia"/>
                <w:color w:themeColor="text1" w:val="000000"/>
                <w:sz w:val="24"/>
              </w:rPr>
              <w:t>级基金的份额总额</w:t>
            </w:r>
          </w:p>
        </w:tc>
        <w:tc>
          <w:tcPr>
            <w:tcW w:type="dxa" w:w="2739"/>
            <w:vAlign w:val="center"/>
          </w:tcPr>
          <w:p w:rsidP="00950413" w:rsidR="00950413" w:rsidRDefault="00950413" w:rsidRPr="00B34368">
            <w:pPr>
              <w:jc w:val="left"/>
              <w:rPr>
                <w:rFonts w:eastAsiaTheme="minorEastAsia"/>
                <w:color w:themeColor="text1" w:val="000000"/>
                <w:sz w:val="24"/>
              </w:rPr>
            </w:pPr>
            <w:r w:rsidRPr="00B34368">
              <w:rPr>
                <w:rFonts w:eastAsiaTheme="minorEastAsia"/>
                <w:color w:themeColor="text1" w:val="000000"/>
                <w:kern w:val="0"/>
                <w:sz w:val="24"/>
              </w:rPr>
              <w:t/>
            </w:r>
            <w:r w:rsidR="005D4CBA" w:rsidRPr="00B34368">
              <w:rPr>
                <w:rFonts w:eastAsiaTheme="minorEastAsia"/>
                <w:color w:themeColor="text1" w:val="000000"/>
                <w:kern w:val="0"/>
                <w:sz w:val="24"/>
              </w:rPr>
              <w:t/>
            </w:r>
            <w:proofErr w:type="spellStart"/>
            <w:r w:rsidR="005D4CBA" w:rsidRPr="00B34368">
              <w:rPr>
                <w:rFonts w:eastAsiaTheme="minorEastAsia"/>
                <w:color w:themeColor="text1" w:val="000000"/>
                <w:kern w:val="0"/>
                <w:sz w:val="24"/>
              </w:rPr>
              <w:t/>
            </w:r>
            <w:proofErr w:type="spellEnd"/>
            <w:r w:rsidRPr="00B34368">
              <w:rPr>
                <w:rFonts w:eastAsiaTheme="minorEastAsia"/>
                <w:color w:themeColor="text1" w:val="000000"/>
                <w:sz w:val="24"/>
              </w:rPr>
              <w:t/>
            </w:r>
            <w:r w:rsidR="0042785F" w:rsidRPr="00B34368">
              <w:rPr>
                <w:rFonts w:eastAsiaTheme="minorEastAsia"/>
                <w:color w:themeColor="text1" w:val="000000"/>
                <w:sz w:val="24"/>
              </w:rPr>
              <w:t/>
            </w:r>
            <w:r w:rsidRPr="00B34368">
              <w:rPr>
                <w:rFonts w:eastAsiaTheme="minorEastAsia"/>
                <w:color w:themeColor="text1" w:val="000000"/>
                <w:sz w:val="24"/>
              </w:rPr>
              <w:t>1,876,398,682.50</w:t>
            </w:r>
            <w:r w:rsidR="00D305C9" w:rsidRPr="00B34368">
              <w:rPr>
                <w:rFonts w:eastAsiaTheme="minorEastAsia" w:hAnsiTheme="minorEastAsia"/>
                <w:color w:themeColor="text1" w:val="000000"/>
                <w:kern w:val="0"/>
                <w:sz w:val="24"/>
              </w:rPr>
              <w:t>份</w:t>
            </w:r>
          </w:p>
        </w:tc>
        <w:tc>
          <w:tcPr>
            <w:tcW w:type="dxa" w:w="2740"/>
            <w:vAlign w:val="center"/>
          </w:tcPr>
          <w:p w:rsidP="00950413" w:rsidR="00950413" w:rsidRDefault="00950413" w:rsidRPr="00B34368">
            <w:pPr>
              <w:jc w:val="left"/>
              <w:rPr>
                <w:rFonts w:eastAsiaTheme="minorEastAsia"/>
                <w:color w:themeColor="text1" w:val="000000"/>
                <w:sz w:val="24"/>
              </w:rPr>
            </w:pPr>
            <w:r w:rsidRPr="00B34368">
              <w:rPr>
                <w:rFonts w:eastAsiaTheme="minorEastAsia"/>
                <w:color w:themeColor="text1" w:val="000000"/>
                <w:kern w:val="0"/>
                <w:sz w:val="24"/>
              </w:rPr>
              <w:t/>
            </w:r>
            <w:r w:rsidR="005D4CBA" w:rsidRPr="00B34368">
              <w:rPr>
                <w:rFonts w:eastAsiaTheme="minorEastAsia"/>
                <w:color w:themeColor="text1" w:val="000000"/>
                <w:kern w:val="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431,144,205.15</w:t>
            </w:r>
            <w:r w:rsidR="00D305C9" w:rsidRPr="00B34368">
              <w:rPr>
                <w:rFonts w:eastAsiaTheme="minorEastAsia" w:hAnsiTheme="minorEastAsia"/>
                <w:color w:themeColor="text1" w:val="000000"/>
                <w:kern w:val="0"/>
                <w:sz w:val="24"/>
              </w:rPr>
              <w:t>份</w:t>
            </w:r>
          </w:p>
        </w:tc>
      </w:tr>
    </w:tbl>
    <w:p w:rsidP="00B34368" w:rsidR="002C32ED" w:rsidRDefault="00A6200E"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注：自2017年6月2日起，本基金增设C类份额类别，份额首次确认日为2017年6月5日。</w:t>
      </w:r>
    </w:p>
    <w:p w:rsidP="00C544B8" w:rsidR="002C32ED" w:rsidRDefault="002C32ED" w:rsidRPr="00B34368">
      <w:pPr>
        <w:pStyle w:val="2"/>
        <w:keepNext w:val="0"/>
        <w:keepLines w:val="0"/>
        <w:spacing w:after="0" w:before="312" w:beforeLines="100"/>
        <w:rPr>
          <w:rFonts w:ascii="Times New Roman" w:cs="Times New Roman" w:eastAsiaTheme="minorEastAsia" w:hAnsi="Times New Roman"/>
          <w:color w:themeColor="text1" w:val="000000"/>
          <w:szCs w:val="24"/>
        </w:rPr>
      </w:pPr>
      <w:r w:rsidRPr="00B34368">
        <w:rPr>
          <w:rFonts w:ascii="Times New Roman" w:cs="Times New Roman" w:eastAsiaTheme="minorEastAsia" w:hAnsi="Times New Roman"/>
          <w:color w:themeColor="text1" w:val="000000"/>
          <w:szCs w:val="24"/>
        </w:rPr>
        <w:t>2.1.1</w:t>
      </w:r>
      <w:r w:rsidRPr="00B34368">
        <w:rPr>
          <w:rFonts w:ascii="Times New Roman" w:cs="Times New Roman" w:eastAsiaTheme="minorEastAsia" w:hAnsiTheme="minorEastAsia"/>
          <w:color w:themeColor="text1" w:val="000000"/>
          <w:szCs w:val="24"/>
        </w:rPr>
        <w:t>目标基金基本情况</w:t>
      </w:r>
    </w:p>
    <w:tbl>
      <w:tblPr>
        <w:tblW w:type="dxa" w:w="846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2724"/>
        <w:gridCol w:w="5736"/>
      </w:tblGrid>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基金名称</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易方达创业板交易型开放式指数证券投资基金</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基金主代码</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159915</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基金运作方式</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交易型开放式（ETF）</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基金合同生效日</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2011年9月20日</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基金份额上市的证券交易所</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深圳证券交易所</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上市日期</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2011年12月9日</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基金管理人名称</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易方达基金管理有限公司</w:t>
            </w:r>
          </w:p>
        </w:tc>
      </w:tr>
      <w:tr w:rsidR="00D3639B" w:rsidRPr="00B34368" w:rsidTr="004E70B7">
        <w:tc>
          <w:tcPr>
            <w:tcW w:type="dxa" w:w="2724"/>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基金托管人名称</w:t>
            </w:r>
          </w:p>
        </w:tc>
        <w:tc>
          <w:tcPr>
            <w:tcW w:type="dxa" w:w="5736"/>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中国工商银行股份有限公司</w:t>
            </w:r>
          </w:p>
        </w:tc>
      </w:tr>
    </w:tbl>
    <w:p w:rsidP="00C544B8" w:rsidR="002C32ED" w:rsidRDefault="002C32ED" w:rsidRPr="00B34368">
      <w:pPr>
        <w:pStyle w:val="2"/>
        <w:keepNext w:val="0"/>
        <w:keepLines w:val="0"/>
        <w:spacing w:after="0" w:before="312" w:beforeLines="100"/>
        <w:rPr>
          <w:rFonts w:ascii="Times New Roman" w:cs="Times New Roman" w:eastAsiaTheme="minorEastAsia" w:hAnsi="Times New Roman"/>
          <w:color w:themeColor="text1" w:val="000000"/>
          <w:szCs w:val="24"/>
        </w:rPr>
      </w:pPr>
      <w:r w:rsidRPr="00B34368">
        <w:rPr>
          <w:rFonts w:ascii="Times New Roman" w:cs="Times New Roman" w:eastAsiaTheme="minorEastAsia" w:hAnsi="Times New Roman"/>
          <w:color w:themeColor="text1" w:val="000000"/>
          <w:szCs w:val="24"/>
        </w:rPr>
        <w:t>2.1.2</w:t>
      </w:r>
      <w:r w:rsidRPr="00B34368">
        <w:rPr>
          <w:rFonts w:ascii="Times New Roman" w:cs="Times New Roman" w:eastAsiaTheme="minorEastAsia" w:hAnsiTheme="minorEastAsia"/>
          <w:color w:themeColor="text1" w:val="000000"/>
          <w:szCs w:val="24"/>
        </w:rPr>
        <w:t>目标基金产品说明</w:t>
      </w:r>
    </w:p>
    <w:tbl>
      <w:tblPr>
        <w:tblW w:type="dxa" w:w="846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ook w:firstColumn="0" w:firstRow="0" w:lastColumn="0" w:lastRow="0" w:noHBand="0" w:noVBand="0" w:val="0000"/>
      </w:tblPr>
      <w:tblGrid>
        <w:gridCol w:w="2820"/>
        <w:gridCol w:w="5640"/>
      </w:tblGrid>
      <w:tr w:rsidR="00D3639B" w:rsidRPr="00B34368" w:rsidTr="004E70B7">
        <w:tc>
          <w:tcPr>
            <w:tcW w:type="dxa" w:w="2820"/>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投资目标</w:t>
            </w:r>
          </w:p>
        </w:tc>
        <w:tc>
          <w:tcPr>
            <w:tcW w:type="dxa" w:w="5640"/>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紧密跟踪标的指数，追求跟踪偏离度及跟踪误差的最小化。</w:t>
            </w:r>
          </w:p>
        </w:tc>
      </w:tr>
      <w:tr w:rsidR="00D3639B" w:rsidRPr="00B34368" w:rsidTr="004E70B7">
        <w:tc>
          <w:tcPr>
            <w:tcW w:type="dxa" w:w="2820"/>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投资策略</w:t>
            </w:r>
          </w:p>
        </w:tc>
        <w:tc>
          <w:tcPr>
            <w:tcW w:type="dxa" w:w="5640"/>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本基金采取完全复制法进行投资，即按照创业板指数的成份股组成及权重构建股票投资组合。但是当指数编制方法变更、成份股发生变更、成份股权重由于自由流通量调整而发生变化、成份股派发现金股息、配股及增发、股票长期停牌、市场流动性不足等情况发生时，基金管理人将对投资组合进行优化，尽量降低跟踪误差。本基金力争将日均跟踪偏离度控制在0.2%以内，年化跟踪误差控制在2%以内。 本基金可以参与股指期货交易，但必须根据风险管理的原则，以套期保值为目的。</w:t>
            </w:r>
          </w:p>
        </w:tc>
      </w:tr>
      <w:tr w:rsidR="00D3639B" w:rsidRPr="00B34368" w:rsidTr="004E70B7">
        <w:tc>
          <w:tcPr>
            <w:tcW w:type="dxa" w:w="2820"/>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业绩比较基准</w:t>
            </w:r>
          </w:p>
        </w:tc>
        <w:tc>
          <w:tcPr>
            <w:tcW w:type="dxa" w:w="5640"/>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创业板指数</w:t>
            </w:r>
          </w:p>
        </w:tc>
      </w:tr>
      <w:tr w:rsidR="00D3639B" w:rsidRPr="00B34368" w:rsidTr="004E70B7">
        <w:tc>
          <w:tcPr>
            <w:tcW w:type="dxa" w:w="2820"/>
            <w:vAlign w:val="center"/>
          </w:tcPr>
          <w:p w:rsidP="005472A0" w:rsidR="002C32ED" w:rsidRDefault="002C32ED"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风险收益特征</w:t>
            </w:r>
          </w:p>
        </w:tc>
        <w:tc>
          <w:tcPr>
            <w:tcW w:type="dxa" w:w="5640"/>
            <w:vAlign w:val="center"/>
          </w:tcPr>
          <w:p w:rsidP="005472A0" w:rsidR="002C32ED" w:rsidRDefault="002C32ED" w:rsidRPr="00B34368">
            <w:pPr>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本基金属股票型基金，预期风险与收益水平高于混合基金、债券基金与货币市场基金。本基金为指数型基金，采用完全复制法跟踪标的指数的表现，具有与标的指数相似的风险收益特征。</w:t>
            </w:r>
          </w:p>
        </w:tc>
      </w:tr>
    </w:tbl>
    <w:p w:rsidP="00C544B8" w:rsidR="009238DB" w:rsidRDefault="009238DB" w:rsidRPr="00B34368">
      <w:pPr>
        <w:pStyle w:val="1"/>
        <w:spacing w:after="312" w:afterLines="100" w:before="312" w:beforeLines="100" w:line="360" w:lineRule="auto"/>
        <w:jc w:val="center"/>
        <w:rPr>
          <w:rFonts w:eastAsiaTheme="minorEastAsia"/>
          <w:color w:themeColor="text1" w:val="000000"/>
          <w:kern w:val="0"/>
          <w:sz w:val="24"/>
          <w:szCs w:val="24"/>
        </w:rPr>
      </w:pPr>
      <w:r w:rsidRPr="00B34368">
        <w:rPr>
          <w:rFonts w:eastAsiaTheme="minorEastAsia"/>
          <w:color w:themeColor="text1" w:val="000000"/>
          <w:kern w:val="0"/>
          <w:sz w:val="24"/>
          <w:szCs w:val="24"/>
        </w:rPr>
        <w:t xml:space="preserve">§3  </w:t>
      </w:r>
      <w:r w:rsidRPr="00B34368">
        <w:rPr>
          <w:rFonts w:eastAsiaTheme="minorEastAsia" w:hAnsiTheme="minorEastAsia"/>
          <w:color w:themeColor="text1" w:val="000000"/>
          <w:kern w:val="0"/>
          <w:sz w:val="24"/>
          <w:szCs w:val="24"/>
        </w:rPr>
        <w:t>主要财务指标和基金净值表现</w:t>
      </w:r>
    </w:p>
    <w:p w:rsidP="00FC13C8" w:rsidR="009238DB" w:rsidRDefault="009238DB" w:rsidRPr="00B34368">
      <w:pPr>
        <w:autoSpaceDE w:val="0"/>
        <w:autoSpaceDN w:val="0"/>
        <w:adjustRightInd w:val="0"/>
        <w:spacing w:line="360" w:lineRule="auto"/>
        <w:jc w:val="left"/>
        <w:rPr>
          <w:rFonts w:eastAsiaTheme="minorEastAsia"/>
          <w:b/>
          <w:color w:themeColor="text1" w:val="000000"/>
          <w:kern w:val="0"/>
          <w:sz w:val="24"/>
        </w:rPr>
      </w:pPr>
      <w:r w:rsidRPr="00B34368">
        <w:rPr>
          <w:rFonts w:eastAsiaTheme="minorEastAsia"/>
          <w:b/>
          <w:color w:themeColor="text1" w:val="000000"/>
          <w:kern w:val="0"/>
          <w:sz w:val="24"/>
        </w:rPr>
        <w:t xml:space="preserve">3.1 </w:t>
      </w:r>
      <w:r w:rsidRPr="00B34368">
        <w:rPr>
          <w:rFonts w:eastAsiaTheme="minorEastAsia" w:hAnsiTheme="minorEastAsia"/>
          <w:b/>
          <w:color w:themeColor="text1" w:val="000000"/>
          <w:kern w:val="0"/>
          <w:sz w:val="24"/>
        </w:rPr>
        <w:t>主要财务指标</w:t>
      </w:r>
    </w:p>
    <w:p w:rsidP="00E27360" w:rsidR="009238DB" w:rsidRDefault="009238DB" w:rsidRPr="00B34368">
      <w:pPr>
        <w:autoSpaceDE w:val="0"/>
        <w:autoSpaceDN w:val="0"/>
        <w:adjustRightInd w:val="0"/>
        <w:spacing w:before="29" w:line="288" w:lineRule="auto"/>
        <w:ind w:left="15" w:right="480"/>
        <w:jc w:val="right"/>
        <w:rPr>
          <w:rFonts w:eastAsiaTheme="minorEastAsia"/>
          <w:color w:themeColor="text1" w:val="000000"/>
          <w:kern w:val="0"/>
          <w:sz w:val="24"/>
        </w:rPr>
      </w:pPr>
      <w:r w:rsidRPr="00B34368">
        <w:rPr>
          <w:rFonts w:eastAsiaTheme="minorEastAsia" w:hAnsiTheme="minorEastAsia"/>
          <w:color w:themeColor="text1" w:val="000000"/>
          <w:kern w:val="0"/>
          <w:sz w:val="24"/>
        </w:rPr>
        <w:lastRenderedPageBreak/>
        <w:t>单位：人民币元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481"/>
        <w:gridCol w:w="2481"/>
      </w:tblGrid>
      <w:tr w:rsidR="00D3639B" w:rsidRPr="00B34368" w:rsidTr="008B5312">
        <w:tc>
          <w:tcPr>
            <w:tcW w:type="dxa" w:w="3402"/>
            <w:vMerge w:val="restart"/>
            <w:vAlign w:val="center"/>
          </w:tcPr>
          <w:p w:rsidP="00E205AA" w:rsidR="009E549D" w:rsidRDefault="009E549D" w:rsidRPr="00B34368">
            <w:pPr>
              <w:adjustRightInd w:val="0"/>
              <w:spacing w:before="29" w:line="360" w:lineRule="auto"/>
              <w:ind w:left="17"/>
              <w:jc w:val="center"/>
              <w:rPr>
                <w:rFonts w:eastAsiaTheme="minorEastAsia"/>
                <w:color w:themeColor="text1" w:val="000000"/>
                <w:kern w:val="0"/>
                <w:sz w:val="24"/>
              </w:rPr>
            </w:pPr>
            <w:r w:rsidRPr="00B34368">
              <w:rPr>
                <w:rFonts w:eastAsiaTheme="minorEastAsia" w:hAnsiTheme="minorEastAsia"/>
                <w:color w:themeColor="text1" w:val="000000"/>
                <w:kern w:val="0"/>
                <w:sz w:val="24"/>
              </w:rPr>
              <w:t>主要财务指标</w:t>
            </w:r>
          </w:p>
        </w:tc>
        <w:tc>
          <w:tcPr>
            <w:tcW w:type="dxa" w:w="4962"/>
            <w:gridSpan w:val="2"/>
            <w:vAlign w:val="center"/>
          </w:tcPr>
          <w:p w:rsidP="00E205AA" w:rsidR="002976E5" w:rsidRDefault="009E549D" w:rsidRPr="00B34368">
            <w:pPr>
              <w:adjustRightInd w:val="0"/>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报告期</w:t>
            </w:r>
          </w:p>
          <w:p w:rsidP="00E205AA" w:rsidR="009E549D" w:rsidRDefault="009E549D" w:rsidRPr="00B34368">
            <w:pPr>
              <w:adjustRightInd w:val="0"/>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2020年4月1日-</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2020年6月30日)</w:t>
            </w:r>
          </w:p>
        </w:tc>
      </w:tr>
      <w:tr w:rsidR="00D3639B" w:rsidRPr="00B34368" w:rsidTr="008B5312">
        <w:tc>
          <w:tcPr>
            <w:tcW w:type="dxa" w:w="3402"/>
            <w:vMerge/>
            <w:vAlign w:val="center"/>
          </w:tcPr>
          <w:p w:rsidP="00E205AA" w:rsidR="009E549D" w:rsidRDefault="009E549D" w:rsidRPr="00B34368">
            <w:pPr>
              <w:adjustRightInd w:val="0"/>
              <w:spacing w:before="29" w:line="360" w:lineRule="auto"/>
              <w:ind w:left="17"/>
              <w:jc w:val="center"/>
              <w:rPr>
                <w:rFonts w:eastAsiaTheme="minorEastAsia"/>
                <w:color w:themeColor="text1" w:val="000000"/>
                <w:kern w:val="0"/>
                <w:sz w:val="24"/>
              </w:rPr>
            </w:pPr>
          </w:p>
        </w:tc>
        <w:tc>
          <w:tcPr>
            <w:tcW w:type="dxa" w:w="2481"/>
            <w:vAlign w:val="center"/>
          </w:tcPr>
          <w:p w:rsidP="00E205AA" w:rsidR="009E549D" w:rsidRDefault="009E549D" w:rsidRPr="00B34368">
            <w:pPr>
              <w:adjustRightInd w:val="0"/>
              <w:spacing w:before="29" w:line="360" w:lineRule="auto"/>
              <w:ind w:left="17"/>
              <w:jc w:val="center"/>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易方达创业板ETF联接A</w:t>
            </w:r>
          </w:p>
        </w:tc>
        <w:tc>
          <w:tcPr>
            <w:tcW w:type="dxa" w:w="2481"/>
            <w:vAlign w:val="center"/>
          </w:tcPr>
          <w:p w:rsidP="00E205AA" w:rsidR="009E549D" w:rsidRDefault="009E549D" w:rsidRPr="00B34368">
            <w:pPr>
              <w:adjustRightInd w:val="0"/>
              <w:spacing w:before="29" w:line="360" w:lineRule="auto"/>
              <w:ind w:left="17"/>
              <w:jc w:val="center"/>
              <w:rPr>
                <w:rFonts w:eastAsiaTheme="minorEastAsia"/>
                <w:color w:themeColor="text1" w:val="000000"/>
                <w:sz w:val="24"/>
              </w:rPr>
            </w:pPr>
            <w:r w:rsidRPr="00B34368">
              <w:rPr>
                <w:rFonts w:eastAsiaTheme="minorEastAsia"/>
                <w:color w:themeColor="text1" w:val="000000"/>
                <w:kern w:val="0"/>
                <w:sz w:val="24"/>
              </w:rPr>
              <w:t/>
            </w: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易方达创业板ETF联接C</w:t>
            </w:r>
          </w:p>
        </w:tc>
      </w:tr>
      <w:tr w:rsidR="00D3639B" w:rsidRPr="00B34368" w:rsidTr="00973B57">
        <w:tc>
          <w:tcPr>
            <w:tcW w:type="dxa" w:w="3402"/>
          </w:tcPr>
          <w:p w:rsidP="00973B57" w:rsidR="005F293E" w:rsidRDefault="005F293E" w:rsidRPr="00B34368">
            <w:pPr>
              <w:adjustRightInd w:val="0"/>
              <w:spacing w:before="29" w:line="360" w:lineRule="auto"/>
              <w:ind w:left="17"/>
              <w:rPr>
                <w:rFonts w:eastAsiaTheme="minorEastAsia"/>
                <w:color w:themeColor="text1" w:val="000000"/>
                <w:kern w:val="0"/>
                <w:sz w:val="24"/>
              </w:rPr>
            </w:pPr>
            <w:r w:rsidRPr="00B34368">
              <w:rPr>
                <w:rFonts w:eastAsiaTheme="minorEastAsia"/>
                <w:color w:themeColor="text1" w:val="000000"/>
                <w:kern w:val="0"/>
                <w:sz w:val="24"/>
              </w:rPr>
              <w:t>1.</w:t>
            </w:r>
            <w:r w:rsidRPr="00B34368">
              <w:rPr>
                <w:rFonts w:eastAsiaTheme="minorEastAsia" w:hAnsiTheme="minorEastAsia"/>
                <w:color w:themeColor="text1" w:val="000000"/>
                <w:kern w:val="0"/>
                <w:sz w:val="24"/>
              </w:rPr>
              <w:t>本期已实现收益</w:t>
            </w:r>
          </w:p>
        </w:tc>
        <w:tc>
          <w:tcPr>
            <w:tcW w:type="dxa" w:w="2481"/>
            <w:vAlign w:val="bottom"/>
          </w:tcPr>
          <w:p w:rsidP="00973B57"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198,842,873.45</w:t>
            </w:r>
          </w:p>
        </w:tc>
        <w:tc>
          <w:tcPr>
            <w:tcW w:type="dxa" w:w="2481"/>
            <w:vAlign w:val="bottom"/>
          </w:tcPr>
          <w:p w:rsidP="0037768B"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AD3905" w:rsidRPr="00B34368">
              <w:rPr>
                <w:rFonts w:eastAsiaTheme="minorEastAsia"/>
                <w:color w:themeColor="text1" w:val="000000"/>
                <w:sz w:val="24"/>
              </w:rPr>
              <w:t/>
            </w:r>
            <w:r w:rsidR="0037768B" w:rsidRPr="00B34368">
              <w:rPr>
                <w:rFonts w:eastAsiaTheme="minorEastAsia"/>
                <w:color w:themeColor="text1" w:val="000000"/>
                <w:sz w:val="24"/>
              </w:rPr>
              <w:t/>
            </w: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39,279,622.85</w:t>
            </w:r>
          </w:p>
        </w:tc>
      </w:tr>
      <w:tr w:rsidR="00D3639B" w:rsidRPr="00B34368" w:rsidTr="009A5C1D">
        <w:tc>
          <w:tcPr>
            <w:tcW w:type="dxa" w:w="3402"/>
          </w:tcPr>
          <w:p w:rsidP="00E205AA" w:rsidR="005F293E" w:rsidRDefault="005F293E" w:rsidRPr="00B34368">
            <w:pPr>
              <w:adjustRightInd w:val="0"/>
              <w:spacing w:before="29" w:line="360" w:lineRule="auto"/>
              <w:ind w:left="17"/>
              <w:rPr>
                <w:rFonts w:eastAsiaTheme="minorEastAsia"/>
                <w:color w:themeColor="text1" w:val="000000"/>
                <w:kern w:val="0"/>
                <w:sz w:val="24"/>
              </w:rPr>
            </w:pPr>
            <w:r w:rsidRPr="00B34368">
              <w:rPr>
                <w:rFonts w:eastAsiaTheme="minorEastAsia"/>
                <w:color w:themeColor="text1" w:val="000000"/>
                <w:kern w:val="0"/>
                <w:sz w:val="24"/>
              </w:rPr>
              <w:t>2.</w:t>
            </w:r>
            <w:r w:rsidRPr="00B34368">
              <w:rPr>
                <w:rFonts w:eastAsiaTheme="minorEastAsia" w:hAnsiTheme="minorEastAsia"/>
                <w:color w:themeColor="text1" w:val="000000"/>
                <w:kern w:val="0"/>
                <w:sz w:val="24"/>
              </w:rPr>
              <w:t>本期利润</w:t>
            </w:r>
          </w:p>
        </w:tc>
        <w:tc>
          <w:tcPr>
            <w:tcW w:type="dxa" w:w="2481"/>
            <w:vAlign w:val="bottom"/>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1,128,268,713.60</w:t>
            </w:r>
          </w:p>
        </w:tc>
        <w:tc>
          <w:tcPr>
            <w:tcW w:type="dxa" w:w="2481"/>
            <w:vAlign w:val="bottom"/>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236,604,000.86</w:t>
            </w:r>
          </w:p>
        </w:tc>
      </w:tr>
      <w:tr w:rsidR="00D3639B" w:rsidRPr="00B34368" w:rsidTr="009A5C1D">
        <w:tc>
          <w:tcPr>
            <w:tcW w:type="dxa" w:w="3402"/>
          </w:tcPr>
          <w:p w:rsidP="00E205AA" w:rsidR="005F293E" w:rsidRDefault="005F293E" w:rsidRPr="00B34368">
            <w:pPr>
              <w:adjustRightInd w:val="0"/>
              <w:spacing w:before="29" w:line="360" w:lineRule="auto"/>
              <w:ind w:left="17"/>
              <w:rPr>
                <w:rFonts w:eastAsiaTheme="minorEastAsia"/>
                <w:color w:themeColor="text1" w:val="000000"/>
                <w:kern w:val="0"/>
                <w:sz w:val="24"/>
              </w:rPr>
            </w:pPr>
            <w:r w:rsidRPr="00B34368">
              <w:rPr>
                <w:rFonts w:eastAsiaTheme="minorEastAsia"/>
                <w:color w:themeColor="text1" w:val="000000"/>
                <w:kern w:val="0"/>
                <w:sz w:val="24"/>
              </w:rPr>
              <w:t>3.</w:t>
            </w:r>
            <w:r w:rsidRPr="00B34368">
              <w:rPr>
                <w:rFonts w:eastAsiaTheme="minorEastAsia" w:hAnsiTheme="minorEastAsia"/>
                <w:color w:themeColor="text1" w:val="000000"/>
                <w:kern w:val="0"/>
                <w:sz w:val="24"/>
              </w:rPr>
              <w:t>加权平均基金份额本期利润</w:t>
            </w:r>
          </w:p>
        </w:tc>
        <w:tc>
          <w:tcPr>
            <w:tcW w:type="dxa" w:w="2481"/>
            <w:vAlign w:val="bottom"/>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0.5371</w:t>
            </w:r>
          </w:p>
        </w:tc>
        <w:tc>
          <w:tcPr>
            <w:tcW w:type="dxa" w:w="2481"/>
            <w:vAlign w:val="bottom"/>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0.5419</w:t>
            </w:r>
          </w:p>
        </w:tc>
      </w:tr>
      <w:tr w:rsidR="00D3639B" w:rsidRPr="00B34368" w:rsidTr="009A5C1D">
        <w:tc>
          <w:tcPr>
            <w:tcW w:type="dxa" w:w="3402"/>
          </w:tcPr>
          <w:p w:rsidP="00E205AA" w:rsidR="005F293E" w:rsidRDefault="005F293E" w:rsidRPr="00B34368">
            <w:pPr>
              <w:adjustRightInd w:val="0"/>
              <w:spacing w:before="29" w:line="360" w:lineRule="auto"/>
              <w:ind w:left="17"/>
              <w:rPr>
                <w:rFonts w:eastAsiaTheme="minorEastAsia"/>
                <w:color w:themeColor="text1" w:val="000000"/>
                <w:kern w:val="0"/>
                <w:sz w:val="24"/>
              </w:rPr>
            </w:pPr>
            <w:r w:rsidRPr="00B34368">
              <w:rPr>
                <w:rFonts w:eastAsiaTheme="minorEastAsia"/>
                <w:color w:themeColor="text1" w:val="000000"/>
                <w:kern w:val="0"/>
                <w:sz w:val="24"/>
              </w:rPr>
              <w:t>4.</w:t>
            </w:r>
            <w:r w:rsidRPr="00B34368">
              <w:rPr>
                <w:rFonts w:eastAsiaTheme="minorEastAsia" w:hAnsiTheme="minorEastAsia"/>
                <w:color w:themeColor="text1" w:val="000000"/>
                <w:kern w:val="0"/>
                <w:sz w:val="24"/>
              </w:rPr>
              <w:t>期末基金资产净值</w:t>
            </w:r>
          </w:p>
        </w:tc>
        <w:tc>
          <w:tcPr>
            <w:tcW w:type="dxa" w:w="2481"/>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4,617,488,108.14</w:t>
            </w:r>
          </w:p>
        </w:tc>
        <w:tc>
          <w:tcPr>
            <w:tcW w:type="dxa" w:w="2481"/>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1,053,462,847.28</w:t>
            </w:r>
          </w:p>
        </w:tc>
      </w:tr>
      <w:tr w:rsidR="00D3639B" w:rsidRPr="00B34368" w:rsidTr="009A5C1D">
        <w:trPr>
          <w:trHeight w:val="158"/>
        </w:trPr>
        <w:tc>
          <w:tcPr>
            <w:tcW w:type="dxa" w:w="3402"/>
          </w:tcPr>
          <w:p w:rsidP="00E205AA" w:rsidR="005F293E" w:rsidRDefault="005F293E" w:rsidRPr="00B34368">
            <w:pPr>
              <w:adjustRightInd w:val="0"/>
              <w:spacing w:before="29" w:line="360" w:lineRule="auto"/>
              <w:ind w:left="17"/>
              <w:rPr>
                <w:rFonts w:eastAsiaTheme="minorEastAsia"/>
                <w:color w:themeColor="text1" w:val="000000"/>
                <w:kern w:val="0"/>
                <w:sz w:val="24"/>
              </w:rPr>
            </w:pPr>
            <w:r w:rsidRPr="00B34368">
              <w:rPr>
                <w:rFonts w:eastAsiaTheme="minorEastAsia"/>
                <w:color w:themeColor="text1" w:val="000000"/>
                <w:kern w:val="0"/>
                <w:sz w:val="24"/>
              </w:rPr>
              <w:t>5.</w:t>
            </w:r>
            <w:r w:rsidRPr="00B34368">
              <w:rPr>
                <w:rFonts w:eastAsiaTheme="minorEastAsia" w:hAnsiTheme="minorEastAsia"/>
                <w:color w:themeColor="text1" w:val="000000"/>
                <w:kern w:val="0"/>
                <w:sz w:val="24"/>
              </w:rPr>
              <w:t>期末基金份额净值</w:t>
            </w:r>
          </w:p>
        </w:tc>
        <w:tc>
          <w:tcPr>
            <w:tcW w:type="dxa" w:w="2481"/>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2.4608</w:t>
            </w:r>
          </w:p>
        </w:tc>
        <w:tc>
          <w:tcPr>
            <w:tcW w:type="dxa" w:w="2481"/>
          </w:tcPr>
          <w:p w:rsidP="004A67B0" w:rsidR="005F293E" w:rsidRDefault="005F293E" w:rsidRPr="00B34368">
            <w:pPr>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2.4434</w:t>
            </w:r>
          </w:p>
        </w:tc>
      </w:tr>
    </w:tbl>
    <w:p>
      <w:pPr>
        <w:autoSpaceDE w:val="0"/>
        <w:autoSpaceDN w:val="0"/>
        <w:adjustRightInd w:val="0"/>
        <w:spacing w:line="360" w:lineRule="auto"/>
        <w:ind w:firstLine="480" w:firstLineChars="200"/>
        <w:jc w:val="left"/>
        <w:rPr>
          <w:rFonts w:eastAsiaTheme="minorEastAsia"/>
          <w:color w:themeColor="text1" w:val="000000"/>
          <w:sz w:val="24"/>
        </w:rPr>
      </w:pPr>
      <w:r>
        <w:rPr>
          <w:rFonts w:eastAsiaTheme="minorEastAsia"/>
          <w:color w:themeColor="text1" w:val="000000"/>
          <w:sz w:val="24"/>
        </w:rPr>
        <w:t>注：1.所述基金业绩指标不包括持有人认购或交易基金的各项费用，计入费用后实际收益水平要低于所列数字。</w:t>
      </w:r>
    </w:p>
    <w:p w:rsidP="00B34368" w:rsidR="009238DB" w:rsidRDefault="005E01A3"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r w:rsidR="00FE7FBD" w:rsidRPr="00B34368">
        <w:rPr>
          <w:rFonts w:eastAsiaTheme="minorEastAsia"/>
          <w:color w:themeColor="text1" w:val="000000"/>
          <w:sz w:val="24"/>
        </w:rPr>
        <w:t/>
      </w: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2.本期已实现收益指基金本期利息收入、投资收益、其他收入（不含公允价值变动收益）扣除相关费用后的余额，本期利润为本期已实现收益加上本期公允价值变动收益。</w:t>
      </w:r>
    </w:p>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xml:space="preserve">3.2 </w:t>
      </w:r>
      <w:r w:rsidRPr="00B34368">
        <w:rPr>
          <w:rFonts w:eastAsiaTheme="minorEastAsia" w:hAnsiTheme="minorEastAsia"/>
          <w:b/>
          <w:color w:themeColor="text1" w:val="000000"/>
          <w:kern w:val="0"/>
          <w:sz w:val="24"/>
        </w:rPr>
        <w:t>基金净值表现</w:t>
      </w:r>
    </w:p>
    <w:p w:rsidP="00FC13C8" w:rsidR="009238DB" w:rsidRDefault="009238DB" w:rsidRPr="00B34368">
      <w:pPr>
        <w:autoSpaceDE w:val="0"/>
        <w:autoSpaceDN w:val="0"/>
        <w:adjustRightInd w:val="0"/>
        <w:spacing w:line="360" w:lineRule="auto"/>
        <w:jc w:val="left"/>
        <w:rPr>
          <w:rFonts w:eastAsiaTheme="minorEastAsia"/>
          <w:b/>
          <w:color w:themeColor="text1" w:val="000000"/>
          <w:kern w:val="0"/>
          <w:sz w:val="24"/>
        </w:rPr>
      </w:pPr>
      <w:r w:rsidRPr="00B34368">
        <w:rPr>
          <w:rFonts w:eastAsiaTheme="minorEastAsia"/>
          <w:b/>
          <w:color w:themeColor="text1" w:val="000000"/>
          <w:kern w:val="0"/>
          <w:sz w:val="24"/>
        </w:rPr>
        <w:t>3.2.1</w:t>
      </w:r>
      <w:r w:rsidRPr="00B34368">
        <w:rPr>
          <w:rFonts w:eastAsiaTheme="minorEastAsia" w:hAnsiTheme="minorEastAsia"/>
          <w:b/>
          <w:color w:themeColor="text1" w:val="000000"/>
          <w:kern w:val="0"/>
          <w:sz w:val="24"/>
        </w:rPr>
        <w:t>本报告</w:t>
      </w:r>
      <w:proofErr w:type="gramStart"/>
      <w:r w:rsidRPr="00B34368">
        <w:rPr>
          <w:rFonts w:eastAsiaTheme="minorEastAsia" w:hAnsiTheme="minorEastAsia"/>
          <w:b/>
          <w:color w:themeColor="text1" w:val="000000"/>
          <w:kern w:val="0"/>
          <w:sz w:val="24"/>
        </w:rPr>
        <w:t>期基金</w:t>
      </w:r>
      <w:proofErr w:type="gramEnd"/>
      <w:r w:rsidRPr="00B34368">
        <w:rPr>
          <w:rFonts w:eastAsiaTheme="minorEastAsia" w:hAnsiTheme="minorEastAsia"/>
          <w:b/>
          <w:color w:themeColor="text1" w:val="000000"/>
          <w:kern w:val="0"/>
          <w:sz w:val="24"/>
        </w:rPr>
        <w:t>份额净值增长率及其与同期业绩比较基准收益率的比较</w:t>
      </w:r>
    </w:p>
    <w:p w:rsidP="00FC13C8" w:rsidR="009238DB" w:rsidRDefault="00A5643A" w:rsidRPr="00B34368">
      <w:pPr>
        <w:spacing w:line="360" w:lineRule="auto"/>
        <w:rPr>
          <w:rFonts w:eastAsiaTheme="minorEastAsia"/>
          <w:b/>
          <w:color w:themeColor="text1" w:val="000000"/>
          <w:sz w:val="24"/>
        </w:rPr>
      </w:pPr>
      <w:r w:rsidRPr="00B34368">
        <w:rPr>
          <w:rFonts w:eastAsiaTheme="minorEastAsia"/>
          <w:b/>
          <w:color w:themeColor="text1" w:val="000000"/>
          <w:kern w:val="0"/>
          <w:sz w:val="24"/>
        </w:rPr>
        <w:t/>
      </w:r>
      <w:proofErr w:type="spellStart"/>
      <w:r w:rsidRPr="00B34368">
        <w:rPr>
          <w:rFonts w:eastAsiaTheme="minorEastAsia"/>
          <w:b/>
          <w:color w:themeColor="text1" w:val="000000"/>
          <w:kern w:val="0"/>
          <w:sz w:val="24"/>
        </w:rPr>
        <w:t/>
      </w:r>
      <w:proofErr w:type="spellEnd"/>
      <w:r w:rsidRPr="00B34368">
        <w:rPr>
          <w:rFonts w:eastAsiaTheme="minorEastAsia"/>
          <w:b/>
          <w:color w:themeColor="text1" w:val="000000"/>
          <w:kern w:val="0"/>
          <w:sz w:val="24"/>
        </w:rPr>
        <w:t/>
      </w:r>
      <w:r w:rsidR="0042785F" w:rsidRPr="00B34368">
        <w:rPr>
          <w:rFonts w:eastAsiaTheme="minorEastAsia"/>
          <w:b/>
          <w:color w:themeColor="text1" w:val="000000"/>
          <w:kern w:val="0"/>
          <w:sz w:val="24"/>
        </w:rPr>
        <w:t/>
      </w:r>
      <w:r w:rsidRPr="00B34368">
        <w:rPr>
          <w:rFonts w:eastAsiaTheme="minorEastAsia"/>
          <w:b/>
          <w:color w:themeColor="text1" w:val="000000"/>
          <w:kern w:val="0"/>
          <w:sz w:val="24"/>
        </w:rPr>
        <w:t>易方达创业板ETF联接A</w:t>
      </w:r>
      <w:r w:rsidR="009238DB" w:rsidRPr="00B34368">
        <w:rPr>
          <w:rFonts w:eastAsiaTheme="minorEastAsia" w:hAnsiTheme="minorEastAsia"/>
          <w:b/>
          <w:color w:themeColor="text1" w:val="000000"/>
          <w:sz w:val="24"/>
        </w:rPr>
        <w:t>：</w:t>
      </w:r>
    </w:p>
    <w:tbl>
      <w:tblPr>
        <w:tblStyle w:val="af2"/>
        <w:tblW w:type="auto" w:w="0"/>
        <w:tblInd w:type="dxa" w:w="108"/>
        <w:tblLayout w:type="fixed"/>
        <w:tblLook w:firstColumn="1" w:firstRow="1" w:lastColumn="0" w:lastRow="0" w:noHBand="0" w:noVBand="1" w:val="04A0"/>
      </w:tblPr>
      <w:tblGrid>
        <w:gridCol w:w="1290"/>
        <w:gridCol w:w="1291"/>
        <w:gridCol w:w="1291"/>
        <w:gridCol w:w="1291"/>
        <w:gridCol w:w="1291"/>
        <w:gridCol w:w="1291"/>
        <w:gridCol w:w="1291"/>
      </w:tblGrid>
      <w:tr w:rsidR="00D3639B" w:rsidRPr="00B34368" w:rsidTr="00975D18">
        <w:tc>
          <w:tcPr>
            <w:tcW w:type="dxa" w:w="1290"/>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阶段</w:t>
            </w:r>
            <w:r w:rsidR="000D4DE9" w:rsidRPr="00B34368">
              <w:rPr>
                <w:rFonts w:eastAsiaTheme="minorEastAsia"/>
                <w:color w:themeColor="text1" w:val="000000"/>
                <w:sz w:val="24"/>
              </w:rPr>
              <w:t/>
            </w:r>
            <w:proofErr w:type="spellStart"/>
            <w:r w:rsidR="000D4DE9" w:rsidRPr="00B34368">
              <w:rPr>
                <w:rFonts w:eastAsiaTheme="minorEastAsia"/>
                <w:color w:themeColor="text1" w:val="000000"/>
                <w:sz w:val="24"/>
              </w:rPr>
              <w:t/>
            </w:r>
            <w:proofErr w:type="spellEnd"/>
            <w:r w:rsidR="000D4DE9" w:rsidRPr="00B34368">
              <w:rPr>
                <w:rFonts w:eastAsiaTheme="minorEastAsia"/>
                <w:color w:themeColor="text1" w:val="000000"/>
                <w:sz w:val="24"/>
              </w:rPr>
              <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净值增长率①</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净值增长率标准差②</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业绩比较基准收益率③</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业绩比较基准收益率标准差④</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①－③</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②－④</w:t>
            </w:r>
          </w:p>
        </w:tc>
      </w:tr>
      <w:tr>
        <w:tc>
          <w:tcPr>
            <w:vAlign w:val="center"/>
          </w:tcPr>
          <w:p>
            <w:pPr>
              <w:jc w:val="left"/>
            </w:pPr>
            <w:r>
              <w:rPr>
                <w:rFonts w:eastAsiaTheme="minorEastAsia"/>
                <w:color w:themeColor="text1" w:val="000000"/>
                <w:sz w:val="24"/>
              </w:rPr>
              <w:t>过去三个月</w:t>
            </w:r>
          </w:p>
        </w:tc>
        <w:tc>
          <w:tcPr>
            <w:vAlign w:val="center"/>
          </w:tcPr>
          <w:p>
            <w:pPr>
              <w:jc w:val="right"/>
            </w:pPr>
            <w:r>
              <w:rPr>
                <w:rFonts w:eastAsiaTheme="minorEastAsia"/>
                <w:color w:themeColor="text1" w:val="000000"/>
                <w:sz w:val="24"/>
              </w:rPr>
              <w:t>28.82%</w:t>
            </w:r>
          </w:p>
        </w:tc>
        <w:tc>
          <w:tcPr>
            <w:vAlign w:val="center"/>
          </w:tcPr>
          <w:p>
            <w:pPr>
              <w:jc w:val="right"/>
            </w:pPr>
            <w:r>
              <w:rPr>
                <w:rFonts w:eastAsiaTheme="minorEastAsia"/>
                <w:color w:themeColor="text1" w:val="000000"/>
                <w:sz w:val="24"/>
              </w:rPr>
              <w:t>1.31%</w:t>
            </w:r>
          </w:p>
        </w:tc>
        <w:tc>
          <w:tcPr>
            <w:vAlign w:val="center"/>
          </w:tcPr>
          <w:p>
            <w:pPr>
              <w:jc w:val="right"/>
            </w:pPr>
            <w:r>
              <w:rPr>
                <w:rFonts w:eastAsiaTheme="minorEastAsia"/>
                <w:color w:themeColor="text1" w:val="000000"/>
                <w:sz w:val="24"/>
              </w:rPr>
              <w:t>28.58%</w:t>
            </w:r>
          </w:p>
        </w:tc>
        <w:tc>
          <w:tcPr>
            <w:vAlign w:val="center"/>
          </w:tcPr>
          <w:p>
            <w:pPr>
              <w:jc w:val="right"/>
            </w:pPr>
            <w:r>
              <w:rPr>
                <w:rFonts w:eastAsiaTheme="minorEastAsia"/>
                <w:color w:themeColor="text1" w:val="000000"/>
                <w:sz w:val="24"/>
              </w:rPr>
              <w:t>1.32%</w:t>
            </w:r>
          </w:p>
        </w:tc>
        <w:tc>
          <w:tcPr>
            <w:vAlign w:val="center"/>
          </w:tcPr>
          <w:p>
            <w:pPr>
              <w:jc w:val="right"/>
            </w:pPr>
            <w:r>
              <w:rPr>
                <w:rFonts w:eastAsiaTheme="minorEastAsia"/>
                <w:color w:themeColor="text1" w:val="000000"/>
                <w:sz w:val="24"/>
              </w:rPr>
              <w:t>0.24%</w:t>
            </w:r>
          </w:p>
        </w:tc>
        <w:tc>
          <w:tcPr>
            <w:vAlign w:val="center"/>
          </w:tcPr>
          <w:p>
            <w:pPr>
              <w:jc w:val="right"/>
            </w:pPr>
            <w:r>
              <w:rPr>
                <w:rFonts w:eastAsiaTheme="minorEastAsia"/>
                <w:color w:themeColor="text1" w:val="000000"/>
                <w:sz w:val="24"/>
              </w:rPr>
              <w:t>-0.01%</w:t>
            </w:r>
          </w:p>
        </w:tc>
      </w:tr>
      <w:tr>
        <w:tc>
          <w:tcPr>
            <w:vAlign w:val="center"/>
          </w:tcPr>
          <w:p>
            <w:pPr>
              <w:jc w:val="left"/>
            </w:pPr>
            <w:r>
              <w:rPr>
                <w:rFonts w:eastAsiaTheme="minorEastAsia"/>
                <w:color w:themeColor="text1" w:val="000000"/>
                <w:sz w:val="24"/>
              </w:rPr>
              <w:t>过去六个月</w:t>
            </w:r>
          </w:p>
        </w:tc>
        <w:tc>
          <w:tcPr>
            <w:vAlign w:val="center"/>
          </w:tcPr>
          <w:p>
            <w:pPr>
              <w:jc w:val="right"/>
            </w:pPr>
            <w:r>
              <w:rPr>
                <w:rFonts w:eastAsiaTheme="minorEastAsia"/>
                <w:color w:themeColor="text1" w:val="000000"/>
                <w:sz w:val="24"/>
              </w:rPr>
              <w:t>32.71%</w:t>
            </w:r>
          </w:p>
        </w:tc>
        <w:tc>
          <w:tcPr>
            <w:vAlign w:val="center"/>
          </w:tcPr>
          <w:p>
            <w:pPr>
              <w:jc w:val="right"/>
            </w:pPr>
            <w:r>
              <w:rPr>
                <w:rFonts w:eastAsiaTheme="minorEastAsia"/>
                <w:color w:themeColor="text1" w:val="000000"/>
                <w:sz w:val="24"/>
              </w:rPr>
              <w:t>1.92%</w:t>
            </w:r>
          </w:p>
        </w:tc>
        <w:tc>
          <w:tcPr>
            <w:vAlign w:val="center"/>
          </w:tcPr>
          <w:p>
            <w:pPr>
              <w:jc w:val="right"/>
            </w:pPr>
            <w:r>
              <w:rPr>
                <w:rFonts w:eastAsiaTheme="minorEastAsia"/>
                <w:color w:themeColor="text1" w:val="000000"/>
                <w:sz w:val="24"/>
              </w:rPr>
              <w:t>33.72%</w:t>
            </w:r>
          </w:p>
        </w:tc>
        <w:tc>
          <w:tcPr>
            <w:vAlign w:val="center"/>
          </w:tcPr>
          <w:p>
            <w:pPr>
              <w:jc w:val="right"/>
            </w:pPr>
            <w:r>
              <w:rPr>
                <w:rFonts w:eastAsiaTheme="minorEastAsia"/>
                <w:color w:themeColor="text1" w:val="000000"/>
                <w:sz w:val="24"/>
              </w:rPr>
              <w:t>1.95%</w:t>
            </w:r>
          </w:p>
        </w:tc>
        <w:tc>
          <w:tcPr>
            <w:vAlign w:val="center"/>
          </w:tcPr>
          <w:p>
            <w:pPr>
              <w:jc w:val="right"/>
            </w:pPr>
            <w:r>
              <w:rPr>
                <w:rFonts w:eastAsiaTheme="minorEastAsia"/>
                <w:color w:themeColor="text1" w:val="000000"/>
                <w:sz w:val="24"/>
              </w:rPr>
              <w:t>-1.01%</w:t>
            </w:r>
          </w:p>
        </w:tc>
        <w:tc>
          <w:tcPr>
            <w:vAlign w:val="center"/>
          </w:tcPr>
          <w:p>
            <w:pPr>
              <w:jc w:val="right"/>
            </w:pPr>
            <w:r>
              <w:rPr>
                <w:rFonts w:eastAsiaTheme="minorEastAsia"/>
                <w:color w:themeColor="text1" w:val="000000"/>
                <w:sz w:val="24"/>
              </w:rPr>
              <w:t>-0.03%</w:t>
            </w:r>
          </w:p>
        </w:tc>
      </w:tr>
      <w:tr>
        <w:tc>
          <w:tcPr>
            <w:vAlign w:val="center"/>
          </w:tcPr>
          <w:p>
            <w:pPr>
              <w:jc w:val="left"/>
            </w:pPr>
            <w:r>
              <w:rPr>
                <w:rFonts w:eastAsiaTheme="minorEastAsia"/>
                <w:color w:themeColor="text1" w:val="000000"/>
                <w:sz w:val="24"/>
              </w:rPr>
              <w:t>过去一年</w:t>
            </w:r>
          </w:p>
        </w:tc>
        <w:tc>
          <w:tcPr>
            <w:vAlign w:val="center"/>
          </w:tcPr>
          <w:p>
            <w:pPr>
              <w:jc w:val="right"/>
            </w:pPr>
            <w:r>
              <w:rPr>
                <w:rFonts w:eastAsiaTheme="minorEastAsia"/>
                <w:color w:themeColor="text1" w:val="000000"/>
                <w:sz w:val="24"/>
              </w:rPr>
              <w:t>56.31%</w:t>
            </w:r>
          </w:p>
        </w:tc>
        <w:tc>
          <w:tcPr>
            <w:vAlign w:val="center"/>
          </w:tcPr>
          <w:p>
            <w:pPr>
              <w:jc w:val="right"/>
            </w:pPr>
            <w:r>
              <w:rPr>
                <w:rFonts w:eastAsiaTheme="minorEastAsia"/>
                <w:color w:themeColor="text1" w:val="000000"/>
                <w:sz w:val="24"/>
              </w:rPr>
              <w:t>1.57%</w:t>
            </w:r>
          </w:p>
        </w:tc>
        <w:tc>
          <w:tcPr>
            <w:vAlign w:val="center"/>
          </w:tcPr>
          <w:p>
            <w:pPr>
              <w:jc w:val="right"/>
            </w:pPr>
            <w:r>
              <w:rPr>
                <w:rFonts w:eastAsiaTheme="minorEastAsia"/>
                <w:color w:themeColor="text1" w:val="000000"/>
                <w:sz w:val="24"/>
              </w:rPr>
              <w:t>57.79%</w:t>
            </w:r>
          </w:p>
        </w:tc>
        <w:tc>
          <w:tcPr>
            <w:vAlign w:val="center"/>
          </w:tcPr>
          <w:p>
            <w:pPr>
              <w:jc w:val="right"/>
            </w:pPr>
            <w:r>
              <w:rPr>
                <w:rFonts w:eastAsiaTheme="minorEastAsia"/>
                <w:color w:themeColor="text1" w:val="000000"/>
                <w:sz w:val="24"/>
              </w:rPr>
              <w:t>1.59%</w:t>
            </w:r>
          </w:p>
        </w:tc>
        <w:tc>
          <w:tcPr>
            <w:vAlign w:val="center"/>
          </w:tcPr>
          <w:p>
            <w:pPr>
              <w:jc w:val="right"/>
            </w:pPr>
            <w:r>
              <w:rPr>
                <w:rFonts w:eastAsiaTheme="minorEastAsia"/>
                <w:color w:themeColor="text1" w:val="000000"/>
                <w:sz w:val="24"/>
              </w:rPr>
              <w:t>-1.48%</w:t>
            </w:r>
          </w:p>
        </w:tc>
        <w:tc>
          <w:tcPr>
            <w:vAlign w:val="center"/>
          </w:tcPr>
          <w:p>
            <w:pPr>
              <w:jc w:val="right"/>
            </w:pPr>
            <w:r>
              <w:rPr>
                <w:rFonts w:eastAsiaTheme="minorEastAsia"/>
                <w:color w:themeColor="text1" w:val="000000"/>
                <w:sz w:val="24"/>
              </w:rPr>
              <w:t>-0.02%</w:t>
            </w:r>
          </w:p>
        </w:tc>
      </w:tr>
      <w:tr>
        <w:tc>
          <w:tcPr>
            <w:vAlign w:val="center"/>
          </w:tcPr>
          <w:p>
            <w:pPr>
              <w:jc w:val="left"/>
            </w:pPr>
            <w:r>
              <w:rPr>
                <w:rFonts w:eastAsiaTheme="minorEastAsia"/>
                <w:color w:themeColor="text1" w:val="000000"/>
                <w:sz w:val="24"/>
              </w:rPr>
              <w:t>过去三年</w:t>
            </w:r>
          </w:p>
        </w:tc>
        <w:tc>
          <w:tcPr>
            <w:vAlign w:val="center"/>
          </w:tcPr>
          <w:p>
            <w:pPr>
              <w:jc w:val="right"/>
            </w:pPr>
            <w:r>
              <w:rPr>
                <w:rFonts w:eastAsiaTheme="minorEastAsia"/>
                <w:color w:themeColor="text1" w:val="000000"/>
                <w:sz w:val="24"/>
              </w:rPr>
              <w:t>30.65%</w:t>
            </w:r>
          </w:p>
        </w:tc>
        <w:tc>
          <w:tcPr>
            <w:vAlign w:val="center"/>
          </w:tcPr>
          <w:p>
            <w:pPr>
              <w:jc w:val="right"/>
            </w:pPr>
            <w:r>
              <w:rPr>
                <w:rFonts w:eastAsiaTheme="minorEastAsia"/>
                <w:color w:themeColor="text1" w:val="000000"/>
                <w:sz w:val="24"/>
              </w:rPr>
              <w:t>1.57%</w:t>
            </w:r>
          </w:p>
        </w:tc>
        <w:tc>
          <w:tcPr>
            <w:vAlign w:val="center"/>
          </w:tcPr>
          <w:p>
            <w:pPr>
              <w:jc w:val="right"/>
            </w:pPr>
            <w:r>
              <w:rPr>
                <w:rFonts w:eastAsiaTheme="minorEastAsia"/>
                <w:color w:themeColor="text1" w:val="000000"/>
                <w:sz w:val="24"/>
              </w:rPr>
              <w:t>32.88%</w:t>
            </w:r>
          </w:p>
        </w:tc>
        <w:tc>
          <w:tcPr>
            <w:vAlign w:val="center"/>
          </w:tcPr>
          <w:p>
            <w:pPr>
              <w:jc w:val="right"/>
            </w:pPr>
            <w:r>
              <w:rPr>
                <w:rFonts w:eastAsiaTheme="minorEastAsia"/>
                <w:color w:themeColor="text1" w:val="000000"/>
                <w:sz w:val="24"/>
              </w:rPr>
              <w:t>1.59%</w:t>
            </w:r>
          </w:p>
        </w:tc>
        <w:tc>
          <w:tcPr>
            <w:vAlign w:val="center"/>
          </w:tcPr>
          <w:p>
            <w:pPr>
              <w:jc w:val="right"/>
            </w:pPr>
            <w:r>
              <w:rPr>
                <w:rFonts w:eastAsiaTheme="minorEastAsia"/>
                <w:color w:themeColor="text1" w:val="000000"/>
                <w:sz w:val="24"/>
              </w:rPr>
              <w:t>-2.23%</w:t>
            </w:r>
          </w:p>
        </w:tc>
        <w:tc>
          <w:tcPr>
            <w:vAlign w:val="center"/>
          </w:tcPr>
          <w:p>
            <w:pPr>
              <w:jc w:val="right"/>
            </w:pPr>
            <w:r>
              <w:rPr>
                <w:rFonts w:eastAsiaTheme="minorEastAsia"/>
                <w:color w:themeColor="text1" w:val="000000"/>
                <w:sz w:val="24"/>
              </w:rPr>
              <w:t>-0.02%</w:t>
            </w:r>
          </w:p>
        </w:tc>
      </w:tr>
      <w:tr>
        <w:tc>
          <w:tcPr>
            <w:vAlign w:val="center"/>
          </w:tcPr>
          <w:p>
            <w:pPr>
              <w:jc w:val="left"/>
            </w:pPr>
            <w:r>
              <w:rPr>
                <w:rFonts w:eastAsiaTheme="minorEastAsia"/>
                <w:color w:themeColor="text1" w:val="000000"/>
                <w:sz w:val="24"/>
              </w:rPr>
              <w:t>过去五年</w:t>
            </w:r>
          </w:p>
        </w:tc>
        <w:tc>
          <w:tcPr>
            <w:vAlign w:val="center"/>
          </w:tcPr>
          <w:p>
            <w:pPr>
              <w:jc w:val="right"/>
            </w:pPr>
            <w:r>
              <w:rPr>
                <w:rFonts w:eastAsiaTheme="minorEastAsia"/>
                <w:color w:themeColor="text1" w:val="000000"/>
                <w:sz w:val="24"/>
              </w:rPr>
              <w:t>-18.87%</w:t>
            </w:r>
          </w:p>
        </w:tc>
        <w:tc>
          <w:tcPr>
            <w:vAlign w:val="center"/>
          </w:tcPr>
          <w:p>
            <w:pPr>
              <w:jc w:val="right"/>
            </w:pPr>
            <w:r>
              <w:rPr>
                <w:rFonts w:eastAsiaTheme="minorEastAsia"/>
                <w:color w:themeColor="text1" w:val="000000"/>
                <w:sz w:val="24"/>
              </w:rPr>
              <w:t>1.94%</w:t>
            </w:r>
          </w:p>
        </w:tc>
        <w:tc>
          <w:tcPr>
            <w:vAlign w:val="center"/>
          </w:tcPr>
          <w:p>
            <w:pPr>
              <w:jc w:val="right"/>
            </w:pPr>
            <w:r>
              <w:rPr>
                <w:rFonts w:eastAsiaTheme="minorEastAsia"/>
                <w:color w:themeColor="text1" w:val="000000"/>
                <w:sz w:val="24"/>
              </w:rPr>
              <w:t>-12.95%</w:t>
            </w:r>
          </w:p>
        </w:tc>
        <w:tc>
          <w:tcPr>
            <w:vAlign w:val="center"/>
          </w:tcPr>
          <w:p>
            <w:pPr>
              <w:jc w:val="right"/>
            </w:pPr>
            <w:r>
              <w:rPr>
                <w:rFonts w:eastAsiaTheme="minorEastAsia"/>
                <w:color w:themeColor="text1" w:val="000000"/>
                <w:sz w:val="24"/>
              </w:rPr>
              <w:t>1.88%</w:t>
            </w:r>
          </w:p>
        </w:tc>
        <w:tc>
          <w:tcPr>
            <w:vAlign w:val="center"/>
          </w:tcPr>
          <w:p>
            <w:pPr>
              <w:jc w:val="right"/>
            </w:pPr>
            <w:r>
              <w:rPr>
                <w:rFonts w:eastAsiaTheme="minorEastAsia"/>
                <w:color w:themeColor="text1" w:val="000000"/>
                <w:sz w:val="24"/>
              </w:rPr>
              <w:t>-5.92%</w:t>
            </w:r>
          </w:p>
        </w:tc>
        <w:tc>
          <w:tcPr>
            <w:vAlign w:val="center"/>
          </w:tcPr>
          <w:p>
            <w:pPr>
              <w:jc w:val="right"/>
            </w:pPr>
            <w:r>
              <w:rPr>
                <w:rFonts w:eastAsiaTheme="minorEastAsia"/>
                <w:color w:themeColor="text1" w:val="000000"/>
                <w:sz w:val="24"/>
              </w:rPr>
              <w:t>0.06%</w:t>
            </w:r>
          </w:p>
        </w:tc>
      </w:tr>
      <w:tr>
        <w:tc>
          <w:tcPr>
            <w:vAlign w:val="center"/>
          </w:tcPr>
          <w:p>
            <w:pPr>
              <w:jc w:val="left"/>
            </w:pPr>
            <w:r>
              <w:rPr>
                <w:rFonts w:eastAsiaTheme="minorEastAsia"/>
                <w:color w:themeColor="text1" w:val="000000"/>
                <w:sz w:val="24"/>
              </w:rPr>
              <w:t>自基金合同生效起至今</w:t>
            </w:r>
          </w:p>
        </w:tc>
        <w:tc>
          <w:tcPr>
            <w:vAlign w:val="center"/>
          </w:tcPr>
          <w:p>
            <w:pPr>
              <w:jc w:val="right"/>
            </w:pPr>
            <w:r>
              <w:rPr>
                <w:rFonts w:eastAsiaTheme="minorEastAsia"/>
                <w:color w:themeColor="text1" w:val="000000"/>
                <w:sz w:val="24"/>
              </w:rPr>
              <w:t>146.08%</w:t>
            </w:r>
          </w:p>
        </w:tc>
        <w:tc>
          <w:tcPr>
            <w:vAlign w:val="center"/>
          </w:tcPr>
          <w:p>
            <w:pPr>
              <w:jc w:val="right"/>
            </w:pPr>
            <w:r>
              <w:rPr>
                <w:rFonts w:eastAsiaTheme="minorEastAsia"/>
                <w:color w:themeColor="text1" w:val="000000"/>
                <w:sz w:val="24"/>
              </w:rPr>
              <w:t>1.86%</w:t>
            </w:r>
          </w:p>
        </w:tc>
        <w:tc>
          <w:tcPr>
            <w:vAlign w:val="center"/>
          </w:tcPr>
          <w:p>
            <w:pPr>
              <w:jc w:val="right"/>
            </w:pPr>
            <w:r>
              <w:rPr>
                <w:rFonts w:eastAsiaTheme="minorEastAsia"/>
                <w:color w:themeColor="text1" w:val="000000"/>
                <w:sz w:val="24"/>
              </w:rPr>
              <w:t>176.67%</w:t>
            </w:r>
          </w:p>
        </w:tc>
        <w:tc>
          <w:tcPr>
            <w:vAlign w:val="center"/>
          </w:tcPr>
          <w:p>
            <w:pPr>
              <w:jc w:val="right"/>
            </w:pPr>
            <w:r>
              <w:rPr>
                <w:rFonts w:eastAsiaTheme="minorEastAsia"/>
                <w:color w:themeColor="text1" w:val="000000"/>
                <w:sz w:val="24"/>
              </w:rPr>
              <w:t>1.88%</w:t>
            </w:r>
          </w:p>
        </w:tc>
        <w:tc>
          <w:tcPr>
            <w:vAlign w:val="center"/>
          </w:tcPr>
          <w:p>
            <w:pPr>
              <w:jc w:val="right"/>
            </w:pPr>
            <w:r>
              <w:rPr>
                <w:rFonts w:eastAsiaTheme="minorEastAsia"/>
                <w:color w:themeColor="text1" w:val="000000"/>
                <w:sz w:val="24"/>
              </w:rPr>
              <w:t>-30.59%</w:t>
            </w:r>
          </w:p>
        </w:tc>
        <w:tc>
          <w:tcPr>
            <w:vAlign w:val="center"/>
          </w:tcPr>
          <w:p>
            <w:pPr>
              <w:jc w:val="right"/>
            </w:pPr>
            <w:r>
              <w:rPr>
                <w:rFonts w:eastAsiaTheme="minorEastAsia"/>
                <w:color w:themeColor="text1" w:val="000000"/>
                <w:sz w:val="24"/>
              </w:rPr>
              <w:t>-0.02%</w:t>
            </w:r>
          </w:p>
        </w:tc>
      </w:tr>
    </w:tbl>
    <w:p w:rsidP="00C544B8" w:rsidR="009238DB" w:rsidRDefault="00A5643A" w:rsidRPr="00B34368">
      <w:pPr>
        <w:adjustRightInd w:val="0"/>
        <w:spacing w:before="312" w:beforeLines="100" w:line="360" w:lineRule="auto"/>
        <w:rPr>
          <w:rFonts w:eastAsiaTheme="minorEastAsia"/>
          <w:b/>
          <w:color w:themeColor="text1" w:val="000000"/>
          <w:kern w:val="0"/>
          <w:sz w:val="24"/>
        </w:rPr>
      </w:pPr>
      <w:r w:rsidRPr="00B34368">
        <w:rPr>
          <w:rFonts w:eastAsiaTheme="minorEastAsia"/>
          <w:b/>
          <w:color w:themeColor="text1" w:val="000000"/>
          <w:kern w:val="0"/>
          <w:sz w:val="24"/>
        </w:rPr>
        <w:t/>
      </w:r>
      <w:r w:rsidR="004D614E" w:rsidRPr="00B34368">
        <w:rPr>
          <w:rFonts w:eastAsiaTheme="minorEastAsia"/>
          <w:b/>
          <w:color w:themeColor="text1" w:val="000000"/>
          <w:kern w:val="0"/>
          <w:sz w:val="24"/>
        </w:rPr>
        <w:t/>
      </w:r>
      <w:r w:rsidR="00FE7FBD" w:rsidRPr="00B34368">
        <w:rPr>
          <w:rFonts w:eastAsiaTheme="minorEastAsia"/>
          <w:b/>
          <w:color w:themeColor="text1" w:val="000000"/>
          <w:kern w:val="0"/>
          <w:sz w:val="24"/>
        </w:rPr>
        <w:t>易方达创业板ETF联接C</w:t>
      </w:r>
      <w:r w:rsidR="009238DB" w:rsidRPr="00B34368">
        <w:rPr>
          <w:rFonts w:eastAsiaTheme="minorEastAsia" w:hAnsiTheme="minorEastAsia"/>
          <w:b/>
          <w:color w:themeColor="text1" w:val="000000"/>
          <w:kern w:val="0"/>
          <w:sz w:val="24"/>
        </w:rPr>
        <w:t>：</w:t>
      </w:r>
    </w:p>
    <w:tbl>
      <w:tblPr>
        <w:tblStyle w:val="af2"/>
        <w:tblW w:type="auto" w:w="0"/>
        <w:tblInd w:type="dxa" w:w="108"/>
        <w:tblLayout w:type="fixed"/>
        <w:tblLook w:firstColumn="1" w:firstRow="1" w:lastColumn="0" w:lastRow="0" w:noHBand="0" w:noVBand="1" w:val="04A0"/>
      </w:tblPr>
      <w:tblGrid>
        <w:gridCol w:w="1290"/>
        <w:gridCol w:w="1291"/>
        <w:gridCol w:w="1291"/>
        <w:gridCol w:w="1291"/>
        <w:gridCol w:w="1291"/>
        <w:gridCol w:w="1291"/>
        <w:gridCol w:w="1291"/>
      </w:tblGrid>
      <w:tr w:rsidR="00D3639B" w:rsidRPr="00B34368" w:rsidTr="00975D18">
        <w:tc>
          <w:tcPr>
            <w:tcW w:type="dxa" w:w="1290"/>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阶段</w:t>
            </w:r>
            <w:r w:rsidR="000D4DE9" w:rsidRPr="00B34368">
              <w:rPr>
                <w:rFonts w:eastAsiaTheme="minorEastAsia"/>
                <w:color w:themeColor="text1" w:val="000000"/>
                <w:sz w:val="24"/>
              </w:rPr>
              <w:t/>
            </w:r>
            <w:proofErr w:type="spellStart"/>
            <w:r w:rsidR="000D4DE9" w:rsidRPr="00B34368">
              <w:rPr>
                <w:rFonts w:eastAsiaTheme="minorEastAsia"/>
                <w:color w:themeColor="text1" w:val="000000"/>
                <w:sz w:val="24"/>
              </w:rPr>
              <w:t/>
            </w:r>
            <w:proofErr w:type="spellEnd"/>
            <w:r w:rsidR="000D4DE9" w:rsidRPr="00B34368">
              <w:rPr>
                <w:rFonts w:eastAsiaTheme="minorEastAsia"/>
                <w:color w:themeColor="text1" w:val="000000"/>
                <w:sz w:val="24"/>
              </w:rPr>
              <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highlight w:val="green"/>
              </w:rPr>
            </w:pPr>
            <w:r w:rsidRPr="00B34368">
              <w:rPr>
                <w:rFonts w:eastAsiaTheme="minorEastAsia" w:hAnsiTheme="minorEastAsia"/>
                <w:color w:themeColor="text1" w:val="000000"/>
                <w:sz w:val="24"/>
              </w:rPr>
              <w:t>净值增长率①</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highlight w:val="green"/>
              </w:rPr>
            </w:pPr>
            <w:r w:rsidRPr="00B34368">
              <w:rPr>
                <w:rFonts w:eastAsiaTheme="minorEastAsia" w:hAnsiTheme="minorEastAsia"/>
                <w:color w:themeColor="text1" w:val="000000"/>
                <w:sz w:val="24"/>
              </w:rPr>
              <w:t>净值增长率标准差②</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业绩比较基准收益率③</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业绩比较基准收益率标准差④</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①－③</w:t>
            </w:r>
          </w:p>
        </w:tc>
        <w:tc>
          <w:tcPr>
            <w:tcW w:type="dxa" w:w="1291"/>
            <w:vAlign w:val="center"/>
          </w:tcPr>
          <w:p w:rsidP="009A045B" w:rsidR="00685FFC" w:rsidRDefault="00685FFC" w:rsidRPr="00B34368">
            <w:pPr>
              <w:snapToGrid w:val="0"/>
              <w:spacing w:line="288" w:lineRule="auto"/>
              <w:jc w:val="center"/>
              <w:rPr>
                <w:rFonts w:eastAsiaTheme="minorEastAsia"/>
                <w:color w:themeColor="text1" w:val="000000"/>
                <w:sz w:val="24"/>
              </w:rPr>
            </w:pPr>
            <w:r w:rsidRPr="00B34368">
              <w:rPr>
                <w:rFonts w:eastAsiaTheme="minorEastAsia" w:hAnsiTheme="minorEastAsia"/>
                <w:color w:themeColor="text1" w:val="000000"/>
                <w:sz w:val="24"/>
              </w:rPr>
              <w:t>②－④</w:t>
            </w:r>
          </w:p>
        </w:tc>
      </w:tr>
      <w:tr>
        <w:tc>
          <w:tcPr>
            <w:vAlign w:val="center"/>
          </w:tcPr>
          <w:p>
            <w:pPr>
              <w:jc w:val="left"/>
            </w:pPr>
            <w:r>
              <w:rPr>
                <w:rFonts w:eastAsiaTheme="minorEastAsia"/>
                <w:color w:themeColor="text1" w:val="000000"/>
                <w:sz w:val="24"/>
              </w:rPr>
              <w:t>过去三个月</w:t>
            </w:r>
          </w:p>
        </w:tc>
        <w:tc>
          <w:tcPr>
            <w:vAlign w:val="center"/>
          </w:tcPr>
          <w:p>
            <w:pPr>
              <w:jc w:val="right"/>
            </w:pPr>
            <w:r>
              <w:rPr>
                <w:rFonts w:eastAsiaTheme="minorEastAsia"/>
                <w:color w:themeColor="text1" w:val="000000"/>
                <w:sz w:val="24"/>
              </w:rPr>
              <w:t>28.74%</w:t>
            </w:r>
          </w:p>
        </w:tc>
        <w:tc>
          <w:tcPr>
            <w:vAlign w:val="center"/>
          </w:tcPr>
          <w:p>
            <w:pPr>
              <w:jc w:val="right"/>
            </w:pPr>
            <w:r>
              <w:rPr>
                <w:rFonts w:eastAsiaTheme="minorEastAsia"/>
                <w:color w:themeColor="text1" w:val="000000"/>
                <w:sz w:val="24"/>
              </w:rPr>
              <w:t>1.31%</w:t>
            </w:r>
          </w:p>
        </w:tc>
        <w:tc>
          <w:tcPr>
            <w:vAlign w:val="center"/>
          </w:tcPr>
          <w:p>
            <w:pPr>
              <w:jc w:val="right"/>
            </w:pPr>
            <w:r>
              <w:rPr>
                <w:rFonts w:eastAsiaTheme="minorEastAsia"/>
                <w:color w:themeColor="text1" w:val="000000"/>
                <w:sz w:val="24"/>
              </w:rPr>
              <w:t>28.58%</w:t>
            </w:r>
          </w:p>
        </w:tc>
        <w:tc>
          <w:tcPr>
            <w:vAlign w:val="center"/>
          </w:tcPr>
          <w:p>
            <w:pPr>
              <w:jc w:val="right"/>
            </w:pPr>
            <w:r>
              <w:rPr>
                <w:rFonts w:eastAsiaTheme="minorEastAsia"/>
                <w:color w:themeColor="text1" w:val="000000"/>
                <w:sz w:val="24"/>
              </w:rPr>
              <w:t>1.32%</w:t>
            </w:r>
          </w:p>
        </w:tc>
        <w:tc>
          <w:tcPr>
            <w:vAlign w:val="center"/>
          </w:tcPr>
          <w:p>
            <w:pPr>
              <w:jc w:val="right"/>
            </w:pPr>
            <w:r>
              <w:rPr>
                <w:rFonts w:eastAsiaTheme="minorEastAsia"/>
                <w:color w:themeColor="text1" w:val="000000"/>
                <w:sz w:val="24"/>
              </w:rPr>
              <w:t>0.16%</w:t>
            </w:r>
          </w:p>
        </w:tc>
        <w:tc>
          <w:tcPr>
            <w:vAlign w:val="center"/>
          </w:tcPr>
          <w:p>
            <w:pPr>
              <w:jc w:val="right"/>
            </w:pPr>
            <w:r>
              <w:rPr>
                <w:rFonts w:eastAsiaTheme="minorEastAsia"/>
                <w:color w:themeColor="text1" w:val="000000"/>
                <w:sz w:val="24"/>
              </w:rPr>
              <w:t>-0.01%</w:t>
            </w:r>
          </w:p>
        </w:tc>
      </w:tr>
      <w:tr>
        <w:tc>
          <w:tcPr>
            <w:vAlign w:val="center"/>
          </w:tcPr>
          <w:p>
            <w:pPr>
              <w:jc w:val="left"/>
            </w:pPr>
            <w:r>
              <w:rPr>
                <w:rFonts w:eastAsiaTheme="minorEastAsia"/>
                <w:color w:themeColor="text1" w:val="000000"/>
                <w:sz w:val="24"/>
              </w:rPr>
              <w:t>过去六个月</w:t>
            </w:r>
          </w:p>
        </w:tc>
        <w:tc>
          <w:tcPr>
            <w:vAlign w:val="center"/>
          </w:tcPr>
          <w:p>
            <w:pPr>
              <w:jc w:val="right"/>
            </w:pPr>
            <w:r>
              <w:rPr>
                <w:rFonts w:eastAsiaTheme="minorEastAsia"/>
                <w:color w:themeColor="text1" w:val="000000"/>
                <w:sz w:val="24"/>
              </w:rPr>
              <w:t>32.54%</w:t>
            </w:r>
          </w:p>
        </w:tc>
        <w:tc>
          <w:tcPr>
            <w:vAlign w:val="center"/>
          </w:tcPr>
          <w:p>
            <w:pPr>
              <w:jc w:val="right"/>
            </w:pPr>
            <w:r>
              <w:rPr>
                <w:rFonts w:eastAsiaTheme="minorEastAsia"/>
                <w:color w:themeColor="text1" w:val="000000"/>
                <w:sz w:val="24"/>
              </w:rPr>
              <w:t>1.92%</w:t>
            </w:r>
          </w:p>
        </w:tc>
        <w:tc>
          <w:tcPr>
            <w:vAlign w:val="center"/>
          </w:tcPr>
          <w:p>
            <w:pPr>
              <w:jc w:val="right"/>
            </w:pPr>
            <w:r>
              <w:rPr>
                <w:rFonts w:eastAsiaTheme="minorEastAsia"/>
                <w:color w:themeColor="text1" w:val="000000"/>
                <w:sz w:val="24"/>
              </w:rPr>
              <w:t>33.72%</w:t>
            </w:r>
          </w:p>
        </w:tc>
        <w:tc>
          <w:tcPr>
            <w:vAlign w:val="center"/>
          </w:tcPr>
          <w:p>
            <w:pPr>
              <w:jc w:val="right"/>
            </w:pPr>
            <w:r>
              <w:rPr>
                <w:rFonts w:eastAsiaTheme="minorEastAsia"/>
                <w:color w:themeColor="text1" w:val="000000"/>
                <w:sz w:val="24"/>
              </w:rPr>
              <w:t>1.95%</w:t>
            </w:r>
          </w:p>
        </w:tc>
        <w:tc>
          <w:tcPr>
            <w:vAlign w:val="center"/>
          </w:tcPr>
          <w:p>
            <w:pPr>
              <w:jc w:val="right"/>
            </w:pPr>
            <w:r>
              <w:rPr>
                <w:rFonts w:eastAsiaTheme="minorEastAsia"/>
                <w:color w:themeColor="text1" w:val="000000"/>
                <w:sz w:val="24"/>
              </w:rPr>
              <w:t>-1.18%</w:t>
            </w:r>
          </w:p>
        </w:tc>
        <w:tc>
          <w:tcPr>
            <w:vAlign w:val="center"/>
          </w:tcPr>
          <w:p>
            <w:pPr>
              <w:jc w:val="right"/>
            </w:pPr>
            <w:r>
              <w:rPr>
                <w:rFonts w:eastAsiaTheme="minorEastAsia"/>
                <w:color w:themeColor="text1" w:val="000000"/>
                <w:sz w:val="24"/>
              </w:rPr>
              <w:t>-0.03%</w:t>
            </w:r>
          </w:p>
        </w:tc>
      </w:tr>
      <w:tr>
        <w:tc>
          <w:tcPr>
            <w:vAlign w:val="center"/>
          </w:tcPr>
          <w:p>
            <w:pPr>
              <w:jc w:val="left"/>
            </w:pPr>
            <w:r>
              <w:rPr>
                <w:rFonts w:eastAsiaTheme="minorEastAsia"/>
                <w:color w:themeColor="text1" w:val="000000"/>
                <w:sz w:val="24"/>
              </w:rPr>
              <w:t>过去一年</w:t>
            </w:r>
          </w:p>
        </w:tc>
        <w:tc>
          <w:tcPr>
            <w:vAlign w:val="center"/>
          </w:tcPr>
          <w:p>
            <w:pPr>
              <w:jc w:val="right"/>
            </w:pPr>
            <w:r>
              <w:rPr>
                <w:rFonts w:eastAsiaTheme="minorEastAsia"/>
                <w:color w:themeColor="text1" w:val="000000"/>
                <w:sz w:val="24"/>
              </w:rPr>
              <w:t>55.83%</w:t>
            </w:r>
          </w:p>
        </w:tc>
        <w:tc>
          <w:tcPr>
            <w:vAlign w:val="center"/>
          </w:tcPr>
          <w:p>
            <w:pPr>
              <w:jc w:val="right"/>
            </w:pPr>
            <w:r>
              <w:rPr>
                <w:rFonts w:eastAsiaTheme="minorEastAsia"/>
                <w:color w:themeColor="text1" w:val="000000"/>
                <w:sz w:val="24"/>
              </w:rPr>
              <w:t>1.57%</w:t>
            </w:r>
          </w:p>
        </w:tc>
        <w:tc>
          <w:tcPr>
            <w:vAlign w:val="center"/>
          </w:tcPr>
          <w:p>
            <w:pPr>
              <w:jc w:val="right"/>
            </w:pPr>
            <w:r>
              <w:rPr>
                <w:rFonts w:eastAsiaTheme="minorEastAsia"/>
                <w:color w:themeColor="text1" w:val="000000"/>
                <w:sz w:val="24"/>
              </w:rPr>
              <w:t>57.79%</w:t>
            </w:r>
          </w:p>
        </w:tc>
        <w:tc>
          <w:tcPr>
            <w:vAlign w:val="center"/>
          </w:tcPr>
          <w:p>
            <w:pPr>
              <w:jc w:val="right"/>
            </w:pPr>
            <w:r>
              <w:rPr>
                <w:rFonts w:eastAsiaTheme="minorEastAsia"/>
                <w:color w:themeColor="text1" w:val="000000"/>
                <w:sz w:val="24"/>
              </w:rPr>
              <w:t>1.59%</w:t>
            </w:r>
          </w:p>
        </w:tc>
        <w:tc>
          <w:tcPr>
            <w:vAlign w:val="center"/>
          </w:tcPr>
          <w:p>
            <w:pPr>
              <w:jc w:val="right"/>
            </w:pPr>
            <w:r>
              <w:rPr>
                <w:rFonts w:eastAsiaTheme="minorEastAsia"/>
                <w:color w:themeColor="text1" w:val="000000"/>
                <w:sz w:val="24"/>
              </w:rPr>
              <w:t>-1.96%</w:t>
            </w:r>
          </w:p>
        </w:tc>
        <w:tc>
          <w:tcPr>
            <w:vAlign w:val="center"/>
          </w:tcPr>
          <w:p>
            <w:pPr>
              <w:jc w:val="right"/>
            </w:pPr>
            <w:r>
              <w:rPr>
                <w:rFonts w:eastAsiaTheme="minorEastAsia"/>
                <w:color w:themeColor="text1" w:val="000000"/>
                <w:sz w:val="24"/>
              </w:rPr>
              <w:t>-0.02%</w:t>
            </w:r>
          </w:p>
        </w:tc>
      </w:tr>
      <w:tr>
        <w:tc>
          <w:tcPr>
            <w:vAlign w:val="center"/>
          </w:tcPr>
          <w:p>
            <w:pPr>
              <w:jc w:val="left"/>
            </w:pPr>
            <w:r>
              <w:rPr>
                <w:rFonts w:eastAsiaTheme="minorEastAsia"/>
                <w:color w:themeColor="text1" w:val="000000"/>
                <w:sz w:val="24"/>
              </w:rPr>
              <w:t>过去三年</w:t>
            </w:r>
          </w:p>
        </w:tc>
        <w:tc>
          <w:tcPr>
            <w:vAlign w:val="center"/>
          </w:tcPr>
          <w:p>
            <w:pPr>
              <w:jc w:val="right"/>
            </w:pPr>
            <w:r>
              <w:rPr>
                <w:rFonts w:eastAsiaTheme="minorEastAsia"/>
                <w:color w:themeColor="text1" w:val="000000"/>
                <w:sz w:val="24"/>
              </w:rPr>
              <w:t>29.72%</w:t>
            </w:r>
          </w:p>
        </w:tc>
        <w:tc>
          <w:tcPr>
            <w:vAlign w:val="center"/>
          </w:tcPr>
          <w:p>
            <w:pPr>
              <w:jc w:val="right"/>
            </w:pPr>
            <w:r>
              <w:rPr>
                <w:rFonts w:eastAsiaTheme="minorEastAsia"/>
                <w:color w:themeColor="text1" w:val="000000"/>
                <w:sz w:val="24"/>
              </w:rPr>
              <w:t>1.57%</w:t>
            </w:r>
          </w:p>
        </w:tc>
        <w:tc>
          <w:tcPr>
            <w:vAlign w:val="center"/>
          </w:tcPr>
          <w:p>
            <w:pPr>
              <w:jc w:val="right"/>
            </w:pPr>
            <w:r>
              <w:rPr>
                <w:rFonts w:eastAsiaTheme="minorEastAsia"/>
                <w:color w:themeColor="text1" w:val="000000"/>
                <w:sz w:val="24"/>
              </w:rPr>
              <w:t>32.88%</w:t>
            </w:r>
          </w:p>
        </w:tc>
        <w:tc>
          <w:tcPr>
            <w:vAlign w:val="center"/>
          </w:tcPr>
          <w:p>
            <w:pPr>
              <w:jc w:val="right"/>
            </w:pPr>
            <w:r>
              <w:rPr>
                <w:rFonts w:eastAsiaTheme="minorEastAsia"/>
                <w:color w:themeColor="text1" w:val="000000"/>
                <w:sz w:val="24"/>
              </w:rPr>
              <w:t>1.59%</w:t>
            </w:r>
          </w:p>
        </w:tc>
        <w:tc>
          <w:tcPr>
            <w:vAlign w:val="center"/>
          </w:tcPr>
          <w:p>
            <w:pPr>
              <w:jc w:val="right"/>
            </w:pPr>
            <w:r>
              <w:rPr>
                <w:rFonts w:eastAsiaTheme="minorEastAsia"/>
                <w:color w:themeColor="text1" w:val="000000"/>
                <w:sz w:val="24"/>
              </w:rPr>
              <w:t>-3.16%</w:t>
            </w:r>
          </w:p>
        </w:tc>
        <w:tc>
          <w:tcPr>
            <w:vAlign w:val="center"/>
          </w:tcPr>
          <w:p>
            <w:pPr>
              <w:jc w:val="right"/>
            </w:pPr>
            <w:r>
              <w:rPr>
                <w:rFonts w:eastAsiaTheme="minorEastAsia"/>
                <w:color w:themeColor="text1" w:val="000000"/>
                <w:sz w:val="24"/>
              </w:rPr>
              <w:t>-0.02%</w:t>
            </w:r>
          </w:p>
        </w:tc>
      </w:tr>
      <w:tr>
        <w:tc>
          <w:tcPr>
            <w:vAlign w:val="center"/>
          </w:tcPr>
          <w:p>
            <w:pPr>
              <w:jc w:val="left"/>
            </w:pPr>
            <w:r>
              <w:rPr>
                <w:rFonts w:eastAsiaTheme="minorEastAsia"/>
                <w:color w:themeColor="text1" w:val="000000"/>
                <w:sz w:val="24"/>
              </w:rPr>
              <w:t>过去五年</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c>
          <w:tcPr>
            <w:vAlign w:val="center"/>
          </w:tcPr>
          <w:p>
            <w:pPr>
              <w:jc w:val="right"/>
            </w:pPr>
            <w:r>
              <w:rPr>
                <w:rFonts w:eastAsiaTheme="minorEastAsia"/>
                <w:color w:themeColor="text1" w:val="000000"/>
                <w:sz w:val="24"/>
              </w:rPr>
              <w:t>-</w:t>
            </w:r>
          </w:p>
        </w:tc>
      </w:tr>
      <w:tr>
        <w:tc>
          <w:tcPr>
            <w:vAlign w:val="center"/>
          </w:tcPr>
          <w:p>
            <w:pPr>
              <w:jc w:val="left"/>
            </w:pPr>
            <w:r>
              <w:rPr>
                <w:rFonts w:eastAsiaTheme="minorEastAsia"/>
                <w:color w:themeColor="text1" w:val="000000"/>
                <w:sz w:val="24"/>
              </w:rPr>
              <w:t>自基金合同生效起至今</w:t>
            </w:r>
          </w:p>
        </w:tc>
        <w:tc>
          <w:tcPr>
            <w:vAlign w:val="center"/>
          </w:tcPr>
          <w:p>
            <w:pPr>
              <w:jc w:val="right"/>
            </w:pPr>
            <w:r>
              <w:rPr>
                <w:rFonts w:eastAsiaTheme="minorEastAsia"/>
                <w:color w:themeColor="text1" w:val="000000"/>
                <w:sz w:val="24"/>
              </w:rPr>
              <w:t>35.04%</w:t>
            </w:r>
          </w:p>
        </w:tc>
        <w:tc>
          <w:tcPr>
            <w:vAlign w:val="center"/>
          </w:tcPr>
          <w:p>
            <w:pPr>
              <w:jc w:val="right"/>
            </w:pPr>
            <w:r>
              <w:rPr>
                <w:rFonts w:eastAsiaTheme="minorEastAsia"/>
                <w:color w:themeColor="text1" w:val="000000"/>
                <w:sz w:val="24"/>
              </w:rPr>
              <w:t>1.56%</w:t>
            </w:r>
          </w:p>
        </w:tc>
        <w:tc>
          <w:tcPr>
            <w:vAlign w:val="center"/>
          </w:tcPr>
          <w:p>
            <w:pPr>
              <w:jc w:val="right"/>
            </w:pPr>
            <w:r>
              <w:rPr>
                <w:rFonts w:eastAsiaTheme="minorEastAsia"/>
                <w:color w:themeColor="text1" w:val="000000"/>
                <w:sz w:val="24"/>
              </w:rPr>
              <w:t>38.10%</w:t>
            </w:r>
          </w:p>
        </w:tc>
        <w:tc>
          <w:tcPr>
            <w:vAlign w:val="center"/>
          </w:tcPr>
          <w:p>
            <w:pPr>
              <w:jc w:val="right"/>
            </w:pPr>
            <w:r>
              <w:rPr>
                <w:rFonts w:eastAsiaTheme="minorEastAsia"/>
                <w:color w:themeColor="text1" w:val="000000"/>
                <w:sz w:val="24"/>
              </w:rPr>
              <w:t>1.58%</w:t>
            </w:r>
          </w:p>
        </w:tc>
        <w:tc>
          <w:tcPr>
            <w:vAlign w:val="center"/>
          </w:tcPr>
          <w:p>
            <w:pPr>
              <w:jc w:val="right"/>
            </w:pPr>
            <w:r>
              <w:rPr>
                <w:rFonts w:eastAsiaTheme="minorEastAsia"/>
                <w:color w:themeColor="text1" w:val="000000"/>
                <w:sz w:val="24"/>
              </w:rPr>
              <w:t>-3.06%</w:t>
            </w:r>
          </w:p>
        </w:tc>
        <w:tc>
          <w:tcPr>
            <w:vAlign w:val="center"/>
          </w:tcPr>
          <w:p>
            <w:pPr>
              <w:jc w:val="right"/>
            </w:pPr>
            <w:r>
              <w:rPr>
                <w:rFonts w:eastAsiaTheme="minorEastAsia"/>
                <w:color w:themeColor="text1" w:val="000000"/>
                <w:sz w:val="24"/>
              </w:rPr>
              <w:t>-0.02%</w:t>
            </w:r>
          </w:p>
        </w:tc>
      </w:tr>
    </w:tbl>
    <w:p w:rsidP="00C544B8" w:rsidR="009238DB" w:rsidRDefault="009238DB" w:rsidRPr="00B34368">
      <w:pPr>
        <w:spacing w:before="312" w:beforeLines="100" w:line="360" w:lineRule="auto"/>
        <w:rPr>
          <w:rFonts w:eastAsiaTheme="minorEastAsia"/>
          <w:b/>
          <w:color w:themeColor="text1" w:val="000000"/>
          <w:kern w:val="0"/>
          <w:sz w:val="24"/>
        </w:rPr>
      </w:pPr>
      <w:r w:rsidRPr="00B34368">
        <w:rPr>
          <w:rFonts w:eastAsiaTheme="minorEastAsia"/>
          <w:b/>
          <w:color w:themeColor="text1" w:val="000000"/>
          <w:kern w:val="0"/>
          <w:sz w:val="24"/>
        </w:rPr>
        <w:t>3.2.2</w:t>
      </w:r>
      <w:r w:rsidRPr="00B34368">
        <w:rPr>
          <w:rFonts w:eastAsiaTheme="minorEastAsia" w:hAnsiTheme="minorEastAsia"/>
          <w:b/>
          <w:color w:themeColor="text1" w:val="000000"/>
          <w:kern w:val="0"/>
          <w:sz w:val="24"/>
        </w:rPr>
        <w:t xml:space="preserve">　</w:t>
      </w:r>
      <w:r w:rsidR="00FE0C8B" w:rsidRPr="00B34368">
        <w:rPr>
          <w:rStyle w:val="af6"/>
          <w:rFonts w:eastAsiaTheme="minorEastAsia"/>
          <w:color w:themeColor="text1" w:val="000000"/>
          <w:sz w:val="24"/>
          <w:shd w:color="auto" w:fill="FFFFFF" w:val="clear"/>
        </w:rPr>
        <w:t/>
      </w:r>
      <w:proofErr w:type="spellStart"/>
      <w:r w:rsidR="00FE0C8B" w:rsidRPr="00B34368">
        <w:rPr>
          <w:rStyle w:val="af6"/>
          <w:rFonts w:eastAsiaTheme="minorEastAsia"/>
          <w:color w:themeColor="text1" w:val="000000"/>
          <w:sz w:val="24"/>
          <w:shd w:color="auto" w:fill="FFFFFF" w:val="clear"/>
        </w:rPr>
        <w:t/>
      </w:r>
      <w:proofErr w:type="spellEnd"/>
      <w:r w:rsidR="00FE0C8B" w:rsidRPr="00B34368">
        <w:rPr>
          <w:rStyle w:val="af6"/>
          <w:rFonts w:eastAsiaTheme="minorEastAsia"/>
          <w:color w:themeColor="text1" w:val="000000"/>
          <w:sz w:val="24"/>
          <w:shd w:color="auto" w:fill="FFFFFF" w:val="clear"/>
        </w:rPr>
        <w:t>自基金合同生效以来</w:t>
      </w:r>
      <w:r w:rsidR="00BF57BE" w:rsidRPr="00B34368">
        <w:rPr>
          <w:rFonts w:eastAsiaTheme="minorEastAsia" w:hAnsiTheme="minorEastAsia"/>
          <w:b/>
          <w:color w:themeColor="text1" w:val="000000"/>
          <w:sz w:val="24"/>
        </w:rPr>
        <w:t>基金累计净值增长率变动及其与同期业绩比较基准收益率变动的比较</w:t>
      </w:r>
    </w:p>
    <w:p w:rsidP="00FC13C8" w:rsidR="009A045B" w:rsidRDefault="009A045B" w:rsidRPr="00B34368">
      <w:pPr>
        <w:spacing w:line="360" w:lineRule="auto"/>
        <w:jc w:val="center"/>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易方达创业板交易型开放式指数证券投资基金联接基金</w:t>
      </w:r>
    </w:p>
    <w:p w:rsidP="00F84D52" w:rsidR="00F84D52" w:rsidRDefault="00022396">
      <w:pPr>
        <w:pStyle w:val="a5"/>
        <w:snapToGrid w:val="0"/>
        <w:spacing w:line="360" w:lineRule="auto"/>
        <w:ind w:firstLine="480"/>
        <w:jc w:val="center"/>
        <w:rPr>
          <w:rFonts w:ascii="Times New Roman" w:eastAsiaTheme="minorEastAsia" w:hAnsi="Times New Roman"/>
          <w:color w:themeColor="text1" w:val="000000"/>
          <w:sz w:val="24"/>
          <w:szCs w:val="24"/>
        </w:rPr>
      </w:pPr>
      <w:r w:rsidRPr="00B34368">
        <w:rPr>
          <w:rFonts w:ascii="Times New Roman" w:eastAsiaTheme="minorEastAsia" w:hAnsiTheme="minorEastAsia"/>
          <w:color w:themeColor="text1" w:val="000000"/>
          <w:sz w:val="24"/>
          <w:szCs w:val="24"/>
        </w:rPr>
        <w:t>累计净值增长率与业绩比较基准收益率的历史走势对比图</w:t>
      </w:r>
    </w:p>
    <w:p w:rsidP="00F84D52" w:rsidR="00F84D52" w:rsidRDefault="0042785F">
      <w:pPr>
        <w:snapToGrid w:val="0"/>
        <w:spacing w:line="360" w:lineRule="auto"/>
        <w:rPr>
          <w:rFonts w:eastAsiaTheme="minorEastAsia" w:hAnsi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易方达创业板ETF联接A</w:t>
      </w:r>
      <w:r w:rsidR="009238DB" w:rsidRPr="00B34368">
        <w:rPr>
          <w:rFonts w:eastAsiaTheme="minorEastAsia" w:hAnsiTheme="minorEastAsia"/>
          <w:color w:themeColor="text1" w:val="000000"/>
          <w:sz w:val="24"/>
        </w:rPr>
        <w:t>：</w:t>
      </w:r>
    </w:p>
    <w:p w:rsidP="00937445" w:rsidR="009238DB" w:rsidRDefault="00F84D52" w:rsidRPr="00F84D52">
      <w:pPr>
        <w:pStyle w:val="a5"/>
        <w:snapToGrid w:val="0"/>
        <w:spacing w:line="360" w:lineRule="auto"/>
        <w:jc w:val="center"/>
        <w:rPr>
          <w:rFonts w:ascii="Times New Roman" w:hAnsi="Times New Roman"/>
          <w:sz w:val="24"/>
          <w:szCs w:val="24"/>
        </w:rPr>
      </w:pPr>
      <w:r w:rsidRPr="00F84D52">
        <w:rPr>
          <w:rFonts w:ascii="Times New Roman" w:hAnsi="Times New Roman"/>
          <w:sz w:val="24"/>
          <w:szCs w:val="24"/>
        </w:rPr>
        <w:t/>
      </w:r>
      <w:proofErr w:type="spellStart"/>
      <w:proofErr w:type="gramStart"/>
      <w:r w:rsidRPr="00F84D52">
        <w:rPr>
          <w:rFonts w:ascii="Times New Roman" w:hAnsi="Times New Roman"/>
          <w:sz w:val="24"/>
          <w:szCs w:val="24"/>
        </w:rPr>
        <w:t/>
      </w:r>
      <w:proofErr w:type="spellEnd"/>
      <w:r w:rsidRPr="00F84D52">
        <w:rPr>
          <w:rFonts w:ascii="Times New Roman" w:hAnsi="Times New Roman"/>
          <w:sz w:val="24"/>
          <w:szCs w:val="24"/>
        </w:rPr>
        <w:t/>
      </w:r>
      <w:proofErr w:type="gramEnd"/>
      <w:r w:rsidRPr="00F84D52">
        <w:rPr>
          <w:rFonts w:ascii="Times New Roman" w:hAnsi="Times New Roman"/>
          <w:sz w:val="24"/>
          <w:szCs w:val="24"/>
        </w:rPr>
        <w:t>（2011年9月20日至2020年6月30日）</w:t>
      </w:r>
    </w:p>
    <w:p w:rsidP="00FC7F43" w:rsidR="00FC7F43" w:rsidRDefault="006F5B4C" w:rsidRPr="00B34368">
      <w:pPr>
        <w:pStyle w:val="20"/>
        <w:spacing w:line="288" w:lineRule="auto"/>
        <w:ind w:firstLine="0" w:firstLineChars="0"/>
        <w:jc w:val="center"/>
        <w:rPr>
          <w:rFonts w:ascii="Times New Roman" w:eastAsiaTheme="minorEastAsia" w:hAnsi="Times New Roman"/>
          <w:color w:themeColor="text1" w:val="000000"/>
        </w:rPr>
      </w:pPr>
      <w:r w:rsidRPr="00B34368">
        <w:rPr>
          <w:rFonts w:ascii="Times New Roman" w:eastAsiaTheme="minorEastAsia" w:hAnsi="Times New Roman"/>
          <w:noProof/>
          <w:color w:themeColor="text1" w:val="000000"/>
        </w:rPr>
        <w:drawing>
          <wp:inline distB="0" distL="0" distR="0" distT="0">
            <wp:extent cx="5591175" cy="3276600"/>
            <wp:effectExtent b="0" l="0" r="0" t="0"/>
            <wp:docPr descr="D:\浏览器下载\走势图柱状图\走势图1.jpg"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D:\浏览器下载\走势图柱状图\走势图1.jpg" id="0" name="Picture 1"/>
                    <pic:cNvPicPr>
                      <a:picLocks noChangeArrowheads="1" noChangeAspect="1"/>
                    </pic:cNvPicPr>
                  </pic:nvPicPr>
                  <pic:blipFill>
                    <a:blip cstate="print" r:embed="rId11">
                      <a:extLst>
                        <a:ext uri="{28A0092B-C50C-407E-A947-70E740481C1C}">
                          <a14:useLocalDpi xmlns:a14="http://schemas.microsoft.com/office/drawing/2010/main" val="0"/>
                        </a:ext>
                      </a:extLst>
                    </a:blip>
                    <a:srcRect/>
                    <a:stretch>
                      <a:fillRect/>
                    </a:stretch>
                  </pic:blipFill>
                  <pic:spPr bwMode="auto">
                    <a:xfrm>
                      <a:off x="0" y="0"/>
                      <a:ext cx="5591175" cy="3276600"/>
                    </a:xfrm>
                    <a:prstGeom prst="rect">
                      <a:avLst/>
                    </a:prstGeom>
                    <a:noFill/>
                    <a:ln>
                      <a:noFill/>
                    </a:ln>
                  </pic:spPr>
                </pic:pic>
              </a:graphicData>
            </a:graphic>
          </wp:inline>
        </w:drawing>
      </w:r>
    </w:p>
    <w:p w:rsidP="00F84D52" w:rsidR="00F84D52" w:rsidRDefault="0042785F">
      <w:pPr>
        <w:snapToGrid w:val="0"/>
        <w:spacing w:before="312" w:beforeLines="100" w:line="360" w:lineRule="auto"/>
        <w:rPr>
          <w:rFonts w:eastAsiaTheme="minorEastAsia" w:hAnsi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FE7FBD" w:rsidRPr="00B34368">
        <w:rPr>
          <w:rFonts w:eastAsiaTheme="minorEastAsia"/>
          <w:color w:themeColor="text1" w:val="000000"/>
          <w:sz w:val="24"/>
        </w:rPr>
        <w:t>易方达创业板ETF联接C</w:t>
      </w:r>
      <w:r w:rsidRPr="00B34368">
        <w:rPr>
          <w:rFonts w:eastAsiaTheme="minorEastAsia" w:hAnsiTheme="minorEastAsia"/>
          <w:color w:themeColor="text1" w:val="000000"/>
          <w:sz w:val="24"/>
        </w:rPr>
        <w:t>：</w:t>
      </w:r>
    </w:p>
    <w:p w:rsidP="00937445" w:rsidR="009238DB" w:rsidRDefault="00F84D52" w:rsidRPr="00F84D52">
      <w:pPr>
        <w:pStyle w:val="a5"/>
        <w:snapToGrid w:val="0"/>
        <w:spacing w:line="360" w:lineRule="auto"/>
        <w:jc w:val="center"/>
        <w:rPr>
          <w:rFonts w:ascii="Times New Roman" w:hAnsi="Times New Roman"/>
          <w:sz w:val="24"/>
          <w:szCs w:val="24"/>
        </w:rPr>
      </w:pPr>
      <w:r w:rsidRPr="00F84D52">
        <w:rPr>
          <w:rFonts w:ascii="Times New Roman" w:hAnsi="Times New Roman"/>
          <w:sz w:val="24"/>
          <w:szCs w:val="24"/>
        </w:rPr>
        <w:t/>
      </w:r>
      <w:proofErr w:type="spellStart"/>
      <w:proofErr w:type="gramStart"/>
      <w:r w:rsidRPr="00F84D52">
        <w:rPr>
          <w:rFonts w:ascii="Times New Roman" w:hAnsi="Times New Roman"/>
          <w:sz w:val="24"/>
          <w:szCs w:val="24"/>
        </w:rPr>
        <w:t/>
      </w:r>
      <w:proofErr w:type="spellEnd"/>
      <w:r w:rsidRPr="00F84D52">
        <w:rPr>
          <w:rFonts w:ascii="Times New Roman" w:hAnsi="Times New Roman"/>
          <w:sz w:val="24"/>
          <w:szCs w:val="24"/>
        </w:rPr>
        <w:t/>
      </w:r>
      <w:proofErr w:type="gramEnd"/>
      <w:r w:rsidRPr="00F84D52">
        <w:rPr>
          <w:rFonts w:ascii="Times New Roman" w:hAnsi="Times New Roman"/>
          <w:sz w:val="24"/>
          <w:szCs w:val="24"/>
        </w:rPr>
        <w:t>（2017年6月5日至2020年6月30日）</w:t>
      </w:r>
    </w:p>
    <w:p w:rsidP="00FC7F43" w:rsidR="00FC7F43" w:rsidRDefault="00B70229" w:rsidRPr="00B34368">
      <w:pPr>
        <w:pStyle w:val="20"/>
        <w:spacing w:line="288" w:lineRule="auto"/>
        <w:ind w:firstLine="0" w:firstLineChars="0"/>
        <w:jc w:val="center"/>
        <w:rPr>
          <w:rFonts w:ascii="Times New Roman" w:eastAsiaTheme="minorEastAsia" w:hAnsi="Times New Roman"/>
          <w:color w:themeColor="text1" w:val="000000"/>
        </w:rPr>
      </w:pPr>
      <w:r w:rsidRPr="00B34368">
        <w:rPr>
          <w:rFonts w:ascii="Times New Roman" w:eastAsiaTheme="minorEastAsia" w:hAnsi="Times New Roman"/>
          <w:noProof/>
          <w:color w:themeColor="text1" w:val="000000"/>
        </w:rPr>
        <w:lastRenderedPageBreak/>
        <w:drawing>
          <wp:inline distB="0" distL="0" distR="0" distT="0">
            <wp:extent cx="5591175" cy="3276600"/>
            <wp:effectExtent b="0" l="0" r="0" t="0"/>
            <wp:docPr descr="D:\浏览器下载\走势图柱状图\走势图2.jpg"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D:\浏览器下载\走势图柱状图\走势图2.jpg" id="0" name="Picture 2"/>
                    <pic:cNvPicPr>
                      <a:picLocks noChangeArrowheads="1" noChangeAspect="1"/>
                    </pic:cNvPicPr>
                  </pic:nvPicPr>
                  <pic:blipFill>
                    <a:blip cstate="print" r:embed="rId12">
                      <a:extLst>
                        <a:ext uri="{28A0092B-C50C-407E-A947-70E740481C1C}">
                          <a14:useLocalDpi xmlns:a14="http://schemas.microsoft.com/office/drawing/2010/main" val="0"/>
                        </a:ext>
                      </a:extLst>
                    </a:blip>
                    <a:srcRect/>
                    <a:stretch>
                      <a:fillRect/>
                    </a:stretch>
                  </pic:blipFill>
                  <pic:spPr bwMode="auto">
                    <a:xfrm>
                      <a:off x="0" y="0"/>
                      <a:ext cx="5591175" cy="3276600"/>
                    </a:xfrm>
                    <a:prstGeom prst="rect">
                      <a:avLst/>
                    </a:prstGeom>
                    <a:noFill/>
                    <a:ln>
                      <a:noFill/>
                    </a:ln>
                  </pic:spPr>
                </pic:pic>
              </a:graphicData>
            </a:graphic>
          </wp:inline>
        </w:drawing>
      </w:r>
    </w:p>
    <w:p>
      <w:pPr>
        <w:spacing w:line="360" w:lineRule="auto"/>
        <w:ind w:firstLine="480" w:firstLineChars="200"/>
        <w:rPr>
          <w:rFonts w:eastAsiaTheme="minorEastAsia"/>
          <w:color w:themeColor="text1" w:val="000000"/>
          <w:sz w:val="24"/>
        </w:rPr>
      </w:pPr>
      <w:r>
        <w:rPr>
          <w:rFonts w:eastAsiaTheme="minorEastAsia"/>
          <w:color w:themeColor="text1" w:val="000000"/>
          <w:sz w:val="24"/>
        </w:rPr>
        <w:t>注：1.自2017年6月2日起，本基金增设C类份额类别，份额首次确认日为2017年6月5日，增设当期的相关数据和指标按实际存续期计算。</w:t>
      </w:r>
    </w:p>
    <w:p w:rsidP="00B34368" w:rsidR="00973B57" w:rsidRDefault="00757FD7"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r w:rsidR="00FE7FBD" w:rsidRPr="00B34368">
        <w:rPr>
          <w:rFonts w:eastAsiaTheme="minorEastAsia"/>
          <w:color w:themeColor="text1" w:val="000000"/>
          <w:sz w:val="24"/>
        </w:rPr>
        <w:t/>
      </w:r>
      <w:r w:rsidRPr="00B34368">
        <w:rPr>
          <w:rFonts w:eastAsiaTheme="minorEastAsia"/>
          <w:color w:themeColor="text1" w:val="000000"/>
          <w:sz w:val="24"/>
        </w:rPr>
        <w:t/>
      </w:r>
      <w:proofErr w:type="gramStart"/>
      <w:r w:rsidRPr="00B34368">
        <w:rPr>
          <w:rFonts w:eastAsiaTheme="minorEastAsia"/>
          <w:color w:themeColor="text1" w:val="000000"/>
          <w:sz w:val="24"/>
        </w:rPr>
        <w:t/>
      </w:r>
      <w:proofErr w:type="gramEnd"/>
      <w:r w:rsidRPr="00B34368">
        <w:rPr>
          <w:rFonts w:eastAsiaTheme="minorEastAsia"/>
          <w:color w:themeColor="text1" w:val="000000"/>
          <w:sz w:val="24"/>
        </w:rPr>
        <w:t>2.自基金合同生效至报告期末，A类基金份额净值增长率为146.08%，同期业绩比较基准收益率为176.67%。C类基金份额净值增长率为35.04%，同期业绩比较基准收益率为38.10%。</w:t>
      </w:r>
    </w:p>
    <w:p w:rsidP="00E561F9" w:rsidR="00E561F9" w:rsidRDefault="00E561F9" w:rsidRPr="00B34368">
      <w:pPr>
        <w:tabs>
          <w:tab w:pos="1800" w:val="left"/>
        </w:tabs>
        <w:spacing w:line="288" w:lineRule="auto"/>
        <w:rPr>
          <w:rFonts w:eastAsiaTheme="minorEastAsia"/>
          <w:color w:themeColor="text1" w:val="000000"/>
          <w:sz w:val="24"/>
        </w:rPr>
      </w:pPr>
    </w:p>
    <w:p w:rsidP="00C544B8" w:rsidR="009238DB" w:rsidRDefault="009238DB" w:rsidRPr="00B34368">
      <w:pPr>
        <w:pStyle w:val="1"/>
        <w:spacing w:after="312" w:afterLines="100" w:before="312" w:beforeLines="100" w:line="360" w:lineRule="auto"/>
        <w:jc w:val="center"/>
        <w:rPr>
          <w:rFonts w:eastAsiaTheme="minorEastAsia"/>
          <w:color w:themeColor="text1" w:val="000000"/>
          <w:kern w:val="0"/>
          <w:sz w:val="24"/>
          <w:szCs w:val="24"/>
        </w:rPr>
      </w:pPr>
      <w:r w:rsidRPr="00B34368">
        <w:rPr>
          <w:rFonts w:eastAsiaTheme="minorEastAsia"/>
          <w:color w:themeColor="text1" w:val="000000"/>
          <w:kern w:val="0"/>
          <w:sz w:val="24"/>
          <w:szCs w:val="24"/>
        </w:rPr>
        <w:t xml:space="preserve">§4  </w:t>
      </w:r>
      <w:r w:rsidRPr="00B34368">
        <w:rPr>
          <w:rFonts w:eastAsiaTheme="minorEastAsia" w:hAnsiTheme="minorEastAsia"/>
          <w:color w:themeColor="text1" w:val="000000"/>
          <w:kern w:val="0"/>
          <w:sz w:val="24"/>
          <w:szCs w:val="24"/>
        </w:rPr>
        <w:t>管理人报告</w:t>
      </w:r>
    </w:p>
    <w:p w:rsidP="00C544B8" w:rsidR="00C544B8" w:rsidRDefault="009238DB">
      <w:pPr>
        <w:autoSpaceDE w:val="0"/>
        <w:autoSpaceDN w:val="0"/>
        <w:adjustRightInd w:val="0"/>
        <w:spacing w:line="360" w:lineRule="auto"/>
        <w:jc w:val="left"/>
        <w:rPr>
          <w:rFonts w:ascii="宋体" w:cs="Arial"/>
          <w:b/>
          <w:color w:val="000000"/>
          <w:kern w:val="0"/>
          <w:sz w:val="24"/>
        </w:rPr>
      </w:pPr>
      <w:r w:rsidRPr="00B34368">
        <w:rPr>
          <w:rFonts w:eastAsiaTheme="minorEastAsia"/>
          <w:b/>
          <w:color w:themeColor="text1" w:val="000000"/>
          <w:kern w:val="0"/>
          <w:sz w:val="24"/>
        </w:rPr>
        <w:t xml:space="preserve">4.1 </w:t>
      </w:r>
      <w:r w:rsidRPr="00B34368">
        <w:rPr>
          <w:rFonts w:eastAsiaTheme="minorEastAsia" w:hAnsiTheme="minorEastAsia"/>
          <w:b/>
          <w:color w:themeColor="text1" w:val="000000"/>
          <w:kern w:val="0"/>
          <w:sz w:val="24"/>
        </w:rPr>
        <w:t>基金经理（或基金经理小组）简介</w:t>
      </w:r>
    </w:p>
    <w:tbl>
      <w:tblPr>
        <w:tblW w:type="dxa" w:w="8925"/>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6"/>
        <w:gridCol w:w="2832"/>
        <w:gridCol w:w="851"/>
        <w:gridCol w:w="850"/>
        <w:gridCol w:w="851"/>
        <w:gridCol w:w="2975"/>
      </w:tblGrid>
      <w:tr w:rsidR="00C544B8" w:rsidTr="004E70B7">
        <w:trPr>
          <w:cantSplit/>
        </w:trPr>
        <w:tc>
          <w:tcPr>
            <w:tcW w:type="dxa" w:w="567"/>
            <w:vMerge w:val="restart"/>
            <w:vAlign w:val="center"/>
            <w:hideMark/>
          </w:tcPr>
          <w:p w:rsidR="00C544B8" w:rsidRDefault="00C544B8">
            <w:pPr>
              <w:autoSpaceDE w:val="0"/>
              <w:autoSpaceDN w:val="0"/>
              <w:adjustRightInd w:val="0"/>
              <w:spacing w:before="29" w:line="288" w:lineRule="auto"/>
              <w:ind w:left="15"/>
              <w:jc w:val="center"/>
              <w:rPr>
                <w:color w:val="000000"/>
                <w:kern w:val="0"/>
                <w:sz w:val="24"/>
              </w:rPr>
            </w:pPr>
            <w:r>
              <w:rPr>
                <w:rFonts w:hint="eastAsia"/>
                <w:color w:val="000000"/>
                <w:kern w:val="0"/>
                <w:sz w:val="24"/>
              </w:rPr>
              <w:lastRenderedPageBreak/>
              <w:t>姓名</w:t>
            </w:r>
          </w:p>
        </w:tc>
        <w:tc>
          <w:tcPr>
            <w:tcW w:type="dxa" w:w="2835"/>
            <w:vMerge w:val="restart"/>
            <w:vAlign w:val="center"/>
            <w:hideMark/>
          </w:tcPr>
          <w:p w:rsidR="00C544B8" w:rsidRDefault="00C544B8">
            <w:pPr>
              <w:autoSpaceDE w:val="0"/>
              <w:autoSpaceDN w:val="0"/>
              <w:adjustRightInd w:val="0"/>
              <w:spacing w:before="29" w:line="288" w:lineRule="auto"/>
              <w:ind w:left="15"/>
              <w:jc w:val="center"/>
              <w:rPr>
                <w:color w:val="000000"/>
                <w:kern w:val="0"/>
                <w:sz w:val="24"/>
              </w:rPr>
            </w:pPr>
            <w:r>
              <w:rPr>
                <w:rFonts w:hint="eastAsia"/>
                <w:color w:val="000000"/>
                <w:kern w:val="0"/>
                <w:sz w:val="24"/>
              </w:rPr>
              <w:t>职务</w:t>
            </w:r>
          </w:p>
        </w:tc>
        <w:tc>
          <w:tcPr>
            <w:tcW w:type="dxa" w:w="1701"/>
            <w:gridSpan w:val="2"/>
            <w:hideMark/>
          </w:tcPr>
          <w:p w:rsidR="00C544B8" w:rsidRDefault="00C544B8">
            <w:pPr>
              <w:autoSpaceDE w:val="0"/>
              <w:autoSpaceDN w:val="0"/>
              <w:adjustRightInd w:val="0"/>
              <w:spacing w:before="29" w:line="288" w:lineRule="auto"/>
              <w:ind w:left="15"/>
              <w:jc w:val="center"/>
              <w:rPr>
                <w:color w:val="000000"/>
                <w:kern w:val="0"/>
                <w:sz w:val="24"/>
              </w:rPr>
            </w:pPr>
            <w:proofErr w:type="gramStart"/>
            <w:r>
              <w:rPr>
                <w:rFonts w:hint="eastAsia"/>
                <w:color w:val="000000"/>
                <w:kern w:val="0"/>
                <w:sz w:val="24"/>
              </w:rPr>
              <w:t>任本基金</w:t>
            </w:r>
            <w:proofErr w:type="gramEnd"/>
            <w:r>
              <w:rPr>
                <w:rFonts w:hint="eastAsia"/>
                <w:color w:val="000000"/>
                <w:kern w:val="0"/>
                <w:sz w:val="24"/>
              </w:rPr>
              <w:t>的基金经理期限</w:t>
            </w:r>
          </w:p>
        </w:tc>
        <w:tc>
          <w:tcPr>
            <w:tcW w:type="dxa" w:w="851"/>
            <w:vMerge w:val="restart"/>
            <w:vAlign w:val="center"/>
            <w:hideMark/>
          </w:tcPr>
          <w:p w:rsidR="00C544B8" w:rsidRDefault="00C544B8">
            <w:pPr>
              <w:autoSpaceDE w:val="0"/>
              <w:autoSpaceDN w:val="0"/>
              <w:adjustRightInd w:val="0"/>
              <w:spacing w:before="29" w:line="288" w:lineRule="auto"/>
              <w:ind w:left="15"/>
              <w:jc w:val="center"/>
              <w:rPr>
                <w:color w:val="000000"/>
                <w:kern w:val="0"/>
                <w:sz w:val="24"/>
              </w:rPr>
            </w:pPr>
            <w:r>
              <w:rPr>
                <w:rFonts w:hint="eastAsia"/>
                <w:color w:val="000000"/>
                <w:kern w:val="0"/>
                <w:sz w:val="24"/>
              </w:rPr>
              <w:t>证券从业年限</w:t>
            </w:r>
          </w:p>
        </w:tc>
        <w:tc>
          <w:tcPr>
            <w:tcW w:type="dxa" w:w="2977"/>
            <w:vMerge w:val="restart"/>
            <w:vAlign w:val="center"/>
            <w:hideMark/>
          </w:tcPr>
          <w:p w:rsidR="00C544B8" w:rsidRDefault="00C544B8">
            <w:pPr>
              <w:autoSpaceDE w:val="0"/>
              <w:autoSpaceDN w:val="0"/>
              <w:adjustRightInd w:val="0"/>
              <w:spacing w:before="29" w:line="288" w:lineRule="auto"/>
              <w:ind w:left="15"/>
              <w:jc w:val="center"/>
              <w:rPr>
                <w:color w:val="000000"/>
                <w:kern w:val="0"/>
                <w:sz w:val="24"/>
              </w:rPr>
            </w:pPr>
            <w:r>
              <w:rPr>
                <w:rFonts w:hint="eastAsia"/>
                <w:color w:val="000000"/>
                <w:kern w:val="0"/>
                <w:sz w:val="24"/>
              </w:rPr>
              <w:t>说明</w:t>
            </w:r>
          </w:p>
        </w:tc>
      </w:tr>
      <w:tr w:rsidR="00C544B8" w:rsidTr="004E70B7">
        <w:trPr>
          <w:cantSplit/>
        </w:trPr>
        <w:tc>
          <w:tcPr>
            <w:tcW w:type="dxa" w:w="8931"/>
            <w:vMerge/>
            <w:vAlign w:val="center"/>
            <w:hideMark/>
          </w:tcPr>
          <w:p w:rsidR="00C544B8" w:rsidRDefault="00C544B8">
            <w:pPr>
              <w:widowControl/>
              <w:jc w:val="left"/>
              <w:rPr>
                <w:color w:val="000000"/>
                <w:kern w:val="0"/>
                <w:sz w:val="24"/>
              </w:rPr>
            </w:pPr>
          </w:p>
        </w:tc>
        <w:tc>
          <w:tcPr>
            <w:tcW w:type="dxa" w:w="2835"/>
            <w:vMerge/>
            <w:vAlign w:val="center"/>
            <w:hideMark/>
          </w:tcPr>
          <w:p w:rsidR="00C544B8" w:rsidRDefault="00C544B8">
            <w:pPr>
              <w:widowControl/>
              <w:jc w:val="left"/>
              <w:rPr>
                <w:color w:val="000000"/>
                <w:kern w:val="0"/>
                <w:sz w:val="24"/>
              </w:rPr>
            </w:pPr>
          </w:p>
        </w:tc>
        <w:tc>
          <w:tcPr>
            <w:tcW w:type="dxa" w:w="851"/>
            <w:vAlign w:val="center"/>
            <w:hideMark/>
          </w:tcPr>
          <w:p w:rsidR="00C544B8" w:rsidRDefault="00C544B8">
            <w:pPr>
              <w:autoSpaceDE w:val="0"/>
              <w:autoSpaceDN w:val="0"/>
              <w:adjustRightInd w:val="0"/>
              <w:spacing w:before="29" w:line="288" w:lineRule="auto"/>
              <w:ind w:left="15"/>
              <w:jc w:val="center"/>
              <w:rPr>
                <w:color w:val="000000"/>
                <w:kern w:val="0"/>
                <w:sz w:val="24"/>
              </w:rPr>
            </w:pPr>
            <w:r>
              <w:rPr>
                <w:rFonts w:hint="eastAsia"/>
                <w:color w:val="000000"/>
                <w:kern w:val="0"/>
                <w:sz w:val="24"/>
              </w:rPr>
              <w:t>任职日期</w:t>
            </w:r>
          </w:p>
        </w:tc>
        <w:tc>
          <w:tcPr>
            <w:tcW w:type="dxa" w:w="850"/>
            <w:vAlign w:val="center"/>
            <w:hideMark/>
          </w:tcPr>
          <w:p w:rsidR="00C544B8" w:rsidRDefault="00C544B8">
            <w:pPr>
              <w:autoSpaceDE w:val="0"/>
              <w:autoSpaceDN w:val="0"/>
              <w:adjustRightInd w:val="0"/>
              <w:spacing w:before="29" w:line="288" w:lineRule="auto"/>
              <w:ind w:left="15"/>
              <w:jc w:val="center"/>
              <w:rPr>
                <w:color w:val="000000"/>
                <w:kern w:val="0"/>
                <w:sz w:val="24"/>
              </w:rPr>
            </w:pPr>
            <w:r>
              <w:rPr>
                <w:rFonts w:hint="eastAsia"/>
                <w:color w:val="000000"/>
                <w:kern w:val="0"/>
                <w:sz w:val="24"/>
              </w:rPr>
              <w:t>离任日期</w:t>
            </w:r>
          </w:p>
        </w:tc>
        <w:tc>
          <w:tcPr>
            <w:tcW w:type="dxa" w:w="851"/>
            <w:vMerge/>
            <w:vAlign w:val="center"/>
            <w:hideMark/>
          </w:tcPr>
          <w:p w:rsidR="00C544B8" w:rsidRDefault="00C544B8">
            <w:pPr>
              <w:widowControl/>
              <w:jc w:val="left"/>
              <w:rPr>
                <w:color w:val="000000"/>
                <w:kern w:val="0"/>
                <w:sz w:val="24"/>
              </w:rPr>
            </w:pPr>
          </w:p>
        </w:tc>
        <w:tc>
          <w:tcPr>
            <w:tcW w:type="dxa" w:w="2977"/>
            <w:vMerge/>
            <w:vAlign w:val="center"/>
            <w:hideMark/>
          </w:tcPr>
          <w:p w:rsidR="00C544B8" w:rsidRDefault="00C544B8">
            <w:pPr>
              <w:widowControl/>
              <w:jc w:val="left"/>
              <w:rPr>
                <w:color w:val="000000"/>
                <w:kern w:val="0"/>
                <w:sz w:val="24"/>
              </w:rPr>
            </w:pPr>
          </w:p>
        </w:tc>
      </w:tr>
      <w:tr>
        <w:tc>
          <w:tcPr>
            <w:vAlign w:val="center"/>
          </w:tcPr>
          <w:p>
            <w:pPr>
              <w:jc w:val="center"/>
            </w:pPr>
            <w:r>
              <w:rPr>
                <w:color w:val="000000"/>
                <w:sz w:val="24"/>
              </w:rPr>
              <w:t>成曦</w:t>
            </w:r>
          </w:p>
        </w:tc>
        <w:tc>
          <w:tcPr>
            <w:vAlign w:val="center"/>
          </w:tcPr>
          <w:p>
            <w:pPr>
              <w:jc w:val="left"/>
            </w:pPr>
            <w:r>
              <w:rPr>
                <w:color w:val="000000"/>
                <w:sz w:val="24"/>
              </w:rPr>
              <w:t>本基金的基金经理、易方达银行指数分级证券投资基金的基金经理（自2016年05月07日至2020年04月22日）、易方达创业板交易型开放式指数证券投资基金的基金经理、易方达中小板指数证券投资基金（LOF）的基金经理（自2016年05月07日至2020年04月22日）、易方达深证100交易型开放式指数基金的基金经理、易方达生物科技指数分级证券投资基金的基金经理（自2016年05月07日至2020年04月22日）、易方达深证100交易型开放式指数证券投资基金联接基金的基金经理、易方达并购重组指数分级证券投资基金的基金经理（自2016年05月07日至2020年04月22日）、易方达MSCI中国A股国际通交易型开放式指数证券投资基金的基金经理（自2018年05月17日至2020年04月22日）、易方达恒生中国企业交易型开放式指数证券投资基金联接基金的基金经理、易方达纳斯达克100指数证券投资基金（LOF）的基金经理（自2018年08月11日至2020年04月22日）、易方达恒生中国企业交易型开放式指数证券投资基金的基金经理、易方达原油证券投资基金（QDII）的基金经理、易方达MSCI中国A股国际通交易型开放式指数证券投资基金发起式联接基金的基金经理（自2019年03月13日至2020年04月22日）、易方达上证50交易型开放式指数证券投资基金的基金经理、易方达上证50交易型开放式指数证券投资基金发起式联接基金的基金经理、易方达中证香港证券投资主题交易型开放式指数证券投资基金的基金经理</w:t>
            </w:r>
          </w:p>
        </w:tc>
        <w:tc>
          <w:tcPr>
            <w:vAlign w:val="center"/>
          </w:tcPr>
          <w:p>
            <w:pPr>
              <w:jc w:val="center"/>
            </w:pPr>
            <w:r>
              <w:rPr>
                <w:color w:val="000000"/>
                <w:sz w:val="24"/>
              </w:rPr>
              <w:t>2016-05-07</w:t>
            </w:r>
          </w:p>
        </w:tc>
        <w:tc>
          <w:tcPr>
            <w:vAlign w:val="center"/>
          </w:tcPr>
          <w:p>
            <w:pPr>
              <w:jc w:val="center"/>
            </w:pPr>
            <w:r>
              <w:rPr>
                <w:color w:val="000000"/>
                <w:sz w:val="24"/>
              </w:rPr>
              <w:t>-</w:t>
            </w:r>
          </w:p>
        </w:tc>
        <w:tc>
          <w:tcPr>
            <w:vAlign w:val="center"/>
          </w:tcPr>
          <w:p>
            <w:pPr>
              <w:jc w:val="center"/>
            </w:pPr>
            <w:r>
              <w:rPr>
                <w:color w:val="000000"/>
                <w:sz w:val="24"/>
              </w:rPr>
              <w:t>12年</w:t>
            </w:r>
          </w:p>
        </w:tc>
        <w:tc>
          <w:tcPr>
            <w:vAlign w:val="center"/>
          </w:tcPr>
          <w:p>
            <w:pPr>
              <w:jc w:val="both"/>
            </w:pPr>
            <w:r>
              <w:rPr>
                <w:color w:val="000000"/>
                <w:sz w:val="24"/>
              </w:rPr>
              <w:t>硕士研究生，具有基金从业资格。曾任华泰联合证券资产管理部研究员，易方达基金管理有限公司集中交易室交易员、指数与量化投资部指数基金运作专员、基金经理助理、易方达深证成指交易型开放式指数证券投资基金基金经理、易方达深证成指交易型开放式指数证券投资基金联接基金基金经理。</w:t>
            </w:r>
          </w:p>
        </w:tc>
      </w:tr>
      <w:tr>
        <w:tc>
          <w:tcPr>
            <w:vAlign w:val="center"/>
          </w:tcPr>
          <w:p>
            <w:pPr>
              <w:jc w:val="center"/>
            </w:pPr>
            <w:r>
              <w:rPr>
                <w:color w:val="000000"/>
                <w:sz w:val="24"/>
              </w:rPr>
              <w:t>刘树荣</w:t>
            </w:r>
          </w:p>
        </w:tc>
        <w:tc>
          <w:tcPr>
            <w:vAlign w:val="center"/>
          </w:tcPr>
          <w:p>
            <w:pPr>
              <w:jc w:val="left"/>
            </w:pPr>
            <w:r>
              <w:rPr>
                <w:color w:val="000000"/>
                <w:sz w:val="24"/>
              </w:rPr>
              <w:t>本基金的基金经理、易方达银行指数分级证券投资基金的基金经理、易方达生物科技指数分级证券投资基金的基金经理、易方达并购重组指数分级证券投资基金的基金经理、易方达深证100交易型开放式指数证券投资基金联接基金的基金经理、易方达创业板交易型开放式指数证券投资基金的基金经理、易方达中小板指数证券投资基金（LOF）的基金经理、易方达深证100交易型开放式指数基金的基金经理、易方达标普500指数证券投资基金（LOF）的基金经理、易方达标普信息科技指数证券投资基金（LOF）的基金经理（自2018年08月11日至2020年04月22日）、易方达标普生物科技指数证券投资基金（LOF）的基金经理（自2018年08月11日至2020年04月22日）、易方达标普医疗保健指数证券投资基金（LOF）的基金经理（自2018年08月11日至2020年04月22日）、易方达上证中盘交易型开放式指数证券投资基金的基金经理、易方达上证中盘交易型开放式指数证券投资基金联接基金的基金经理、易方达香港恒生综合小型股指数证券投资基金（LOF）的基金经理、易方达中证800交易型开放式指数证券投资基金的基金经理、易方达中证800交易型开放式指数证券投资基金发起式联接基金的基金经理、易方达中证国企一带一路交易型开放式指数证券投资基金联接基金的基金经理、易方达中证国企一带一路交易型开放式指数证券投资基金的基金经理、易方达中证浙江新动能交易型开放式指数证券投资基金联接基金的基金经理、易方达中证浙江新动能交易型开放式指数证券投资基金的基金经理</w:t>
            </w:r>
          </w:p>
        </w:tc>
        <w:tc>
          <w:tcPr>
            <w:vAlign w:val="center"/>
          </w:tcPr>
          <w:p>
            <w:pPr>
              <w:jc w:val="center"/>
            </w:pPr>
            <w:r>
              <w:rPr>
                <w:color w:val="000000"/>
                <w:sz w:val="24"/>
              </w:rPr>
              <w:t>2017-07-18</w:t>
            </w:r>
          </w:p>
        </w:tc>
        <w:tc>
          <w:tcPr>
            <w:vAlign w:val="center"/>
          </w:tcPr>
          <w:p>
            <w:pPr>
              <w:jc w:val="center"/>
            </w:pPr>
            <w:r>
              <w:rPr>
                <w:color w:val="000000"/>
                <w:sz w:val="24"/>
              </w:rPr>
              <w:t>-</w:t>
            </w:r>
          </w:p>
        </w:tc>
        <w:tc>
          <w:tcPr>
            <w:vAlign w:val="center"/>
          </w:tcPr>
          <w:p>
            <w:pPr>
              <w:jc w:val="center"/>
            </w:pPr>
            <w:r>
              <w:rPr>
                <w:color w:val="000000"/>
                <w:sz w:val="24"/>
              </w:rPr>
              <w:t>13年</w:t>
            </w:r>
          </w:p>
        </w:tc>
        <w:tc>
          <w:tcPr>
            <w:vAlign w:val="center"/>
          </w:tcPr>
          <w:p>
            <w:pPr>
              <w:jc w:val="both"/>
            </w:pPr>
            <w:r>
              <w:rPr>
                <w:color w:val="000000"/>
                <w:sz w:val="24"/>
              </w:rPr>
              <w:t>硕士研究生，具有基金从业资格。曾任招商银行资产托管部基金会计，易方达基金管理有限公司核算部基金核算专员、指数与量化投资部运作支持专员、基金经理助理、易方达深证成指交易型开放式指数证券投资基金基金经理、易方达深证成指交易型开放式指数证券投资基金联接基金基金经理。</w:t>
            </w:r>
          </w:p>
        </w:tc>
      </w:tr>
    </w:tbl>
    <w:p>
      <w:pPr>
        <w:autoSpaceDE w:val="0"/>
        <w:autoSpaceDN w:val="0"/>
        <w:adjustRightInd w:val="0"/>
        <w:spacing w:line="360" w:lineRule="auto"/>
        <w:ind w:firstLine="480" w:firstLineChars="200"/>
        <w:jc w:val="left"/>
        <w:rPr>
          <w:rFonts w:eastAsiaTheme="minorEastAsia"/>
          <w:color w:themeColor="text1"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547A9A" w:rsidR="005C7D00" w:rsidRDefault="00C544B8" w:rsidRPr="00B34368">
      <w:pPr>
        <w:autoSpaceDE w:val="0"/>
        <w:autoSpaceDN w:val="0"/>
        <w:adjustRightInd w:val="0"/>
        <w:spacing w:line="360" w:lineRule="auto"/>
        <w:ind w:firstLine="480" w:firstLineChars="200"/>
        <w:jc w:val="left"/>
        <w:rPr>
          <w:rFonts w:eastAsiaTheme="minorEastAsia"/>
          <w:color w:themeColor="text1" w:val="000000"/>
          <w:sz w:val="24"/>
        </w:rPr>
      </w:pPr>
      <w:r>
        <w:rPr>
          <w:color w:val="000000"/>
          <w:sz w:val="24"/>
        </w:rPr>
        <w:t/>
      </w:r>
      <w:proofErr w:type="gramStart"/>
      <w:r>
        <w:rPr>
          <w:color w:val="000000"/>
          <w:sz w:val="24"/>
        </w:rPr>
        <w:t/>
      </w:r>
      <w:proofErr w:type="gramEnd"/>
      <w:r>
        <w:rPr>
          <w:color w:val="000000"/>
          <w:sz w:val="24"/>
        </w:rPr>
        <w:t>2.证券从业的含义遵从《证券业从业人员资格管理办法》的相关规定。</w:t>
      </w:r>
    </w:p>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4.2</w:t>
      </w:r>
      <w:r w:rsidR="00B34368" w:rsidRPr="00B34368">
        <w:rPr>
          <w:rFonts w:eastAsiaTheme="minorEastAsia" w:hAnsiTheme="minorEastAsia"/>
          <w:b/>
          <w:color w:themeColor="text1" w:val="000000"/>
          <w:kern w:val="0"/>
          <w:sz w:val="24"/>
        </w:rPr>
        <w:t>管理人对</w:t>
      </w:r>
      <w:r w:rsidRPr="00B34368">
        <w:rPr>
          <w:rFonts w:eastAsiaTheme="minorEastAsia" w:hAnsiTheme="minorEastAsia"/>
          <w:b/>
          <w:color w:themeColor="text1" w:val="000000"/>
          <w:kern w:val="0"/>
          <w:sz w:val="24"/>
        </w:rPr>
        <w:t>报告期内本基金运作遵规守信情况</w:t>
      </w:r>
      <w:r w:rsidR="002F7889" w:rsidRPr="002F7889">
        <w:rPr>
          <w:rFonts w:eastAsiaTheme="minorEastAsia" w:hAnsiTheme="minorEastAsia"/>
          <w:b/>
          <w:color w:themeColor="text1" w:val="000000"/>
          <w:kern w:val="0"/>
          <w:sz w:val="24"/>
        </w:rPr>
        <w:t>的</w:t>
      </w:r>
      <w:r w:rsidRPr="00B34368">
        <w:rPr>
          <w:rFonts w:eastAsiaTheme="minorEastAsia" w:hAnsiTheme="minorEastAsia"/>
          <w:b/>
          <w:color w:themeColor="text1" w:val="000000"/>
          <w:kern w:val="0"/>
          <w:sz w:val="24"/>
        </w:rPr>
        <w:t>说明</w:t>
      </w:r>
    </w:p>
    <w:p w:rsidP="00B34368" w:rsidR="009238DB" w:rsidRDefault="00323F25"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xml:space="preserve">4.3 </w:t>
      </w:r>
      <w:r w:rsidRPr="00B34368">
        <w:rPr>
          <w:rFonts w:eastAsiaTheme="minorEastAsia" w:hAnsiTheme="minorEastAsia"/>
          <w:b/>
          <w:color w:themeColor="text1" w:val="000000"/>
          <w:kern w:val="0"/>
          <w:sz w:val="24"/>
        </w:rPr>
        <w:t>公平交易专项说明</w:t>
      </w:r>
    </w:p>
    <w:p w:rsidP="00FC13C8" w:rsidR="00D15733" w:rsidRDefault="00D15733" w:rsidRPr="00B34368">
      <w:pPr>
        <w:spacing w:line="360" w:lineRule="auto"/>
        <w:rPr>
          <w:rFonts w:eastAsiaTheme="minorEastAsia"/>
          <w:color w:themeColor="text1" w:val="000000"/>
          <w:sz w:val="24"/>
        </w:rPr>
      </w:pPr>
      <w:r w:rsidRPr="00B34368">
        <w:rPr>
          <w:rFonts w:eastAsiaTheme="minorEastAsia"/>
          <w:color w:themeColor="text1" w:val="000000"/>
          <w:sz w:val="24"/>
        </w:rPr>
        <w:t xml:space="preserve">4.3.1 </w:t>
      </w:r>
      <w:r w:rsidRPr="00B34368">
        <w:rPr>
          <w:rFonts w:eastAsiaTheme="minorEastAsia" w:hAnsiTheme="minorEastAsia"/>
          <w:color w:themeColor="text1" w:val="000000"/>
          <w:sz w:val="24"/>
        </w:rPr>
        <w:t>公平交易制度的执行情况</w:t>
      </w:r>
    </w:p>
    <w:p w:rsidP="00B34368" w:rsidR="00D15733" w:rsidRDefault="00323F25"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FC13C8" w:rsidR="00D15733" w:rsidRDefault="00D15733" w:rsidRPr="00B34368">
      <w:pPr>
        <w:spacing w:line="360" w:lineRule="auto"/>
        <w:rPr>
          <w:rFonts w:eastAsiaTheme="minorEastAsia"/>
          <w:color w:themeColor="text1" w:val="000000"/>
          <w:sz w:val="24"/>
        </w:rPr>
      </w:pPr>
      <w:r w:rsidRPr="00B34368">
        <w:rPr>
          <w:rFonts w:eastAsiaTheme="minorEastAsia"/>
          <w:color w:themeColor="text1" w:val="000000"/>
          <w:sz w:val="24"/>
        </w:rPr>
        <w:t>4.3.</w:t>
      </w:r>
      <w:r w:rsidR="005B6047" w:rsidRPr="00B34368">
        <w:rPr>
          <w:rFonts w:eastAsiaTheme="minorEastAsia"/>
          <w:color w:themeColor="text1" w:val="000000"/>
          <w:sz w:val="24"/>
        </w:rPr>
        <w:t>2</w:t>
      </w:r>
      <w:r w:rsidRPr="00B34368">
        <w:rPr>
          <w:rFonts w:eastAsiaTheme="minorEastAsia"/>
          <w:color w:themeColor="text1" w:val="000000"/>
          <w:sz w:val="24"/>
        </w:rPr>
        <w:t xml:space="preserve"> </w:t>
      </w:r>
      <w:r w:rsidRPr="00B34368">
        <w:rPr>
          <w:rFonts w:eastAsiaTheme="minorEastAsia" w:hAnsiTheme="minorEastAsia"/>
          <w:color w:themeColor="text1" w:val="000000"/>
          <w:sz w:val="24"/>
        </w:rPr>
        <w:t>异常交易行为的专项说明</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B34368" w:rsidR="009238DB" w:rsidRDefault="00323F25"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本报告期内，未发现本基金有可能导致不公平交易和利益输送的异常交易。</w:t>
      </w:r>
    </w:p>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xml:space="preserve">4.4 </w:t>
      </w:r>
      <w:r w:rsidRPr="00B34368">
        <w:rPr>
          <w:rFonts w:eastAsiaTheme="minorEastAsia" w:hAnsiTheme="minorEastAsia"/>
          <w:b/>
          <w:color w:themeColor="text1" w:val="000000"/>
          <w:kern w:val="0"/>
          <w:sz w:val="24"/>
        </w:rPr>
        <w:t>报告期内基金的投资策略和业绩表现说明</w:t>
      </w:r>
    </w:p>
    <w:p w:rsidP="00FC13C8" w:rsidR="00952A72" w:rsidRDefault="00952A72" w:rsidRPr="00B34368">
      <w:pPr>
        <w:spacing w:line="360" w:lineRule="auto"/>
        <w:rPr>
          <w:rFonts w:eastAsiaTheme="minorEastAsia"/>
          <w:color w:themeColor="text1" w:val="000000"/>
          <w:sz w:val="24"/>
        </w:rPr>
      </w:pPr>
      <w:r w:rsidRPr="00B34368">
        <w:rPr>
          <w:rFonts w:eastAsiaTheme="minorEastAsia"/>
          <w:color w:themeColor="text1" w:val="000000"/>
          <w:sz w:val="24"/>
        </w:rPr>
        <w:t>4.4.1</w:t>
      </w:r>
      <w:r w:rsidRPr="00B34368">
        <w:rPr>
          <w:rFonts w:eastAsiaTheme="minorEastAsia" w:hAnsiTheme="minorEastAsia"/>
          <w:color w:themeColor="text1" w:val="000000"/>
          <w:sz w:val="24"/>
        </w:rPr>
        <w:t>报告期内基金投资策略和运作分析</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本基金跟踪的标的指数为创业板指，创业板指由深圳创业板块中市值大、流动性好、最具代表性的100只股票组成，以综合反映创业板中最具影响力龙头企业的整体状况，集中体现了业绩高成长，新产业集中的创业板特征。本基金主要采取完全复制法，即完全按照标的指数的成份股组成及其权重构建基金股票投资组合，并根据标的指数成份股及其权重的变动而进行相应调整。</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2020年二季度，A股市场虽然全面上涨，但是指数间收益分化较大。市场核心指数中，科技成长产业权重较高的创业板指和深证100表现较好，而价值指数中，沪深300和上证50表现相对一般。</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整体来看，市场在经过3月份的调整之后，受宽裕流动性和科技自主扶持政策的驱动，资金对科技成长行业投入进一步提升，“赚钱效应”又进一步促进资金流入。除科技成长外，有确定性增长预期的消费和医药股也是资金流入热点。截至二季度末，上述科技、消费、医药的估值不仅充分反映了未来增长预期，而且普遍享有溢价。后期大概率有估值消化阶段，可能通过业绩增长及股价调整来实现。</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报告期内，中国进入低利率加低增长的经济周期，资金会优先追逐业绩增速高、增长确定性高的个股。上半年上市公司业绩普遍受到疫情影响，增长放缓，虽然中国复工复产速度全球领先，但海外需求的降低也抑制了上市公司业绩增长。基于此，二季度市场的上涨更多还是由流动性推动的估值抬升。</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2020年以来，A股整体表现为少数股的牛市，资产质量有保障，业绩增长确定性高的个股热度和估值预计会持续高位。估值高企虽然意味着长期配置性价比下降，但居高不下的热度也增加了短期交易机会。</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创业板指数是典型的成长指数，目前成分股平均市值和资产质量高于创业板块平均水平，可视作创业板块中的优质蓝筹组合。截至二季度末，指数权重前5个行业分别为医药生物、电子、计算机、电子设备、传媒，合计占比接近80%。</w:t>
      </w:r>
    </w:p>
    <w:p w:rsidP="00B34368" w:rsidR="00952A72" w:rsidRDefault="00323F25"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基金运作层面，报告期内，本基金严守基金合同认真对待投资者申购、赎回以及成分股调整事项，保障基金的正常运作，基金跟踪误差以及日均偏离度等指标控制在合同规定范围之内。</w:t>
      </w:r>
    </w:p>
    <w:p w:rsidP="00FC13C8" w:rsidR="00952A72" w:rsidRDefault="00952A72" w:rsidRPr="00B34368">
      <w:pPr>
        <w:spacing w:line="360" w:lineRule="auto"/>
        <w:rPr>
          <w:rFonts w:eastAsiaTheme="minorEastAsia"/>
          <w:color w:themeColor="text1" w:val="000000"/>
          <w:sz w:val="24"/>
        </w:rPr>
      </w:pPr>
      <w:r w:rsidRPr="00B34368">
        <w:rPr>
          <w:rFonts w:eastAsiaTheme="minorEastAsia"/>
          <w:color w:themeColor="text1" w:val="000000"/>
          <w:sz w:val="24"/>
        </w:rPr>
        <w:t>4.4.2</w:t>
      </w:r>
      <w:r w:rsidRPr="00B34368">
        <w:rPr>
          <w:rFonts w:eastAsiaTheme="minorEastAsia" w:hAnsiTheme="minorEastAsia"/>
          <w:color w:themeColor="text1" w:val="000000"/>
          <w:sz w:val="24"/>
        </w:rPr>
        <w:t>报告期内基金的业绩表现</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截至报告期末，本基金A类基金份额净值为2.4608元，本报告期份额净值增长率为28.82%，同期业绩比较基准收益率为28.58%；C类基金份额净值为2.4434元，本报告期份额净值增长率为28.74%，同期业绩比较基准收益率为28.58%。</w:t>
      </w:r>
    </w:p>
    <w:p w:rsidP="00F405D4" w:rsidR="008129C0" w:rsidRDefault="00323F25" w:rsidRPr="00F405D4">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本报告期，本基金日跟踪偏离度的均值为0.02%，年化跟踪误差0.53%，在合同规定的控制范围之内。</w:t>
      </w:r>
    </w:p>
    <w:p w:rsidP="00C544B8" w:rsidR="009238DB" w:rsidRDefault="009238DB" w:rsidRPr="00B34368">
      <w:pPr>
        <w:pStyle w:val="1"/>
        <w:spacing w:after="312" w:afterLines="100" w:before="312" w:beforeLines="100" w:line="360" w:lineRule="auto"/>
        <w:jc w:val="center"/>
        <w:rPr>
          <w:rFonts w:eastAsiaTheme="minorEastAsia"/>
          <w:color w:themeColor="text1" w:val="000000"/>
          <w:kern w:val="0"/>
          <w:sz w:val="24"/>
          <w:szCs w:val="24"/>
        </w:rPr>
      </w:pPr>
      <w:r w:rsidRPr="00B34368">
        <w:rPr>
          <w:rFonts w:eastAsiaTheme="minorEastAsia"/>
          <w:color w:themeColor="text1" w:val="000000"/>
          <w:kern w:val="0"/>
          <w:sz w:val="24"/>
          <w:szCs w:val="24"/>
        </w:rPr>
        <w:lastRenderedPageBreak/>
        <w:t xml:space="preserve">§5  </w:t>
      </w:r>
      <w:r w:rsidRPr="00B34368">
        <w:rPr>
          <w:rFonts w:eastAsiaTheme="minorEastAsia" w:hAnsiTheme="minorEastAsia"/>
          <w:color w:themeColor="text1" w:val="000000"/>
          <w:kern w:val="0"/>
          <w:sz w:val="24"/>
          <w:szCs w:val="24"/>
        </w:rPr>
        <w:t>投资组合报告</w:t>
      </w:r>
    </w:p>
    <w:p w:rsidP="00FC13C8" w:rsidR="009238DB" w:rsidRDefault="009238DB" w:rsidRPr="00B34368">
      <w:pPr>
        <w:autoSpaceDE w:val="0"/>
        <w:autoSpaceDN w:val="0"/>
        <w:adjustRightInd w:val="0"/>
        <w:spacing w:line="360" w:lineRule="auto"/>
        <w:jc w:val="left"/>
        <w:rPr>
          <w:rFonts w:eastAsiaTheme="minorEastAsia"/>
          <w:b/>
          <w:color w:themeColor="text1" w:val="000000"/>
          <w:kern w:val="0"/>
          <w:sz w:val="24"/>
        </w:rPr>
      </w:pPr>
      <w:r w:rsidRPr="00B34368">
        <w:rPr>
          <w:rFonts w:eastAsiaTheme="minorEastAsia"/>
          <w:b/>
          <w:color w:themeColor="text1" w:val="000000"/>
          <w:kern w:val="0"/>
          <w:sz w:val="24"/>
        </w:rPr>
        <w:t xml:space="preserve">5.1 </w:t>
      </w:r>
      <w:r w:rsidRPr="00B34368">
        <w:rPr>
          <w:rFonts w:eastAsiaTheme="minorEastAsia" w:hAnsiTheme="minorEastAsia"/>
          <w:b/>
          <w:color w:themeColor="text1" w:val="000000"/>
          <w:kern w:val="0"/>
          <w:sz w:val="24"/>
        </w:rPr>
        <w:t>报告期末基金资产组合情况</w:t>
      </w:r>
    </w:p>
    <w:tbl>
      <w:tblPr>
        <w:tblStyle w:val="af2"/>
        <w:tblW w:type="auto" w:w="0"/>
        <w:tblInd w:type="dxa" w:w="108"/>
        <w:tblLayout w:type="fixed"/>
        <w:tblLook w:firstColumn="1" w:firstRow="1" w:lastColumn="0" w:lastRow="0" w:noHBand="0" w:noVBand="1" w:val="04A0"/>
      </w:tblPr>
      <w:tblGrid>
        <w:gridCol w:w="720"/>
        <w:gridCol w:w="3357"/>
        <w:gridCol w:w="2694"/>
        <w:gridCol w:w="1757"/>
      </w:tblGrid>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序号</w:t>
            </w:r>
          </w:p>
        </w:tc>
        <w:tc>
          <w:tcPr>
            <w:tcW w:type="dxa" w:w="3357"/>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项目</w:t>
            </w:r>
          </w:p>
        </w:tc>
        <w:tc>
          <w:tcPr>
            <w:tcW w:type="dxa" w:w="2694"/>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金额</w:t>
            </w:r>
            <w:r w:rsidRPr="00B34368">
              <w:rPr>
                <w:rFonts w:eastAsiaTheme="minorEastAsia"/>
                <w:color w:themeColor="text1" w:val="000000"/>
                <w:sz w:val="24"/>
              </w:rPr>
              <w:t>(</w:t>
            </w:r>
            <w:r w:rsidRPr="00B34368">
              <w:rPr>
                <w:rFonts w:eastAsiaTheme="minorEastAsia" w:hAnsiTheme="minorEastAsia"/>
                <w:color w:themeColor="text1" w:val="000000"/>
                <w:sz w:val="24"/>
              </w:rPr>
              <w:t>元</w:t>
            </w:r>
            <w:r w:rsidRPr="00B34368">
              <w:rPr>
                <w:rFonts w:eastAsiaTheme="minorEastAsia"/>
                <w:color w:themeColor="text1" w:val="000000"/>
                <w:sz w:val="24"/>
              </w:rPr>
              <w:t>)</w:t>
            </w:r>
          </w:p>
        </w:tc>
        <w:tc>
          <w:tcPr>
            <w:tcW w:type="dxa" w:w="1757"/>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占基金总资产的比例</w:t>
            </w:r>
            <w:r w:rsidRPr="00B34368">
              <w:rPr>
                <w:rFonts w:eastAsiaTheme="minorEastAsia"/>
                <w:color w:themeColor="text1" w:val="000000"/>
                <w:sz w:val="24"/>
              </w:rPr>
              <w:t>(%)</w:t>
            </w:r>
          </w:p>
        </w:tc>
      </w:tr>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1</w:t>
            </w:r>
          </w:p>
        </w:tc>
        <w:tc>
          <w:tcPr>
            <w:tcW w:type="dxa" w:w="3357"/>
            <w:vAlign w:val="center"/>
          </w:tcPr>
          <w:p w:rsidP="00A3193E" w:rsidR="00B20F47" w:rsidRDefault="00B20F47"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权益投资</w:t>
            </w:r>
          </w:p>
        </w:tc>
        <w:tc>
          <w:tcPr>
            <w:tcW w:type="dxa" w:w="2694"/>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35,249,926.72</w:t>
            </w:r>
          </w:p>
        </w:tc>
        <w:tc>
          <w:tcPr>
            <w:tcW w:type="dxa" w:w="1757"/>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0.62</w:t>
            </w:r>
          </w:p>
        </w:tc>
      </w:tr>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p>
        </w:tc>
        <w:tc>
          <w:tcPr>
            <w:tcW w:type="dxa" w:w="3357"/>
            <w:vAlign w:val="center"/>
          </w:tcPr>
          <w:p w:rsidP="00A3193E" w:rsidR="00B20F47" w:rsidRDefault="00B20F47"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其中：股票</w:t>
            </w:r>
          </w:p>
        </w:tc>
        <w:tc>
          <w:tcPr>
            <w:tcW w:type="dxa" w:w="2694"/>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35,249,926.72</w:t>
            </w:r>
          </w:p>
        </w:tc>
        <w:tc>
          <w:tcPr>
            <w:tcW w:type="dxa" w:w="1757"/>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0.62</w:t>
            </w:r>
          </w:p>
        </w:tc>
      </w:tr>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2</w:t>
            </w:r>
          </w:p>
        </w:tc>
        <w:tc>
          <w:tcPr>
            <w:tcW w:type="dxa" w:w="3357"/>
            <w:vAlign w:val="center"/>
          </w:tcPr>
          <w:p w:rsidP="00A3193E" w:rsidR="00B20F47" w:rsidRDefault="00B20F47"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基金投资</w:t>
            </w:r>
          </w:p>
        </w:tc>
        <w:tc>
          <w:tcPr>
            <w:tcW w:type="dxa" w:w="2694"/>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5,327,309,968.74</w:t>
            </w:r>
          </w:p>
        </w:tc>
        <w:tc>
          <w:tcPr>
            <w:tcW w:type="dxa" w:w="1757"/>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93.14</w:t>
            </w:r>
          </w:p>
        </w:tc>
      </w:tr>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3</w:t>
            </w:r>
          </w:p>
        </w:tc>
        <w:tc>
          <w:tcPr>
            <w:tcW w:type="dxa" w:w="3357"/>
            <w:vAlign w:val="center"/>
          </w:tcPr>
          <w:p w:rsidP="00A3193E" w:rsidR="00B20F47" w:rsidRDefault="00B20F47"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固定收益投资</w:t>
            </w:r>
          </w:p>
        </w:tc>
        <w:tc>
          <w:tcPr>
            <w:tcW w:type="dxa" w:w="2694"/>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757"/>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w:t>
            </w:r>
          </w:p>
        </w:tc>
      </w:tr>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p>
        </w:tc>
        <w:tc>
          <w:tcPr>
            <w:tcW w:type="dxa" w:w="3357"/>
            <w:vAlign w:val="center"/>
          </w:tcPr>
          <w:p w:rsidP="00A3193E" w:rsidR="00B20F47" w:rsidRDefault="00B20F47"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其中：债券</w:t>
            </w:r>
          </w:p>
        </w:tc>
        <w:tc>
          <w:tcPr>
            <w:tcW w:type="dxa" w:w="2694"/>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r w:rsidRPr="00B34368">
              <w:rPr>
                <w:rFonts w:eastAsiaTheme="minorEastAsia"/>
                <w:color w:themeColor="text1" w:val="000000"/>
                <w:sz w:val="24"/>
              </w:rPr>
              <w:lastRenderedPageBreak/>
              <w:t/>
            </w:r>
            <w:proofErr w:type="spellEnd"/>
            <w:r w:rsidRPr="00B34368">
              <w:rPr>
                <w:rFonts w:eastAsiaTheme="minorEastAsia"/>
                <w:color w:themeColor="text1" w:val="000000"/>
                <w:sz w:val="24"/>
              </w:rPr>
              <w:t>-</w:t>
            </w:r>
          </w:p>
        </w:tc>
        <w:tc>
          <w:tcPr>
            <w:tcW w:type="dxa" w:w="1757"/>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lastRenderedPageBreak/>
              <w:t/>
            </w:r>
            <w:r w:rsidRPr="00B34368">
              <w:rPr>
                <w:rFonts w:eastAsiaTheme="minorEastAsia"/>
                <w:color w:themeColor="text1" w:val="000000"/>
                <w:sz w:val="24"/>
              </w:rPr>
              <w:lastRenderedPageBreak/>
              <w:t>-</w:t>
            </w:r>
          </w:p>
        </w:tc>
      </w:tr>
      <w:tr w:rsidR="00D3639B" w:rsidRPr="00B34368" w:rsidTr="00975D18">
        <w:tc>
          <w:tcPr>
            <w:tcW w:type="dxa" w:w="720"/>
            <w:vAlign w:val="center"/>
          </w:tcPr>
          <w:p w:rsidP="00A3193E" w:rsidR="00B20F47" w:rsidRDefault="00B20F47" w:rsidRPr="00B34368">
            <w:pPr>
              <w:spacing w:before="29" w:line="360" w:lineRule="auto"/>
              <w:ind w:left="17"/>
              <w:jc w:val="center"/>
              <w:rPr>
                <w:rFonts w:eastAsiaTheme="minorEastAsia"/>
                <w:color w:themeColor="text1" w:val="000000"/>
                <w:sz w:val="24"/>
              </w:rPr>
            </w:pPr>
          </w:p>
        </w:tc>
        <w:tc>
          <w:tcPr>
            <w:tcW w:type="dxa" w:w="3357"/>
            <w:vAlign w:val="center"/>
          </w:tcPr>
          <w:p w:rsidP="00B34368" w:rsidR="00B20F47" w:rsidRDefault="00B20F47" w:rsidRPr="00B34368">
            <w:pPr>
              <w:autoSpaceDE w:val="0"/>
              <w:autoSpaceDN w:val="0"/>
              <w:adjustRightInd w:val="0"/>
              <w:spacing w:before="29" w:line="360" w:lineRule="auto"/>
              <w:ind w:firstLine="720" w:firstLineChars="300" w:left="17"/>
              <w:jc w:val="left"/>
              <w:rPr>
                <w:rFonts w:eastAsiaTheme="minorEastAsia"/>
                <w:color w:themeColor="text1" w:val="000000"/>
                <w:sz w:val="24"/>
              </w:rPr>
            </w:pPr>
            <w:r w:rsidRPr="00B34368">
              <w:rPr>
                <w:rFonts w:eastAsiaTheme="minorEastAsia" w:hAnsiTheme="minorEastAsia"/>
                <w:color w:themeColor="text1" w:val="000000"/>
                <w:sz w:val="24"/>
              </w:rPr>
              <w:t>资产支持证券</w:t>
            </w:r>
          </w:p>
        </w:tc>
        <w:tc>
          <w:tcPr>
            <w:tcW w:type="dxa" w:w="2694"/>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757"/>
            <w:vAlign w:val="center"/>
          </w:tcPr>
          <w:p w:rsidP="00A3193E" w:rsidR="00B20F47" w:rsidRDefault="00B20F47"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w:t>
            </w:r>
          </w:p>
        </w:tc>
      </w:tr>
      <w:tr w:rsidR="00D3639B" w:rsidRPr="00B34368" w:rsidTr="00975D18">
        <w:tc>
          <w:tcPr>
            <w:tcW w:type="dxa" w:w="720"/>
          </w:tcPr>
          <w:p w:rsidP="00DD272F" w:rsidR="00B007B6" w:rsidRDefault="00B007B6"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4</w:t>
            </w:r>
          </w:p>
        </w:tc>
        <w:tc>
          <w:tcPr>
            <w:tcW w:type="dxa" w:w="3357"/>
          </w:tcPr>
          <w:p w:rsidP="00DD272F" w:rsidR="00B007B6" w:rsidRDefault="00B007B6" w:rsidRPr="00B34368">
            <w:pPr>
              <w:spacing w:before="29" w:line="360" w:lineRule="auto"/>
              <w:ind w:left="105" w:leftChars="50"/>
              <w:rPr>
                <w:rFonts w:eastAsiaTheme="minorEastAsia"/>
                <w:color w:themeColor="text1" w:val="000000"/>
                <w:sz w:val="24"/>
              </w:rPr>
            </w:pPr>
            <w:r w:rsidRPr="00B34368">
              <w:rPr>
                <w:rFonts w:eastAsiaTheme="minorEastAsia" w:hAnsiTheme="minorEastAsia"/>
                <w:color w:themeColor="text1" w:val="000000"/>
                <w:sz w:val="24"/>
              </w:rPr>
              <w:t>贵金属投资</w:t>
            </w:r>
          </w:p>
        </w:tc>
        <w:tc>
          <w:tcPr>
            <w:tcW w:type="dxa" w:w="2694"/>
            <w:vAlign w:val="center"/>
          </w:tcPr>
          <w:p w:rsidP="00DD272F"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757"/>
            <w:vAlign w:val="center"/>
          </w:tcPr>
          <w:p w:rsidP="00DD272F"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975D18">
        <w:tc>
          <w:tcPr>
            <w:tcW w:type="dxa" w:w="720"/>
            <w:vAlign w:val="center"/>
          </w:tcPr>
          <w:p w:rsidP="00A3193E" w:rsidR="00B007B6" w:rsidRDefault="00B007B6"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5</w:t>
            </w:r>
          </w:p>
        </w:tc>
        <w:tc>
          <w:tcPr>
            <w:tcW w:type="dxa" w:w="3357"/>
            <w:vAlign w:val="center"/>
          </w:tcPr>
          <w:p w:rsidP="00A3193E" w:rsidR="00B007B6" w:rsidRDefault="00B007B6"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金融衍生</w:t>
            </w:r>
            <w:proofErr w:type="gramStart"/>
            <w:r w:rsidRPr="00B34368">
              <w:rPr>
                <w:rFonts w:eastAsiaTheme="minorEastAsia" w:hAnsiTheme="minorEastAsia"/>
                <w:color w:themeColor="text1" w:val="000000"/>
                <w:sz w:val="24"/>
              </w:rPr>
              <w:t>品投资</w:t>
            </w:r>
            <w:proofErr w:type="gramEnd"/>
          </w:p>
        </w:tc>
        <w:tc>
          <w:tcPr>
            <w:tcW w:type="dxa" w:w="2694"/>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757"/>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w:t>
            </w:r>
          </w:p>
        </w:tc>
      </w:tr>
      <w:tr w:rsidR="00D3639B" w:rsidRPr="00B34368" w:rsidTr="00975D18">
        <w:tc>
          <w:tcPr>
            <w:tcW w:type="dxa" w:w="720"/>
            <w:vAlign w:val="center"/>
          </w:tcPr>
          <w:p w:rsidP="00A3193E" w:rsidR="00B007B6" w:rsidRDefault="00B007B6"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6</w:t>
            </w:r>
          </w:p>
        </w:tc>
        <w:tc>
          <w:tcPr>
            <w:tcW w:type="dxa" w:w="3357"/>
            <w:vAlign w:val="center"/>
          </w:tcPr>
          <w:p w:rsidP="00A3193E" w:rsidR="00B007B6" w:rsidRDefault="00B007B6"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买入返售金融资产</w:t>
            </w:r>
          </w:p>
        </w:tc>
        <w:tc>
          <w:tcPr>
            <w:tcW w:type="dxa" w:w="2694"/>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757"/>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Pr="00B34368">
              <w:rPr>
                <w:rFonts w:eastAsiaTheme="minorEastAsia"/>
                <w:color w:themeColor="text1" w:val="000000"/>
                <w:sz w:val="24"/>
              </w:rPr>
              <w:lastRenderedPageBreak/>
              <w:t>-</w:t>
            </w:r>
          </w:p>
        </w:tc>
      </w:tr>
      <w:tr w:rsidR="00D3639B" w:rsidRPr="00B34368" w:rsidTr="00975D18">
        <w:tc>
          <w:tcPr>
            <w:tcW w:type="dxa" w:w="720"/>
            <w:vAlign w:val="center"/>
          </w:tcPr>
          <w:p w:rsidP="00A3193E" w:rsidR="00B007B6" w:rsidRDefault="00B007B6" w:rsidRPr="00B34368">
            <w:pPr>
              <w:spacing w:before="29" w:line="360" w:lineRule="auto"/>
              <w:ind w:left="17"/>
              <w:jc w:val="center"/>
              <w:rPr>
                <w:rFonts w:eastAsiaTheme="minorEastAsia"/>
                <w:color w:themeColor="text1" w:val="000000"/>
                <w:sz w:val="24"/>
              </w:rPr>
            </w:pPr>
          </w:p>
        </w:tc>
        <w:tc>
          <w:tcPr>
            <w:tcW w:type="dxa" w:w="3357"/>
            <w:vAlign w:val="center"/>
          </w:tcPr>
          <w:p w:rsidP="00A3193E" w:rsidR="00B007B6" w:rsidRDefault="00B007B6"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其中：买断式回购的买入返售金融资产</w:t>
            </w:r>
          </w:p>
        </w:tc>
        <w:tc>
          <w:tcPr>
            <w:tcW w:type="dxa" w:w="2694"/>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w:t>
            </w:r>
          </w:p>
        </w:tc>
        <w:tc>
          <w:tcPr>
            <w:tcW w:type="dxa" w:w="1757"/>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w:t>
            </w:r>
          </w:p>
        </w:tc>
      </w:tr>
      <w:tr w:rsidR="00D3639B" w:rsidRPr="00B34368" w:rsidTr="00975D18">
        <w:tc>
          <w:tcPr>
            <w:tcW w:type="dxa" w:w="720"/>
            <w:vAlign w:val="center"/>
          </w:tcPr>
          <w:p w:rsidP="00A3193E" w:rsidR="00B007B6" w:rsidRDefault="00B007B6"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7</w:t>
            </w:r>
          </w:p>
        </w:tc>
        <w:tc>
          <w:tcPr>
            <w:tcW w:type="dxa" w:w="3357"/>
            <w:vAlign w:val="center"/>
          </w:tcPr>
          <w:p w:rsidP="00A3193E" w:rsidR="00B007B6" w:rsidRDefault="00B007B6" w:rsidRPr="00B34368">
            <w:pPr>
              <w:spacing w:before="29" w:line="360" w:lineRule="auto"/>
              <w:ind w:left="17"/>
              <w:jc w:val="left"/>
              <w:rPr>
                <w:rFonts w:eastAsiaTheme="minorEastAsia"/>
                <w:color w:themeColor="text1" w:val="000000"/>
                <w:sz w:val="24"/>
              </w:rPr>
            </w:pPr>
            <w:r w:rsidRPr="00B34368">
              <w:rPr>
                <w:rFonts w:eastAsiaTheme="minorEastAsia" w:hAnsiTheme="minorEastAsia"/>
                <w:color w:themeColor="text1" w:val="000000"/>
                <w:sz w:val="24"/>
              </w:rPr>
              <w:t>银行存款和结算备付金合计</w:t>
            </w:r>
          </w:p>
        </w:tc>
        <w:tc>
          <w:tcPr>
            <w:tcW w:type="dxa" w:w="2694"/>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298,345,147.21</w:t>
            </w:r>
          </w:p>
        </w:tc>
        <w:tc>
          <w:tcPr>
            <w:tcW w:type="dxa" w:w="1757"/>
            <w:vAlign w:val="center"/>
          </w:tcPr>
          <w:p w:rsidP="00A3193E" w:rsidR="00B007B6" w:rsidRDefault="00B007B6" w:rsidRPr="00B34368">
            <w:pPr>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5.22</w:t>
            </w:r>
          </w:p>
        </w:tc>
      </w:tr>
      <w:tr w:rsidR="00D3639B" w:rsidRPr="00B34368" w:rsidTr="00975D18">
        <w:tc>
          <w:tcPr>
            <w:tcW w:type="dxa" w:w="720"/>
            <w:vAlign w:val="center"/>
          </w:tcPr>
          <w:p w:rsidP="00B007B6" w:rsidR="00B007B6" w:rsidRDefault="00B007B6"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8</w:t>
            </w:r>
          </w:p>
        </w:tc>
        <w:tc>
          <w:tcPr>
            <w:tcW w:type="dxa" w:w="3357"/>
            <w:vAlign w:val="center"/>
          </w:tcPr>
          <w:p w:rsidP="00A3193E" w:rsidR="00B007B6" w:rsidRDefault="00E57CD3" w:rsidRPr="00B34368">
            <w:pPr>
              <w:jc w:val="left"/>
              <w:rPr>
                <w:rFonts w:eastAsiaTheme="minorEastAsia"/>
                <w:color w:themeColor="text1" w:val="000000"/>
                <w:sz w:val="24"/>
              </w:rPr>
            </w:pPr>
            <w:r>
              <w:rPr>
                <w:rFonts w:eastAsiaTheme="minorEastAsia" w:hAnsiTheme="minorEastAsia"/>
                <w:color w:themeColor="text1" w:val="000000"/>
                <w:sz w:val="24"/>
              </w:rPr>
              <w:t>其他</w:t>
            </w:r>
            <w:r w:rsidR="00B007B6" w:rsidRPr="00B34368">
              <w:rPr>
                <w:rFonts w:eastAsiaTheme="minorEastAsia" w:hAnsiTheme="minorEastAsia"/>
                <w:color w:themeColor="text1" w:val="000000"/>
                <w:sz w:val="24"/>
              </w:rPr>
              <w:t>资产</w:t>
            </w:r>
          </w:p>
        </w:tc>
        <w:tc>
          <w:tcPr>
            <w:tcW w:type="dxa" w:w="2694"/>
            <w:vAlign w:val="center"/>
          </w:tcPr>
          <w:p w:rsidP="00A3193E" w:rsidR="00B007B6" w:rsidRDefault="00B007B6"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58,812,387.10</w:t>
            </w:r>
          </w:p>
        </w:tc>
        <w:tc>
          <w:tcPr>
            <w:tcW w:type="dxa" w:w="1757"/>
            <w:vAlign w:val="center"/>
          </w:tcPr>
          <w:p w:rsidP="00A3193E" w:rsidR="00B007B6" w:rsidRDefault="00B007B6"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1.03</w:t>
            </w:r>
          </w:p>
        </w:tc>
      </w:tr>
      <w:tr w:rsidR="00D3639B" w:rsidRPr="00B34368" w:rsidTr="00975D18">
        <w:tc>
          <w:tcPr>
            <w:tcW w:type="dxa" w:w="720"/>
            <w:vAlign w:val="center"/>
          </w:tcPr>
          <w:p w:rsidP="00B007B6" w:rsidR="00B007B6" w:rsidRDefault="00B007B6" w:rsidRPr="00B34368">
            <w:pPr>
              <w:spacing w:before="29" w:line="360" w:lineRule="auto"/>
              <w:ind w:left="17"/>
              <w:jc w:val="center"/>
              <w:rPr>
                <w:rFonts w:eastAsiaTheme="minorEastAsia"/>
                <w:color w:themeColor="text1" w:val="000000"/>
                <w:sz w:val="24"/>
              </w:rPr>
            </w:pPr>
            <w:r w:rsidRPr="00B34368">
              <w:rPr>
                <w:rFonts w:eastAsiaTheme="minorEastAsia"/>
                <w:color w:themeColor="text1" w:val="000000"/>
                <w:sz w:val="24"/>
              </w:rPr>
              <w:t>9</w:t>
            </w:r>
          </w:p>
        </w:tc>
        <w:tc>
          <w:tcPr>
            <w:tcW w:type="dxa" w:w="3357"/>
            <w:vAlign w:val="center"/>
          </w:tcPr>
          <w:p w:rsidP="00A3193E" w:rsidR="00B007B6" w:rsidRDefault="00B007B6" w:rsidRPr="00B34368">
            <w:pPr>
              <w:jc w:val="left"/>
              <w:rPr>
                <w:rFonts w:eastAsiaTheme="minorEastAsia"/>
                <w:color w:themeColor="text1" w:val="000000"/>
                <w:sz w:val="24"/>
              </w:rPr>
            </w:pPr>
            <w:r w:rsidRPr="00B34368">
              <w:rPr>
                <w:rFonts w:eastAsiaTheme="minorEastAsia" w:hAnsiTheme="minorEastAsia"/>
                <w:color w:themeColor="text1" w:val="000000"/>
                <w:sz w:val="24"/>
              </w:rPr>
              <w:t>合计</w:t>
            </w:r>
          </w:p>
        </w:tc>
        <w:tc>
          <w:tcPr>
            <w:tcW w:type="dxa" w:w="2694"/>
            <w:vAlign w:val="center"/>
          </w:tcPr>
          <w:p w:rsidP="00A3193E" w:rsidR="00B007B6" w:rsidRDefault="00B007B6"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5,719,717,429.77</w:t>
            </w:r>
          </w:p>
        </w:tc>
        <w:tc>
          <w:tcPr>
            <w:tcW w:type="dxa" w:w="1757"/>
            <w:vAlign w:val="center"/>
          </w:tcPr>
          <w:p w:rsidP="00A3193E" w:rsidR="00B007B6" w:rsidRDefault="00B007B6"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100.00</w:t>
            </w:r>
          </w:p>
        </w:tc>
      </w:tr>
    </w:tbl>
    <w:p w:rsidP="00C544B8" w:rsidR="0040218E" w:rsidRDefault="0040218E"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lastRenderedPageBreak/>
        <w:t>5.2</w:t>
      </w:r>
      <w:r w:rsidRPr="00B34368">
        <w:rPr>
          <w:rFonts w:eastAsiaTheme="minorEastAsia" w:hAnsiTheme="minorEastAsia"/>
          <w:b/>
          <w:color w:themeColor="text1" w:val="000000"/>
          <w:kern w:val="0"/>
          <w:sz w:val="24"/>
        </w:rPr>
        <w:t>期末投资目标基金明细</w:t>
      </w:r>
    </w:p>
    <w:tbl>
      <w:tblPr>
        <w:tblStyle w:val="af2"/>
        <w:tblW w:type="auto" w:w="0"/>
        <w:tblInd w:type="dxa" w:w="108"/>
        <w:tblLook w:firstColumn="1" w:firstRow="1" w:lastColumn="0" w:lastRow="0" w:noHBand="0" w:noVBand="1" w:val="04A0"/>
      </w:tblPr>
      <w:tblGrid>
        <w:gridCol w:w="1194"/>
        <w:gridCol w:w="1195"/>
        <w:gridCol w:w="1195"/>
        <w:gridCol w:w="1195"/>
        <w:gridCol w:w="1195"/>
        <w:gridCol w:w="1489"/>
        <w:gridCol w:w="1465"/>
      </w:tblGrid>
      <w:tr w:rsidR="00D3639B" w:rsidRPr="00B34368" w:rsidTr="00975D18">
        <w:tc>
          <w:tcPr>
            <w:tcW w:type="dxa" w:w="1215"/>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序号</w:t>
            </w:r>
          </w:p>
        </w:tc>
        <w:tc>
          <w:tcPr>
            <w:tcW w:type="dxa" w:w="1216"/>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基金名称</w:t>
            </w:r>
          </w:p>
        </w:tc>
        <w:tc>
          <w:tcPr>
            <w:tcW w:type="dxa" w:w="1216"/>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基金类型</w:t>
            </w:r>
          </w:p>
        </w:tc>
        <w:tc>
          <w:tcPr>
            <w:tcW w:type="dxa" w:w="1216"/>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运作方式</w:t>
            </w:r>
          </w:p>
        </w:tc>
        <w:tc>
          <w:tcPr>
            <w:tcW w:type="dxa" w:w="1216"/>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管理人</w:t>
            </w:r>
          </w:p>
        </w:tc>
        <w:tc>
          <w:tcPr>
            <w:tcW w:type="dxa" w:w="1217"/>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公允价值</w:t>
            </w:r>
            <w:r w:rsidR="00A22E07" w:rsidRPr="00B34368">
              <w:rPr>
                <w:rFonts w:eastAsiaTheme="minorEastAsia" w:hAnsiTheme="minorEastAsia"/>
                <w:color w:themeColor="text1" w:val="000000"/>
                <w:sz w:val="24"/>
              </w:rPr>
              <w:t>（元）</w:t>
            </w:r>
          </w:p>
        </w:tc>
        <w:tc>
          <w:tcPr>
            <w:tcW w:type="dxa" w:w="1217"/>
            <w:vAlign w:val="center"/>
          </w:tcPr>
          <w:p w:rsidP="00782E9C" w:rsidR="0040218E" w:rsidRDefault="0040218E"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hAnsiTheme="minorEastAsia"/>
                <w:color w:themeColor="text1" w:val="000000"/>
                <w:kern w:val="0"/>
                <w:sz w:val="24"/>
              </w:rPr>
              <w:t>占基金资产净值比例（</w:t>
            </w:r>
            <w:r w:rsidRPr="00B34368">
              <w:rPr>
                <w:rFonts w:eastAsiaTheme="minorEastAsia"/>
                <w:color w:themeColor="text1" w:val="000000"/>
                <w:kern w:val="0"/>
                <w:sz w:val="24"/>
              </w:rPr>
              <w:t>%</w:t>
            </w:r>
            <w:r w:rsidRPr="00B34368">
              <w:rPr>
                <w:rFonts w:eastAsiaTheme="minorEastAsia" w:hAnsiTheme="minorEastAsia"/>
                <w:color w:themeColor="text1" w:val="000000"/>
                <w:kern w:val="0"/>
                <w:sz w:val="24"/>
              </w:rPr>
              <w:t>）</w:t>
            </w:r>
          </w:p>
        </w:tc>
      </w:tr>
      <w:tr>
        <w:tc>
          <w:tcPr>
            <w:vAlign w:val="center"/>
          </w:tcPr>
          <w:p>
            <w:pPr>
              <w:jc w:val="center"/>
            </w:pPr>
            <w:r>
              <w:rPr>
                <w:rFonts w:eastAsiaTheme="minorEastAsia"/>
                <w:color w:themeColor="text1" w:val="000000"/>
                <w:sz w:val="24"/>
              </w:rPr>
              <w:t>1</w:t>
            </w:r>
          </w:p>
        </w:tc>
        <w:tc>
          <w:tcPr>
            <w:vAlign w:val="center"/>
          </w:tcPr>
          <w:p>
            <w:pPr>
              <w:jc w:val="center"/>
            </w:pPr>
            <w:r>
              <w:rPr>
                <w:rFonts w:eastAsiaTheme="minorEastAsia"/>
                <w:color w:themeColor="text1" w:val="000000"/>
                <w:sz w:val="24"/>
              </w:rPr>
              <w:t>易方达创业板交易型开放式指数证券投资基金</w:t>
            </w:r>
          </w:p>
        </w:tc>
        <w:tc>
          <w:tcPr>
            <w:vAlign w:val="center"/>
          </w:tcPr>
          <w:p>
            <w:pPr>
              <w:jc w:val="center"/>
            </w:pPr>
            <w:r>
              <w:rPr>
                <w:rFonts w:eastAsiaTheme="minorEastAsia"/>
                <w:color w:themeColor="text1" w:val="000000"/>
                <w:sz w:val="24"/>
              </w:rPr>
              <w:t>股票型</w:t>
            </w:r>
          </w:p>
        </w:tc>
        <w:tc>
          <w:tcPr>
            <w:vAlign w:val="center"/>
          </w:tcPr>
          <w:p>
            <w:pPr>
              <w:jc w:val="center"/>
            </w:pPr>
            <w:r>
              <w:rPr>
                <w:rFonts w:eastAsiaTheme="minorEastAsia"/>
                <w:color w:themeColor="text1" w:val="000000"/>
                <w:sz w:val="24"/>
              </w:rPr>
              <w:t>交易型开放式（ETF）</w:t>
            </w:r>
          </w:p>
        </w:tc>
        <w:tc>
          <w:tcPr>
            <w:vAlign w:val="center"/>
          </w:tcPr>
          <w:p>
            <w:pPr>
              <w:jc w:val="center"/>
            </w:pPr>
            <w:r>
              <w:rPr>
                <w:rFonts w:eastAsiaTheme="minorEastAsia"/>
                <w:color w:themeColor="text1" w:val="000000"/>
                <w:sz w:val="24"/>
              </w:rPr>
              <w:t>易方达基金管理有限公司</w:t>
            </w:r>
          </w:p>
        </w:tc>
        <w:tc>
          <w:tcPr>
            <w:vAlign w:val="center"/>
          </w:tcPr>
          <w:p>
            <w:pPr>
              <w:jc w:val="right"/>
            </w:pPr>
            <w:r>
              <w:rPr>
                <w:rFonts w:eastAsiaTheme="minorEastAsia"/>
                <w:color w:themeColor="text1" w:val="000000"/>
                <w:sz w:val="24"/>
              </w:rPr>
              <w:t>5,327,309,968.74</w:t>
            </w:r>
          </w:p>
        </w:tc>
        <w:tc>
          <w:tcPr>
            <w:vAlign w:val="center"/>
          </w:tcPr>
          <w:p>
            <w:pPr>
              <w:jc w:val="right"/>
            </w:pPr>
            <w:r>
              <w:rPr>
                <w:rFonts w:eastAsiaTheme="minorEastAsia"/>
                <w:color w:themeColor="text1" w:val="000000"/>
                <w:sz w:val="24"/>
              </w:rPr>
              <w:t>93.94</w:t>
            </w:r>
          </w:p>
        </w:tc>
      </w:tr>
    </w:tbl>
    <w:p w:rsidP="00C544B8" w:rsidR="0054389B" w:rsidRDefault="0054389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xml:space="preserve">5.3 </w:t>
      </w:r>
      <w:r w:rsidRPr="00B34368">
        <w:rPr>
          <w:rFonts w:eastAsiaTheme="minorEastAsia" w:hAnsiTheme="minorEastAsia"/>
          <w:b/>
          <w:color w:themeColor="text1" w:val="000000"/>
          <w:kern w:val="0"/>
          <w:sz w:val="24"/>
        </w:rPr>
        <w:t>报告期末按行业分类的股票投资组合</w:t>
      </w:r>
    </w:p>
    <w:p w:rsidP="0054389B" w:rsidR="0054389B" w:rsidRDefault="0054389B" w:rsidRPr="00B34368">
      <w:pPr>
        <w:rPr>
          <w:rFonts w:eastAsiaTheme="minorEastAsia"/>
          <w:b/>
          <w:sz w:val="24"/>
        </w:rPr>
      </w:pPr>
      <w:r w:rsidRPr="00B34368">
        <w:rPr>
          <w:rFonts w:eastAsiaTheme="minorEastAsia"/>
          <w:b/>
          <w:color w:themeColor="text1" w:val="000000"/>
          <w:sz w:val="24"/>
        </w:rPr>
        <w:t/>
      </w:r>
      <w:proofErr w:type="spellStart"/>
      <w:r w:rsidRPr="00B34368">
        <w:rPr>
          <w:rFonts w:eastAsiaTheme="minorEastAsia"/>
          <w:b/>
          <w:color w:themeColor="text1" w:val="000000"/>
          <w:sz w:val="24"/>
        </w:rPr>
        <w:t/>
      </w:r>
      <w:proofErr w:type="spellEnd"/>
      <w:r w:rsidRPr="00B34368">
        <w:rPr>
          <w:rFonts w:eastAsiaTheme="minorEastAsia"/>
          <w:b/>
          <w:color w:themeColor="text1" w:val="000000"/>
          <w:sz w:val="24"/>
        </w:rPr>
        <w:t/>
      </w:r>
      <w:r w:rsidRPr="00B34368">
        <w:rPr>
          <w:rFonts w:eastAsiaTheme="minorEastAsia"/>
          <w:b/>
          <w:color w:themeColor="text1" w:val="000000"/>
          <w:kern w:val="0"/>
          <w:sz w:val="24"/>
        </w:rPr>
        <w:t>5.3.1</w:t>
      </w:r>
      <w:r w:rsidRPr="00B34368">
        <w:rPr>
          <w:rFonts w:eastAsiaTheme="minorEastAsia" w:hAnsiTheme="minorEastAsia"/>
          <w:b/>
          <w:color w:themeColor="text1" w:val="000000"/>
          <w:kern w:val="0"/>
          <w:sz w:val="24"/>
        </w:rPr>
        <w:t>报告期末按行业分类的境内股票投资组合</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540"/>
        <w:gridCol w:w="3691"/>
        <w:gridCol w:w="3135"/>
        <w:gridCol w:w="1365"/>
      </w:tblGrid>
      <w:tr w:rsidR="00D3639B" w:rsidRPr="00B34368" w:rsidTr="004E70B7">
        <w:trPr>
          <w:trHeight w:val="390"/>
        </w:trPr>
        <w:tc>
          <w:tcPr>
            <w:tcW w:type="dxa" w:w="540"/>
            <w:vAlign w:val="cente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hAnsiTheme="minorEastAsia"/>
                <w:color w:themeColor="text1" w:val="000000"/>
                <w:sz w:val="24"/>
              </w:rPr>
              <w:t>代码</w:t>
            </w:r>
            <w:r w:rsidR="00FA0527" w:rsidRPr="00B34368">
              <w:rPr>
                <w:rFonts w:eastAsiaTheme="minorEastAsia"/>
                <w:color w:themeColor="text1" w:val="000000"/>
                <w:sz w:val="24"/>
              </w:rPr>
              <w:t/>
            </w:r>
            <w:proofErr w:type="spellStart"/>
            <w:r w:rsidR="00FA0527" w:rsidRPr="00B34368">
              <w:rPr>
                <w:rFonts w:eastAsiaTheme="minorEastAsia"/>
                <w:color w:themeColor="text1" w:val="000000"/>
                <w:sz w:val="24"/>
              </w:rPr>
              <w:t/>
            </w:r>
            <w:proofErr w:type="spellEnd"/>
            <w:r w:rsidR="00FA0527" w:rsidRPr="00B34368">
              <w:rPr>
                <w:rFonts w:eastAsiaTheme="minorEastAsia"/>
                <w:color w:themeColor="text1" w:val="000000"/>
                <w:sz w:val="24"/>
              </w:rPr>
              <w:t/>
            </w:r>
          </w:p>
        </w:tc>
        <w:tc>
          <w:tcPr>
            <w:tcW w:type="dxa" w:w="3691"/>
            <w:tcMar>
              <w:top w:type="dxa" w:w="15"/>
              <w:left w:type="dxa" w:w="15"/>
              <w:bottom w:type="dxa" w:w="0"/>
              <w:right w:type="dxa" w:w="15"/>
            </w:tcMar>
            <w:vAlign w:val="cente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hAnsiTheme="minorEastAsia"/>
                <w:color w:themeColor="text1" w:val="000000"/>
                <w:sz w:val="24"/>
              </w:rPr>
              <w:t>行业类别</w:t>
            </w:r>
          </w:p>
        </w:tc>
        <w:tc>
          <w:tcPr>
            <w:tcW w:type="dxa" w:w="3135"/>
            <w:vAlign w:val="cente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hAnsiTheme="minorEastAsia"/>
                <w:color w:themeColor="text1" w:val="000000"/>
                <w:sz w:val="24"/>
              </w:rPr>
              <w:t>公允价值（元）</w:t>
            </w:r>
          </w:p>
        </w:tc>
        <w:tc>
          <w:tcPr>
            <w:tcW w:type="dxa" w:w="1365"/>
            <w:tcMar>
              <w:top w:type="dxa" w:w="15"/>
              <w:left w:type="dxa" w:w="15"/>
              <w:bottom w:type="dxa" w:w="0"/>
              <w:right w:type="dxa" w:w="15"/>
            </w:tcMar>
            <w:vAlign w:val="cente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hAnsiTheme="minorEastAsia"/>
                <w:color w:themeColor="text1" w:val="000000"/>
                <w:sz w:val="24"/>
              </w:rPr>
              <w:t>占基金资产净值比例（％）</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A</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农、林、牧、渔业</w:t>
            </w:r>
          </w:p>
        </w:tc>
        <w:tc>
          <w:tcPr>
            <w:tcW w:type="dxa" w:w="3135"/>
            <w:vAlign w:val="center"/>
          </w:tcPr>
          <w:p w:rsidP="00724F6D" w:rsidR="005F458B" w:rsidRDefault="005F458B" w:rsidRPr="00B34368">
            <w:pPr>
              <w:autoSpaceDE w:val="0"/>
              <w:autoSpaceDN w:val="0"/>
              <w:adjustRightInd w:val="0"/>
              <w:spacing w:before="29" w:line="360" w:lineRule="auto"/>
              <w:ind w:left="15"/>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1,741,887.60</w:t>
            </w:r>
          </w:p>
        </w:tc>
        <w:tc>
          <w:tcPr>
            <w:tcW w:type="dxa" w:w="1365"/>
            <w:tcMar>
              <w:top w:type="dxa" w:w="15"/>
              <w:left w:type="dxa" w:w="15"/>
              <w:bottom w:type="dxa" w:w="0"/>
              <w:right w:type="dxa" w:w="15"/>
            </w:tcMar>
            <w:vAlign w:val="center"/>
          </w:tcPr>
          <w:p w:rsidP="00724F6D" w:rsidR="005F458B" w:rsidRDefault="005F458B" w:rsidRPr="00B34368">
            <w:pPr>
              <w:autoSpaceDE w:val="0"/>
              <w:autoSpaceDN w:val="0"/>
              <w:adjustRightInd w:val="0"/>
              <w:spacing w:before="29" w:line="360" w:lineRule="auto"/>
              <w:ind w:left="15"/>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0.03</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B</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采矿业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p w:rsidP="00724F6D" w:rsidR="005F458B" w:rsidRDefault="005F458B" w:rsidRPr="00B34368">
            <w:pPr>
              <w:jc w:val="right"/>
              <w:rPr>
                <w:rFonts w:eastAsiaTheme="minorEastAsia"/>
                <w:color w:themeColor="text1" w:val="000000"/>
                <w:sz w:val="24"/>
              </w:rPr>
            </w:pP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p w:rsidP="00724F6D" w:rsidR="005F458B" w:rsidRDefault="005F458B" w:rsidRPr="00B34368">
            <w:pPr>
              <w:jc w:val="right"/>
              <w:rPr>
                <w:rFonts w:eastAsiaTheme="minorEastAsia"/>
                <w:color w:themeColor="text1" w:val="000000"/>
                <w:sz w:val="24"/>
              </w:rPr>
            </w:pP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C</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制造业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20,370,943.85</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r w:rsidRPr="00B34368">
              <w:rPr>
                <w:rFonts w:eastAsiaTheme="minorEastAsia"/>
                <w:color w:themeColor="text1" w:val="000000"/>
                <w:sz w:val="24"/>
              </w:rPr>
              <w:lastRenderedPageBreak/>
              <w:t/>
            </w:r>
            <w:proofErr w:type="spellEnd"/>
            <w:r w:rsidRPr="00B34368">
              <w:rPr>
                <w:rFonts w:eastAsiaTheme="minorEastAsia"/>
                <w:color w:themeColor="text1" w:val="000000"/>
                <w:sz w:val="24"/>
              </w:rPr>
              <w:t>0.36</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lastRenderedPageBreak/>
              <w:t>D</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电力、热力、燃气及水生产和供应业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E</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建筑业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F</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批发和零售业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30,392.00</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0.00</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G</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交通运输、仓储和邮政业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H</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住宿和餐饮业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I</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信息传输、软件和信息技术服务业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6,032,253.13</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0.11</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J</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金融业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1,952,673.40</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0.03</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K</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房地产业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r w:rsidRPr="00B34368">
              <w:rPr>
                <w:rFonts w:eastAsiaTheme="minorEastAsia"/>
                <w:color w:themeColor="text1" w:val="000000"/>
                <w:sz w:val="24"/>
              </w:rPr>
              <w:lastRenderedPageBreak/>
              <w:t/>
            </w:r>
            <w:proofErr w:type="spellEnd"/>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lastRenderedPageBreak/>
              <w:t>L</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租赁和商务服务业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234,780.00</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0.00</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M</w:t>
            </w:r>
          </w:p>
        </w:tc>
        <w:tc>
          <w:tcPr>
            <w:tcW w:type="dxa" w:w="3691"/>
            <w:tcMar>
              <w:top w:type="dxa" w:w="15"/>
              <w:left w:type="dxa" w:w="15"/>
              <w:bottom w:type="dxa" w:w="0"/>
              <w:right w:type="dxa" w:w="15"/>
            </w:tcMar>
          </w:tcPr>
          <w:p w:rsidP="00724F6D"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科学研究和技术服务业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1,000,193.96</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0.02</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N</w:t>
            </w:r>
          </w:p>
        </w:tc>
        <w:tc>
          <w:tcPr>
            <w:tcW w:type="dxa" w:w="3691"/>
            <w:tcMar>
              <w:top w:type="dxa" w:w="15"/>
              <w:left w:type="dxa" w:w="15"/>
              <w:bottom w:type="dxa" w:w="0"/>
              <w:right w:type="dxa" w:w="15"/>
            </w:tcMar>
          </w:tcPr>
          <w:p w:rsidP="00975D18"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水利、环境和公共设施管理业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221,375.56</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0.00</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O</w:t>
            </w:r>
          </w:p>
        </w:tc>
        <w:tc>
          <w:tcPr>
            <w:tcW w:type="dxa" w:w="3691"/>
            <w:tcMar>
              <w:top w:type="dxa" w:w="15"/>
              <w:left w:type="dxa" w:w="15"/>
              <w:bottom w:type="dxa" w:w="0"/>
              <w:right w:type="dxa" w:w="15"/>
            </w:tcMar>
          </w:tcPr>
          <w:p w:rsidP="00975D18"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居民服务、修理和其他服务业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P</w:t>
            </w:r>
          </w:p>
        </w:tc>
        <w:tc>
          <w:tcPr>
            <w:tcW w:type="dxa" w:w="3691"/>
            <w:tcMar>
              <w:top w:type="dxa" w:w="15"/>
              <w:left w:type="dxa" w:w="15"/>
              <w:bottom w:type="dxa" w:w="0"/>
              <w:right w:type="dxa" w:w="15"/>
            </w:tcMar>
          </w:tcPr>
          <w:p w:rsidP="00975D18"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教育</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Q</w:t>
            </w:r>
          </w:p>
        </w:tc>
        <w:tc>
          <w:tcPr>
            <w:tcW w:type="dxa" w:w="3691"/>
            <w:tcMar>
              <w:top w:type="dxa" w:w="15"/>
              <w:left w:type="dxa" w:w="15"/>
              <w:bottom w:type="dxa" w:w="0"/>
              <w:right w:type="dxa" w:w="15"/>
            </w:tcMar>
          </w:tcPr>
          <w:p w:rsidP="00975D18"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卫生和社会工作</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2,316,235.23</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0.04</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R</w:t>
            </w:r>
          </w:p>
        </w:tc>
        <w:tc>
          <w:tcPr>
            <w:tcW w:type="dxa" w:w="3691"/>
            <w:tcMar>
              <w:top w:type="dxa" w:w="15"/>
              <w:left w:type="dxa" w:w="15"/>
              <w:bottom w:type="dxa" w:w="0"/>
              <w:right w:type="dxa" w:w="15"/>
            </w:tcMar>
          </w:tcPr>
          <w:p w:rsidP="00975D18"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文化、体育和娱乐业</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1,349,191.99</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0.02</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r w:rsidRPr="00B34368">
              <w:rPr>
                <w:rFonts w:eastAsiaTheme="minorEastAsia"/>
                <w:color w:themeColor="text1" w:val="000000"/>
                <w:sz w:val="24"/>
              </w:rPr>
              <w:t>S</w:t>
            </w:r>
          </w:p>
        </w:tc>
        <w:tc>
          <w:tcPr>
            <w:tcW w:type="dxa" w:w="3691"/>
            <w:tcMar>
              <w:top w:type="dxa" w:w="15"/>
              <w:left w:type="dxa" w:w="15"/>
              <w:bottom w:type="dxa" w:w="0"/>
              <w:right w:type="dxa" w:w="15"/>
            </w:tcMar>
          </w:tcPr>
          <w:p w:rsidP="00975D18"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综合</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r w:rsidRPr="00B34368">
              <w:rPr>
                <w:rFonts w:eastAsiaTheme="minorEastAsia"/>
                <w:color w:themeColor="text1" w:val="000000"/>
                <w:sz w:val="24"/>
              </w:rPr>
              <w:lastRenderedPageBreak/>
              <w:t/>
            </w:r>
            <w:proofErr w:type="spellEnd"/>
            <w:r w:rsidRPr="00B34368">
              <w:rPr>
                <w:rFonts w:eastAsiaTheme="minorEastAsia"/>
                <w:color w:themeColor="text1" w:val="000000"/>
                <w:sz w:val="24"/>
              </w:rPr>
              <w:t>-</w:t>
            </w:r>
          </w:p>
        </w:tc>
      </w:tr>
      <w:tr w:rsidR="00D3639B" w:rsidRPr="00B34368" w:rsidTr="004E70B7">
        <w:trPr>
          <w:trHeight w:val="285"/>
        </w:trPr>
        <w:tc>
          <w:tcPr>
            <w:tcW w:type="dxa" w:w="540"/>
            <w:tcMar>
              <w:top w:type="dxa" w:w="15"/>
              <w:left w:type="dxa" w:w="15"/>
              <w:bottom w:type="dxa" w:w="0"/>
              <w:right w:type="dxa" w:w="15"/>
            </w:tcMar>
          </w:tcPr>
          <w:p w:rsidP="00724F6D" w:rsidR="005F458B" w:rsidRDefault="005F458B" w:rsidRPr="00B34368">
            <w:pPr>
              <w:adjustRightInd w:val="0"/>
              <w:snapToGrid w:val="0"/>
              <w:spacing w:line="400" w:lineRule="exact"/>
              <w:jc w:val="center"/>
              <w:rPr>
                <w:rFonts w:eastAsiaTheme="minorEastAsia"/>
                <w:color w:themeColor="text1" w:val="000000"/>
                <w:sz w:val="24"/>
              </w:rPr>
            </w:pPr>
          </w:p>
        </w:tc>
        <w:tc>
          <w:tcPr>
            <w:tcW w:type="dxa" w:w="3691"/>
            <w:tcMar>
              <w:top w:type="dxa" w:w="15"/>
              <w:left w:type="dxa" w:w="15"/>
              <w:bottom w:type="dxa" w:w="0"/>
              <w:right w:type="dxa" w:w="15"/>
            </w:tcMar>
          </w:tcPr>
          <w:p w:rsidP="00975D18" w:rsidR="005F458B" w:rsidRDefault="005F458B" w:rsidRPr="00B34368">
            <w:pPr>
              <w:adjustRightInd w:val="0"/>
              <w:snapToGrid w:val="0"/>
              <w:spacing w:line="400" w:lineRule="exact"/>
              <w:rPr>
                <w:rFonts w:eastAsiaTheme="minorEastAsia"/>
                <w:color w:themeColor="text1" w:val="000000"/>
                <w:sz w:val="24"/>
              </w:rPr>
            </w:pPr>
            <w:r w:rsidRPr="00B34368">
              <w:rPr>
                <w:rFonts w:eastAsiaTheme="minorEastAsia" w:hAnsiTheme="minorEastAsia"/>
                <w:color w:themeColor="text1" w:val="000000"/>
                <w:sz w:val="24"/>
              </w:rPr>
              <w:t>合计</w:t>
            </w:r>
          </w:p>
        </w:tc>
        <w:tc>
          <w:tcPr>
            <w:tcW w:type="dxa" w:w="3135"/>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35,249,926.72</w:t>
            </w:r>
          </w:p>
        </w:tc>
        <w:tc>
          <w:tcPr>
            <w:tcW w:type="dxa" w:w="1365"/>
            <w:tcMar>
              <w:top w:type="dxa" w:w="15"/>
              <w:left w:type="dxa" w:w="15"/>
              <w:bottom w:type="dxa" w:w="0"/>
              <w:right w:type="dxa" w:w="15"/>
            </w:tcMar>
            <w:vAlign w:val="bottom"/>
          </w:tcPr>
          <w:p w:rsidP="00724F6D" w:rsidR="005F458B" w:rsidRDefault="005F458B" w:rsidRPr="00B34368">
            <w:pPr>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0.62</w:t>
            </w:r>
          </w:p>
        </w:tc>
      </w:tr>
    </w:tbl>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5.</w:t>
      </w:r>
      <w:r w:rsidR="0040218E" w:rsidRPr="00B34368">
        <w:rPr>
          <w:rFonts w:eastAsiaTheme="minorEastAsia"/>
          <w:b/>
          <w:color w:themeColor="text1" w:val="000000"/>
          <w:kern w:val="0"/>
          <w:sz w:val="24"/>
        </w:rPr>
        <w:t>4</w:t>
      </w:r>
      <w:r w:rsidRPr="00B34368">
        <w:rPr>
          <w:rFonts w:eastAsiaTheme="minorEastAsia"/>
          <w:b/>
          <w:color w:themeColor="text1" w:val="000000"/>
          <w:kern w:val="0"/>
          <w:sz w:val="24"/>
        </w:rPr>
        <w:t xml:space="preserve"> </w:t>
      </w:r>
      <w:r w:rsidRPr="00B34368">
        <w:rPr>
          <w:rFonts w:eastAsiaTheme="minorEastAsia" w:hAnsiTheme="minorEastAsia"/>
          <w:b/>
          <w:color w:themeColor="text1" w:val="000000"/>
          <w:kern w:val="0"/>
          <w:sz w:val="24"/>
        </w:rPr>
        <w:t>报告期末按公允价值占基金资产净值比例大小排序的前十名股票投资明细</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1" w:val="04A0"/>
      </w:tblPr>
      <w:tblGrid>
        <w:gridCol w:w="817"/>
        <w:gridCol w:w="1276"/>
        <w:gridCol w:w="1701"/>
        <w:gridCol w:w="1276"/>
        <w:gridCol w:w="1842"/>
        <w:gridCol w:w="1616"/>
      </w:tblGrid>
      <w:tr w:rsidR="00D3639B" w:rsidRPr="00B34368" w:rsidTr="00975D18">
        <w:tc>
          <w:tcPr>
            <w:tcW w:type="dxa" w:w="817"/>
            <w:vAlign w:val="center"/>
          </w:tcPr>
          <w:p w:rsidP="000871DB" w:rsidR="000871DB" w:rsidRDefault="000871DB"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序号</w:t>
            </w:r>
          </w:p>
        </w:tc>
        <w:tc>
          <w:tcPr>
            <w:tcW w:type="dxa" w:w="1276"/>
            <w:vAlign w:val="center"/>
          </w:tcPr>
          <w:p w:rsidP="000871DB" w:rsidR="000871DB" w:rsidRDefault="000871DB"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股票代码</w:t>
            </w:r>
          </w:p>
        </w:tc>
        <w:tc>
          <w:tcPr>
            <w:tcW w:type="dxa" w:w="1701"/>
            <w:vAlign w:val="center"/>
          </w:tcPr>
          <w:p w:rsidP="000871DB" w:rsidR="000871DB" w:rsidRDefault="000871DB"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股票名称</w:t>
            </w:r>
          </w:p>
        </w:tc>
        <w:tc>
          <w:tcPr>
            <w:tcW w:type="dxa" w:w="1276"/>
            <w:vAlign w:val="center"/>
          </w:tcPr>
          <w:p w:rsidP="000871DB" w:rsidR="000871DB" w:rsidRDefault="000871DB"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数量</w:t>
            </w:r>
            <w:r w:rsidRPr="00B34368">
              <w:rPr>
                <w:rFonts w:eastAsiaTheme="minorEastAsia"/>
                <w:color w:themeColor="text1" w:val="000000"/>
                <w:sz w:val="24"/>
              </w:rPr>
              <w:t>(</w:t>
            </w:r>
            <w:r w:rsidRPr="00B34368">
              <w:rPr>
                <w:rFonts w:eastAsiaTheme="minorEastAsia" w:hAnsiTheme="minorEastAsia"/>
                <w:color w:themeColor="text1" w:val="000000"/>
                <w:sz w:val="24"/>
              </w:rPr>
              <w:t>股</w:t>
            </w:r>
            <w:r w:rsidRPr="00B34368">
              <w:rPr>
                <w:rFonts w:eastAsiaTheme="minorEastAsia"/>
                <w:color w:themeColor="text1" w:val="000000"/>
                <w:sz w:val="24"/>
              </w:rPr>
              <w:t>)</w:t>
            </w:r>
          </w:p>
        </w:tc>
        <w:tc>
          <w:tcPr>
            <w:tcW w:type="dxa" w:w="1842"/>
            <w:vAlign w:val="center"/>
          </w:tcPr>
          <w:p w:rsidP="000871DB" w:rsidR="000871DB" w:rsidRDefault="000871DB" w:rsidRPr="00B34368">
            <w:pPr>
              <w:autoSpaceDE w:val="0"/>
              <w:autoSpaceDN w:val="0"/>
              <w:adjustRightInd w:val="0"/>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公允价值</w:t>
            </w:r>
            <w:r w:rsidRPr="00B34368">
              <w:rPr>
                <w:rFonts w:eastAsiaTheme="minorEastAsia"/>
                <w:color w:themeColor="text1" w:val="000000"/>
                <w:sz w:val="24"/>
              </w:rPr>
              <w:t>(</w:t>
            </w:r>
            <w:r w:rsidRPr="00B34368">
              <w:rPr>
                <w:rFonts w:eastAsiaTheme="minorEastAsia" w:hAnsiTheme="minorEastAsia"/>
                <w:color w:themeColor="text1" w:val="000000"/>
                <w:sz w:val="24"/>
              </w:rPr>
              <w:t>元</w:t>
            </w:r>
            <w:r w:rsidRPr="00B34368">
              <w:rPr>
                <w:rFonts w:eastAsiaTheme="minorEastAsia"/>
                <w:color w:themeColor="text1" w:val="000000"/>
                <w:sz w:val="24"/>
              </w:rPr>
              <w:t>)</w:t>
            </w:r>
          </w:p>
        </w:tc>
        <w:tc>
          <w:tcPr>
            <w:tcW w:type="dxa" w:w="1616"/>
            <w:vAlign w:val="center"/>
          </w:tcPr>
          <w:p w:rsidP="000871DB" w:rsidR="000871DB" w:rsidRDefault="000871DB" w:rsidRPr="00B34368">
            <w:pPr>
              <w:spacing w:before="29" w:line="360" w:lineRule="auto"/>
              <w:ind w:left="17"/>
              <w:jc w:val="center"/>
              <w:rPr>
                <w:rFonts w:eastAsiaTheme="minorEastAsia"/>
                <w:color w:themeColor="text1" w:val="000000"/>
                <w:sz w:val="24"/>
              </w:rPr>
            </w:pPr>
            <w:r w:rsidRPr="00B34368">
              <w:rPr>
                <w:rFonts w:eastAsiaTheme="minorEastAsia" w:hAnsiTheme="minorEastAsia"/>
                <w:color w:themeColor="text1" w:val="000000"/>
                <w:sz w:val="24"/>
              </w:rPr>
              <w:t>占基金资产净值比例</w:t>
            </w:r>
            <w:r w:rsidRPr="00B34368">
              <w:rPr>
                <w:rFonts w:eastAsiaTheme="minorEastAsia"/>
                <w:color w:themeColor="text1" w:val="000000"/>
                <w:sz w:val="24"/>
              </w:rPr>
              <w:t>(</w:t>
            </w:r>
            <w:r w:rsidRPr="00B34368">
              <w:rPr>
                <w:rFonts w:eastAsiaTheme="minorEastAsia" w:hAnsiTheme="minorEastAsia"/>
                <w:color w:themeColor="text1" w:val="000000"/>
                <w:sz w:val="24"/>
              </w:rPr>
              <w:t>％</w:t>
            </w:r>
            <w:r w:rsidRPr="00B34368">
              <w:rPr>
                <w:rFonts w:eastAsiaTheme="minorEastAsia"/>
                <w:color w:themeColor="text1" w:val="000000"/>
                <w:sz w:val="24"/>
              </w:rPr>
              <w:t>)</w:t>
            </w:r>
          </w:p>
        </w:tc>
      </w:tr>
      <w:tr>
        <w:tc>
          <w:tcPr>
            <w:vAlign w:val="center"/>
          </w:tcPr>
          <w:p>
            <w:pPr>
              <w:jc w:val="center"/>
            </w:pPr>
            <w:r>
              <w:rPr>
                <w:rFonts w:eastAsiaTheme="minorEastAsia"/>
                <w:color w:themeColor="text1" w:val="000000"/>
                <w:sz w:val="24"/>
              </w:rPr>
              <w:t>1</w:t>
            </w:r>
          </w:p>
        </w:tc>
        <w:tc>
          <w:tcPr>
            <w:vAlign w:val="center"/>
          </w:tcPr>
          <w:p>
            <w:pPr>
              <w:jc w:val="center"/>
            </w:pPr>
            <w:r>
              <w:rPr>
                <w:rFonts w:eastAsiaTheme="minorEastAsia"/>
                <w:color w:themeColor="text1" w:val="000000"/>
                <w:sz w:val="24"/>
              </w:rPr>
              <w:t>300750</w:t>
            </w:r>
          </w:p>
        </w:tc>
        <w:tc>
          <w:tcPr>
            <w:vAlign w:val="center"/>
          </w:tcPr>
          <w:p>
            <w:pPr>
              <w:jc w:val="center"/>
            </w:pPr>
            <w:r>
              <w:rPr>
                <w:rFonts w:eastAsiaTheme="minorEastAsia"/>
                <w:color w:themeColor="text1" w:val="000000"/>
                <w:sz w:val="24"/>
              </w:rPr>
              <w:t>宁德时代</w:t>
            </w:r>
          </w:p>
        </w:tc>
        <w:tc>
          <w:tcPr>
            <w:vAlign w:val="center"/>
          </w:tcPr>
          <w:p>
            <w:pPr>
              <w:jc w:val="right"/>
            </w:pPr>
            <w:r>
              <w:rPr>
                <w:rFonts w:eastAsiaTheme="minorEastAsia"/>
                <w:color w:themeColor="text1" w:val="000000"/>
                <w:sz w:val="24"/>
              </w:rPr>
              <w:t>13,061</w:t>
            </w:r>
          </w:p>
        </w:tc>
        <w:tc>
          <w:tcPr>
            <w:vAlign w:val="center"/>
          </w:tcPr>
          <w:p>
            <w:pPr>
              <w:jc w:val="right"/>
            </w:pPr>
            <w:r>
              <w:rPr>
                <w:rFonts w:eastAsiaTheme="minorEastAsia"/>
                <w:color w:themeColor="text1" w:val="000000"/>
                <w:sz w:val="24"/>
              </w:rPr>
              <w:t>2,277,315.96</w:t>
            </w:r>
          </w:p>
        </w:tc>
        <w:tc>
          <w:tcPr>
            <w:vAlign w:val="center"/>
          </w:tcPr>
          <w:p>
            <w:pPr>
              <w:jc w:val="right"/>
            </w:pPr>
            <w:r>
              <w:rPr>
                <w:rFonts w:eastAsiaTheme="minorEastAsia"/>
                <w:color w:themeColor="text1" w:val="000000"/>
                <w:sz w:val="24"/>
              </w:rPr>
              <w:t>0.04</w:t>
            </w:r>
          </w:p>
        </w:tc>
      </w:tr>
      <w:tr>
        <w:tc>
          <w:tcPr>
            <w:vAlign w:val="center"/>
          </w:tcPr>
          <w:p>
            <w:pPr>
              <w:jc w:val="center"/>
            </w:pPr>
            <w:r>
              <w:rPr>
                <w:rFonts w:eastAsiaTheme="minorEastAsia"/>
                <w:color w:themeColor="text1" w:val="000000"/>
                <w:sz w:val="24"/>
              </w:rPr>
              <w:t>2</w:t>
            </w:r>
          </w:p>
        </w:tc>
        <w:tc>
          <w:tcPr>
            <w:vAlign w:val="center"/>
          </w:tcPr>
          <w:p>
            <w:pPr>
              <w:jc w:val="center"/>
            </w:pPr>
            <w:r>
              <w:rPr>
                <w:rFonts w:eastAsiaTheme="minorEastAsia"/>
                <w:color w:themeColor="text1" w:val="000000"/>
                <w:sz w:val="24"/>
              </w:rPr>
              <w:t>300760</w:t>
            </w:r>
          </w:p>
        </w:tc>
        <w:tc>
          <w:tcPr>
            <w:vAlign w:val="center"/>
          </w:tcPr>
          <w:p>
            <w:pPr>
              <w:jc w:val="center"/>
            </w:pPr>
            <w:r>
              <w:rPr>
                <w:rFonts w:eastAsiaTheme="minorEastAsia"/>
                <w:color w:themeColor="text1" w:val="000000"/>
                <w:sz w:val="24"/>
              </w:rPr>
              <w:t>迈瑞医疗</w:t>
            </w:r>
          </w:p>
        </w:tc>
        <w:tc>
          <w:tcPr>
            <w:vAlign w:val="center"/>
          </w:tcPr>
          <w:p>
            <w:pPr>
              <w:jc w:val="right"/>
            </w:pPr>
            <w:r>
              <w:rPr>
                <w:rFonts w:eastAsiaTheme="minorEastAsia"/>
                <w:color w:themeColor="text1" w:val="000000"/>
                <w:sz w:val="24"/>
              </w:rPr>
              <w:t>6,456</w:t>
            </w:r>
          </w:p>
        </w:tc>
        <w:tc>
          <w:tcPr>
            <w:vAlign w:val="center"/>
          </w:tcPr>
          <w:p>
            <w:pPr>
              <w:jc w:val="right"/>
            </w:pPr>
            <w:r>
              <w:rPr>
                <w:rFonts w:eastAsiaTheme="minorEastAsia"/>
                <w:color w:themeColor="text1" w:val="000000"/>
                <w:sz w:val="24"/>
              </w:rPr>
              <w:t>1,973,599.20</w:t>
            </w:r>
          </w:p>
        </w:tc>
        <w:tc>
          <w:tcPr>
            <w:vAlign w:val="center"/>
          </w:tcPr>
          <w:p>
            <w:pPr>
              <w:jc w:val="right"/>
            </w:pPr>
            <w:r>
              <w:rPr>
                <w:rFonts w:eastAsiaTheme="minorEastAsia"/>
                <w:color w:themeColor="text1" w:val="000000"/>
                <w:sz w:val="24"/>
              </w:rPr>
              <w:t>0.03</w:t>
            </w:r>
          </w:p>
        </w:tc>
      </w:tr>
      <w:tr>
        <w:tc>
          <w:tcPr>
            <w:vAlign w:val="center"/>
          </w:tcPr>
          <w:p>
            <w:pPr>
              <w:jc w:val="center"/>
            </w:pPr>
            <w:r>
              <w:rPr>
                <w:rFonts w:eastAsiaTheme="minorEastAsia"/>
                <w:color w:themeColor="text1" w:val="000000"/>
                <w:sz w:val="24"/>
              </w:rPr>
              <w:t>3</w:t>
            </w:r>
          </w:p>
        </w:tc>
        <w:tc>
          <w:tcPr>
            <w:vAlign w:val="center"/>
          </w:tcPr>
          <w:p>
            <w:pPr>
              <w:jc w:val="center"/>
            </w:pPr>
            <w:r>
              <w:rPr>
                <w:rFonts w:eastAsiaTheme="minorEastAsia"/>
                <w:color w:themeColor="text1" w:val="000000"/>
                <w:sz w:val="24"/>
              </w:rPr>
              <w:t>300059</w:t>
            </w:r>
          </w:p>
        </w:tc>
        <w:tc>
          <w:tcPr>
            <w:vAlign w:val="center"/>
          </w:tcPr>
          <w:p>
            <w:pPr>
              <w:jc w:val="center"/>
            </w:pPr>
            <w:r>
              <w:rPr>
                <w:rFonts w:eastAsiaTheme="minorEastAsia"/>
                <w:color w:themeColor="text1" w:val="000000"/>
                <w:sz w:val="24"/>
              </w:rPr>
              <w:t>东方财富</w:t>
            </w:r>
          </w:p>
        </w:tc>
        <w:tc>
          <w:tcPr>
            <w:vAlign w:val="center"/>
          </w:tcPr>
          <w:p>
            <w:pPr>
              <w:jc w:val="right"/>
            </w:pPr>
            <w:r>
              <w:rPr>
                <w:rFonts w:eastAsiaTheme="minorEastAsia"/>
                <w:color w:themeColor="text1" w:val="000000"/>
                <w:sz w:val="24"/>
              </w:rPr>
              <w:t>96,667</w:t>
            </w:r>
          </w:p>
        </w:tc>
        <w:tc>
          <w:tcPr>
            <w:vAlign w:val="center"/>
          </w:tcPr>
          <w:p>
            <w:pPr>
              <w:jc w:val="right"/>
            </w:pPr>
            <w:r>
              <w:rPr>
                <w:rFonts w:eastAsiaTheme="minorEastAsia"/>
                <w:color w:themeColor="text1" w:val="000000"/>
                <w:sz w:val="24"/>
              </w:rPr>
              <w:t>1,952,673.40</w:t>
            </w:r>
          </w:p>
        </w:tc>
        <w:tc>
          <w:tcPr>
            <w:vAlign w:val="center"/>
          </w:tcPr>
          <w:p>
            <w:pPr>
              <w:jc w:val="right"/>
            </w:pPr>
            <w:r>
              <w:rPr>
                <w:rFonts w:eastAsiaTheme="minorEastAsia"/>
                <w:color w:themeColor="text1" w:val="000000"/>
                <w:sz w:val="24"/>
              </w:rPr>
              <w:t>0.03</w:t>
            </w:r>
          </w:p>
        </w:tc>
      </w:tr>
      <w:tr>
        <w:tc>
          <w:tcPr>
            <w:vAlign w:val="center"/>
          </w:tcPr>
          <w:p>
            <w:pPr>
              <w:jc w:val="center"/>
            </w:pPr>
            <w:r>
              <w:rPr>
                <w:rFonts w:eastAsiaTheme="minorEastAsia"/>
                <w:color w:themeColor="text1" w:val="000000"/>
                <w:sz w:val="24"/>
              </w:rPr>
              <w:t>4</w:t>
            </w:r>
          </w:p>
        </w:tc>
        <w:tc>
          <w:tcPr>
            <w:vAlign w:val="center"/>
          </w:tcPr>
          <w:p>
            <w:pPr>
              <w:jc w:val="center"/>
            </w:pPr>
            <w:r>
              <w:rPr>
                <w:rFonts w:eastAsiaTheme="minorEastAsia"/>
                <w:color w:themeColor="text1" w:val="000000"/>
                <w:sz w:val="24"/>
              </w:rPr>
              <w:t>300498</w:t>
            </w:r>
          </w:p>
        </w:tc>
        <w:tc>
          <w:tcPr>
            <w:vAlign w:val="center"/>
          </w:tcPr>
          <w:p>
            <w:pPr>
              <w:jc w:val="center"/>
            </w:pPr>
            <w:r>
              <w:rPr>
                <w:rFonts w:eastAsiaTheme="minorEastAsia"/>
                <w:color w:themeColor="text1" w:val="000000"/>
                <w:sz w:val="24"/>
              </w:rPr>
              <w:t>温氏股份</w:t>
            </w:r>
          </w:p>
        </w:tc>
        <w:tc>
          <w:tcPr>
            <w:vAlign w:val="center"/>
          </w:tcPr>
          <w:p>
            <w:pPr>
              <w:jc w:val="right"/>
            </w:pPr>
            <w:r>
              <w:rPr>
                <w:rFonts w:eastAsiaTheme="minorEastAsia"/>
                <w:color w:themeColor="text1" w:val="000000"/>
                <w:sz w:val="24"/>
              </w:rPr>
              <w:t>78,312</w:t>
            </w:r>
          </w:p>
        </w:tc>
        <w:tc>
          <w:tcPr>
            <w:vAlign w:val="center"/>
          </w:tcPr>
          <w:p>
            <w:pPr>
              <w:jc w:val="right"/>
            </w:pPr>
            <w:r>
              <w:rPr>
                <w:rFonts w:eastAsiaTheme="minorEastAsia"/>
                <w:color w:themeColor="text1" w:val="000000"/>
                <w:sz w:val="24"/>
              </w:rPr>
              <w:t>1,707,201.60</w:t>
            </w:r>
          </w:p>
        </w:tc>
        <w:tc>
          <w:tcPr>
            <w:vAlign w:val="center"/>
          </w:tcPr>
          <w:p>
            <w:pPr>
              <w:jc w:val="right"/>
            </w:pPr>
            <w:r>
              <w:rPr>
                <w:rFonts w:eastAsiaTheme="minorEastAsia"/>
                <w:color w:themeColor="text1" w:val="000000"/>
                <w:sz w:val="24"/>
              </w:rPr>
              <w:t>0.03</w:t>
            </w:r>
          </w:p>
        </w:tc>
      </w:tr>
      <w:tr>
        <w:tc>
          <w:tcPr>
            <w:vAlign w:val="center"/>
          </w:tcPr>
          <w:p>
            <w:pPr>
              <w:jc w:val="center"/>
            </w:pPr>
            <w:r>
              <w:rPr>
                <w:rFonts w:eastAsiaTheme="minorEastAsia"/>
                <w:color w:themeColor="text1" w:val="000000"/>
                <w:sz w:val="24"/>
              </w:rPr>
              <w:t>5</w:t>
            </w:r>
          </w:p>
        </w:tc>
        <w:tc>
          <w:tcPr>
            <w:vAlign w:val="center"/>
          </w:tcPr>
          <w:p>
            <w:pPr>
              <w:jc w:val="center"/>
            </w:pPr>
            <w:r>
              <w:rPr>
                <w:rFonts w:eastAsiaTheme="minorEastAsia"/>
                <w:color w:themeColor="text1" w:val="000000"/>
                <w:sz w:val="24"/>
              </w:rPr>
              <w:t>300015</w:t>
            </w:r>
          </w:p>
        </w:tc>
        <w:tc>
          <w:tcPr>
            <w:vAlign w:val="center"/>
          </w:tcPr>
          <w:p>
            <w:pPr>
              <w:jc w:val="center"/>
            </w:pPr>
            <w:r>
              <w:rPr>
                <w:rFonts w:eastAsiaTheme="minorEastAsia"/>
                <w:color w:themeColor="text1" w:val="000000"/>
                <w:sz w:val="24"/>
              </w:rPr>
              <w:t>爱尔眼科</w:t>
            </w:r>
          </w:p>
        </w:tc>
        <w:tc>
          <w:tcPr>
            <w:vAlign w:val="center"/>
          </w:tcPr>
          <w:p>
            <w:pPr>
              <w:jc w:val="right"/>
            </w:pPr>
            <w:r>
              <w:rPr>
                <w:rFonts w:eastAsiaTheme="minorEastAsia"/>
                <w:color w:themeColor="text1" w:val="000000"/>
                <w:sz w:val="24"/>
              </w:rPr>
              <w:t>28,983</w:t>
            </w:r>
          </w:p>
        </w:tc>
        <w:tc>
          <w:tcPr>
            <w:vAlign w:val="center"/>
          </w:tcPr>
          <w:p>
            <w:pPr>
              <w:jc w:val="right"/>
            </w:pPr>
            <w:r>
              <w:rPr>
                <w:rFonts w:eastAsiaTheme="minorEastAsia"/>
                <w:color w:themeColor="text1" w:val="000000"/>
                <w:sz w:val="24"/>
              </w:rPr>
              <w:t>1,259,311.35</w:t>
            </w:r>
          </w:p>
        </w:tc>
        <w:tc>
          <w:tcPr>
            <w:vAlign w:val="center"/>
          </w:tcPr>
          <w:p>
            <w:pPr>
              <w:jc w:val="right"/>
            </w:pPr>
            <w:r>
              <w:rPr>
                <w:rFonts w:eastAsiaTheme="minorEastAsia"/>
                <w:color w:themeColor="text1" w:val="000000"/>
                <w:sz w:val="24"/>
              </w:rPr>
              <w:t>0.02</w:t>
            </w:r>
          </w:p>
        </w:tc>
      </w:tr>
      <w:tr>
        <w:tc>
          <w:tcPr>
            <w:vAlign w:val="center"/>
          </w:tcPr>
          <w:p>
            <w:pPr>
              <w:jc w:val="center"/>
            </w:pPr>
            <w:r>
              <w:rPr>
                <w:rFonts w:eastAsiaTheme="minorEastAsia"/>
                <w:color w:themeColor="text1" w:val="000000"/>
                <w:sz w:val="24"/>
              </w:rPr>
              <w:t>6</w:t>
            </w:r>
          </w:p>
        </w:tc>
        <w:tc>
          <w:tcPr>
            <w:vAlign w:val="center"/>
          </w:tcPr>
          <w:p>
            <w:pPr>
              <w:jc w:val="center"/>
            </w:pPr>
            <w:r>
              <w:rPr>
                <w:rFonts w:eastAsiaTheme="minorEastAsia"/>
                <w:color w:themeColor="text1" w:val="000000"/>
                <w:sz w:val="24"/>
              </w:rPr>
              <w:t>300142</w:t>
            </w:r>
          </w:p>
        </w:tc>
        <w:tc>
          <w:tcPr>
            <w:vAlign w:val="center"/>
          </w:tcPr>
          <w:p>
            <w:pPr>
              <w:jc w:val="center"/>
            </w:pPr>
            <w:r>
              <w:rPr>
                <w:rFonts w:eastAsiaTheme="minorEastAsia"/>
                <w:color w:themeColor="text1" w:val="000000"/>
                <w:sz w:val="24"/>
              </w:rPr>
              <w:t>沃森生物</w:t>
            </w:r>
          </w:p>
        </w:tc>
        <w:tc>
          <w:tcPr>
            <w:vAlign w:val="center"/>
          </w:tcPr>
          <w:p>
            <w:pPr>
              <w:jc w:val="right"/>
            </w:pPr>
            <w:r>
              <w:rPr>
                <w:rFonts w:eastAsiaTheme="minorEastAsia"/>
                <w:color w:themeColor="text1" w:val="000000"/>
                <w:sz w:val="24"/>
              </w:rPr>
              <w:t>20,500</w:t>
            </w:r>
          </w:p>
        </w:tc>
        <w:tc>
          <w:tcPr>
            <w:vAlign w:val="center"/>
          </w:tcPr>
          <w:p>
            <w:pPr>
              <w:jc w:val="right"/>
            </w:pPr>
            <w:r>
              <w:rPr>
                <w:rFonts w:eastAsiaTheme="minorEastAsia"/>
                <w:color w:themeColor="text1" w:val="000000"/>
                <w:sz w:val="24"/>
              </w:rPr>
              <w:t>1,073,380.00</w:t>
            </w:r>
          </w:p>
        </w:tc>
        <w:tc>
          <w:tcPr>
            <w:vAlign w:val="center"/>
          </w:tcPr>
          <w:p>
            <w:pPr>
              <w:jc w:val="right"/>
            </w:pPr>
            <w:r>
              <w:rPr>
                <w:rFonts w:eastAsiaTheme="minorEastAsia"/>
                <w:color w:themeColor="text1" w:val="000000"/>
                <w:sz w:val="24"/>
              </w:rPr>
              <w:t>0.02</w:t>
            </w:r>
          </w:p>
        </w:tc>
      </w:tr>
      <w:tr>
        <w:tc>
          <w:tcPr>
            <w:vAlign w:val="center"/>
          </w:tcPr>
          <w:p>
            <w:pPr>
              <w:jc w:val="center"/>
            </w:pPr>
            <w:r>
              <w:rPr>
                <w:rFonts w:eastAsiaTheme="minorEastAsia"/>
                <w:color w:themeColor="text1" w:val="000000"/>
                <w:sz w:val="24"/>
              </w:rPr>
              <w:t>7</w:t>
            </w:r>
          </w:p>
        </w:tc>
        <w:tc>
          <w:tcPr>
            <w:vAlign w:val="center"/>
          </w:tcPr>
          <w:p>
            <w:pPr>
              <w:jc w:val="center"/>
            </w:pPr>
            <w:r>
              <w:rPr>
                <w:rFonts w:eastAsiaTheme="minorEastAsia"/>
                <w:color w:themeColor="text1" w:val="000000"/>
                <w:sz w:val="24"/>
              </w:rPr>
              <w:t>300463</w:t>
            </w:r>
          </w:p>
        </w:tc>
        <w:tc>
          <w:tcPr>
            <w:vAlign w:val="center"/>
          </w:tcPr>
          <w:p>
            <w:pPr>
              <w:jc w:val="center"/>
            </w:pPr>
            <w:r>
              <w:rPr>
                <w:rFonts w:eastAsiaTheme="minorEastAsia"/>
                <w:color w:themeColor="text1" w:val="000000"/>
                <w:sz w:val="24"/>
              </w:rPr>
              <w:t>迈克生物</w:t>
            </w:r>
          </w:p>
        </w:tc>
        <w:tc>
          <w:tcPr>
            <w:vAlign w:val="center"/>
          </w:tcPr>
          <w:p>
            <w:pPr>
              <w:jc w:val="right"/>
            </w:pPr>
            <w:r>
              <w:rPr>
                <w:rFonts w:eastAsiaTheme="minorEastAsia"/>
                <w:color w:themeColor="text1" w:val="000000"/>
                <w:sz w:val="24"/>
              </w:rPr>
              <w:t>15,700</w:t>
            </w:r>
          </w:p>
        </w:tc>
        <w:tc>
          <w:tcPr>
            <w:vAlign w:val="center"/>
          </w:tcPr>
          <w:p>
            <w:pPr>
              <w:jc w:val="right"/>
            </w:pPr>
            <w:r>
              <w:rPr>
                <w:rFonts w:eastAsiaTheme="minorEastAsia"/>
                <w:color w:themeColor="text1" w:val="000000"/>
                <w:sz w:val="24"/>
              </w:rPr>
              <w:t>914,211.00</w:t>
            </w:r>
          </w:p>
        </w:tc>
        <w:tc>
          <w:tcPr>
            <w:vAlign w:val="center"/>
          </w:tcPr>
          <w:p>
            <w:pPr>
              <w:jc w:val="right"/>
            </w:pPr>
            <w:r>
              <w:rPr>
                <w:rFonts w:eastAsiaTheme="minorEastAsia"/>
                <w:color w:themeColor="text1" w:val="000000"/>
                <w:sz w:val="24"/>
              </w:rPr>
              <w:t>0.02</w:t>
            </w:r>
          </w:p>
        </w:tc>
      </w:tr>
      <w:tr>
        <w:tc>
          <w:tcPr>
            <w:vAlign w:val="center"/>
          </w:tcPr>
          <w:p>
            <w:pPr>
              <w:jc w:val="center"/>
            </w:pPr>
            <w:r>
              <w:rPr>
                <w:rFonts w:eastAsiaTheme="minorEastAsia"/>
                <w:color w:themeColor="text1" w:val="000000"/>
                <w:sz w:val="24"/>
              </w:rPr>
              <w:t>8</w:t>
            </w:r>
          </w:p>
        </w:tc>
        <w:tc>
          <w:tcPr>
            <w:vAlign w:val="center"/>
          </w:tcPr>
          <w:p>
            <w:pPr>
              <w:jc w:val="center"/>
            </w:pPr>
            <w:r>
              <w:rPr>
                <w:rFonts w:eastAsiaTheme="minorEastAsia"/>
                <w:color w:themeColor="text1" w:val="000000"/>
                <w:sz w:val="24"/>
              </w:rPr>
              <w:t>300347</w:t>
            </w:r>
          </w:p>
        </w:tc>
        <w:tc>
          <w:tcPr>
            <w:vAlign w:val="center"/>
          </w:tcPr>
          <w:p>
            <w:pPr>
              <w:jc w:val="center"/>
            </w:pPr>
            <w:r>
              <w:rPr>
                <w:rFonts w:eastAsiaTheme="minorEastAsia"/>
                <w:color w:themeColor="text1" w:val="000000"/>
                <w:sz w:val="24"/>
              </w:rPr>
              <w:t>泰格医药</w:t>
            </w:r>
          </w:p>
        </w:tc>
        <w:tc>
          <w:tcPr>
            <w:vAlign w:val="center"/>
          </w:tcPr>
          <w:p>
            <w:pPr>
              <w:jc w:val="right"/>
            </w:pPr>
            <w:r>
              <w:rPr>
                <w:rFonts w:eastAsiaTheme="minorEastAsia"/>
                <w:color w:themeColor="text1" w:val="000000"/>
                <w:sz w:val="24"/>
              </w:rPr>
              <w:t>8,156</w:t>
            </w:r>
          </w:p>
        </w:tc>
        <w:tc>
          <w:tcPr>
            <w:vAlign w:val="center"/>
          </w:tcPr>
          <w:p>
            <w:pPr>
              <w:jc w:val="right"/>
            </w:pPr>
            <w:r>
              <w:rPr>
                <w:rFonts w:eastAsiaTheme="minorEastAsia"/>
                <w:color w:themeColor="text1" w:val="000000"/>
                <w:sz w:val="24"/>
              </w:rPr>
              <w:t>830,933.28</w:t>
            </w:r>
          </w:p>
        </w:tc>
        <w:tc>
          <w:tcPr>
            <w:vAlign w:val="center"/>
          </w:tcPr>
          <w:p>
            <w:pPr>
              <w:jc w:val="right"/>
            </w:pPr>
            <w:r>
              <w:rPr>
                <w:rFonts w:eastAsiaTheme="minorEastAsia"/>
                <w:color w:themeColor="text1" w:val="000000"/>
                <w:sz w:val="24"/>
              </w:rPr>
              <w:t>0.01</w:t>
            </w:r>
          </w:p>
        </w:tc>
      </w:tr>
      <w:tr>
        <w:tc>
          <w:tcPr>
            <w:vAlign w:val="center"/>
          </w:tcPr>
          <w:p>
            <w:pPr>
              <w:jc w:val="center"/>
            </w:pPr>
            <w:r>
              <w:rPr>
                <w:rFonts w:eastAsiaTheme="minorEastAsia"/>
                <w:color w:themeColor="text1" w:val="000000"/>
                <w:sz w:val="24"/>
              </w:rPr>
              <w:t>9</w:t>
            </w:r>
          </w:p>
        </w:tc>
        <w:tc>
          <w:tcPr>
            <w:vAlign w:val="center"/>
          </w:tcPr>
          <w:p>
            <w:pPr>
              <w:jc w:val="center"/>
            </w:pPr>
            <w:r>
              <w:rPr>
                <w:rFonts w:eastAsiaTheme="minorEastAsia"/>
                <w:color w:themeColor="text1" w:val="000000"/>
                <w:sz w:val="24"/>
              </w:rPr>
              <w:t>300122</w:t>
            </w:r>
          </w:p>
        </w:tc>
        <w:tc>
          <w:tcPr>
            <w:vAlign w:val="center"/>
          </w:tcPr>
          <w:p>
            <w:pPr>
              <w:jc w:val="center"/>
            </w:pPr>
            <w:r>
              <w:rPr>
                <w:rFonts w:eastAsiaTheme="minorEastAsia"/>
                <w:color w:themeColor="text1" w:val="000000"/>
                <w:sz w:val="24"/>
              </w:rPr>
              <w:t>智飞生物</w:t>
            </w:r>
          </w:p>
        </w:tc>
        <w:tc>
          <w:tcPr>
            <w:vAlign w:val="center"/>
          </w:tcPr>
          <w:p>
            <w:pPr>
              <w:jc w:val="right"/>
            </w:pPr>
            <w:r>
              <w:rPr>
                <w:rFonts w:eastAsiaTheme="minorEastAsia"/>
                <w:color w:themeColor="text1" w:val="000000"/>
                <w:sz w:val="24"/>
              </w:rPr>
              <w:t>8,100</w:t>
            </w:r>
          </w:p>
        </w:tc>
        <w:tc>
          <w:tcPr>
            <w:vAlign w:val="center"/>
          </w:tcPr>
          <w:p>
            <w:pPr>
              <w:jc w:val="right"/>
            </w:pPr>
            <w:r>
              <w:rPr>
                <w:rFonts w:eastAsiaTheme="minorEastAsia"/>
                <w:color w:themeColor="text1" w:val="000000"/>
                <w:sz w:val="24"/>
              </w:rPr>
              <w:t>811,215.00</w:t>
            </w:r>
          </w:p>
        </w:tc>
        <w:tc>
          <w:tcPr>
            <w:vAlign w:val="center"/>
          </w:tcPr>
          <w:p>
            <w:pPr>
              <w:jc w:val="right"/>
            </w:pPr>
            <w:r>
              <w:rPr>
                <w:rFonts w:eastAsiaTheme="minorEastAsia"/>
                <w:color w:themeColor="text1" w:val="000000"/>
                <w:sz w:val="24"/>
              </w:rPr>
              <w:t>0.01</w:t>
            </w:r>
          </w:p>
        </w:tc>
      </w:tr>
      <w:tr>
        <w:tc>
          <w:tcPr>
            <w:vAlign w:val="center"/>
          </w:tcPr>
          <w:p>
            <w:pPr>
              <w:jc w:val="center"/>
            </w:pPr>
            <w:r>
              <w:rPr>
                <w:rFonts w:eastAsiaTheme="minorEastAsia"/>
                <w:color w:themeColor="text1" w:val="000000"/>
                <w:sz w:val="24"/>
              </w:rPr>
              <w:t>10</w:t>
            </w:r>
          </w:p>
        </w:tc>
        <w:tc>
          <w:tcPr>
            <w:vAlign w:val="center"/>
          </w:tcPr>
          <w:p>
            <w:pPr>
              <w:jc w:val="center"/>
            </w:pPr>
            <w:r>
              <w:rPr>
                <w:rFonts w:eastAsiaTheme="minorEastAsia"/>
                <w:color w:themeColor="text1" w:val="000000"/>
                <w:sz w:val="24"/>
              </w:rPr>
              <w:t>300014</w:t>
            </w:r>
          </w:p>
        </w:tc>
        <w:tc>
          <w:tcPr>
            <w:vAlign w:val="center"/>
          </w:tcPr>
          <w:p>
            <w:pPr>
              <w:jc w:val="center"/>
            </w:pPr>
            <w:r>
              <w:rPr>
                <w:rFonts w:eastAsiaTheme="minorEastAsia"/>
                <w:color w:themeColor="text1" w:val="000000"/>
                <w:sz w:val="24"/>
              </w:rPr>
              <w:t>亿纬锂能</w:t>
            </w:r>
          </w:p>
        </w:tc>
        <w:tc>
          <w:tcPr>
            <w:vAlign w:val="center"/>
          </w:tcPr>
          <w:p>
            <w:pPr>
              <w:jc w:val="right"/>
            </w:pPr>
            <w:r>
              <w:rPr>
                <w:rFonts w:eastAsiaTheme="minorEastAsia"/>
                <w:color w:themeColor="text1" w:val="000000"/>
                <w:sz w:val="24"/>
              </w:rPr>
              <w:t>16,179</w:t>
            </w:r>
          </w:p>
        </w:tc>
        <w:tc>
          <w:tcPr>
            <w:vAlign w:val="center"/>
          </w:tcPr>
          <w:p>
            <w:pPr>
              <w:jc w:val="right"/>
            </w:pPr>
            <w:r>
              <w:rPr>
                <w:rFonts w:eastAsiaTheme="minorEastAsia"/>
                <w:color w:themeColor="text1" w:val="000000"/>
                <w:sz w:val="24"/>
              </w:rPr>
              <w:t>774,165.15</w:t>
            </w:r>
          </w:p>
        </w:tc>
        <w:tc>
          <w:tcPr>
            <w:vAlign w:val="center"/>
          </w:tcPr>
          <w:p>
            <w:pPr>
              <w:jc w:val="right"/>
            </w:pPr>
            <w:r>
              <w:rPr>
                <w:rFonts w:eastAsiaTheme="minorEastAsia"/>
                <w:color w:themeColor="text1" w:val="000000"/>
                <w:sz w:val="24"/>
              </w:rPr>
              <w:t>0.01</w:t>
            </w:r>
          </w:p>
        </w:tc>
      </w:tr>
    </w:tbl>
    <w:p w:rsidP="00C544B8" w:rsidR="00F21B6D"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5.</w:t>
      </w:r>
      <w:r w:rsidR="0040218E" w:rsidRPr="00B34368">
        <w:rPr>
          <w:rFonts w:eastAsiaTheme="minorEastAsia"/>
          <w:b/>
          <w:color w:themeColor="text1" w:val="000000"/>
          <w:kern w:val="0"/>
          <w:sz w:val="24"/>
        </w:rPr>
        <w:t>5</w:t>
      </w:r>
      <w:r w:rsidRPr="00B34368">
        <w:rPr>
          <w:rFonts w:eastAsiaTheme="minorEastAsia"/>
          <w:b/>
          <w:color w:themeColor="text1" w:val="000000"/>
          <w:kern w:val="0"/>
          <w:sz w:val="24"/>
        </w:rPr>
        <w:t xml:space="preserve"> </w:t>
      </w:r>
      <w:r w:rsidRPr="00B34368">
        <w:rPr>
          <w:rFonts w:eastAsiaTheme="minorEastAsia" w:hAnsiTheme="minorEastAsia"/>
          <w:b/>
          <w:color w:themeColor="text1" w:val="000000"/>
          <w:kern w:val="0"/>
          <w:sz w:val="24"/>
        </w:rPr>
        <w:t>报告期末按债券品种分类的债券投资组合</w:t>
      </w:r>
    </w:p>
    <w:p w:rsidP="00B34368" w:rsidR="009238DB" w:rsidRDefault="00F21B6D"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本基金本报告期末未持有债券。</w:t>
      </w:r>
    </w:p>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5.</w:t>
      </w:r>
      <w:r w:rsidR="0040218E" w:rsidRPr="00B34368">
        <w:rPr>
          <w:rFonts w:eastAsiaTheme="minorEastAsia"/>
          <w:b/>
          <w:color w:themeColor="text1" w:val="000000"/>
          <w:kern w:val="0"/>
          <w:sz w:val="24"/>
        </w:rPr>
        <w:t>6</w:t>
      </w:r>
      <w:r w:rsidRPr="00B34368">
        <w:rPr>
          <w:rFonts w:eastAsiaTheme="minorEastAsia"/>
          <w:b/>
          <w:color w:themeColor="text1" w:val="000000"/>
          <w:kern w:val="0"/>
          <w:sz w:val="24"/>
        </w:rPr>
        <w:t xml:space="preserve"> </w:t>
      </w:r>
      <w:r w:rsidRPr="00B34368">
        <w:rPr>
          <w:rFonts w:eastAsiaTheme="minorEastAsia" w:hAnsiTheme="minorEastAsia"/>
          <w:b/>
          <w:color w:themeColor="text1" w:val="000000"/>
          <w:kern w:val="0"/>
          <w:sz w:val="24"/>
        </w:rPr>
        <w:t>报告期末按公允价值占基金资产净值比例大小排</w:t>
      </w:r>
      <w:r w:rsidR="00E15FD1" w:rsidRPr="00B34368">
        <w:rPr>
          <w:rFonts w:eastAsiaTheme="minorEastAsia" w:hAnsiTheme="minorEastAsia"/>
          <w:b/>
          <w:color w:themeColor="text1" w:val="000000"/>
          <w:kern w:val="0"/>
          <w:sz w:val="24"/>
        </w:rPr>
        <w:t>序</w:t>
      </w:r>
      <w:r w:rsidRPr="00B34368">
        <w:rPr>
          <w:rFonts w:eastAsiaTheme="minorEastAsia" w:hAnsiTheme="minorEastAsia"/>
          <w:b/>
          <w:color w:themeColor="text1" w:val="000000"/>
          <w:kern w:val="0"/>
          <w:sz w:val="24"/>
        </w:rPr>
        <w:t>的前五名债券投资明细</w:t>
      </w:r>
    </w:p>
    <w:p w:rsidP="00B34368" w:rsidR="009238DB" w:rsidRDefault="00296E4A"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本基金本报告期末未持有债券。</w:t>
      </w:r>
    </w:p>
    <w:p w:rsidP="00C544B8" w:rsidR="009238DB" w:rsidRDefault="009238DB"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5.</w:t>
      </w:r>
      <w:r w:rsidR="0040218E" w:rsidRPr="00B34368">
        <w:rPr>
          <w:rFonts w:eastAsiaTheme="minorEastAsia"/>
          <w:b/>
          <w:color w:themeColor="text1" w:val="000000"/>
          <w:kern w:val="0"/>
          <w:sz w:val="24"/>
        </w:rPr>
        <w:t>7</w:t>
      </w:r>
      <w:r w:rsidRPr="00B34368">
        <w:rPr>
          <w:rFonts w:eastAsiaTheme="minorEastAsia" w:hAnsiTheme="minorEastAsia"/>
          <w:b/>
          <w:color w:themeColor="text1" w:val="000000"/>
          <w:kern w:val="0"/>
          <w:sz w:val="24"/>
        </w:rPr>
        <w:t xml:space="preserve">　报告期末按公允价值占基金资产净值比例大小排</w:t>
      </w:r>
      <w:r w:rsidR="00E15FD1" w:rsidRPr="00B34368">
        <w:rPr>
          <w:rFonts w:eastAsiaTheme="minorEastAsia" w:hAnsiTheme="minorEastAsia"/>
          <w:b/>
          <w:color w:themeColor="text1" w:val="000000"/>
          <w:kern w:val="0"/>
          <w:sz w:val="24"/>
        </w:rPr>
        <w:t>序</w:t>
      </w:r>
      <w:r w:rsidRPr="00B34368">
        <w:rPr>
          <w:rFonts w:eastAsiaTheme="minorEastAsia" w:hAnsiTheme="minorEastAsia"/>
          <w:b/>
          <w:color w:themeColor="text1" w:val="000000"/>
          <w:kern w:val="0"/>
          <w:sz w:val="24"/>
        </w:rPr>
        <w:t>的前十名资产支持证券投资明细</w:t>
      </w:r>
    </w:p>
    <w:p w:rsidP="00B34368" w:rsidR="009238DB" w:rsidRDefault="00C260A2"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lastRenderedPageBreak/>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本基金本报告期末未持有资产支持证券。</w:t>
      </w:r>
    </w:p>
    <w:p w:rsidP="00C544B8" w:rsidR="00E15FD1" w:rsidRDefault="00E15FD1" w:rsidRPr="00B34368">
      <w:pPr>
        <w:autoSpaceDE w:val="0"/>
        <w:autoSpaceDN w:val="0"/>
        <w:adjustRightInd w:val="0"/>
        <w:spacing w:before="312" w:beforeLines="100" w:line="360" w:lineRule="auto"/>
        <w:jc w:val="left"/>
        <w:rPr>
          <w:rFonts w:eastAsiaTheme="minorEastAsia"/>
          <w:b/>
          <w:bCs/>
          <w:color w:themeColor="text1" w:val="000000"/>
          <w:kern w:val="0"/>
          <w:sz w:val="24"/>
        </w:rPr>
      </w:pPr>
      <w:r w:rsidRPr="00B34368">
        <w:rPr>
          <w:rFonts w:eastAsiaTheme="minorEastAsia"/>
          <w:b/>
          <w:bCs/>
          <w:color w:themeColor="text1" w:val="000000"/>
          <w:kern w:val="0"/>
          <w:sz w:val="24"/>
        </w:rPr>
        <w:t>5</w:t>
      </w:r>
      <w:proofErr w:type="gramStart"/>
      <w:r w:rsidRPr="00B34368">
        <w:rPr>
          <w:rFonts w:eastAsiaTheme="minorEastAsia"/>
          <w:b/>
          <w:bCs/>
          <w:color w:themeColor="text1" w:val="000000"/>
          <w:kern w:val="0"/>
          <w:sz w:val="24"/>
        </w:rPr>
        <w:t>.</w:t>
      </w:r>
      <w:proofErr w:type="gramEnd"/>
      <w:r w:rsidRPr="00B34368">
        <w:rPr>
          <w:rFonts w:eastAsiaTheme="minorEastAsia"/>
          <w:b/>
          <w:bCs/>
          <w:color w:themeColor="text1" w:val="000000"/>
          <w:kern w:val="0"/>
          <w:sz w:val="24"/>
        </w:rPr>
        <w:t xml:space="preserve">8 </w:t>
      </w:r>
      <w:r w:rsidRPr="00B34368">
        <w:rPr>
          <w:rFonts w:eastAsiaTheme="minorEastAsia" w:hAnsiTheme="minorEastAsia"/>
          <w:b/>
          <w:bCs/>
          <w:color w:themeColor="text1" w:val="000000"/>
          <w:kern w:val="0"/>
          <w:sz w:val="24"/>
        </w:rPr>
        <w:t>报告期末按公允价值占基金资产净值比例大小排序的前五名贵金属投资明细</w:t>
      </w:r>
    </w:p>
    <w:p w:rsidP="00B34368" w:rsidR="00E15FD1" w:rsidRDefault="00E15FD1" w:rsidRPr="00B34368">
      <w:pPr>
        <w:widowControl/>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本基金本报告期末未持有贵金属。</w:t>
      </w:r>
    </w:p>
    <w:p w:rsidP="00C544B8" w:rsidR="009238DB" w:rsidRDefault="00E15FD1"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w:r>
      <w:proofErr w:type="gramStart"/>
      <w:r w:rsidRPr="00B34368">
        <w:rPr>
          <w:rFonts w:eastAsiaTheme="minorEastAsia"/>
          <w:b/>
          <w:color w:themeColor="text1" w:val="000000"/>
          <w:kern w:val="0"/>
          <w:sz w:val="24"/>
        </w:rPr>
        <w:t/>
      </w:r>
      <w:proofErr w:type="gramEnd"/>
      <w:r w:rsidR="001D5CD0" w:rsidRPr="00B34368">
        <w:rPr>
          <w:rFonts w:eastAsiaTheme="minorEastAsia"/>
          <w:b/>
          <w:color w:themeColor="text1" w:val="000000"/>
          <w:kern w:val="0"/>
          <w:sz w:val="24"/>
        </w:rPr>
        <w:t>5</w:t>
      </w:r>
      <w:r w:rsidR="009238DB" w:rsidRPr="00B34368">
        <w:rPr>
          <w:rFonts w:eastAsiaTheme="minorEastAsia"/>
          <w:b/>
          <w:color w:themeColor="text1" w:val="000000"/>
          <w:kern w:val="0"/>
          <w:sz w:val="24"/>
        </w:rPr>
        <w:t>.</w:t>
      </w:r>
      <w:r w:rsidR="001D5CD0" w:rsidRPr="00B34368">
        <w:rPr>
          <w:rFonts w:eastAsiaTheme="minorEastAsia"/>
          <w:b/>
          <w:color w:themeColor="text1" w:val="000000"/>
          <w:kern w:val="0"/>
          <w:sz w:val="24"/>
        </w:rPr>
        <w:t/>
      </w:r>
      <w:r w:rsidRPr="00B34368">
        <w:rPr>
          <w:rFonts w:eastAsiaTheme="minorEastAsia"/>
          <w:b/>
          <w:color w:themeColor="text1" w:val="000000"/>
          <w:kern w:val="0"/>
          <w:sz w:val="24"/>
        </w:rPr>
        <w:t/>
      </w:r>
      <w:r w:rsidR="001D5CD0" w:rsidRPr="00B34368">
        <w:rPr>
          <w:rFonts w:eastAsiaTheme="minorEastAsia"/>
          <w:b/>
          <w:color w:themeColor="text1" w:val="000000"/>
          <w:kern w:val="0"/>
          <w:sz w:val="24"/>
        </w:rPr>
        <w:t>9</w:t>
      </w:r>
      <w:r w:rsidR="009238DB" w:rsidRPr="00B34368">
        <w:rPr>
          <w:rFonts w:eastAsiaTheme="minorEastAsia"/>
          <w:b/>
          <w:color w:themeColor="text1" w:val="000000"/>
          <w:kern w:val="0"/>
          <w:sz w:val="24"/>
        </w:rPr>
        <w:t xml:space="preserve"> </w:t>
      </w:r>
      <w:r w:rsidR="009238DB" w:rsidRPr="00B34368">
        <w:rPr>
          <w:rFonts w:eastAsiaTheme="minorEastAsia" w:hAnsiTheme="minorEastAsia"/>
          <w:b/>
          <w:color w:themeColor="text1" w:val="000000"/>
          <w:kern w:val="0"/>
          <w:sz w:val="24"/>
        </w:rPr>
        <w:t>报告</w:t>
      </w:r>
      <w:r w:rsidR="009238DB" w:rsidRPr="00B34368">
        <w:rPr>
          <w:rFonts w:eastAsiaTheme="minorEastAsia" w:hAnsiTheme="minorEastAsia"/>
          <w:b/>
          <w:bCs/>
          <w:color w:themeColor="text1" w:val="000000"/>
          <w:kern w:val="0"/>
          <w:sz w:val="24"/>
        </w:rPr>
        <w:t>期末</w:t>
      </w:r>
      <w:r w:rsidR="009238DB" w:rsidRPr="00B34368">
        <w:rPr>
          <w:rFonts w:eastAsiaTheme="minorEastAsia" w:hAnsiTheme="minorEastAsia"/>
          <w:b/>
          <w:color w:themeColor="text1" w:val="000000"/>
          <w:kern w:val="0"/>
          <w:sz w:val="24"/>
        </w:rPr>
        <w:t>按公允价值占基金资产净值比例大小排</w:t>
      </w:r>
      <w:r w:rsidR="006B3FDB" w:rsidRPr="00B34368">
        <w:rPr>
          <w:rFonts w:eastAsiaTheme="minorEastAsia" w:hAnsiTheme="minorEastAsia"/>
          <w:b/>
          <w:color w:themeColor="text1" w:val="000000"/>
          <w:kern w:val="0"/>
          <w:sz w:val="24"/>
        </w:rPr>
        <w:t>序</w:t>
      </w:r>
      <w:r w:rsidR="009238DB" w:rsidRPr="00B34368">
        <w:rPr>
          <w:rFonts w:eastAsiaTheme="minorEastAsia" w:hAnsiTheme="minorEastAsia"/>
          <w:b/>
          <w:color w:themeColor="text1" w:val="000000"/>
          <w:kern w:val="0"/>
          <w:sz w:val="24"/>
        </w:rPr>
        <w:t>的前五名权证投资明细</w:t>
      </w:r>
    </w:p>
    <w:p w:rsidP="00B34368" w:rsidR="001D5CD0" w:rsidRDefault="00C260A2"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00407F66"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本基金本报告期末未持有权证。</w:t>
      </w:r>
    </w:p>
    <w:p w:rsidP="00C544B8" w:rsidR="001D5CD0" w:rsidRDefault="001D5CD0" w:rsidRPr="00B34368">
      <w:pPr>
        <w:autoSpaceDE w:val="0"/>
        <w:autoSpaceDN w:val="0"/>
        <w:adjustRightInd w:val="0"/>
        <w:spacing w:before="312" w:beforeLines="100" w:line="360" w:lineRule="auto"/>
        <w:jc w:val="left"/>
        <w:rPr>
          <w:rFonts w:eastAsiaTheme="minorEastAsia"/>
          <w:b/>
          <w:color w:themeColor="text1" w:val="000000"/>
          <w:sz w:val="24"/>
        </w:rPr>
      </w:pPr>
      <w:r w:rsidRPr="00B34368">
        <w:rPr>
          <w:rFonts w:eastAsiaTheme="minorEastAsia"/>
          <w:b/>
          <w:color w:themeColor="text1" w:val="000000"/>
          <w:sz w:val="24"/>
        </w:rPr>
        <w:lastRenderedPageBreak/>
        <w:t/>
      </w:r>
      <w:proofErr w:type="spellStart"/>
      <w:r w:rsidRPr="00B34368">
        <w:rPr>
          <w:rFonts w:eastAsiaTheme="minorEastAsia"/>
          <w:b/>
          <w:color w:themeColor="text1" w:val="000000"/>
          <w:sz w:val="24"/>
        </w:rPr>
        <w:t/>
      </w:r>
      <w:r w:rsidRPr="00B34368">
        <w:rPr>
          <w:rFonts w:eastAsiaTheme="minorEastAsia"/>
          <w:b/>
          <w:bCs/>
          <w:color w:themeColor="text1" w:val="000000"/>
          <w:kern w:val="0"/>
          <w:sz w:val="24"/>
        </w:rPr>
        <w:t/>
      </w:r>
      <w:proofErr w:type="spellEnd"/>
      <w:r w:rsidRPr="00B34368">
        <w:rPr>
          <w:rFonts w:eastAsiaTheme="minorEastAsia"/>
          <w:b/>
          <w:color w:themeColor="text1" w:val="000000"/>
          <w:sz w:val="24"/>
        </w:rPr>
        <w:t/>
      </w:r>
      <w:proofErr w:type="gramStart"/>
      <w:r w:rsidRPr="00B34368">
        <w:rPr>
          <w:rFonts w:eastAsiaTheme="minorEastAsia"/>
          <w:b/>
          <w:color w:themeColor="text1" w:val="000000"/>
          <w:sz w:val="24"/>
        </w:rPr>
        <w:t/>
      </w:r>
      <w:proofErr w:type="gramEnd"/>
      <w:r w:rsidRPr="00B34368">
        <w:rPr>
          <w:rFonts w:eastAsiaTheme="minorEastAsia"/>
          <w:b/>
          <w:color w:themeColor="text1" w:val="000000"/>
          <w:sz w:val="24"/>
        </w:rPr>
        <w:t xml:space="preserve">5.10 </w:t>
      </w:r>
      <w:r w:rsidRPr="00B34368">
        <w:rPr>
          <w:rFonts w:eastAsiaTheme="minorEastAsia" w:hAnsiTheme="minorEastAsia"/>
          <w:b/>
          <w:color w:themeColor="text1" w:val="000000"/>
          <w:sz w:val="24"/>
        </w:rPr>
        <w:t>报告期末本基金投资的股指期货交易情况说明</w:t>
      </w:r>
    </w:p>
    <w:p w:rsidP="00D27EA0" w:rsidR="001D5CD0" w:rsidRDefault="00D27EA0" w:rsidRPr="00B34368">
      <w:pPr>
        <w:spacing w:line="360" w:lineRule="auto"/>
        <w:ind w:firstLine="480" w:firstLineChars="200"/>
        <w:rPr>
          <w:rFonts w:eastAsiaTheme="minorEastAsia"/>
          <w:color w:themeColor="text1"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r w:rsidRPr="00D27EA0">
        <w:rPr>
          <w:rFonts w:eastAsiaTheme="minorEastAsia"/>
          <w:color w:themeColor="text1" w:val="000000"/>
          <w:sz w:val="24"/>
        </w:rPr>
        <w:t/>
      </w:r>
      <w:proofErr w:type="spellEnd"/>
      <w:proofErr w:type="gramEnd"/>
      <w:r w:rsidRPr="00D27EA0">
        <w:rPr>
          <w:rFonts w:eastAsiaTheme="minorEastAsia"/>
          <w:color w:themeColor="text1" w:val="000000"/>
          <w:sz w:val="24"/>
        </w:rPr>
        <w:t>本基金本报告期末未投资股指期货。</w:t>
      </w:r>
    </w:p>
    <w:p w:rsidP="00C544B8" w:rsidR="001D5CD0" w:rsidRDefault="001D5CD0" w:rsidRPr="00B34368">
      <w:pPr>
        <w:adjustRightInd w:val="0"/>
        <w:snapToGrid w:val="0"/>
        <w:spacing w:before="312" w:beforeLines="100" w:line="360" w:lineRule="auto"/>
        <w:rPr>
          <w:rFonts w:eastAsiaTheme="minorEastAsia"/>
          <w:b/>
          <w:color w:themeColor="text1" w:val="000000"/>
          <w:sz w:val="24"/>
        </w:rPr>
      </w:pPr>
      <w:r w:rsidRPr="00B34368">
        <w:rPr>
          <w:rFonts w:eastAsiaTheme="minorEastAsia"/>
          <w:b/>
          <w:color w:themeColor="text1" w:val="000000"/>
          <w:sz w:val="24"/>
        </w:rPr>
        <w:t/>
      </w:r>
      <w:proofErr w:type="spellStart"/>
      <w:r w:rsidRPr="00B34368">
        <w:rPr>
          <w:rFonts w:eastAsiaTheme="minorEastAsia"/>
          <w:b/>
          <w:color w:themeColor="text1" w:val="000000"/>
          <w:sz w:val="24"/>
        </w:rPr>
        <w:t/>
      </w:r>
      <w:proofErr w:type="spellEnd"/>
      <w:r w:rsidRPr="00B34368">
        <w:rPr>
          <w:rFonts w:eastAsiaTheme="minorEastAsia"/>
          <w:b/>
          <w:color w:themeColor="text1" w:val="000000"/>
          <w:sz w:val="24"/>
        </w:rPr>
        <w:t/>
      </w:r>
      <w:proofErr w:type="gramStart"/>
      <w:r w:rsidRPr="00B34368">
        <w:rPr>
          <w:rFonts w:eastAsiaTheme="minorEastAsia"/>
          <w:b/>
          <w:color w:themeColor="text1" w:val="000000"/>
          <w:sz w:val="24"/>
        </w:rPr>
        <w:t/>
      </w:r>
      <w:proofErr w:type="gramEnd"/>
      <w:r w:rsidRPr="00B34368">
        <w:rPr>
          <w:rFonts w:eastAsiaTheme="minorEastAsia"/>
          <w:b/>
          <w:color w:themeColor="text1" w:val="000000"/>
          <w:sz w:val="24"/>
        </w:rPr>
        <w:t>5.11</w:t>
      </w:r>
      <w:r w:rsidRPr="00B34368">
        <w:rPr>
          <w:rFonts w:eastAsiaTheme="minorEastAsia" w:hAnsiTheme="minorEastAsia"/>
          <w:b/>
          <w:color w:themeColor="text1" w:val="000000"/>
          <w:sz w:val="24"/>
        </w:rPr>
        <w:t>报告期末本基金投资的国债期货交易情况说明</w:t>
      </w:r>
    </w:p>
    <w:p w:rsidP="00985F0E" w:rsidR="00985F0E" w:rsidRDefault="00985F0E">
      <w:pPr>
        <w:spacing w:line="360" w:lineRule="auto"/>
        <w:ind w:firstLine="480" w:firstLineChars="200"/>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本基金本报告期末未投资国债期货。</w:t>
      </w:r>
    </w:p>
    <w:p w:rsidP="00C544B8" w:rsidR="001D5CD0" w:rsidRDefault="001D5CD0"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w:r>
      <w:proofErr w:type="gramStart"/>
      <w:r w:rsidRPr="00B34368">
        <w:rPr>
          <w:rFonts w:eastAsiaTheme="minorEastAsia"/>
          <w:b/>
          <w:color w:themeColor="text1" w:val="000000"/>
          <w:kern w:val="0"/>
          <w:sz w:val="24"/>
        </w:rPr>
        <w:t/>
      </w:r>
      <w:proofErr w:type="gramEnd"/>
      <w:r w:rsidRPr="00B34368">
        <w:rPr>
          <w:rFonts w:eastAsiaTheme="minorEastAsia"/>
          <w:b/>
          <w:color w:themeColor="text1" w:val="000000"/>
          <w:kern w:val="0"/>
          <w:sz w:val="24"/>
        </w:rPr>
        <w:t>5.12</w:t>
      </w:r>
      <w:r w:rsidRPr="00B34368">
        <w:rPr>
          <w:rFonts w:eastAsiaTheme="minorEastAsia" w:hAnsiTheme="minorEastAsia"/>
          <w:b/>
          <w:color w:themeColor="text1" w:val="000000"/>
          <w:kern w:val="0"/>
          <w:sz w:val="24"/>
        </w:rPr>
        <w:t>投资组合报告附注</w:t>
      </w:r>
    </w:p>
    <w:p w:rsidP="000C3452" w:rsidR="000C3452" w:rsidRDefault="000C3452" w:rsidRPr="00B34368">
      <w:pPr>
        <w:widowControl/>
        <w:spacing w:line="360" w:lineRule="auto"/>
        <w:rPr>
          <w:rFonts w:eastAsiaTheme="minorEastAsia"/>
          <w:color w:themeColor="text1" w:val="000000"/>
          <w:sz w:val="24"/>
        </w:rPr>
      </w:pPr>
      <w:r w:rsidRPr="00B34368">
        <w:rPr>
          <w:rFonts w:eastAsiaTheme="minorEastAsia"/>
          <w:color w:themeColor="text1" w:val="000000"/>
          <w:sz w:val="24"/>
        </w:rPr>
        <w:t/>
      </w:r>
      <w:proofErr w:type="gramStart"/>
      <w:r w:rsidRPr="00B34368">
        <w:rPr>
          <w:rFonts w:eastAsiaTheme="minorEastAsia"/>
          <w:color w:themeColor="text1" w:val="000000"/>
          <w:sz w:val="24"/>
        </w:rPr>
        <w:t/>
      </w:r>
      <w:proofErr w:type="gramEnd"/>
      <w:r w:rsidRPr="00B34368">
        <w:rPr>
          <w:rFonts w:eastAsiaTheme="minorEastAsia"/>
          <w:color w:themeColor="text1" w:val="000000"/>
          <w:sz w:val="24"/>
        </w:rPr>
        <w:t>5.12.1</w:t>
      </w:r>
      <w:r w:rsidR="00BD1AD9">
        <w:rPr>
          <w:rFonts w:eastAsiaTheme="minorEastAsia" w:hint="eastAsia"/>
          <w:color w:themeColor="text1" w:val="000000"/>
          <w:sz w:val="24"/>
        </w:rPr>
        <w:t xml:space="preserve"> </w:t>
      </w:r>
      <w:r w:rsidRPr="00B34368">
        <w:rPr>
          <w:rFonts w:eastAsiaTheme="minorEastAsia"/>
          <w:color w:themeColor="text1" w:val="000000"/>
          <w:sz w:val="24"/>
        </w:rPr>
        <w:t>本基金投资的前十名证券的发行主体本期没有出现被监管部门立案调查，或在报告编制日前一年内受到公开谴责、处罚的情形。</w:t>
      </w:r>
    </w:p>
    <w:p w:rsidP="000C3452" w:rsidR="000C3452" w:rsidRDefault="000C3452" w:rsidRPr="00B34368">
      <w:pPr>
        <w:widowControl/>
        <w:spacing w:line="360" w:lineRule="auto"/>
        <w:rPr>
          <w:rFonts w:eastAsiaTheme="minorEastAsia"/>
          <w:color w:themeColor="text1" w:val="000000"/>
          <w:sz w:val="24"/>
        </w:rPr>
      </w:pPr>
      <w:r w:rsidRPr="00B34368">
        <w:rPr>
          <w:rFonts w:eastAsiaTheme="minorEastAsia"/>
          <w:color w:themeColor="text1" w:val="000000"/>
          <w:sz w:val="24"/>
        </w:rPr>
        <w:lastRenderedPageBreak/>
        <w:t/>
      </w:r>
      <w:proofErr w:type="gramStart"/>
      <w:r w:rsidRPr="00B34368">
        <w:rPr>
          <w:rFonts w:eastAsiaTheme="minorEastAsia"/>
          <w:color w:themeColor="text1" w:val="000000"/>
          <w:sz w:val="24"/>
        </w:rPr>
        <w:t/>
      </w:r>
      <w:proofErr w:type="gramEnd"/>
      <w:r w:rsidRPr="00B34368">
        <w:rPr>
          <w:rFonts w:eastAsiaTheme="minorEastAsia"/>
          <w:color w:themeColor="text1" w:val="000000"/>
          <w:sz w:val="24"/>
        </w:rPr>
        <w:t>5.12.2</w:t>
      </w:r>
      <w:r w:rsidR="00BD1AD9">
        <w:rPr>
          <w:rFonts w:eastAsiaTheme="minorEastAsia" w:hint="eastAsia"/>
          <w:color w:themeColor="text1" w:val="000000"/>
          <w:sz w:val="24"/>
        </w:rPr>
        <w:t xml:space="preserve"> </w:t>
      </w:r>
      <w:r w:rsidRPr="00B34368">
        <w:rPr>
          <w:rFonts w:eastAsiaTheme="minorEastAsia"/>
          <w:color w:themeColor="text1" w:val="000000"/>
          <w:sz w:val="24"/>
        </w:rPr>
        <w:t>本基金投资的前十名股票没有超出基金合同规定的备选股票库。</w:t>
      </w:r>
    </w:p>
    <w:p w:rsidP="001D5CD0" w:rsidR="001D5CD0" w:rsidRDefault="001D5CD0" w:rsidRPr="00B34368">
      <w:pPr>
        <w:autoSpaceDE w:val="0"/>
        <w:autoSpaceDN w:val="0"/>
        <w:adjustRightInd w:val="0"/>
        <w:spacing w:line="360" w:lineRule="auto"/>
        <w:rPr>
          <w:rFonts w:eastAsiaTheme="minorEastAsia"/>
          <w:b/>
          <w:color w:themeColor="text1" w:val="000000"/>
          <w:kern w:val="0"/>
          <w:sz w:val="24"/>
        </w:rPr>
      </w:pPr>
      <w:r w:rsidRPr="00B34368">
        <w:rPr>
          <w:rFonts w:eastAsiaTheme="minorEastAsia"/>
          <w:b/>
          <w:color w:themeColor="text1" w:val="000000"/>
          <w:kern w:val="0"/>
          <w:sz w:val="24"/>
        </w:rPr>
        <w:t/>
      </w:r>
      <w:proofErr w:type="gramStart"/>
      <w:r w:rsidRPr="00B34368">
        <w:rPr>
          <w:rFonts w:eastAsiaTheme="minorEastAsia"/>
          <w:b/>
          <w:color w:themeColor="text1" w:val="000000"/>
          <w:kern w:val="0"/>
          <w:sz w:val="24"/>
        </w:rPr>
        <w:t/>
      </w:r>
      <w:proofErr w:type="gramEnd"/>
      <w:r w:rsidRPr="00B34368">
        <w:rPr>
          <w:rFonts w:eastAsiaTheme="minorEastAsia"/>
          <w:b/>
          <w:color w:themeColor="text1" w:val="000000"/>
          <w:kern w:val="0"/>
          <w:sz w:val="24"/>
        </w:rPr>
        <w:t>5.12.3</w:t>
      </w:r>
      <w:r w:rsidR="00153CF9">
        <w:rPr>
          <w:rFonts w:eastAsiaTheme="minorEastAsia" w:hAnsiTheme="minorEastAsia"/>
          <w:b/>
          <w:color w:themeColor="text1" w:val="000000"/>
          <w:kern w:val="0"/>
          <w:sz w:val="24"/>
        </w:rPr>
        <w:t>其他</w:t>
      </w:r>
      <w:bookmarkStart w:id="3" w:name="_GoBack"/>
      <w:bookmarkEnd w:id="3"/>
      <w:r w:rsidRPr="00B34368">
        <w:rPr>
          <w:rFonts w:eastAsiaTheme="minorEastAsia" w:hAnsiTheme="minorEastAsia"/>
          <w:b/>
          <w:color w:themeColor="text1" w:val="000000"/>
          <w:kern w:val="0"/>
          <w:sz w:val="24"/>
        </w:rPr>
        <w:t>资产构成</w:t>
      </w:r>
    </w:p>
    <w:tbl>
      <w:tblPr>
        <w:tblStyle w:val="af2"/>
        <w:tblW w:type="auto" w:w="0"/>
        <w:tblInd w:type="dxa" w:w="108"/>
        <w:tblLook w:firstColumn="1" w:firstRow="1" w:lastColumn="0" w:lastRow="0" w:noHBand="0" w:noVBand="1" w:val="04A0"/>
      </w:tblPr>
      <w:tblGrid>
        <w:gridCol w:w="1235"/>
        <w:gridCol w:w="2761"/>
        <w:gridCol w:w="4808"/>
      </w:tblGrid>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7"/>
              <w:jc w:val="center"/>
              <w:rPr>
                <w:rFonts w:eastAsiaTheme="minorEastAsia"/>
                <w:color w:themeColor="text1" w:val="000000"/>
                <w:kern w:val="0"/>
                <w:sz w:val="24"/>
              </w:rPr>
            </w:pPr>
            <w:r w:rsidRPr="00B34368">
              <w:rPr>
                <w:rFonts w:eastAsiaTheme="minorEastAsia" w:hAnsiTheme="minorEastAsia"/>
                <w:color w:themeColor="text1" w:val="000000"/>
                <w:kern w:val="0"/>
                <w:sz w:val="24"/>
              </w:rPr>
              <w:t>序号</w:t>
            </w:r>
          </w:p>
        </w:tc>
        <w:tc>
          <w:tcPr>
            <w:tcW w:type="dxa" w:w="2761"/>
            <w:vAlign w:val="center"/>
          </w:tcPr>
          <w:p w:rsidP="00AE2AD2" w:rsidR="001D5CD0" w:rsidRDefault="001D5CD0" w:rsidRPr="00B34368">
            <w:pPr>
              <w:autoSpaceDE w:val="0"/>
              <w:autoSpaceDN w:val="0"/>
              <w:adjustRightInd w:val="0"/>
              <w:spacing w:before="29" w:line="360" w:lineRule="auto"/>
              <w:ind w:left="17"/>
              <w:jc w:val="center"/>
              <w:rPr>
                <w:rFonts w:eastAsiaTheme="minorEastAsia"/>
                <w:color w:themeColor="text1" w:val="000000"/>
                <w:kern w:val="0"/>
                <w:sz w:val="24"/>
              </w:rPr>
            </w:pPr>
            <w:r w:rsidRPr="00B34368">
              <w:rPr>
                <w:rFonts w:eastAsiaTheme="minorEastAsia" w:hAnsiTheme="minorEastAsia"/>
                <w:color w:themeColor="text1" w:val="000000"/>
                <w:kern w:val="0"/>
                <w:sz w:val="24"/>
              </w:rPr>
              <w:t>名称</w:t>
            </w:r>
          </w:p>
        </w:tc>
        <w:tc>
          <w:tcPr>
            <w:tcW w:type="dxa" w:w="4808"/>
            <w:vAlign w:val="center"/>
          </w:tcPr>
          <w:p w:rsidP="00AE2AD2" w:rsidR="001D5CD0" w:rsidRDefault="001D5CD0" w:rsidRPr="00B34368">
            <w:pPr>
              <w:autoSpaceDE w:val="0"/>
              <w:autoSpaceDN w:val="0"/>
              <w:adjustRightInd w:val="0"/>
              <w:spacing w:before="29" w:line="360" w:lineRule="auto"/>
              <w:ind w:left="17"/>
              <w:jc w:val="center"/>
              <w:rPr>
                <w:rFonts w:eastAsiaTheme="minorEastAsia"/>
                <w:color w:themeColor="text1" w:val="000000"/>
                <w:kern w:val="0"/>
                <w:sz w:val="24"/>
              </w:rPr>
            </w:pPr>
            <w:r w:rsidRPr="00B34368">
              <w:rPr>
                <w:rFonts w:eastAsiaTheme="minorEastAsia" w:hAnsiTheme="minorEastAsia"/>
                <w:color w:themeColor="text1" w:val="000000"/>
                <w:kern w:val="0"/>
                <w:sz w:val="24"/>
              </w:rPr>
              <w:t>金额</w:t>
            </w:r>
            <w:r w:rsidRPr="00B34368">
              <w:rPr>
                <w:rFonts w:eastAsiaTheme="minorEastAsia"/>
                <w:color w:themeColor="text1" w:val="000000"/>
                <w:kern w:val="0"/>
                <w:sz w:val="24"/>
              </w:rPr>
              <w:t>(</w:t>
            </w:r>
            <w:r w:rsidRPr="00B34368">
              <w:rPr>
                <w:rFonts w:eastAsiaTheme="minorEastAsia" w:hAnsiTheme="minorEastAsia"/>
                <w:color w:themeColor="text1" w:val="000000"/>
                <w:kern w:val="0"/>
                <w:sz w:val="24"/>
              </w:rPr>
              <w:t>元</w:t>
            </w:r>
            <w:r w:rsidRPr="00B34368">
              <w:rPr>
                <w:rFonts w:eastAsiaTheme="minorEastAsia"/>
                <w:color w:themeColor="text1" w:val="000000"/>
                <w:kern w:val="0"/>
                <w:sz w:val="24"/>
              </w:rPr>
              <w:t>)</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kern w:val="0"/>
                <w:sz w:val="24"/>
              </w:rPr>
            </w:pPr>
            <w:r w:rsidRPr="00B34368">
              <w:rPr>
                <w:rFonts w:eastAsiaTheme="minorEastAsia"/>
                <w:color w:themeColor="text1" w:val="000000"/>
                <w:sz w:val="24"/>
              </w:rPr>
              <w:t>1</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存出保证金</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1,222,109.34</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2</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应收证券清算款</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3</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应收股利</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4</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应收利息</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28,851.01</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5</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应收申购款</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57,561,426.75</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6</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其他应收款</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7</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sz w:val="24"/>
              </w:rPr>
            </w:pPr>
            <w:r w:rsidRPr="00B34368">
              <w:rPr>
                <w:rFonts w:eastAsiaTheme="minorEastAsia" w:hAnsiTheme="minorEastAsia"/>
                <w:color w:themeColor="text1" w:val="000000"/>
                <w:sz w:val="24"/>
              </w:rPr>
              <w:t>待摊费用</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8</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其他</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w:t>
            </w:r>
          </w:p>
        </w:tc>
      </w:tr>
      <w:tr w:rsidR="00D3639B" w:rsidRPr="00B34368" w:rsidTr="00975D18">
        <w:tc>
          <w:tcPr>
            <w:tcW w:type="dxa" w:w="944"/>
            <w:vAlign w:val="center"/>
          </w:tcPr>
          <w:p w:rsidP="00AE2AD2" w:rsidR="001D5CD0" w:rsidRDefault="001D5CD0" w:rsidRPr="00B34368">
            <w:pPr>
              <w:autoSpaceDE w:val="0"/>
              <w:autoSpaceDN w:val="0"/>
              <w:adjustRightInd w:val="0"/>
              <w:spacing w:before="29" w:line="360" w:lineRule="auto"/>
              <w:ind w:left="15"/>
              <w:jc w:val="center"/>
              <w:rPr>
                <w:rFonts w:eastAsiaTheme="minorEastAsia"/>
                <w:color w:themeColor="text1" w:val="000000"/>
                <w:sz w:val="24"/>
              </w:rPr>
            </w:pPr>
            <w:r w:rsidRPr="00B34368">
              <w:rPr>
                <w:rFonts w:eastAsiaTheme="minorEastAsia"/>
                <w:color w:themeColor="text1" w:val="000000"/>
                <w:sz w:val="24"/>
              </w:rPr>
              <w:t>9</w:t>
            </w:r>
          </w:p>
        </w:tc>
        <w:tc>
          <w:tcPr>
            <w:tcW w:type="dxa" w:w="2761"/>
            <w:vAlign w:val="center"/>
          </w:tcPr>
          <w:p w:rsidP="00AE2AD2" w:rsidR="001D5CD0" w:rsidRDefault="001D5CD0" w:rsidRPr="00B34368">
            <w:pPr>
              <w:autoSpaceDE w:val="0"/>
              <w:autoSpaceDN w:val="0"/>
              <w:adjustRightInd w:val="0"/>
              <w:spacing w:before="29" w:line="360" w:lineRule="auto"/>
              <w:ind w:left="15"/>
              <w:jc w:val="left"/>
              <w:rPr>
                <w:rFonts w:eastAsiaTheme="minorEastAsia"/>
                <w:color w:themeColor="text1" w:val="000000"/>
                <w:kern w:val="0"/>
                <w:sz w:val="24"/>
              </w:rPr>
            </w:pPr>
            <w:r w:rsidRPr="00B34368">
              <w:rPr>
                <w:rFonts w:eastAsiaTheme="minorEastAsia" w:hAnsiTheme="minorEastAsia"/>
                <w:color w:themeColor="text1" w:val="000000"/>
                <w:kern w:val="0"/>
                <w:sz w:val="24"/>
              </w:rPr>
              <w:t>合计</w:t>
            </w:r>
          </w:p>
        </w:tc>
        <w:tc>
          <w:tcPr>
            <w:tcW w:type="dxa" w:w="4808"/>
            <w:vAlign w:val="center"/>
          </w:tcPr>
          <w:p w:rsidP="00AE2AD2" w:rsidR="001D5CD0" w:rsidRDefault="001D5CD0" w:rsidRPr="00B34368">
            <w:pPr>
              <w:autoSpaceDE w:val="0"/>
              <w:autoSpaceDN w:val="0"/>
              <w:adjustRightInd w:val="0"/>
              <w:spacing w:before="29" w:line="360" w:lineRule="auto"/>
              <w:ind w:left="15"/>
              <w:jc w:val="right"/>
              <w:rPr>
                <w:rFonts w:eastAsiaTheme="minorEastAsia"/>
                <w:color w:themeColor="text1" w:val="000000"/>
                <w:kern w:val="0"/>
                <w:sz w:val="24"/>
              </w:rPr>
            </w:pPr>
            <w:r w:rsidRPr="00B34368">
              <w:rPr>
                <w:rFonts w:eastAsiaTheme="minorEastAsia"/>
                <w:color w:themeColor="text1" w:val="000000"/>
                <w:kern w:val="0"/>
                <w:sz w:val="24"/>
              </w:rPr>
              <w:t/>
            </w:r>
            <w:proofErr w:type="spellStart"/>
            <w:r w:rsidRPr="00B34368">
              <w:rPr>
                <w:rFonts w:eastAsiaTheme="minorEastAsia"/>
                <w:color w:themeColor="text1" w:val="000000"/>
                <w:kern w:val="0"/>
                <w:sz w:val="24"/>
              </w:rPr>
              <w:t/>
            </w:r>
            <w:proofErr w:type="spellEnd"/>
            <w:r w:rsidRPr="00B34368">
              <w:rPr>
                <w:rFonts w:eastAsiaTheme="minorEastAsia"/>
                <w:color w:themeColor="text1" w:val="000000"/>
                <w:kern w:val="0"/>
                <w:sz w:val="24"/>
              </w:rPr>
              <w:t>58,812,387.10</w:t>
            </w:r>
          </w:p>
        </w:tc>
      </w:tr>
    </w:tbl>
    <w:p w:rsidP="00C544B8" w:rsidR="001D5CD0" w:rsidRDefault="001D5CD0" w:rsidRPr="00B34368">
      <w:pPr>
        <w:autoSpaceDE w:val="0"/>
        <w:autoSpaceDN w:val="0"/>
        <w:adjustRightInd w:val="0"/>
        <w:spacing w:before="312" w:beforeLines="100" w:line="360" w:lineRule="auto"/>
        <w:jc w:val="left"/>
        <w:rPr>
          <w:rFonts w:eastAsiaTheme="minorEastAsia"/>
          <w:b/>
          <w:color w:themeColor="text1" w:val="000000"/>
          <w:kern w:val="0"/>
          <w:sz w:val="24"/>
        </w:rPr>
      </w:pPr>
      <w:r w:rsidRPr="00B34368">
        <w:rPr>
          <w:rFonts w:eastAsiaTheme="minorEastAsia"/>
          <w:b/>
          <w:color w:themeColor="text1" w:val="000000"/>
          <w:kern w:val="0"/>
          <w:sz w:val="24"/>
        </w:rPr>
        <w:t/>
      </w:r>
      <w:proofErr w:type="gramStart"/>
      <w:r w:rsidRPr="00B34368">
        <w:rPr>
          <w:rFonts w:eastAsiaTheme="minorEastAsia"/>
          <w:b/>
          <w:color w:themeColor="text1" w:val="000000"/>
          <w:kern w:val="0"/>
          <w:sz w:val="24"/>
        </w:rPr>
        <w:t/>
      </w:r>
      <w:proofErr w:type="gramEnd"/>
      <w:r w:rsidRPr="00B34368">
        <w:rPr>
          <w:rFonts w:eastAsiaTheme="minorEastAsia"/>
          <w:b/>
          <w:color w:themeColor="text1" w:val="000000"/>
          <w:kern w:val="0"/>
          <w:sz w:val="24"/>
        </w:rPr>
        <w:t>5.12.4</w:t>
      </w:r>
      <w:r w:rsidRPr="00B34368">
        <w:rPr>
          <w:rFonts w:eastAsiaTheme="minorEastAsia" w:hAnsiTheme="minorEastAsia"/>
          <w:b/>
          <w:color w:themeColor="text1" w:val="000000"/>
          <w:kern w:val="0"/>
          <w:sz w:val="24"/>
        </w:rPr>
        <w:t>报告期末持有的处于转股期的可转换债券明细</w:t>
      </w:r>
    </w:p>
    <w:p w:rsidP="00B34368" w:rsidR="001D5CD0" w:rsidRDefault="001D5CD0"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本基金本报告期末未持有处于转股期的可转换债券。</w:t>
      </w:r>
    </w:p>
    <w:p w:rsidP="00C544B8" w:rsidR="001D5CD0" w:rsidRDefault="001D5CD0" w:rsidRPr="00B34368">
      <w:pPr>
        <w:autoSpaceDE w:val="0"/>
        <w:autoSpaceDN w:val="0"/>
        <w:adjustRightInd w:val="0"/>
        <w:spacing w:before="312" w:beforeLines="100" w:line="360" w:lineRule="auto"/>
        <w:jc w:val="left"/>
        <w:rPr>
          <w:rFonts w:eastAsiaTheme="minorEastAsia"/>
          <w:b/>
          <w:bCs/>
          <w:color w:themeColor="text1" w:val="000000"/>
          <w:sz w:val="24"/>
        </w:rPr>
      </w:pPr>
      <w:r w:rsidRPr="00B34368">
        <w:rPr>
          <w:rFonts w:eastAsiaTheme="minorEastAsia"/>
          <w:b/>
          <w:color w:themeColor="text1" w:val="000000"/>
          <w:kern w:val="0"/>
          <w:sz w:val="24"/>
        </w:rPr>
        <w:t/>
      </w:r>
      <w:proofErr w:type="gramStart"/>
      <w:r w:rsidRPr="00B34368">
        <w:rPr>
          <w:rFonts w:eastAsiaTheme="minorEastAsia"/>
          <w:b/>
          <w:color w:themeColor="text1" w:val="000000"/>
          <w:kern w:val="0"/>
          <w:sz w:val="24"/>
        </w:rPr>
        <w:t/>
      </w:r>
      <w:proofErr w:type="gramEnd"/>
      <w:r w:rsidRPr="00B34368">
        <w:rPr>
          <w:rFonts w:eastAsiaTheme="minorEastAsia"/>
          <w:b/>
          <w:color w:themeColor="text1" w:val="000000"/>
          <w:kern w:val="0"/>
          <w:sz w:val="24"/>
        </w:rPr>
        <w:t>5.12.5</w:t>
      </w:r>
      <w:r w:rsidRPr="00B34368">
        <w:rPr>
          <w:rFonts w:eastAsiaTheme="minorEastAsia" w:hAnsiTheme="minorEastAsia"/>
          <w:b/>
          <w:bCs/>
          <w:color w:themeColor="text1" w:val="000000"/>
          <w:sz w:val="24"/>
        </w:rPr>
        <w:t>报告期末前十名股票中存在流通受限情况的说明</w:t>
      </w:r>
    </w:p>
    <w:p w:rsidP="00B34368" w:rsidR="001D5CD0" w:rsidRDefault="001D5CD0"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gramStart"/>
      <w:r w:rsidRPr="00B34368">
        <w:rPr>
          <w:rFonts w:eastAsiaTheme="minorEastAsia"/>
          <w:color w:themeColor="text1" w:val="000000"/>
          <w:sz w:val="24"/>
        </w:rPr>
        <w:t/>
      </w:r>
      <w:proofErr w:type="gramEnd"/>
      <w:r w:rsidRPr="00B34368">
        <w:rPr>
          <w:rFonts w:eastAsiaTheme="minorEastAsia"/>
          <w:color w:themeColor="text1" w:val="000000"/>
          <w:sz w:val="24"/>
        </w:rPr>
        <w:t>本基金本报告期末前十名股票中不存在流通受限情况。</w:t>
      </w:r>
    </w:p>
    <w:p w:rsidP="00C544B8" w:rsidR="009238DB" w:rsidRDefault="009238DB" w:rsidRPr="00B34368">
      <w:pPr>
        <w:pStyle w:val="1"/>
        <w:spacing w:after="312" w:afterLines="100" w:before="312" w:beforeLines="100" w:line="360" w:lineRule="auto"/>
        <w:jc w:val="center"/>
        <w:rPr>
          <w:rFonts w:eastAsiaTheme="minorEastAsia"/>
          <w:color w:themeColor="text1" w:val="000000"/>
          <w:kern w:val="0"/>
          <w:sz w:val="24"/>
          <w:szCs w:val="24"/>
        </w:rPr>
      </w:pPr>
      <w:r w:rsidRPr="00B34368">
        <w:rPr>
          <w:rFonts w:eastAsiaTheme="minorEastAsia"/>
          <w:color w:themeColor="text1" w:val="000000"/>
          <w:kern w:val="0"/>
          <w:sz w:val="24"/>
          <w:szCs w:val="24"/>
        </w:rPr>
        <w:t xml:space="preserve">§6  </w:t>
      </w:r>
      <w:r w:rsidRPr="00B34368">
        <w:rPr>
          <w:rFonts w:eastAsiaTheme="minorEastAsia" w:hAnsiTheme="minorEastAsia"/>
          <w:color w:themeColor="text1" w:val="000000"/>
          <w:kern w:val="0"/>
          <w:sz w:val="24"/>
          <w:szCs w:val="24"/>
        </w:rPr>
        <w:t>开放式基金份额变动</w:t>
      </w:r>
    </w:p>
    <w:p w:rsidP="00302187" w:rsidR="009238DB" w:rsidRDefault="009238DB" w:rsidRPr="00B34368">
      <w:pPr>
        <w:autoSpaceDE w:val="0"/>
        <w:autoSpaceDN w:val="0"/>
        <w:adjustRightInd w:val="0"/>
        <w:spacing w:before="29" w:line="288" w:lineRule="auto"/>
        <w:ind w:left="15" w:right="480"/>
        <w:jc w:val="right"/>
        <w:rPr>
          <w:rFonts w:eastAsiaTheme="minorEastAsia"/>
          <w:color w:themeColor="text1" w:val="000000"/>
          <w:kern w:val="0"/>
          <w:sz w:val="24"/>
        </w:rPr>
      </w:pPr>
      <w:r w:rsidRPr="00B34368">
        <w:rPr>
          <w:rFonts w:eastAsiaTheme="minorEastAsia" w:hAnsiTheme="minorEastAsia"/>
          <w:color w:themeColor="text1" w:val="000000"/>
          <w:kern w:val="0"/>
          <w:sz w:val="24"/>
        </w:rPr>
        <w:t>单位：份</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3900"/>
        <w:gridCol w:w="2367"/>
        <w:gridCol w:w="2367"/>
      </w:tblGrid>
      <w:tr w:rsidR="00D3639B" w:rsidRPr="00B34368" w:rsidTr="004E70B7">
        <w:tc>
          <w:tcPr>
            <w:tcW w:type="dxa" w:w="3900"/>
            <w:vAlign w:val="center"/>
          </w:tcPr>
          <w:p w:rsidP="00B84643" w:rsidR="00936D40" w:rsidRDefault="00936D40" w:rsidRPr="00B34368">
            <w:pPr>
              <w:autoSpaceDE w:val="0"/>
              <w:autoSpaceDN w:val="0"/>
              <w:adjustRightInd w:val="0"/>
              <w:spacing w:before="29" w:line="360" w:lineRule="auto"/>
              <w:ind w:left="17"/>
              <w:jc w:val="center"/>
              <w:rPr>
                <w:rFonts w:eastAsiaTheme="minorEastAsia"/>
                <w:color w:themeColor="text1" w:val="000000"/>
                <w:kern w:val="0"/>
                <w:sz w:val="24"/>
              </w:rPr>
            </w:pPr>
            <w:r w:rsidRPr="00B34368">
              <w:rPr>
                <w:rFonts w:eastAsiaTheme="minorEastAsia" w:hAnsiTheme="minorEastAsia"/>
                <w:color w:themeColor="text1" w:val="000000"/>
                <w:kern w:val="0"/>
                <w:sz w:val="24"/>
              </w:rPr>
              <w:t>项目</w:t>
            </w:r>
          </w:p>
        </w:tc>
        <w:tc>
          <w:tcPr>
            <w:tcW w:type="dxa" w:w="2367"/>
            <w:vAlign w:val="center"/>
          </w:tcPr>
          <w:p w:rsidP="00A1276C"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kern w:val="0"/>
                <w:sz w:val="24"/>
              </w:rPr>
              <w:t/>
            </w:r>
            <w:proofErr w:type="spellStart"/>
            <w:r w:rsidRPr="00B34368">
              <w:rPr>
                <w:rFonts w:eastAsiaTheme="minorEastAsia"/>
                <w:color w:themeColor="text1" w:val="000000"/>
                <w:sz w:val="24"/>
              </w:rPr>
              <w:t/>
            </w:r>
            <w:proofErr w:type="spellEnd"/>
            <w:r w:rsidR="0042785F" w:rsidRPr="00B34368">
              <w:rPr>
                <w:rFonts w:eastAsiaTheme="minorEastAsia"/>
                <w:color w:themeColor="text1" w:val="000000"/>
                <w:sz w:val="24"/>
              </w:rPr>
              <w:t>易方达创业板ETF联接A</w:t>
            </w:r>
          </w:p>
        </w:tc>
        <w:tc>
          <w:tcPr>
            <w:tcW w:type="dxa" w:w="2367"/>
            <w:vAlign w:val="center"/>
          </w:tcPr>
          <w:p w:rsidP="00936D40"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kern w:val="0"/>
                <w:sz w:val="24"/>
              </w:rPr>
              <w:t/>
            </w:r>
            <w:r w:rsidRPr="00B34368">
              <w:rPr>
                <w:rFonts w:eastAsiaTheme="minorEastAsia"/>
                <w:color w:themeColor="text1" w:val="000000"/>
                <w:sz w:val="24"/>
              </w:rPr>
              <w:t/>
            </w:r>
            <w:r w:rsidR="004D614E" w:rsidRPr="00B34368">
              <w:rPr>
                <w:rFonts w:eastAsiaTheme="minorEastAsia"/>
                <w:color w:themeColor="text1" w:val="000000"/>
                <w:sz w:val="24"/>
              </w:rPr>
              <w:t/>
            </w:r>
            <w:r w:rsidR="0042785F" w:rsidRPr="00B34368">
              <w:rPr>
                <w:rFonts w:eastAsiaTheme="minorEastAsia"/>
                <w:color w:themeColor="text1" w:val="000000"/>
                <w:sz w:val="24"/>
              </w:rPr>
              <w:t>易方达创业板ETF联接C</w:t>
            </w:r>
          </w:p>
        </w:tc>
      </w:tr>
      <w:tr w:rsidR="00D3639B" w:rsidRPr="00B34368" w:rsidTr="004E70B7">
        <w:tc>
          <w:tcPr>
            <w:tcW w:type="dxa" w:w="3900"/>
            <w:vAlign w:val="center"/>
          </w:tcPr>
          <w:p w:rsidP="00A1276C" w:rsidR="00936D40" w:rsidRDefault="00936D40" w:rsidRPr="00B34368">
            <w:pPr>
              <w:autoSpaceDE w:val="0"/>
              <w:autoSpaceDN w:val="0"/>
              <w:adjustRightInd w:val="0"/>
              <w:spacing w:before="29" w:line="360" w:lineRule="auto"/>
              <w:ind w:left="17"/>
              <w:jc w:val="left"/>
              <w:rPr>
                <w:rFonts w:eastAsiaTheme="minorEastAsia"/>
                <w:color w:themeColor="text1" w:val="000000"/>
                <w:kern w:val="0"/>
                <w:sz w:val="24"/>
              </w:rPr>
            </w:pPr>
            <w:r w:rsidRPr="00B34368">
              <w:rPr>
                <w:rFonts w:eastAsiaTheme="minorEastAsia" w:hAnsiTheme="minorEastAsia"/>
                <w:color w:themeColor="text1" w:val="000000"/>
                <w:kern w:val="0"/>
                <w:sz w:val="24"/>
              </w:rPr>
              <w:t>报告期期</w:t>
            </w:r>
            <w:proofErr w:type="gramStart"/>
            <w:r w:rsidRPr="00B34368">
              <w:rPr>
                <w:rFonts w:eastAsiaTheme="minorEastAsia" w:hAnsiTheme="minorEastAsia"/>
                <w:color w:themeColor="text1" w:val="000000"/>
                <w:kern w:val="0"/>
                <w:sz w:val="24"/>
              </w:rPr>
              <w:t>初基金</w:t>
            </w:r>
            <w:proofErr w:type="gramEnd"/>
            <w:r w:rsidRPr="00B34368">
              <w:rPr>
                <w:rFonts w:eastAsiaTheme="minorEastAsia" w:hAnsiTheme="minorEastAsia"/>
                <w:color w:themeColor="text1" w:val="000000"/>
                <w:kern w:val="0"/>
                <w:sz w:val="24"/>
              </w:rPr>
              <w:t>份额总额</w:t>
            </w:r>
          </w:p>
        </w:tc>
        <w:tc>
          <w:tcPr>
            <w:tcW w:type="dxa" w:w="2367"/>
            <w:vAlign w:val="center"/>
          </w:tcPr>
          <w:p w:rsidP="00A1276C" w:rsidR="00936D40" w:rsidRDefault="00B011B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r w:rsidR="00936D40" w:rsidRPr="00B34368">
              <w:rPr>
                <w:rFonts w:eastAsiaTheme="minorEastAsia"/>
                <w:color w:themeColor="text1" w:val="000000"/>
                <w:sz w:val="24"/>
              </w:rPr>
              <w:t/>
            </w:r>
            <w:r w:rsidR="0042785F" w:rsidRPr="00B34368">
              <w:rPr>
                <w:rFonts w:eastAsiaTheme="minorEastAsia"/>
                <w:color w:themeColor="text1" w:val="000000"/>
                <w:sz w:val="24"/>
              </w:rPr>
              <w:t>2,106,075,296.34</w:t>
            </w:r>
          </w:p>
        </w:tc>
        <w:tc>
          <w:tcPr>
            <w:tcW w:type="dxa" w:w="2367"/>
            <w:vAlign w:val="center"/>
          </w:tcPr>
          <w:p w:rsidP="00936D40" w:rsidR="00936D40" w:rsidRDefault="00B011B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r w:rsidR="00936D40" w:rsidRPr="00B34368">
              <w:rPr>
                <w:rFonts w:eastAsiaTheme="minorEastAsia"/>
                <w:color w:themeColor="text1" w:val="000000"/>
                <w:sz w:val="24"/>
              </w:rPr>
              <w:t/>
            </w:r>
            <w:r w:rsidR="00EA1D33" w:rsidRPr="00B34368">
              <w:rPr>
                <w:rFonts w:eastAsiaTheme="minorEastAsia"/>
                <w:color w:themeColor="text1" w:val="000000"/>
                <w:sz w:val="24"/>
              </w:rPr>
              <w:t/>
            </w:r>
            <w:r w:rsidR="0042785F" w:rsidRPr="00B34368">
              <w:rPr>
                <w:rFonts w:eastAsiaTheme="minorEastAsia"/>
                <w:color w:themeColor="text1" w:val="000000"/>
                <w:sz w:val="24"/>
              </w:rPr>
              <w:t>511,977,734.74</w:t>
            </w:r>
          </w:p>
        </w:tc>
      </w:tr>
      <w:tr w:rsidR="00D3639B" w:rsidRPr="00B34368" w:rsidTr="004E70B7">
        <w:tc>
          <w:tcPr>
            <w:tcW w:type="dxa" w:w="3900"/>
            <w:vAlign w:val="center"/>
          </w:tcPr>
          <w:p w:rsidP="00A1276C" w:rsidR="00936D40" w:rsidRDefault="00F72579" w:rsidRPr="00B34368">
            <w:pPr>
              <w:autoSpaceDE w:val="0"/>
              <w:autoSpaceDN w:val="0"/>
              <w:adjustRightInd w:val="0"/>
              <w:spacing w:before="29" w:line="360" w:lineRule="auto"/>
              <w:ind w:left="17"/>
              <w:jc w:val="left"/>
              <w:rPr>
                <w:rFonts w:eastAsiaTheme="minorEastAsia"/>
                <w:color w:themeColor="text1" w:val="000000"/>
                <w:kern w:val="0"/>
                <w:sz w:val="24"/>
              </w:rPr>
            </w:pPr>
            <w:r w:rsidRPr="00B34368">
              <w:rPr>
                <w:rFonts w:eastAsiaTheme="minorEastAsia"/>
                <w:color w:themeColor="text1" w:val="000000"/>
                <w:kern w:val="0"/>
                <w:sz w:val="24"/>
              </w:rPr>
              <w:lastRenderedPageBreak/>
              <w:t/>
            </w:r>
            <w:proofErr w:type="spellStart"/>
            <w:r w:rsidR="00130E37">
              <w:rPr>
                <w:color w:val="000000"/>
                <w:kern w:val="0"/>
                <w:sz w:val="24"/>
              </w:rPr>
              <w:t/>
            </w:r>
            <w:proofErr w:type="spellEnd"/>
            <w:r w:rsidRPr="00B34368">
              <w:rPr>
                <w:rFonts w:eastAsiaTheme="minorEastAsia"/>
                <w:color w:themeColor="text1" w:val="000000"/>
                <w:kern w:val="0"/>
                <w:sz w:val="24"/>
              </w:rPr>
              <w:t>报告期</w:t>
            </w:r>
            <w:r w:rsidR="00936D40" w:rsidRPr="00B34368">
              <w:rPr>
                <w:rFonts w:eastAsiaTheme="minorEastAsia" w:hAnsiTheme="minorEastAsia"/>
                <w:color w:themeColor="text1" w:val="000000"/>
                <w:kern w:val="0"/>
                <w:sz w:val="24"/>
              </w:rPr>
              <w:t>基金总申购份额</w:t>
            </w:r>
          </w:p>
        </w:tc>
        <w:tc>
          <w:tcPr>
            <w:tcW w:type="dxa" w:w="2367"/>
            <w:vAlign w:val="center"/>
          </w:tcPr>
          <w:p w:rsidP="00A1276C"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0042785F" w:rsidRPr="00B34368">
              <w:rPr>
                <w:rFonts w:eastAsiaTheme="minorEastAsia"/>
                <w:color w:themeColor="text1" w:val="000000"/>
                <w:sz w:val="24"/>
              </w:rPr>
              <w:t>531,598,214.34</w:t>
            </w:r>
          </w:p>
        </w:tc>
        <w:tc>
          <w:tcPr>
            <w:tcW w:type="dxa" w:w="2367"/>
            <w:vAlign w:val="center"/>
          </w:tcPr>
          <w:p w:rsidP="00936D40"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42785F" w:rsidRPr="00B34368">
              <w:rPr>
                <w:rFonts w:eastAsiaTheme="minorEastAsia"/>
                <w:color w:themeColor="text1" w:val="000000"/>
                <w:sz w:val="24"/>
              </w:rPr>
              <w:t>284,171,431.76</w:t>
            </w:r>
          </w:p>
        </w:tc>
      </w:tr>
      <w:tr w:rsidR="00D3639B" w:rsidRPr="00B34368" w:rsidTr="004E70B7">
        <w:tc>
          <w:tcPr>
            <w:tcW w:type="dxa" w:w="3900"/>
            <w:vAlign w:val="center"/>
          </w:tcPr>
          <w:p w:rsidP="00A1276C" w:rsidR="00936D40" w:rsidRDefault="00936D40" w:rsidRPr="00B34368">
            <w:pPr>
              <w:autoSpaceDE w:val="0"/>
              <w:autoSpaceDN w:val="0"/>
              <w:adjustRightInd w:val="0"/>
              <w:spacing w:before="29" w:line="360" w:lineRule="auto"/>
              <w:ind w:left="17"/>
              <w:jc w:val="left"/>
              <w:rPr>
                <w:rFonts w:eastAsiaTheme="minorEastAsia"/>
                <w:color w:themeColor="text1" w:val="000000"/>
                <w:kern w:val="0"/>
                <w:sz w:val="24"/>
              </w:rPr>
            </w:pPr>
            <w:r w:rsidRPr="00B34368">
              <w:rPr>
                <w:rFonts w:eastAsiaTheme="minorEastAsia" w:hAnsiTheme="minorEastAsia"/>
                <w:color w:themeColor="text1" w:val="000000"/>
                <w:kern w:val="0"/>
                <w:sz w:val="24"/>
              </w:rPr>
              <w:t>减：</w:t>
            </w:r>
            <w:r w:rsidR="00F72579" w:rsidRPr="00B34368">
              <w:rPr>
                <w:rFonts w:eastAsiaTheme="minorEastAsia"/>
                <w:color w:themeColor="text1" w:val="000000"/>
                <w:kern w:val="0"/>
                <w:sz w:val="24"/>
              </w:rPr>
              <w:t/>
            </w:r>
            <w:proofErr w:type="spellStart"/>
            <w:r w:rsidR="00130E37">
              <w:rPr>
                <w:color w:val="000000"/>
                <w:kern w:val="0"/>
                <w:sz w:val="24"/>
              </w:rPr>
              <w:t/>
            </w:r>
            <w:proofErr w:type="spellEnd"/>
            <w:r w:rsidR="00F72579" w:rsidRPr="00B34368">
              <w:rPr>
                <w:rFonts w:eastAsiaTheme="minorEastAsia"/>
                <w:color w:themeColor="text1" w:val="000000"/>
                <w:kern w:val="0"/>
                <w:sz w:val="24"/>
              </w:rPr>
              <w:t>报告期</w:t>
            </w:r>
            <w:r w:rsidRPr="00B34368">
              <w:rPr>
                <w:rFonts w:eastAsiaTheme="minorEastAsia" w:hAnsiTheme="minorEastAsia"/>
                <w:color w:themeColor="text1" w:val="000000"/>
                <w:kern w:val="0"/>
                <w:sz w:val="24"/>
              </w:rPr>
              <w:t>基金总赎回份额</w:t>
            </w:r>
          </w:p>
        </w:tc>
        <w:tc>
          <w:tcPr>
            <w:tcW w:type="dxa" w:w="2367"/>
            <w:vAlign w:val="center"/>
          </w:tcPr>
          <w:p w:rsidP="00A1276C"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0042785F" w:rsidRPr="00B34368">
              <w:rPr>
                <w:rFonts w:eastAsiaTheme="minorEastAsia"/>
                <w:color w:themeColor="text1" w:val="000000"/>
                <w:sz w:val="24"/>
              </w:rPr>
              <w:t>761,274,828.18</w:t>
            </w:r>
          </w:p>
        </w:tc>
        <w:tc>
          <w:tcPr>
            <w:tcW w:type="dxa" w:w="2367"/>
            <w:vAlign w:val="center"/>
          </w:tcPr>
          <w:p w:rsidP="00936D40"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42785F" w:rsidRPr="00B34368">
              <w:rPr>
                <w:rFonts w:eastAsiaTheme="minorEastAsia"/>
                <w:color w:themeColor="text1" w:val="000000"/>
                <w:sz w:val="24"/>
              </w:rPr>
              <w:t>365,004,961.35</w:t>
            </w:r>
          </w:p>
        </w:tc>
      </w:tr>
      <w:tr w:rsidR="00D3639B" w:rsidRPr="00B34368" w:rsidTr="004E70B7">
        <w:tc>
          <w:tcPr>
            <w:tcW w:type="dxa" w:w="3900"/>
            <w:vAlign w:val="center"/>
          </w:tcPr>
          <w:p w:rsidP="00A1276C" w:rsidR="00936D40" w:rsidRDefault="00F72579" w:rsidRPr="00B34368">
            <w:pPr>
              <w:autoSpaceDE w:val="0"/>
              <w:autoSpaceDN w:val="0"/>
              <w:adjustRightInd w:val="0"/>
              <w:spacing w:before="29" w:line="360" w:lineRule="auto"/>
              <w:ind w:left="17"/>
              <w:jc w:val="left"/>
              <w:rPr>
                <w:rFonts w:eastAsiaTheme="minorEastAsia"/>
                <w:color w:themeColor="text1" w:val="000000"/>
                <w:kern w:val="0"/>
                <w:sz w:val="24"/>
              </w:rPr>
            </w:pPr>
            <w:r w:rsidRPr="00B34368">
              <w:rPr>
                <w:rFonts w:eastAsiaTheme="minorEastAsia"/>
                <w:color w:themeColor="text1" w:val="000000"/>
                <w:kern w:val="0"/>
                <w:sz w:val="24"/>
              </w:rPr>
              <w:t/>
            </w:r>
            <w:r w:rsidR="00130E37">
              <w:rPr>
                <w:color w:val="000000"/>
                <w:kern w:val="0"/>
                <w:sz w:val="24"/>
              </w:rPr>
              <w:t/>
            </w:r>
            <w:r w:rsidRPr="00B34368">
              <w:rPr>
                <w:rFonts w:eastAsiaTheme="minorEastAsia"/>
                <w:color w:themeColor="text1" w:val="000000"/>
                <w:kern w:val="0"/>
                <w:sz w:val="24"/>
              </w:rPr>
              <w:t>报告期</w:t>
            </w:r>
            <w:r w:rsidR="00936D40" w:rsidRPr="00B34368">
              <w:rPr>
                <w:rFonts w:eastAsiaTheme="minorEastAsia" w:hAnsiTheme="minorEastAsia"/>
                <w:color w:themeColor="text1" w:val="000000"/>
                <w:kern w:val="0"/>
                <w:sz w:val="24"/>
              </w:rPr>
              <w:t>基金拆分变动份额</w:t>
            </w:r>
            <w:r w:rsidR="00130E37" w:rsidRPr="00130E37">
              <w:rPr>
                <w:rFonts w:eastAsiaTheme="minorEastAsia" w:hAnsiTheme="minorEastAsia" w:hint="eastAsia"/>
                <w:color w:themeColor="text1" w:val="000000"/>
                <w:kern w:val="0"/>
                <w:sz w:val="24"/>
              </w:rPr>
              <w:t>（份额减少以“</w:t>
            </w:r>
            <w:r w:rsidR="00130E37" w:rsidRPr="00130E37">
              <w:rPr>
                <w:rFonts w:eastAsiaTheme="minorEastAsia" w:hAnsiTheme="minorEastAsia" w:hint="eastAsia"/>
                <w:color w:themeColor="text1" w:val="000000"/>
                <w:kern w:val="0"/>
                <w:sz w:val="24"/>
              </w:rPr>
              <w:t>-</w:t>
            </w:r>
            <w:r w:rsidR="00130E37" w:rsidRPr="00130E37">
              <w:rPr>
                <w:rFonts w:eastAsiaTheme="minorEastAsia" w:hAnsiTheme="minorEastAsia" w:hint="eastAsia"/>
                <w:color w:themeColor="text1" w:val="000000"/>
                <w:kern w:val="0"/>
                <w:sz w:val="24"/>
              </w:rPr>
              <w:t>”填列）</w:t>
            </w:r>
          </w:p>
        </w:tc>
        <w:tc>
          <w:tcPr>
            <w:tcW w:type="dxa" w:w="2367"/>
            <w:vAlign w:val="center"/>
          </w:tcPr>
          <w:p w:rsidP="00A1276C"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0042785F" w:rsidRPr="00B34368">
              <w:rPr>
                <w:rFonts w:eastAsiaTheme="minorEastAsia"/>
                <w:color w:themeColor="text1" w:val="000000"/>
                <w:sz w:val="24"/>
              </w:rPr>
              <w:t>-</w:t>
            </w:r>
          </w:p>
        </w:tc>
        <w:tc>
          <w:tcPr>
            <w:tcW w:type="dxa" w:w="2367"/>
            <w:vAlign w:val="center"/>
          </w:tcPr>
          <w:p w:rsidP="00936D40"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42785F" w:rsidRPr="00B34368">
              <w:rPr>
                <w:rFonts w:eastAsiaTheme="minorEastAsia"/>
                <w:color w:themeColor="text1" w:val="000000"/>
                <w:sz w:val="24"/>
              </w:rPr>
              <w:t>-</w:t>
            </w:r>
          </w:p>
        </w:tc>
      </w:tr>
      <w:tr w:rsidR="00D3639B" w:rsidRPr="00B34368" w:rsidTr="004E70B7">
        <w:tc>
          <w:tcPr>
            <w:tcW w:type="dxa" w:w="3900"/>
            <w:vAlign w:val="center"/>
          </w:tcPr>
          <w:p w:rsidP="00A1276C" w:rsidR="00936D40" w:rsidRDefault="00936D40" w:rsidRPr="00B34368">
            <w:pPr>
              <w:autoSpaceDE w:val="0"/>
              <w:autoSpaceDN w:val="0"/>
              <w:adjustRightInd w:val="0"/>
              <w:spacing w:before="29" w:line="360" w:lineRule="auto"/>
              <w:ind w:left="17"/>
              <w:jc w:val="left"/>
              <w:rPr>
                <w:rFonts w:eastAsiaTheme="minorEastAsia"/>
                <w:color w:themeColor="text1" w:val="000000"/>
                <w:kern w:val="0"/>
                <w:sz w:val="24"/>
              </w:rPr>
            </w:pPr>
            <w:r w:rsidRPr="00B34368">
              <w:rPr>
                <w:rFonts w:eastAsiaTheme="minorEastAsia" w:hAnsiTheme="minorEastAsia"/>
                <w:color w:themeColor="text1" w:val="000000"/>
                <w:kern w:val="0"/>
                <w:sz w:val="24"/>
              </w:rPr>
              <w:t>报告期期末基金份额总额</w:t>
            </w:r>
          </w:p>
        </w:tc>
        <w:tc>
          <w:tcPr>
            <w:tcW w:type="dxa" w:w="2367"/>
            <w:vAlign w:val="center"/>
          </w:tcPr>
          <w:p w:rsidP="00B57BCF"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r w:rsidR="0042785F" w:rsidRPr="00B34368">
              <w:rPr>
                <w:rFonts w:eastAsiaTheme="minorEastAsia"/>
                <w:color w:themeColor="text1" w:val="000000"/>
                <w:sz w:val="24"/>
              </w:rPr>
              <w:t/>
            </w:r>
            <w:proofErr w:type="spellEnd"/>
            <w:r w:rsidR="0042785F" w:rsidRPr="00B34368">
              <w:rPr>
                <w:rFonts w:eastAsiaTheme="minorEastAsia"/>
                <w:color w:themeColor="text1" w:val="000000"/>
                <w:sz w:val="24"/>
              </w:rPr>
              <w:t>1,876,398,682.50</w:t>
            </w:r>
          </w:p>
        </w:tc>
        <w:tc>
          <w:tcPr>
            <w:tcW w:type="dxa" w:w="2367"/>
            <w:vAlign w:val="center"/>
          </w:tcPr>
          <w:p w:rsidP="00936D40" w:rsidR="00936D40" w:rsidRDefault="00936D40" w:rsidRPr="00B34368">
            <w:pPr>
              <w:autoSpaceDE w:val="0"/>
              <w:autoSpaceDN w:val="0"/>
              <w:adjustRightInd w:val="0"/>
              <w:spacing w:before="29" w:line="360" w:lineRule="auto"/>
              <w:ind w:left="17"/>
              <w:jc w:val="right"/>
              <w:rPr>
                <w:rFonts w:eastAsiaTheme="minorEastAsia"/>
                <w:color w:themeColor="text1" w:val="000000"/>
                <w:sz w:val="24"/>
              </w:rPr>
            </w:pPr>
            <w:r w:rsidRPr="00B34368">
              <w:rPr>
                <w:rFonts w:eastAsiaTheme="minorEastAsia"/>
                <w:color w:themeColor="text1" w:val="000000"/>
                <w:sz w:val="24"/>
              </w:rPr>
              <w:t/>
            </w:r>
            <w:r w:rsidR="004D614E" w:rsidRPr="00B34368">
              <w:rPr>
                <w:rFonts w:eastAsiaTheme="minorEastAsia"/>
                <w:color w:themeColor="text1" w:val="000000"/>
                <w:sz w:val="24"/>
              </w:rPr>
              <w:t/>
            </w:r>
            <w:r w:rsidR="0042785F" w:rsidRPr="00B34368">
              <w:rPr>
                <w:rFonts w:eastAsiaTheme="minorEastAsia"/>
                <w:color w:themeColor="text1" w:val="000000"/>
                <w:sz w:val="24"/>
              </w:rPr>
              <w:t>431,144,205.15</w:t>
            </w:r>
          </w:p>
        </w:tc>
      </w:tr>
    </w:tbl>
    <w:p w:rsidP="00C544B8" w:rsidR="00617125" w:rsidRDefault="00617125" w:rsidRPr="00B34368">
      <w:pPr>
        <w:pStyle w:val="1"/>
        <w:tabs>
          <w:tab w:pos="4156" w:val="center"/>
          <w:tab w:pos="8312" w:val="right"/>
        </w:tabs>
        <w:spacing w:after="312" w:afterLines="100" w:before="312" w:beforeLines="100" w:line="360" w:lineRule="auto"/>
        <w:jc w:val="center"/>
        <w:rPr>
          <w:rFonts w:eastAsiaTheme="minorEastAsia"/>
          <w:color w:themeColor="text1" w:val="000000"/>
          <w:sz w:val="24"/>
          <w:szCs w:val="24"/>
        </w:rPr>
      </w:pPr>
      <w:r w:rsidRPr="00B34368">
        <w:rPr>
          <w:rFonts w:eastAsiaTheme="minorEastAsia"/>
          <w:color w:themeColor="text1" w:val="000000"/>
          <w:kern w:val="0"/>
          <w:sz w:val="24"/>
          <w:szCs w:val="24"/>
        </w:rPr>
        <w:t/>
      </w:r>
      <w:proofErr w:type="spellStart"/>
      <w:r w:rsidRPr="00B34368">
        <w:rPr>
          <w:rFonts w:eastAsiaTheme="minorEastAsia"/>
          <w:color w:themeColor="text1" w:val="000000"/>
          <w:kern w:val="0"/>
          <w:sz w:val="24"/>
          <w:szCs w:val="24"/>
        </w:rPr>
        <w:t/>
      </w:r>
      <w:proofErr w:type="spellEnd"/>
      <w:r w:rsidRPr="00B34368">
        <w:rPr>
          <w:rFonts w:eastAsiaTheme="minorEastAsia"/>
          <w:color w:themeColor="text1" w:val="000000"/>
          <w:kern w:val="0"/>
          <w:sz w:val="24"/>
          <w:szCs w:val="24"/>
        </w:rPr>
        <w:t>§7</w:t>
      </w:r>
      <w:r w:rsidR="007661B8" w:rsidRPr="00B34368">
        <w:rPr>
          <w:rFonts w:eastAsiaTheme="minorEastAsia"/>
          <w:color w:themeColor="text1" w:val="000000"/>
          <w:kern w:val="0"/>
          <w:sz w:val="24"/>
          <w:szCs w:val="24"/>
        </w:rPr>
        <w:t xml:space="preserve">  </w:t>
      </w:r>
      <w:r w:rsidRPr="00B34368">
        <w:rPr>
          <w:rFonts w:eastAsiaTheme="minorEastAsia" w:hAnsiTheme="minorEastAsia"/>
          <w:color w:themeColor="text1" w:val="000000"/>
          <w:sz w:val="24"/>
          <w:szCs w:val="24"/>
        </w:rPr>
        <w:t>基金管理人运用</w:t>
      </w:r>
      <w:proofErr w:type="gramStart"/>
      <w:r w:rsidRPr="00B34368">
        <w:rPr>
          <w:rFonts w:eastAsiaTheme="minorEastAsia" w:hAnsiTheme="minorEastAsia"/>
          <w:color w:themeColor="text1" w:val="000000"/>
          <w:sz w:val="24"/>
          <w:szCs w:val="24"/>
        </w:rPr>
        <w:t>固有资金</w:t>
      </w:r>
      <w:proofErr w:type="gramEnd"/>
      <w:r w:rsidRPr="00B34368">
        <w:rPr>
          <w:rFonts w:eastAsiaTheme="minorEastAsia" w:hAnsiTheme="minorEastAsia"/>
          <w:color w:themeColor="text1" w:val="000000"/>
          <w:sz w:val="24"/>
          <w:szCs w:val="24"/>
        </w:rPr>
        <w:t>投资本基金情况</w:t>
      </w:r>
    </w:p>
    <w:p w:rsidP="00617125" w:rsidR="00617125" w:rsidRDefault="00617125" w:rsidRPr="00B34368">
      <w:pPr>
        <w:spacing w:line="360" w:lineRule="auto"/>
        <w:jc w:val="left"/>
        <w:rPr>
          <w:rFonts w:eastAsiaTheme="minorEastAsia"/>
          <w:color w:themeColor="text1" w:val="000000"/>
          <w:sz w:val="24"/>
        </w:rPr>
      </w:pPr>
      <w:r w:rsidRPr="00B34368">
        <w:rPr>
          <w:rFonts w:eastAsiaTheme="minorEastAsia"/>
          <w:b/>
          <w:color w:themeColor="text1" w:val="000000"/>
          <w:sz w:val="24"/>
        </w:rPr>
        <w:t/>
      </w:r>
      <w:proofErr w:type="spellStart"/>
      <w:r w:rsidRPr="00B34368">
        <w:rPr>
          <w:rFonts w:eastAsiaTheme="minorEastAsia"/>
          <w:b/>
          <w:color w:themeColor="text1" w:val="000000"/>
          <w:sz w:val="24"/>
        </w:rPr>
        <w:t/>
      </w:r>
      <w:proofErr w:type="spellEnd"/>
      <w:r w:rsidRPr="00B34368">
        <w:rPr>
          <w:rFonts w:eastAsiaTheme="minorEastAsia"/>
          <w:b/>
          <w:color w:themeColor="text1" w:val="000000"/>
          <w:sz w:val="24"/>
        </w:rPr>
        <w:t/>
      </w:r>
      <w:proofErr w:type="gramStart"/>
      <w:r w:rsidRPr="00B34368">
        <w:rPr>
          <w:rFonts w:eastAsiaTheme="minorEastAsia"/>
          <w:b/>
          <w:color w:themeColor="text1" w:val="000000"/>
          <w:sz w:val="24"/>
        </w:rPr>
        <w:t/>
      </w:r>
      <w:proofErr w:type="gramEnd"/>
      <w:r w:rsidRPr="00B34368">
        <w:rPr>
          <w:rFonts w:eastAsiaTheme="minorEastAsia"/>
          <w:b/>
          <w:color w:themeColor="text1" w:val="000000"/>
          <w:sz w:val="24"/>
        </w:rPr>
        <w:t xml:space="preserve">7.1 </w:t>
      </w:r>
      <w:r w:rsidRPr="00B34368">
        <w:rPr>
          <w:rFonts w:eastAsiaTheme="minorEastAsia" w:hAnsiTheme="minorEastAsia"/>
          <w:b/>
          <w:color w:themeColor="text1" w:val="000000"/>
          <w:sz w:val="24"/>
        </w:rPr>
        <w:t>基金管理人持有本基金份额变动情况</w:t>
      </w:r>
    </w:p>
    <w:p w:rsidP="00B34368" w:rsidR="00617125" w:rsidRDefault="00A01C74" w:rsidRPr="00B34368">
      <w:pPr>
        <w:autoSpaceDE w:val="0"/>
        <w:autoSpaceDN w:val="0"/>
        <w:adjustRightInd w:val="0"/>
        <w:spacing w:line="360" w:lineRule="auto"/>
        <w:ind w:firstLine="480" w:firstLineChars="200"/>
        <w:jc w:val="left"/>
        <w:rPr>
          <w:rFonts w:eastAsiaTheme="minorEastAsia"/>
          <w:color w:themeColor="text1" w:val="000000"/>
          <w:sz w:val="24"/>
        </w:rPr>
      </w:pPr>
      <w:r w:rsidRPr="00DF18FE">
        <w:rPr>
          <w:color w:val="000000"/>
          <w:sz w:val="24"/>
        </w:rPr>
        <w:t/>
      </w:r>
      <w:r w:rsidRPr="00EA6415">
        <w:rPr>
          <w:color w:val="000000"/>
          <w:sz w:val="24"/>
        </w:rPr>
        <w:t/>
      </w: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本报告期内基金管理人未持有本基金份额。</w:t>
      </w:r>
    </w:p>
    <w:p w:rsidP="00C544B8" w:rsidR="00617125" w:rsidRDefault="00617125" w:rsidRPr="00B34368">
      <w:pPr>
        <w:spacing w:before="312" w:beforeLines="100" w:line="360" w:lineRule="auto"/>
        <w:jc w:val="left"/>
        <w:rPr>
          <w:rFonts w:eastAsiaTheme="minorEastAsia"/>
          <w:color w:themeColor="text1" w:val="000000"/>
          <w:sz w:val="24"/>
        </w:rPr>
      </w:pPr>
      <w:r w:rsidRPr="00B34368">
        <w:rPr>
          <w:rFonts w:eastAsiaTheme="minorEastAsia"/>
          <w:b/>
          <w:color w:themeColor="text1" w:val="000000"/>
          <w:sz w:val="24"/>
        </w:rPr>
        <w:t/>
      </w:r>
      <w:proofErr w:type="spellStart"/>
      <w:r w:rsidRPr="00B34368">
        <w:rPr>
          <w:rFonts w:eastAsiaTheme="minorEastAsia"/>
          <w:b/>
          <w:color w:themeColor="text1" w:val="000000"/>
          <w:sz w:val="24"/>
        </w:rPr>
        <w:t/>
      </w:r>
      <w:proofErr w:type="spellEnd"/>
      <w:r w:rsidRPr="00B34368">
        <w:rPr>
          <w:rFonts w:eastAsiaTheme="minorEastAsia"/>
          <w:b/>
          <w:color w:themeColor="text1" w:val="000000"/>
          <w:sz w:val="24"/>
        </w:rPr>
        <w:t/>
      </w:r>
      <w:proofErr w:type="gramStart"/>
      <w:r w:rsidRPr="00B34368">
        <w:rPr>
          <w:rFonts w:eastAsiaTheme="minorEastAsia"/>
          <w:b/>
          <w:color w:themeColor="text1" w:val="000000"/>
          <w:sz w:val="24"/>
        </w:rPr>
        <w:t/>
      </w:r>
      <w:proofErr w:type="gramEnd"/>
      <w:r w:rsidRPr="00B34368">
        <w:rPr>
          <w:rFonts w:eastAsiaTheme="minorEastAsia"/>
          <w:b/>
          <w:color w:themeColor="text1" w:val="000000"/>
          <w:sz w:val="24"/>
        </w:rPr>
        <w:t xml:space="preserve">7.2 </w:t>
      </w:r>
      <w:r w:rsidRPr="00B34368">
        <w:rPr>
          <w:rFonts w:eastAsiaTheme="minorEastAsia" w:hAnsiTheme="minorEastAsia"/>
          <w:b/>
          <w:color w:themeColor="text1" w:val="000000"/>
          <w:sz w:val="24"/>
        </w:rPr>
        <w:t>基金管理人运用固有资金投资本基金交易明细</w:t>
      </w:r>
    </w:p>
    <w:p w:rsidP="00B34368" w:rsidR="00617125" w:rsidRDefault="00617125" w:rsidRPr="00B34368">
      <w:pPr>
        <w:autoSpaceDE w:val="0"/>
        <w:autoSpaceDN w:val="0"/>
        <w:adjustRightInd w:val="0"/>
        <w:spacing w:line="360" w:lineRule="auto"/>
        <w:ind w:firstLine="480" w:firstLineChars="200"/>
        <w:jc w:val="left"/>
        <w:rPr>
          <w:rFonts w:eastAsiaTheme="minorEastAsia"/>
          <w:color w:themeColor="text1" w:val="000000"/>
          <w:sz w:val="24"/>
        </w:rPr>
      </w:pPr>
      <w:r w:rsidRPr="00B34368">
        <w:rPr>
          <w:rFonts w:eastAsiaTheme="minorEastAsia"/>
          <w:color w:themeColor="text1" w:val="000000"/>
          <w:sz w:val="24"/>
        </w:rPr>
        <w:t/>
      </w:r>
      <w:proofErr w:type="spellStart"/>
      <w:r w:rsidRPr="00B34368">
        <w:rPr>
          <w:rFonts w:eastAsiaTheme="minorEastAsia"/>
          <w:color w:themeColor="text1" w:val="000000"/>
          <w:sz w:val="24"/>
        </w:rPr>
        <w:t/>
      </w:r>
      <w:proofErr w:type="spellEnd"/>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本报告期内基金管理人未运用固有资金申购、赎回、买卖本基金份额。</w:t>
      </w:r>
    </w:p>
    <w:p w:rsidP="00C544B8" w:rsidR="009238DB" w:rsidRDefault="009238DB" w:rsidRPr="00B34368">
      <w:pPr>
        <w:pStyle w:val="1"/>
        <w:spacing w:after="312" w:afterLines="100" w:before="312" w:beforeLines="100" w:line="360" w:lineRule="auto"/>
        <w:jc w:val="center"/>
        <w:rPr>
          <w:rFonts w:eastAsiaTheme="minorEastAsia"/>
          <w:color w:themeColor="text1" w:val="000000"/>
          <w:kern w:val="0"/>
          <w:sz w:val="24"/>
          <w:szCs w:val="24"/>
        </w:rPr>
      </w:pPr>
      <w:r w:rsidRPr="00B34368">
        <w:rPr>
          <w:rFonts w:eastAsiaTheme="minorEastAsia"/>
          <w:color w:themeColor="text1" w:val="000000"/>
          <w:kern w:val="0"/>
          <w:sz w:val="24"/>
          <w:szCs w:val="24"/>
        </w:rPr>
        <w:t>§</w:t>
      </w:r>
      <w:r w:rsidR="00A14399" w:rsidRPr="00B34368">
        <w:rPr>
          <w:rFonts w:eastAsiaTheme="minorEastAsia"/>
          <w:color w:themeColor="text1" w:val="000000"/>
          <w:kern w:val="0"/>
          <w:sz w:val="24"/>
          <w:szCs w:val="24"/>
        </w:rPr>
        <w:t/>
      </w:r>
      <w:r w:rsidR="00D13A01" w:rsidRPr="00B34368">
        <w:rPr>
          <w:rFonts w:eastAsiaTheme="minorEastAsia"/>
          <w:color w:themeColor="text1" w:val="000000"/>
          <w:kern w:val="0"/>
          <w:sz w:val="24"/>
          <w:szCs w:val="24"/>
        </w:rPr>
        <w:t/>
      </w:r>
      <w:r w:rsidR="00A14399" w:rsidRPr="00B34368">
        <w:rPr>
          <w:rFonts w:eastAsiaTheme="minorEastAsia"/>
          <w:color w:themeColor="text1" w:val="000000"/>
          <w:kern w:val="0"/>
          <w:sz w:val="24"/>
          <w:szCs w:val="24"/>
        </w:rPr>
        <w:t>8</w:t>
      </w:r>
      <w:r w:rsidR="007661B8" w:rsidRPr="00B34368">
        <w:rPr>
          <w:rFonts w:eastAsiaTheme="minorEastAsia"/>
          <w:color w:themeColor="text1" w:val="000000"/>
          <w:kern w:val="0"/>
          <w:sz w:val="24"/>
          <w:szCs w:val="24"/>
        </w:rPr>
        <w:t xml:space="preserve">  </w:t>
      </w:r>
      <w:r w:rsidRPr="00B34368">
        <w:rPr>
          <w:rFonts w:eastAsiaTheme="minorEastAsia" w:hAnsiTheme="minorEastAsia"/>
          <w:color w:themeColor="text1" w:val="000000"/>
          <w:kern w:val="0"/>
          <w:sz w:val="24"/>
          <w:szCs w:val="24"/>
        </w:rPr>
        <w:t>备查文件目录</w:t>
      </w:r>
    </w:p>
    <w:p w:rsidP="00FC13C8" w:rsidR="00FB3C94" w:rsidRDefault="00A14399" w:rsidRPr="00B34368">
      <w:pPr>
        <w:autoSpaceDE w:val="0"/>
        <w:autoSpaceDN w:val="0"/>
        <w:adjustRightInd w:val="0"/>
        <w:spacing w:line="360" w:lineRule="auto"/>
        <w:jc w:val="left"/>
        <w:rPr>
          <w:rFonts w:eastAsiaTheme="minorEastAsia"/>
          <w:b/>
          <w:bCs/>
          <w:color w:themeColor="text1" w:val="000000"/>
          <w:kern w:val="0"/>
          <w:sz w:val="24"/>
        </w:rPr>
      </w:pPr>
      <w:r w:rsidRPr="00B34368">
        <w:rPr>
          <w:rFonts w:eastAsiaTheme="minorEastAsia"/>
          <w:b/>
          <w:bCs/>
          <w:color w:themeColor="text1" w:val="000000"/>
          <w:kern w:val="0"/>
          <w:sz w:val="24"/>
        </w:rPr>
        <w:t/>
      </w:r>
      <w:proofErr w:type="gramStart"/>
      <w:r w:rsidR="00D13A01" w:rsidRPr="00B34368">
        <w:rPr>
          <w:rFonts w:eastAsiaTheme="minorEastAsia"/>
          <w:b/>
          <w:bCs/>
          <w:color w:themeColor="text1" w:val="000000"/>
          <w:kern w:val="0"/>
          <w:sz w:val="24"/>
        </w:rPr>
        <w:t/>
      </w:r>
      <w:proofErr w:type="gramEnd"/>
      <w:r w:rsidRPr="00B34368">
        <w:rPr>
          <w:rFonts w:eastAsiaTheme="minorEastAsia"/>
          <w:b/>
          <w:bCs/>
          <w:color w:themeColor="text1" w:val="000000"/>
          <w:kern w:val="0"/>
          <w:sz w:val="24"/>
        </w:rPr>
        <w:t>8.</w:t>
      </w:r>
      <w:r w:rsidR="00D13A01" w:rsidRPr="00B34368">
        <w:rPr>
          <w:rFonts w:eastAsiaTheme="minorEastAsia"/>
          <w:b/>
          <w:bCs/>
          <w:color w:themeColor="text1" w:val="000000"/>
          <w:kern w:val="0"/>
          <w:sz w:val="24"/>
        </w:rPr>
        <w:t>1</w:t>
      </w:r>
      <w:r w:rsidR="00FB3C94" w:rsidRPr="00B34368">
        <w:rPr>
          <w:rFonts w:eastAsiaTheme="minorEastAsia" w:hAnsiTheme="minorEastAsia"/>
          <w:b/>
          <w:bCs/>
          <w:color w:themeColor="text1" w:val="000000"/>
          <w:kern w:val="0"/>
          <w:sz w:val="24"/>
        </w:rPr>
        <w:t>备查文件目录</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1.中国证监会核准易方达创业板交易型开放式指数证券投资基金联接基金募集的文件；</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2.《易方达创业板交易型开放式指数证券投资基金联接基金基金合同》；</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3.《易方达创业板交易型开放式指数证券投资基金联接基金托管协议》；</w:t>
      </w:r>
    </w:p>
    <w:p>
      <w:pPr>
        <w:spacing w:line="360" w:lineRule="auto"/>
        <w:ind w:firstLine="480" w:firstLineChars="200"/>
        <w:rPr>
          <w:rFonts w:eastAsiaTheme="minorEastAsia"/>
          <w:color w:themeColor="text1" w:val="000000"/>
          <w:sz w:val="24"/>
        </w:rPr>
      </w:pPr>
      <w:r>
        <w:rPr>
          <w:rFonts w:eastAsiaTheme="minorEastAsia"/>
          <w:color w:themeColor="text1" w:val="000000"/>
          <w:sz w:val="24"/>
        </w:rPr>
        <w:t xml:space="preserve">4.《易方达基金管理有限公司开放式基金业务规则》； </w:t>
      </w:r>
    </w:p>
    <w:p w:rsidP="00B34368" w:rsidR="00F11783" w:rsidRDefault="00FB3C94"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5.基金管理人业务资格批件和营业执照。</w:t>
      </w:r>
    </w:p>
    <w:p w:rsidP="00C544B8" w:rsidR="00FB3C94" w:rsidRDefault="00D13A01" w:rsidRPr="00B34368">
      <w:pPr>
        <w:autoSpaceDE w:val="0"/>
        <w:autoSpaceDN w:val="0"/>
        <w:adjustRightInd w:val="0"/>
        <w:spacing w:before="312" w:beforeLines="100" w:line="360" w:lineRule="auto"/>
        <w:jc w:val="left"/>
        <w:rPr>
          <w:rFonts w:eastAsiaTheme="minorEastAsia"/>
          <w:b/>
          <w:bCs/>
          <w:color w:themeColor="text1" w:val="000000"/>
          <w:kern w:val="0"/>
          <w:sz w:val="24"/>
        </w:rPr>
      </w:pPr>
      <w:r w:rsidRPr="00B34368">
        <w:rPr>
          <w:rFonts w:eastAsiaTheme="minorEastAsia"/>
          <w:b/>
          <w:bCs/>
          <w:color w:themeColor="text1" w:val="000000"/>
          <w:kern w:val="0"/>
          <w:sz w:val="24"/>
        </w:rPr>
        <w:t/>
      </w:r>
      <w:proofErr w:type="gramStart"/>
      <w:r w:rsidRPr="00B34368">
        <w:rPr>
          <w:rFonts w:eastAsiaTheme="minorEastAsia"/>
          <w:b/>
          <w:bCs/>
          <w:color w:themeColor="text1" w:val="000000"/>
          <w:kern w:val="0"/>
          <w:sz w:val="24"/>
        </w:rPr>
        <w:t/>
      </w:r>
      <w:proofErr w:type="gramEnd"/>
      <w:r w:rsidRPr="00B34368">
        <w:rPr>
          <w:rFonts w:eastAsiaTheme="minorEastAsia"/>
          <w:b/>
          <w:bCs/>
          <w:color w:themeColor="text1" w:val="000000"/>
          <w:kern w:val="0"/>
          <w:sz w:val="24"/>
        </w:rPr>
        <w:t>8.2</w:t>
      </w:r>
      <w:r w:rsidR="00FB3C94" w:rsidRPr="00B34368">
        <w:rPr>
          <w:rFonts w:eastAsiaTheme="minorEastAsia" w:hAnsiTheme="minorEastAsia"/>
          <w:b/>
          <w:bCs/>
          <w:color w:themeColor="text1" w:val="000000"/>
          <w:kern w:val="0"/>
          <w:sz w:val="24"/>
        </w:rPr>
        <w:t>存放地点</w:t>
      </w:r>
    </w:p>
    <w:p w:rsidP="00B34368" w:rsidR="00F11783" w:rsidRDefault="00FB3C94"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广州市天河区珠江新城珠江东路30号广州银行大厦40-43楼。</w:t>
      </w:r>
    </w:p>
    <w:p w:rsidP="00C544B8" w:rsidR="00FB3C94" w:rsidRDefault="00D13A01" w:rsidRPr="00B34368">
      <w:pPr>
        <w:autoSpaceDE w:val="0"/>
        <w:autoSpaceDN w:val="0"/>
        <w:adjustRightInd w:val="0"/>
        <w:spacing w:before="312" w:beforeLines="100" w:line="360" w:lineRule="auto"/>
        <w:jc w:val="left"/>
        <w:rPr>
          <w:rFonts w:eastAsiaTheme="minorEastAsia"/>
          <w:b/>
          <w:bCs/>
          <w:color w:themeColor="text1" w:val="000000"/>
          <w:kern w:val="0"/>
          <w:sz w:val="24"/>
        </w:rPr>
      </w:pPr>
      <w:r w:rsidRPr="00B34368">
        <w:rPr>
          <w:rFonts w:eastAsiaTheme="minorEastAsia"/>
          <w:b/>
          <w:bCs/>
          <w:color w:themeColor="text1" w:val="000000"/>
          <w:kern w:val="0"/>
          <w:sz w:val="24"/>
        </w:rPr>
        <w:t/>
      </w:r>
      <w:proofErr w:type="gramStart"/>
      <w:r w:rsidRPr="00B34368">
        <w:rPr>
          <w:rFonts w:eastAsiaTheme="minorEastAsia"/>
          <w:b/>
          <w:bCs/>
          <w:color w:themeColor="text1" w:val="000000"/>
          <w:kern w:val="0"/>
          <w:sz w:val="24"/>
        </w:rPr>
        <w:t/>
      </w:r>
      <w:proofErr w:type="gramEnd"/>
      <w:r w:rsidRPr="00B34368">
        <w:rPr>
          <w:rFonts w:eastAsiaTheme="minorEastAsia"/>
          <w:b/>
          <w:bCs/>
          <w:color w:themeColor="text1" w:val="000000"/>
          <w:kern w:val="0"/>
          <w:sz w:val="24"/>
        </w:rPr>
        <w:t>8.3</w:t>
      </w:r>
      <w:r w:rsidR="00FB3C94" w:rsidRPr="00B34368">
        <w:rPr>
          <w:rFonts w:eastAsiaTheme="minorEastAsia" w:hAnsiTheme="minorEastAsia"/>
          <w:b/>
          <w:bCs/>
          <w:color w:themeColor="text1" w:val="000000"/>
          <w:kern w:val="0"/>
          <w:sz w:val="24"/>
        </w:rPr>
        <w:t>查阅方式</w:t>
      </w:r>
    </w:p>
    <w:p w:rsidP="00B34368" w:rsidR="00FB3C94" w:rsidRDefault="00FB3C94" w:rsidRPr="00B34368">
      <w:pPr>
        <w:spacing w:line="360" w:lineRule="auto"/>
        <w:ind w:firstLine="480" w:firstLineChars="200"/>
        <w:rPr>
          <w:rFonts w:eastAsiaTheme="minorEastAsia"/>
          <w:color w:themeColor="text1" w:val="000000"/>
          <w:sz w:val="24"/>
        </w:rPr>
      </w:pPr>
      <w:r w:rsidRPr="00B34368">
        <w:rPr>
          <w:rFonts w:eastAsiaTheme="minorEastAsia"/>
          <w:color w:themeColor="text1" w:val="000000"/>
          <w:sz w:val="24"/>
        </w:rPr>
        <w:t/>
      </w:r>
      <w:proofErr w:type="spellStart"/>
      <w:proofErr w:type="gramStart"/>
      <w:r w:rsidRPr="00B34368">
        <w:rPr>
          <w:rFonts w:eastAsiaTheme="minorEastAsia"/>
          <w:color w:themeColor="text1" w:val="000000"/>
          <w:sz w:val="24"/>
        </w:rPr>
        <w:t/>
      </w:r>
      <w:proofErr w:type="spellEnd"/>
      <w:proofErr w:type="gramEnd"/>
      <w:r w:rsidRPr="00B34368">
        <w:rPr>
          <w:rFonts w:eastAsiaTheme="minorEastAsia"/>
          <w:color w:themeColor="text1" w:val="000000"/>
          <w:sz w:val="24"/>
        </w:rPr>
        <w:t>投资者可在营业时间免费查阅，也可按工本费购买复印件。</w:t>
      </w:r>
    </w:p>
    <w:p w:rsidP="00FB3C94" w:rsidR="00FB3C94" w:rsidRDefault="00FB3C94" w:rsidRPr="00B34368">
      <w:pPr>
        <w:spacing w:line="360" w:lineRule="auto"/>
        <w:ind w:left="840"/>
        <w:jc w:val="right"/>
        <w:rPr>
          <w:rFonts w:eastAsiaTheme="minorEastAsia"/>
          <w:color w:themeColor="text1" w:val="000000"/>
          <w:sz w:val="24"/>
        </w:rPr>
      </w:pPr>
    </w:p>
    <w:p w:rsidP="00053FFD" w:rsidR="00AF3AF9" w:rsidRDefault="00AF3AF9" w:rsidRPr="00B34368">
      <w:pPr>
        <w:spacing w:line="360" w:lineRule="auto"/>
        <w:ind w:left="840"/>
        <w:jc w:val="center"/>
        <w:rPr>
          <w:rFonts w:eastAsiaTheme="minorEastAsia"/>
          <w:b/>
          <w:color w:themeColor="text1" w:val="000000"/>
          <w:sz w:val="24"/>
        </w:rPr>
      </w:pPr>
    </w:p>
    <w:p w:rsidP="00B1493B" w:rsidR="00FB3C94" w:rsidRDefault="00FB3C94" w:rsidRPr="00B34368">
      <w:pPr>
        <w:spacing w:line="360" w:lineRule="auto"/>
        <w:jc w:val="right"/>
        <w:rPr>
          <w:rFonts w:eastAsiaTheme="minorEastAsia"/>
          <w:b/>
          <w:bCs/>
          <w:color w:themeColor="text1" w:val="000000"/>
          <w:sz w:val="24"/>
        </w:rPr>
      </w:pPr>
      <w:r w:rsidRPr="00B34368">
        <w:rPr>
          <w:rFonts w:eastAsiaTheme="minorEastAsia"/>
          <w:b/>
          <w:bCs/>
          <w:color w:themeColor="text1" w:val="000000"/>
          <w:sz w:val="24"/>
        </w:rPr>
        <w:t/>
      </w:r>
      <w:proofErr w:type="spellStart"/>
      <w:proofErr w:type="gramStart"/>
      <w:r w:rsidRPr="00B34368">
        <w:rPr>
          <w:rFonts w:eastAsiaTheme="minorEastAsia"/>
          <w:b/>
          <w:bCs/>
          <w:color w:themeColor="text1" w:val="000000"/>
          <w:sz w:val="24"/>
        </w:rPr>
        <w:t/>
      </w:r>
      <w:proofErr w:type="spellEnd"/>
      <w:proofErr w:type="gramEnd"/>
      <w:r w:rsidRPr="00B34368">
        <w:rPr>
          <w:rFonts w:eastAsiaTheme="minorEastAsia"/>
          <w:b/>
          <w:bCs/>
          <w:color w:themeColor="text1" w:val="000000"/>
          <w:sz w:val="24"/>
        </w:rPr>
        <w:t>易方达基金管理有限公司</w:t>
      </w:r>
    </w:p>
    <w:p w:rsidP="00B1493B" w:rsidR="009238DB" w:rsidRDefault="00D04410" w:rsidRPr="00B34368">
      <w:pPr>
        <w:spacing w:line="360" w:lineRule="auto"/>
        <w:jc w:val="right"/>
        <w:rPr>
          <w:rFonts w:eastAsiaTheme="minorEastAsia"/>
          <w:b/>
          <w:bCs/>
          <w:color w:themeColor="text1" w:val="000000"/>
          <w:sz w:val="24"/>
        </w:rPr>
      </w:pPr>
      <w:r w:rsidRPr="00B34368">
        <w:rPr>
          <w:rFonts w:eastAsiaTheme="minorEastAsia"/>
          <w:b/>
          <w:bCs/>
          <w:color w:themeColor="text1" w:val="000000"/>
          <w:sz w:val="24"/>
        </w:rPr>
        <w:t/>
      </w:r>
      <w:proofErr w:type="spellStart"/>
      <w:proofErr w:type="gramStart"/>
      <w:r w:rsidRPr="00B34368">
        <w:rPr>
          <w:rFonts w:eastAsiaTheme="minorEastAsia"/>
          <w:b/>
          <w:bCs/>
          <w:color w:themeColor="text1" w:val="000000"/>
          <w:sz w:val="24"/>
        </w:rPr>
        <w:t/>
      </w:r>
      <w:proofErr w:type="spellEnd"/>
      <w:proofErr w:type="gramEnd"/>
      <w:r w:rsidRPr="00B34368">
        <w:rPr>
          <w:rFonts w:eastAsiaTheme="minorEastAsia"/>
          <w:b/>
          <w:bCs/>
          <w:color w:themeColor="text1" w:val="000000"/>
          <w:sz w:val="24"/>
        </w:rPr>
        <w:t>二〇二〇年七月二十一日</w:t>
      </w:r>
    </w:p>
    <w:sectPr w:rsidR="009238DB" w:rsidRPr="00B34368" w:rsidSect="00A8324F">
      <w:footerReference r:id="rId13" w:type="even"/>
      <w:footerReference r:id="rId14" w:type="default"/>
      <w:pgSz w:h="16838" w:w="11906"/>
      <w:pgMar w:bottom="1440" w:footer="992" w:gutter="0" w:header="851" w:left="1800" w:right="1286"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493E" w:rsidRDefault="0055493E">
      <w:r>
        <w:separator/>
      </w:r>
    </w:p>
  </w:endnote>
  <w:endnote w:type="continuationSeparator" w:id="0">
    <w:p w:rsidR="0055493E" w:rsidRDefault="00554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F7094A" w:rsidR="007C1122" w:rsidRDefault="007C1122" w:rsidRPr="001D0DB0">
    <w:pPr>
      <w:pStyle w:val="a6"/>
      <w:jc w:val="center"/>
    </w:pPr>
    <w:r>
      <w:rPr>
        <w:rFonts w:hint="eastAsia"/>
        <w:kern w:val="0"/>
        <w:szCs w:val="21"/>
      </w:rPr>
      <w:t>第</w:t>
    </w:r>
    <w:r w:rsidR="00EA55D2">
      <w:rPr>
        <w:kern w:val="0"/>
        <w:szCs w:val="21"/>
      </w:rPr>
      <w:fldChar w:fldCharType="begin"/>
    </w:r>
    <w:r>
      <w:rPr>
        <w:kern w:val="0"/>
        <w:szCs w:val="21"/>
      </w:rPr>
      <w:instrText xml:space="preserve"> PAGE </w:instrText>
    </w:r>
    <w:r w:rsidR="00EA55D2">
      <w:rPr>
        <w:kern w:val="0"/>
        <w:szCs w:val="21"/>
      </w:rPr>
      <w:fldChar w:fldCharType="separate"/>
    </w:r>
    <w:r w:rsidR="00153CF9">
      <w:rPr>
        <w:noProof/>
        <w:kern w:val="0"/>
        <w:szCs w:val="21"/>
      </w:rPr>
      <w:t>1</w:t>
    </w:r>
    <w:r w:rsidR="00EA55D2">
      <w:rPr>
        <w:kern w:val="0"/>
        <w:szCs w:val="21"/>
      </w:rPr>
      <w:fldChar w:fldCharType="end"/>
    </w:r>
    <w:proofErr w:type="gramStart"/>
    <w:r>
      <w:rPr>
        <w:rFonts w:hint="eastAsia"/>
        <w:kern w:val="0"/>
        <w:szCs w:val="21"/>
      </w:rPr>
      <w:t>页共</w:t>
    </w:r>
    <w:proofErr w:type="gramEnd"/>
    <w:r w:rsidR="00EA55D2">
      <w:rPr>
        <w:kern w:val="0"/>
        <w:szCs w:val="21"/>
      </w:rPr>
      <w:fldChar w:fldCharType="begin"/>
    </w:r>
    <w:r>
      <w:rPr>
        <w:kern w:val="0"/>
        <w:szCs w:val="21"/>
      </w:rPr>
      <w:instrText xml:space="preserve"> NUMPAGES </w:instrText>
    </w:r>
    <w:r w:rsidR="00EA55D2">
      <w:rPr>
        <w:kern w:val="0"/>
        <w:szCs w:val="21"/>
      </w:rPr>
      <w:fldChar w:fldCharType="separate"/>
    </w:r>
    <w:r w:rsidR="00153CF9">
      <w:rPr>
        <w:noProof/>
        <w:kern w:val="0"/>
        <w:szCs w:val="21"/>
      </w:rPr>
      <w:t>30</w:t>
    </w:r>
    <w:r w:rsidR="00EA55D2">
      <w:rPr>
        <w:kern w:val="0"/>
        <w:szCs w:val="21"/>
      </w:rPr>
      <w:fldChar w:fldCharType="end"/>
    </w:r>
    <w:r>
      <w:rPr>
        <w:rFonts w:hint="eastAsia"/>
        <w:kern w:val="0"/>
        <w:szCs w:val="21"/>
      </w:rPr>
      <w:t>页</w:t>
    </w: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7C1122" w:rsidRDefault="00EA55D2">
    <w:pPr>
      <w:pStyle w:val="a6"/>
      <w:framePr w:hAnchor="margin" w:vAnchor="text" w:wrap="around" w:xAlign="center" w:y="1"/>
      <w:rPr>
        <w:rStyle w:val="a7"/>
      </w:rPr>
    </w:pPr>
    <w:r>
      <w:rPr>
        <w:rStyle w:val="a7"/>
      </w:rPr>
      <w:fldChar w:fldCharType="begin"/>
    </w:r>
    <w:r w:rsidR="007C1122">
      <w:rPr>
        <w:rStyle w:val="a7"/>
      </w:rPr>
      <w:instrText xml:space="preserve">PAGE  </w:instrText>
    </w:r>
    <w:r>
      <w:rPr>
        <w:rStyle w:val="a7"/>
      </w:rPr>
      <w:fldChar w:fldCharType="end"/>
    </w:r>
  </w:p>
  <w:p w:rsidR="007C1122" w:rsidRDefault="007C1122">
    <w:pPr>
      <w:pStyle w:val="a6"/>
    </w:pPr>
  </w:p>
</w:ftr>
</file>

<file path=word/footer3.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7C1122" w:rsidRDefault="00EA55D2">
    <w:pPr>
      <w:pStyle w:val="a6"/>
      <w:framePr w:hAnchor="margin" w:vAnchor="text" w:wrap="around" w:xAlign="center" w:y="1"/>
      <w:rPr>
        <w:rStyle w:val="a7"/>
      </w:rPr>
    </w:pPr>
    <w:r>
      <w:rPr>
        <w:rStyle w:val="a7"/>
      </w:rPr>
      <w:fldChar w:fldCharType="begin"/>
    </w:r>
    <w:r w:rsidR="007C1122">
      <w:rPr>
        <w:rStyle w:val="a7"/>
      </w:rPr>
      <w:instrText xml:space="preserve">PAGE  </w:instrText>
    </w:r>
    <w:r>
      <w:rPr>
        <w:rStyle w:val="a7"/>
      </w:rPr>
      <w:fldChar w:fldCharType="separate"/>
    </w:r>
    <w:r w:rsidR="00153CF9">
      <w:rPr>
        <w:rStyle w:val="a7"/>
        <w:noProof/>
      </w:rPr>
      <w:t>22</w:t>
    </w:r>
    <w:r>
      <w:rPr>
        <w:rStyle w:val="a7"/>
      </w:rPr>
      <w:fldChar w:fldCharType="end"/>
    </w:r>
  </w:p>
  <w:p w:rsidR="007C1122" w:rsidRDefault="007C1122">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55493E" w:rsidRDefault="0055493E">
      <w:r>
        <w:separator/>
      </w:r>
    </w:p>
  </w:footnote>
  <w:footnote w:id="0" w:type="continuationSeparator">
    <w:p w:rsidR="0055493E" w:rsidRDefault="0055493E">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1207F2" w:rsidR="007C1122" w:rsidRDefault="007C1122">
    <w:pPr>
      <w:pStyle w:val="a9"/>
      <w:pBdr>
        <w:bottom w:color="auto" w:space="0" w:sz="6" w:val="single"/>
      </w:pBdr>
      <w:jc w:val="right"/>
    </w:pPr>
    <w:r>
      <w:rPr>
        <w:sz w:val="21"/>
        <w:szCs w:val="21"/>
      </w:rPr>
      <w:t/>
    </w:r>
    <w:proofErr w:type="spellStart"/>
    <w:proofErr w:type="gramStart"/>
    <w:r>
      <w:rPr>
        <w:sz w:val="21"/>
        <w:szCs w:val="21"/>
      </w:rPr>
      <w:t/>
    </w:r>
    <w:proofErr w:type="spellEnd"/>
    <w:proofErr w:type="gramEnd"/>
    <w:r>
      <w:rPr>
        <w:sz w:val="21"/>
        <w:szCs w:val="21"/>
      </w:rPr>
      <w:t>易方达创业板交易型开放式指数证券投资基金联接基金</w:t>
    </w:r>
    <w:proofErr w:type="spellStart"/>
    <w:r>
      <w:rPr>
        <w:sz w:val="21"/>
        <w:szCs w:val="21"/>
      </w:rPr>
      <w:t/>
    </w:r>
    <w:proofErr w:type="spellEnd"/>
    <w:r>
      <w:rPr>
        <w:sz w:val="21"/>
        <w:szCs w:val="21"/>
      </w:rPr>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cs="Times New Roman" w:eastAsia="宋体" w:hAnsi="Times New Roman" w:hint="default"/>
      </w:rPr>
    </w:lvl>
    <w:lvl w:ilvl="1" w:tentative="1" w:tplc="04090003">
      <w:start w:val="1"/>
      <w:numFmt w:val="bullet"/>
      <w:lvlText w:val=""/>
      <w:lvlJc w:val="left"/>
      <w:pPr>
        <w:tabs>
          <w:tab w:pos="1260" w:val="num"/>
        </w:tabs>
        <w:ind w:hanging="420" w:left="1260"/>
      </w:pPr>
      <w:rPr>
        <w:rFonts w:ascii="Wingdings" w:hAnsi="Wingdings" w:hint="default"/>
      </w:rPr>
    </w:lvl>
    <w:lvl w:ilvl="2" w:tentative="1" w:tplc="04090005">
      <w:start w:val="1"/>
      <w:numFmt w:val="bullet"/>
      <w:lvlText w:val=""/>
      <w:lvlJc w:val="left"/>
      <w:pPr>
        <w:tabs>
          <w:tab w:pos="1680" w:val="num"/>
        </w:tabs>
        <w:ind w:hanging="420" w:left="1680"/>
      </w:pPr>
      <w:rPr>
        <w:rFonts w:ascii="Wingdings" w:hAnsi="Wingdings" w:hint="default"/>
      </w:rPr>
    </w:lvl>
    <w:lvl w:ilvl="3" w:tentative="1" w:tplc="04090001">
      <w:start w:val="1"/>
      <w:numFmt w:val="bullet"/>
      <w:lvlText w:val=""/>
      <w:lvlJc w:val="left"/>
      <w:pPr>
        <w:tabs>
          <w:tab w:pos="2100" w:val="num"/>
        </w:tabs>
        <w:ind w:hanging="420" w:left="2100"/>
      </w:pPr>
      <w:rPr>
        <w:rFonts w:ascii="Wingdings" w:hAnsi="Wingdings" w:hint="default"/>
      </w:rPr>
    </w:lvl>
    <w:lvl w:ilvl="4" w:tentative="1" w:tplc="04090003">
      <w:start w:val="1"/>
      <w:numFmt w:val="bullet"/>
      <w:lvlText w:val=""/>
      <w:lvlJc w:val="left"/>
      <w:pPr>
        <w:tabs>
          <w:tab w:pos="2520" w:val="num"/>
        </w:tabs>
        <w:ind w:hanging="420" w:left="2520"/>
      </w:pPr>
      <w:rPr>
        <w:rFonts w:ascii="Wingdings" w:hAnsi="Wingdings" w:hint="default"/>
      </w:rPr>
    </w:lvl>
    <w:lvl w:ilvl="5" w:tentative="1" w:tplc="04090005">
      <w:start w:val="1"/>
      <w:numFmt w:val="bullet"/>
      <w:lvlText w:val=""/>
      <w:lvlJc w:val="left"/>
      <w:pPr>
        <w:tabs>
          <w:tab w:pos="2940" w:val="num"/>
        </w:tabs>
        <w:ind w:hanging="420" w:left="2940"/>
      </w:pPr>
      <w:rPr>
        <w:rFonts w:ascii="Wingdings" w:hAnsi="Wingdings" w:hint="default"/>
      </w:rPr>
    </w:lvl>
    <w:lvl w:ilvl="6" w:tentative="1" w:tplc="04090001">
      <w:start w:val="1"/>
      <w:numFmt w:val="bullet"/>
      <w:lvlText w:val=""/>
      <w:lvlJc w:val="left"/>
      <w:pPr>
        <w:tabs>
          <w:tab w:pos="3360" w:val="num"/>
        </w:tabs>
        <w:ind w:hanging="420" w:left="3360"/>
      </w:pPr>
      <w:rPr>
        <w:rFonts w:ascii="Wingdings" w:hAnsi="Wingdings" w:hint="default"/>
      </w:rPr>
    </w:lvl>
    <w:lvl w:ilvl="7" w:tentative="1" w:tplc="04090003">
      <w:start w:val="1"/>
      <w:numFmt w:val="bullet"/>
      <w:lvlText w:val=""/>
      <w:lvlJc w:val="left"/>
      <w:pPr>
        <w:tabs>
          <w:tab w:pos="3780" w:val="num"/>
        </w:tabs>
        <w:ind w:hanging="420" w:left="3780"/>
      </w:pPr>
      <w:rPr>
        <w:rFonts w:ascii="Wingdings" w:hAnsi="Wingdings" w:hint="default"/>
      </w:rPr>
    </w:lvl>
    <w:lvl w:ilvl="8" w:tentative="1" w:tplc="04090005">
      <w:start w:val="1"/>
      <w:numFmt w:val="bullet"/>
      <w:lvlText w:val=""/>
      <w:lvlJc w:val="left"/>
      <w:pPr>
        <w:tabs>
          <w:tab w:pos="4200" w:val="num"/>
        </w:tabs>
        <w:ind w:hanging="420" w:left="4200"/>
      </w:pPr>
      <w:rPr>
        <w:rFonts w:ascii="Wingdings" w:hAnsi="Wingdings" w:hint="default"/>
      </w:rPr>
    </w:lvl>
  </w:abstractNum>
  <w:abstractNum w:abstractNumId="1">
    <w:nsid w:val="2A93165E"/>
    <w:multiLevelType w:val="hybridMultilevel"/>
    <w:tmpl w:val="8F54F77E"/>
    <w:lvl w:ilvl="0" w:tplc="8996D53A">
      <w:start w:val="1"/>
      <w:numFmt w:val="japaneseCounting"/>
      <w:lvlText w:val="（%1）"/>
      <w:lvlJc w:val="left"/>
      <w:pPr>
        <w:tabs>
          <w:tab w:pos="1200" w:val="num"/>
        </w:tabs>
        <w:ind w:hanging="720" w:left="1200"/>
      </w:pPr>
      <w:rPr>
        <w:rFonts w:hAnsi="宋体" w:hint="default"/>
      </w:rPr>
    </w:lvl>
    <w:lvl w:ilvl="1" w:tentative="1" w:tplc="04090019">
      <w:start w:val="1"/>
      <w:numFmt w:val="lowerLetter"/>
      <w:lvlText w:val="%2)"/>
      <w:lvlJc w:val="left"/>
      <w:pPr>
        <w:tabs>
          <w:tab w:pos="1320" w:val="num"/>
        </w:tabs>
        <w:ind w:hanging="420" w:left="1320"/>
      </w:pPr>
    </w:lvl>
    <w:lvl w:ilvl="2" w:tentative="1" w:tplc="0409001B">
      <w:start w:val="1"/>
      <w:numFmt w:val="lowerRoman"/>
      <w:lvlText w:val="%3."/>
      <w:lvlJc w:val="right"/>
      <w:pPr>
        <w:tabs>
          <w:tab w:pos="1740" w:val="num"/>
        </w:tabs>
        <w:ind w:hanging="420" w:left="1740"/>
      </w:pPr>
    </w:lvl>
    <w:lvl w:ilvl="3" w:tentative="1" w:tplc="0409000F">
      <w:start w:val="1"/>
      <w:numFmt w:val="decimal"/>
      <w:lvlText w:val="%4."/>
      <w:lvlJc w:val="left"/>
      <w:pPr>
        <w:tabs>
          <w:tab w:pos="2160" w:val="num"/>
        </w:tabs>
        <w:ind w:hanging="420" w:left="2160"/>
      </w:pPr>
    </w:lvl>
    <w:lvl w:ilvl="4" w:tentative="1" w:tplc="04090019">
      <w:start w:val="1"/>
      <w:numFmt w:val="lowerLetter"/>
      <w:lvlText w:val="%5)"/>
      <w:lvlJc w:val="left"/>
      <w:pPr>
        <w:tabs>
          <w:tab w:pos="2580" w:val="num"/>
        </w:tabs>
        <w:ind w:hanging="420" w:left="2580"/>
      </w:pPr>
    </w:lvl>
    <w:lvl w:ilvl="5" w:tentative="1" w:tplc="0409001B">
      <w:start w:val="1"/>
      <w:numFmt w:val="lowerRoman"/>
      <w:lvlText w:val="%6."/>
      <w:lvlJc w:val="right"/>
      <w:pPr>
        <w:tabs>
          <w:tab w:pos="3000" w:val="num"/>
        </w:tabs>
        <w:ind w:hanging="420" w:left="3000"/>
      </w:pPr>
    </w:lvl>
    <w:lvl w:ilvl="6" w:tentative="1" w:tplc="0409000F">
      <w:start w:val="1"/>
      <w:numFmt w:val="decimal"/>
      <w:lvlText w:val="%7."/>
      <w:lvlJc w:val="left"/>
      <w:pPr>
        <w:tabs>
          <w:tab w:pos="3420" w:val="num"/>
        </w:tabs>
        <w:ind w:hanging="420" w:left="3420"/>
      </w:pPr>
    </w:lvl>
    <w:lvl w:ilvl="7" w:tentative="1" w:tplc="04090019">
      <w:start w:val="1"/>
      <w:numFmt w:val="lowerLetter"/>
      <w:lvlText w:val="%8)"/>
      <w:lvlJc w:val="left"/>
      <w:pPr>
        <w:tabs>
          <w:tab w:pos="3840" w:val="num"/>
        </w:tabs>
        <w:ind w:hanging="420" w:left="3840"/>
      </w:pPr>
    </w:lvl>
    <w:lvl w:ilvl="8" w:tentative="1" w:tplc="0409001B">
      <w:start w:val="1"/>
      <w:numFmt w:val="lowerRoman"/>
      <w:lvlText w:val="%9."/>
      <w:lvlJc w:val="right"/>
      <w:pPr>
        <w:tabs>
          <w:tab w:pos="4260" w:val="num"/>
        </w:tabs>
        <w:ind w:hanging="420" w:left="4260"/>
      </w:pPr>
    </w:lvl>
  </w:abstractNum>
  <w:abstractNum w:abstractNumId="2">
    <w:nsid w:val="32C43FA3"/>
    <w:multiLevelType w:val="hybridMultilevel"/>
    <w:tmpl w:val="2658615A"/>
    <w:lvl w:ilvl="0" w:tplc="04090001">
      <w:start w:val="1"/>
      <w:numFmt w:val="bullet"/>
      <w:lvlText w:val=""/>
      <w:lvlJc w:val="left"/>
      <w:pPr>
        <w:tabs>
          <w:tab w:pos="420" w:val="num"/>
        </w:tabs>
        <w:ind w:hanging="420" w:left="420"/>
      </w:pPr>
      <w:rPr>
        <w:rFonts w:ascii="Wingdings" w:hAnsi="Wingdings" w:hint="default"/>
      </w:rPr>
    </w:lvl>
    <w:lvl w:ilvl="1" w:tentative="1" w:tplc="04090003">
      <w:start w:val="1"/>
      <w:numFmt w:val="bullet"/>
      <w:lvlText w:val=""/>
      <w:lvlJc w:val="left"/>
      <w:pPr>
        <w:tabs>
          <w:tab w:pos="840" w:val="num"/>
        </w:tabs>
        <w:ind w:hanging="420" w:left="840"/>
      </w:pPr>
      <w:rPr>
        <w:rFonts w:ascii="Wingdings" w:hAnsi="Wingdings" w:hint="default"/>
      </w:rPr>
    </w:lvl>
    <w:lvl w:ilvl="2" w:tentative="1" w:tplc="04090005">
      <w:start w:val="1"/>
      <w:numFmt w:val="bullet"/>
      <w:lvlText w:val=""/>
      <w:lvlJc w:val="left"/>
      <w:pPr>
        <w:tabs>
          <w:tab w:pos="1260" w:val="num"/>
        </w:tabs>
        <w:ind w:hanging="420" w:left="1260"/>
      </w:pPr>
      <w:rPr>
        <w:rFonts w:ascii="Wingdings" w:hAnsi="Wingdings" w:hint="default"/>
      </w:rPr>
    </w:lvl>
    <w:lvl w:ilvl="3" w:tentative="1" w:tplc="04090001">
      <w:start w:val="1"/>
      <w:numFmt w:val="bullet"/>
      <w:lvlText w:val=""/>
      <w:lvlJc w:val="left"/>
      <w:pPr>
        <w:tabs>
          <w:tab w:pos="1680" w:val="num"/>
        </w:tabs>
        <w:ind w:hanging="420" w:left="1680"/>
      </w:pPr>
      <w:rPr>
        <w:rFonts w:ascii="Wingdings" w:hAnsi="Wingdings" w:hint="default"/>
      </w:rPr>
    </w:lvl>
    <w:lvl w:ilvl="4" w:tentative="1" w:tplc="04090003">
      <w:start w:val="1"/>
      <w:numFmt w:val="bullet"/>
      <w:lvlText w:val=""/>
      <w:lvlJc w:val="left"/>
      <w:pPr>
        <w:tabs>
          <w:tab w:pos="2100" w:val="num"/>
        </w:tabs>
        <w:ind w:hanging="420" w:left="2100"/>
      </w:pPr>
      <w:rPr>
        <w:rFonts w:ascii="Wingdings" w:hAnsi="Wingdings" w:hint="default"/>
      </w:rPr>
    </w:lvl>
    <w:lvl w:ilvl="5" w:tentative="1" w:tplc="04090005">
      <w:start w:val="1"/>
      <w:numFmt w:val="bullet"/>
      <w:lvlText w:val=""/>
      <w:lvlJc w:val="left"/>
      <w:pPr>
        <w:tabs>
          <w:tab w:pos="2520" w:val="num"/>
        </w:tabs>
        <w:ind w:hanging="420" w:left="2520"/>
      </w:pPr>
      <w:rPr>
        <w:rFonts w:ascii="Wingdings" w:hAnsi="Wingdings" w:hint="default"/>
      </w:rPr>
    </w:lvl>
    <w:lvl w:ilvl="6" w:tentative="1" w:tplc="04090001">
      <w:start w:val="1"/>
      <w:numFmt w:val="bullet"/>
      <w:lvlText w:val=""/>
      <w:lvlJc w:val="left"/>
      <w:pPr>
        <w:tabs>
          <w:tab w:pos="2940" w:val="num"/>
        </w:tabs>
        <w:ind w:hanging="420" w:left="2940"/>
      </w:pPr>
      <w:rPr>
        <w:rFonts w:ascii="Wingdings" w:hAnsi="Wingdings" w:hint="default"/>
      </w:rPr>
    </w:lvl>
    <w:lvl w:ilvl="7" w:tentative="1" w:tplc="04090003">
      <w:start w:val="1"/>
      <w:numFmt w:val="bullet"/>
      <w:lvlText w:val=""/>
      <w:lvlJc w:val="left"/>
      <w:pPr>
        <w:tabs>
          <w:tab w:pos="3360" w:val="num"/>
        </w:tabs>
        <w:ind w:hanging="420" w:left="3360"/>
      </w:pPr>
      <w:rPr>
        <w:rFonts w:ascii="Wingdings" w:hAnsi="Wingdings" w:hint="default"/>
      </w:rPr>
    </w:lvl>
    <w:lvl w:ilvl="8" w:tentative="1" w:tplc="04090005">
      <w:start w:val="1"/>
      <w:numFmt w:val="bullet"/>
      <w:lvlText w:val=""/>
      <w:lvlJc w:val="left"/>
      <w:pPr>
        <w:tabs>
          <w:tab w:pos="3780" w:val="num"/>
        </w:tabs>
        <w:ind w:hanging="420" w:left="3780"/>
      </w:pPr>
      <w:rPr>
        <w:rFonts w:ascii="Wingdings" w:hAnsi="Wingdings" w:hint="default"/>
      </w:rPr>
    </w:lvl>
  </w:abstractNum>
  <w:abstractNum w:abstractNumId="3">
    <w:nsid w:val="45342383"/>
    <w:multiLevelType w:val="multilevel"/>
    <w:tmpl w:val="0409001D"/>
    <w:styleLink w:val="5"/>
    <w:lvl w:ilvl="0">
      <w:start w:val="1"/>
      <w:numFmt w:val="decimal"/>
      <w:lvlText w:val="%1"/>
      <w:lvlJc w:val="left"/>
      <w:pPr>
        <w:tabs>
          <w:tab w:pos="425" w:val="num"/>
        </w:tabs>
        <w:ind w:hanging="425" w:left="425"/>
      </w:pPr>
    </w:lvl>
    <w:lvl w:ilvl="1">
      <w:start w:val="1"/>
      <w:numFmt w:val="decimal"/>
      <w:lvlText w:val="%1.%2"/>
      <w:lvlJc w:val="left"/>
      <w:pPr>
        <w:tabs>
          <w:tab w:pos="992" w:val="num"/>
        </w:tabs>
        <w:ind w:hanging="567" w:left="992"/>
      </w:pPr>
    </w:lvl>
    <w:lvl w:ilvl="2">
      <w:start w:val="1"/>
      <w:numFmt w:val="decimal"/>
      <w:lvlText w:val="%1.%2.%3"/>
      <w:lvlJc w:val="left"/>
      <w:pPr>
        <w:tabs>
          <w:tab w:pos="1418" w:val="num"/>
        </w:tabs>
        <w:ind w:hanging="567" w:left="1418"/>
      </w:pPr>
    </w:lvl>
    <w:lvl w:ilvl="3">
      <w:start w:val="1"/>
      <w:numFmt w:val="decimal"/>
      <w:lvlText w:val="%1.%2.%3.%4"/>
      <w:lvlJc w:val="left"/>
      <w:pPr>
        <w:tabs>
          <w:tab w:pos="1984" w:val="num"/>
        </w:tabs>
        <w:ind w:hanging="708" w:left="1984"/>
      </w:pPr>
    </w:lvl>
    <w:lvl w:ilvl="4">
      <w:start w:val="1"/>
      <w:numFmt w:val="decimal"/>
      <w:lvlText w:val="%1.%2.%3.%4.%5"/>
      <w:lvlJc w:val="left"/>
      <w:pPr>
        <w:tabs>
          <w:tab w:pos="2551" w:val="num"/>
        </w:tabs>
        <w:ind w:hanging="850" w:left="2551"/>
      </w:pPr>
    </w:lvl>
    <w:lvl w:ilvl="5">
      <w:start w:val="1"/>
      <w:numFmt w:val="decimal"/>
      <w:lvlText w:val="%1.%2.%3.%4.%5.%6"/>
      <w:lvlJc w:val="left"/>
      <w:pPr>
        <w:tabs>
          <w:tab w:pos="3260" w:val="num"/>
        </w:tabs>
        <w:ind w:hanging="1134" w:left="3260"/>
      </w:pPr>
    </w:lvl>
    <w:lvl w:ilvl="6">
      <w:start w:val="1"/>
      <w:numFmt w:val="decimal"/>
      <w:lvlText w:val="%1.%2.%3.%4.%5.%6.%7"/>
      <w:lvlJc w:val="left"/>
      <w:pPr>
        <w:tabs>
          <w:tab w:pos="3827" w:val="num"/>
        </w:tabs>
        <w:ind w:hanging="1276" w:left="3827"/>
      </w:pPr>
    </w:lvl>
    <w:lvl w:ilvl="7">
      <w:start w:val="1"/>
      <w:numFmt w:val="decimal"/>
      <w:lvlText w:val="%1.%2.%3.%4.%5.%6.%7.%8"/>
      <w:lvlJc w:val="left"/>
      <w:pPr>
        <w:tabs>
          <w:tab w:pos="4394" w:val="num"/>
        </w:tabs>
        <w:ind w:hanging="1418" w:left="4394"/>
      </w:pPr>
    </w:lvl>
    <w:lvl w:ilvl="8">
      <w:start w:val="1"/>
      <w:numFmt w:val="decimal"/>
      <w:lvlText w:val="%1.%2.%3.%4.%5.%6.%7.%8.%9"/>
      <w:lvlJc w:val="left"/>
      <w:pPr>
        <w:tabs>
          <w:tab w:pos="5102" w:val="num"/>
        </w:tabs>
        <w:ind w:hanging="1700" w:left="5102"/>
      </w:pPr>
    </w:lvl>
  </w:abstractNum>
  <w:abstractNum w:abstractNumId="4">
    <w:nsid w:val="57E8240C"/>
    <w:multiLevelType w:val="hybridMultilevel"/>
    <w:tmpl w:val="300A7112"/>
    <w:lvl w:ilvl="0" w:tplc="3782FDB8">
      <w:start w:val="1"/>
      <w:numFmt w:val="decimal"/>
      <w:lvlText w:val="（%1）"/>
      <w:lvlJc w:val="left"/>
      <w:pPr>
        <w:tabs>
          <w:tab w:pos="1200" w:val="num"/>
        </w:tabs>
        <w:ind w:hanging="720" w:left="1200"/>
      </w:pPr>
      <w:rPr>
        <w:rFonts w:hint="eastAsia"/>
        <w:sz w:val="24"/>
      </w:rPr>
    </w:lvl>
    <w:lvl w:ilvl="1" w:tentative="1" w:tplc="04090019">
      <w:start w:val="1"/>
      <w:numFmt w:val="lowerLetter"/>
      <w:lvlText w:val="%2)"/>
      <w:lvlJc w:val="left"/>
      <w:pPr>
        <w:tabs>
          <w:tab w:pos="1320" w:val="num"/>
        </w:tabs>
        <w:ind w:hanging="420" w:left="1320"/>
      </w:pPr>
    </w:lvl>
    <w:lvl w:ilvl="2" w:tentative="1" w:tplc="0409001B">
      <w:start w:val="1"/>
      <w:numFmt w:val="lowerRoman"/>
      <w:lvlText w:val="%3."/>
      <w:lvlJc w:val="right"/>
      <w:pPr>
        <w:tabs>
          <w:tab w:pos="1740" w:val="num"/>
        </w:tabs>
        <w:ind w:hanging="420" w:left="1740"/>
      </w:pPr>
    </w:lvl>
    <w:lvl w:ilvl="3" w:tentative="1" w:tplc="0409000F">
      <w:start w:val="1"/>
      <w:numFmt w:val="decimal"/>
      <w:lvlText w:val="%4."/>
      <w:lvlJc w:val="left"/>
      <w:pPr>
        <w:tabs>
          <w:tab w:pos="2160" w:val="num"/>
        </w:tabs>
        <w:ind w:hanging="420" w:left="2160"/>
      </w:pPr>
    </w:lvl>
    <w:lvl w:ilvl="4" w:tentative="1" w:tplc="04090019">
      <w:start w:val="1"/>
      <w:numFmt w:val="lowerLetter"/>
      <w:lvlText w:val="%5)"/>
      <w:lvlJc w:val="left"/>
      <w:pPr>
        <w:tabs>
          <w:tab w:pos="2580" w:val="num"/>
        </w:tabs>
        <w:ind w:hanging="420" w:left="2580"/>
      </w:pPr>
    </w:lvl>
    <w:lvl w:ilvl="5" w:tentative="1" w:tplc="0409001B">
      <w:start w:val="1"/>
      <w:numFmt w:val="lowerRoman"/>
      <w:lvlText w:val="%6."/>
      <w:lvlJc w:val="right"/>
      <w:pPr>
        <w:tabs>
          <w:tab w:pos="3000" w:val="num"/>
        </w:tabs>
        <w:ind w:hanging="420" w:left="3000"/>
      </w:pPr>
    </w:lvl>
    <w:lvl w:ilvl="6" w:tentative="1" w:tplc="0409000F">
      <w:start w:val="1"/>
      <w:numFmt w:val="decimal"/>
      <w:lvlText w:val="%7."/>
      <w:lvlJc w:val="left"/>
      <w:pPr>
        <w:tabs>
          <w:tab w:pos="3420" w:val="num"/>
        </w:tabs>
        <w:ind w:hanging="420" w:left="3420"/>
      </w:pPr>
    </w:lvl>
    <w:lvl w:ilvl="7" w:tentative="1" w:tplc="04090019">
      <w:start w:val="1"/>
      <w:numFmt w:val="lowerLetter"/>
      <w:lvlText w:val="%8)"/>
      <w:lvlJc w:val="left"/>
      <w:pPr>
        <w:tabs>
          <w:tab w:pos="3840" w:val="num"/>
        </w:tabs>
        <w:ind w:hanging="420" w:left="3840"/>
      </w:pPr>
    </w:lvl>
    <w:lvl w:ilvl="8" w:tentative="1" w:tplc="0409001B">
      <w:start w:val="1"/>
      <w:numFmt w:val="lowerRoman"/>
      <w:lvlText w:val="%9."/>
      <w:lvlJc w:val="right"/>
      <w:pPr>
        <w:tabs>
          <w:tab w:pos="4260" w:val="num"/>
        </w:tabs>
        <w:ind w:hanging="420" w:left="4260"/>
      </w:pPr>
    </w:lvl>
  </w:abstractNum>
  <w:abstractNum w:abstractNumId="5">
    <w:nsid w:val="64C22724"/>
    <w:multiLevelType w:val="multilevel"/>
    <w:tmpl w:val="0409001D"/>
    <w:numStyleLink w:val="5"/>
  </w:abstractNum>
  <w:abstractNum w:abstractNumId="6">
    <w:nsid w:val="7EC34207"/>
    <w:multiLevelType w:val="hybridMultilevel"/>
    <w:tmpl w:val="58FC50DE"/>
    <w:lvl w:ilvl="0" w:tplc="788C0680">
      <w:start w:val="1"/>
      <w:numFmt w:val="japaneseCounting"/>
      <w:lvlText w:val="%1、"/>
      <w:lvlJc w:val="left"/>
      <w:pPr>
        <w:tabs>
          <w:tab w:pos="480" w:val="num"/>
        </w:tabs>
        <w:ind w:hanging="480" w:left="480"/>
      </w:pPr>
      <w:rPr>
        <w:rFonts w:eastAsia="宋体" w:hint="eastAsia"/>
        <w:color w:val="auto"/>
      </w:rPr>
    </w:lvl>
    <w:lvl w:ilvl="1" w:tplc="D5ACC954">
      <w:start w:val="1"/>
      <w:numFmt w:val="japaneseCounting"/>
      <w:lvlText w:val="(%2)"/>
      <w:lvlJc w:val="left"/>
      <w:pPr>
        <w:tabs>
          <w:tab w:pos="810" w:val="num"/>
        </w:tabs>
        <w:ind w:hanging="390" w:left="810"/>
      </w:pPr>
      <w:rPr>
        <w:rFonts w:hint="eastAsia"/>
      </w:rPr>
    </w:lvl>
    <w:lvl w:ilvl="2" w:tplc="E2F6B948">
      <w:start w:val="1"/>
      <w:numFmt w:val="decimal"/>
      <w:lvlText w:val="%3、"/>
      <w:lvlJc w:val="left"/>
      <w:pPr>
        <w:tabs>
          <w:tab w:pos="1200" w:val="num"/>
        </w:tabs>
        <w:ind w:hanging="360" w:left="1200"/>
      </w:pPr>
      <w:rPr>
        <w:rFonts w:hint="eastAsia"/>
      </w:rPr>
    </w:lvl>
    <w:lvl w:ilvl="3" w:tentative="1" w:tplc="0409000F">
      <w:start w:val="1"/>
      <w:numFmt w:val="decimal"/>
      <w:lvlText w:val="%4."/>
      <w:lvlJc w:val="left"/>
      <w:pPr>
        <w:tabs>
          <w:tab w:pos="1680" w:val="num"/>
        </w:tabs>
        <w:ind w:hanging="420" w:left="1680"/>
      </w:pPr>
    </w:lvl>
    <w:lvl w:ilvl="4" w:tentative="1" w:tplc="04090019">
      <w:start w:val="1"/>
      <w:numFmt w:val="lowerLetter"/>
      <w:lvlText w:val="%5)"/>
      <w:lvlJc w:val="left"/>
      <w:pPr>
        <w:tabs>
          <w:tab w:pos="2100" w:val="num"/>
        </w:tabs>
        <w:ind w:hanging="420" w:left="2100"/>
      </w:pPr>
    </w:lvl>
    <w:lvl w:ilvl="5" w:tentative="1" w:tplc="0409001B">
      <w:start w:val="1"/>
      <w:numFmt w:val="lowerRoman"/>
      <w:lvlText w:val="%6."/>
      <w:lvlJc w:val="right"/>
      <w:pPr>
        <w:tabs>
          <w:tab w:pos="2520" w:val="num"/>
        </w:tabs>
        <w:ind w:hanging="420" w:left="2520"/>
      </w:pPr>
    </w:lvl>
    <w:lvl w:ilvl="6" w:tentative="1" w:tplc="0409000F">
      <w:start w:val="1"/>
      <w:numFmt w:val="decimal"/>
      <w:lvlText w:val="%7."/>
      <w:lvlJc w:val="left"/>
      <w:pPr>
        <w:tabs>
          <w:tab w:pos="2940" w:val="num"/>
        </w:tabs>
        <w:ind w:hanging="420" w:left="2940"/>
      </w:pPr>
    </w:lvl>
    <w:lvl w:ilvl="7" w:tentative="1" w:tplc="04090019">
      <w:start w:val="1"/>
      <w:numFmt w:val="lowerLetter"/>
      <w:lvlText w:val="%8)"/>
      <w:lvlJc w:val="left"/>
      <w:pPr>
        <w:tabs>
          <w:tab w:pos="3360" w:val="num"/>
        </w:tabs>
        <w:ind w:hanging="420" w:left="3360"/>
      </w:pPr>
    </w:lvl>
    <w:lvl w:ilvl="8" w:tentative="1" w:tplc="0409001B">
      <w:start w:val="1"/>
      <w:numFmt w:val="lowerRoman"/>
      <w:lvlText w:val="%9."/>
      <w:lvlJc w:val="right"/>
      <w:pPr>
        <w:tabs>
          <w:tab w:pos="3780" w:val="num"/>
        </w:tabs>
        <w:ind w:hanging="420" w:left="3780"/>
      </w:pPr>
    </w:lvl>
  </w:abstractNum>
  <w:num w:numId="1">
    <w:abstractNumId w:val="6"/>
  </w:num>
  <w:num w:numId="2">
    <w:abstractNumId w:val="4"/>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lvlOverride w:ilvl="0">
      <w:lvl w:ilvl="0">
        <w:numFmt w:val="decimal"/>
        <w:lvlText w:val=""/>
        <w:lvlJc w:val="left"/>
      </w:lvl>
    </w:lvlOverride>
    <w:lvlOverride w:ilvl="1">
      <w:lvl w:ilvl="1">
        <w:start w:val="1"/>
        <w:numFmt w:val="decimal"/>
        <w:lvlText w:val="%1.%2"/>
        <w:lvlJc w:val="left"/>
        <w:pPr>
          <w:tabs>
            <w:tab w:pos="992" w:val="num"/>
          </w:tabs>
          <w:ind w:hanging="567" w:left="992"/>
        </w:pPr>
      </w:lvl>
    </w:lvlOverride>
    <w:lvlOverride w:ilvl="2">
      <w:lvl w:ilvl="2">
        <w:start w:val="1"/>
        <w:numFmt w:val="decimal"/>
        <w:lvlText w:val="%1.%2.%3"/>
        <w:lvlJc w:val="left"/>
        <w:pPr>
          <w:tabs>
            <w:tab w:pos="1418" w:val="num"/>
          </w:tabs>
          <w:ind w:hanging="567" w:left="1418"/>
        </w:pPr>
      </w:lvl>
    </w:lvlOverride>
  </w:num>
  <w:num w:numId="8">
    <w:abstractNumId w:val="3"/>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printPostScriptOverText/>
  <w:bordersDoNotSurroundHeader/>
  <w:bordersDoNotSurroundFooter/>
  <w:proofState w:grammar="clean" w:spelling="clean"/>
  <w:attachedTemplate r:id="rId1"/>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efaultTabStop w:val="420"/>
  <w:drawingGridVerticalSpacing w:val="156"/>
  <w:displayHorizontalDrawingGridEvery w:val="0"/>
  <w:displayVerticalDrawingGridEvery w:val="2"/>
  <w:characterSpacingControl w:val="compressPunctuation"/>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02187"/>
    <w:rsid w:val="0000059C"/>
    <w:rsid w:val="000008B1"/>
    <w:rsid w:val="00002791"/>
    <w:rsid w:val="0000403B"/>
    <w:rsid w:val="00007441"/>
    <w:rsid w:val="00007F1F"/>
    <w:rsid w:val="00010A83"/>
    <w:rsid w:val="000137C1"/>
    <w:rsid w:val="000142F4"/>
    <w:rsid w:val="00014851"/>
    <w:rsid w:val="0001579C"/>
    <w:rsid w:val="00016551"/>
    <w:rsid w:val="00016934"/>
    <w:rsid w:val="00020737"/>
    <w:rsid w:val="00020C27"/>
    <w:rsid w:val="000219D5"/>
    <w:rsid w:val="00022396"/>
    <w:rsid w:val="00023073"/>
    <w:rsid w:val="00023B97"/>
    <w:rsid w:val="00024836"/>
    <w:rsid w:val="00024FB8"/>
    <w:rsid w:val="000252D8"/>
    <w:rsid w:val="0003564A"/>
    <w:rsid w:val="00035B0C"/>
    <w:rsid w:val="00042065"/>
    <w:rsid w:val="00043FD2"/>
    <w:rsid w:val="00045BA9"/>
    <w:rsid w:val="00047D87"/>
    <w:rsid w:val="000510AB"/>
    <w:rsid w:val="00053FFD"/>
    <w:rsid w:val="00056D5C"/>
    <w:rsid w:val="00057507"/>
    <w:rsid w:val="00061B0B"/>
    <w:rsid w:val="00061E09"/>
    <w:rsid w:val="00062C69"/>
    <w:rsid w:val="00062DC5"/>
    <w:rsid w:val="00062E1F"/>
    <w:rsid w:val="00064601"/>
    <w:rsid w:val="00064AE3"/>
    <w:rsid w:val="0006750A"/>
    <w:rsid w:val="00075E4E"/>
    <w:rsid w:val="000776C0"/>
    <w:rsid w:val="00077849"/>
    <w:rsid w:val="000803AD"/>
    <w:rsid w:val="000813D6"/>
    <w:rsid w:val="00081D05"/>
    <w:rsid w:val="000827CC"/>
    <w:rsid w:val="000871DB"/>
    <w:rsid w:val="000922C5"/>
    <w:rsid w:val="0009314F"/>
    <w:rsid w:val="00093A23"/>
    <w:rsid w:val="000A08FC"/>
    <w:rsid w:val="000A15F1"/>
    <w:rsid w:val="000A1617"/>
    <w:rsid w:val="000A40A5"/>
    <w:rsid w:val="000A457E"/>
    <w:rsid w:val="000A549A"/>
    <w:rsid w:val="000A5A81"/>
    <w:rsid w:val="000A72F2"/>
    <w:rsid w:val="000A7BFD"/>
    <w:rsid w:val="000B000E"/>
    <w:rsid w:val="000B1CB9"/>
    <w:rsid w:val="000B24AF"/>
    <w:rsid w:val="000B251E"/>
    <w:rsid w:val="000B3E43"/>
    <w:rsid w:val="000B4E99"/>
    <w:rsid w:val="000B648A"/>
    <w:rsid w:val="000C3452"/>
    <w:rsid w:val="000C45E7"/>
    <w:rsid w:val="000C5956"/>
    <w:rsid w:val="000C751D"/>
    <w:rsid w:val="000C757F"/>
    <w:rsid w:val="000C7DD4"/>
    <w:rsid w:val="000D1164"/>
    <w:rsid w:val="000D1BBE"/>
    <w:rsid w:val="000D3773"/>
    <w:rsid w:val="000D4DE9"/>
    <w:rsid w:val="000D53FB"/>
    <w:rsid w:val="000D6660"/>
    <w:rsid w:val="000D6BA0"/>
    <w:rsid w:val="000D7ECA"/>
    <w:rsid w:val="000E2F81"/>
    <w:rsid w:val="000E3726"/>
    <w:rsid w:val="000E39DB"/>
    <w:rsid w:val="000F0558"/>
    <w:rsid w:val="000F0AC3"/>
    <w:rsid w:val="000F175F"/>
    <w:rsid w:val="000F17D1"/>
    <w:rsid w:val="000F1CC9"/>
    <w:rsid w:val="000F5ABD"/>
    <w:rsid w:val="000F60FF"/>
    <w:rsid w:val="000F6F7C"/>
    <w:rsid w:val="001005BB"/>
    <w:rsid w:val="00103B0E"/>
    <w:rsid w:val="001040EA"/>
    <w:rsid w:val="00112BCF"/>
    <w:rsid w:val="00114E7E"/>
    <w:rsid w:val="00117465"/>
    <w:rsid w:val="00117F22"/>
    <w:rsid w:val="00120280"/>
    <w:rsid w:val="001207F2"/>
    <w:rsid w:val="00120862"/>
    <w:rsid w:val="00121533"/>
    <w:rsid w:val="00121F00"/>
    <w:rsid w:val="0012304E"/>
    <w:rsid w:val="00123051"/>
    <w:rsid w:val="001257C7"/>
    <w:rsid w:val="00125E66"/>
    <w:rsid w:val="00126AC0"/>
    <w:rsid w:val="00126C2B"/>
    <w:rsid w:val="00127A01"/>
    <w:rsid w:val="00130D77"/>
    <w:rsid w:val="00130E37"/>
    <w:rsid w:val="00131EF6"/>
    <w:rsid w:val="0013251D"/>
    <w:rsid w:val="00134734"/>
    <w:rsid w:val="00134CBE"/>
    <w:rsid w:val="00140C30"/>
    <w:rsid w:val="00142C74"/>
    <w:rsid w:val="00145E5B"/>
    <w:rsid w:val="00147319"/>
    <w:rsid w:val="00147551"/>
    <w:rsid w:val="0015012F"/>
    <w:rsid w:val="00150C2E"/>
    <w:rsid w:val="0015170D"/>
    <w:rsid w:val="001517AE"/>
    <w:rsid w:val="00153CF9"/>
    <w:rsid w:val="00154FA5"/>
    <w:rsid w:val="0015531A"/>
    <w:rsid w:val="00156F9D"/>
    <w:rsid w:val="001602E3"/>
    <w:rsid w:val="00160539"/>
    <w:rsid w:val="00161548"/>
    <w:rsid w:val="0017176A"/>
    <w:rsid w:val="00172B54"/>
    <w:rsid w:val="00176312"/>
    <w:rsid w:val="00176874"/>
    <w:rsid w:val="0017725A"/>
    <w:rsid w:val="0018052A"/>
    <w:rsid w:val="00180952"/>
    <w:rsid w:val="0018191A"/>
    <w:rsid w:val="001837D3"/>
    <w:rsid w:val="001857CB"/>
    <w:rsid w:val="00185B68"/>
    <w:rsid w:val="00186199"/>
    <w:rsid w:val="00194155"/>
    <w:rsid w:val="001A0417"/>
    <w:rsid w:val="001A0B71"/>
    <w:rsid w:val="001A1389"/>
    <w:rsid w:val="001A3016"/>
    <w:rsid w:val="001A3914"/>
    <w:rsid w:val="001A5FA6"/>
    <w:rsid w:val="001A78CC"/>
    <w:rsid w:val="001B053A"/>
    <w:rsid w:val="001B06D5"/>
    <w:rsid w:val="001B0C78"/>
    <w:rsid w:val="001B1A13"/>
    <w:rsid w:val="001B22BA"/>
    <w:rsid w:val="001B67D3"/>
    <w:rsid w:val="001C2045"/>
    <w:rsid w:val="001C5040"/>
    <w:rsid w:val="001C715A"/>
    <w:rsid w:val="001D0F6A"/>
    <w:rsid w:val="001D2FA5"/>
    <w:rsid w:val="001D3394"/>
    <w:rsid w:val="001D3D57"/>
    <w:rsid w:val="001D4980"/>
    <w:rsid w:val="001D5045"/>
    <w:rsid w:val="001D5A44"/>
    <w:rsid w:val="001D5CD0"/>
    <w:rsid w:val="001D724B"/>
    <w:rsid w:val="001E023C"/>
    <w:rsid w:val="001E0BA5"/>
    <w:rsid w:val="001F03E1"/>
    <w:rsid w:val="001F1F19"/>
    <w:rsid w:val="001F2BD1"/>
    <w:rsid w:val="001F3080"/>
    <w:rsid w:val="001F3CC6"/>
    <w:rsid w:val="001F5028"/>
    <w:rsid w:val="001F5F5F"/>
    <w:rsid w:val="001F66D3"/>
    <w:rsid w:val="00205064"/>
    <w:rsid w:val="0020548A"/>
    <w:rsid w:val="00206EC3"/>
    <w:rsid w:val="00211668"/>
    <w:rsid w:val="002118A6"/>
    <w:rsid w:val="002122FF"/>
    <w:rsid w:val="002125F7"/>
    <w:rsid w:val="0021288A"/>
    <w:rsid w:val="002150AC"/>
    <w:rsid w:val="002164B5"/>
    <w:rsid w:val="00221938"/>
    <w:rsid w:val="00222262"/>
    <w:rsid w:val="002230A8"/>
    <w:rsid w:val="00225E1C"/>
    <w:rsid w:val="00227D20"/>
    <w:rsid w:val="00231BCE"/>
    <w:rsid w:val="00233CFB"/>
    <w:rsid w:val="002359EB"/>
    <w:rsid w:val="0023649E"/>
    <w:rsid w:val="00241740"/>
    <w:rsid w:val="002424E4"/>
    <w:rsid w:val="00243122"/>
    <w:rsid w:val="002437F5"/>
    <w:rsid w:val="00244DB1"/>
    <w:rsid w:val="00245012"/>
    <w:rsid w:val="0024504E"/>
    <w:rsid w:val="00245B76"/>
    <w:rsid w:val="0024651F"/>
    <w:rsid w:val="00246874"/>
    <w:rsid w:val="00246D81"/>
    <w:rsid w:val="00250869"/>
    <w:rsid w:val="00251920"/>
    <w:rsid w:val="00253D3C"/>
    <w:rsid w:val="00254A7E"/>
    <w:rsid w:val="00255292"/>
    <w:rsid w:val="00256047"/>
    <w:rsid w:val="0025722F"/>
    <w:rsid w:val="00257E84"/>
    <w:rsid w:val="00260200"/>
    <w:rsid w:val="00263106"/>
    <w:rsid w:val="002642F2"/>
    <w:rsid w:val="00264AE1"/>
    <w:rsid w:val="00266645"/>
    <w:rsid w:val="00267386"/>
    <w:rsid w:val="00267C2E"/>
    <w:rsid w:val="00267DA9"/>
    <w:rsid w:val="00275FD0"/>
    <w:rsid w:val="00280514"/>
    <w:rsid w:val="002819E7"/>
    <w:rsid w:val="00282FF2"/>
    <w:rsid w:val="00283483"/>
    <w:rsid w:val="002844B5"/>
    <w:rsid w:val="0028459B"/>
    <w:rsid w:val="002872F8"/>
    <w:rsid w:val="00296E4A"/>
    <w:rsid w:val="002976E5"/>
    <w:rsid w:val="002A1F14"/>
    <w:rsid w:val="002A2678"/>
    <w:rsid w:val="002A3369"/>
    <w:rsid w:val="002A4B8A"/>
    <w:rsid w:val="002A5161"/>
    <w:rsid w:val="002A5C0F"/>
    <w:rsid w:val="002A61BA"/>
    <w:rsid w:val="002A6385"/>
    <w:rsid w:val="002A7929"/>
    <w:rsid w:val="002B41D7"/>
    <w:rsid w:val="002B5240"/>
    <w:rsid w:val="002B6A13"/>
    <w:rsid w:val="002C0904"/>
    <w:rsid w:val="002C0F67"/>
    <w:rsid w:val="002C1E84"/>
    <w:rsid w:val="002C32ED"/>
    <w:rsid w:val="002C36C3"/>
    <w:rsid w:val="002C77CC"/>
    <w:rsid w:val="002D2A00"/>
    <w:rsid w:val="002D5199"/>
    <w:rsid w:val="002E2862"/>
    <w:rsid w:val="002E4C01"/>
    <w:rsid w:val="002F0516"/>
    <w:rsid w:val="002F22D2"/>
    <w:rsid w:val="002F778A"/>
    <w:rsid w:val="002F7889"/>
    <w:rsid w:val="00302187"/>
    <w:rsid w:val="003028D8"/>
    <w:rsid w:val="0030290F"/>
    <w:rsid w:val="00302DE9"/>
    <w:rsid w:val="0030385E"/>
    <w:rsid w:val="00303869"/>
    <w:rsid w:val="00303F1D"/>
    <w:rsid w:val="00305084"/>
    <w:rsid w:val="00311ABF"/>
    <w:rsid w:val="003123E9"/>
    <w:rsid w:val="00314A81"/>
    <w:rsid w:val="00314DD2"/>
    <w:rsid w:val="00315A7C"/>
    <w:rsid w:val="00317705"/>
    <w:rsid w:val="003204E9"/>
    <w:rsid w:val="003232AA"/>
    <w:rsid w:val="00323A10"/>
    <w:rsid w:val="00323E6A"/>
    <w:rsid w:val="00323F25"/>
    <w:rsid w:val="00324A71"/>
    <w:rsid w:val="003303E3"/>
    <w:rsid w:val="0033236C"/>
    <w:rsid w:val="00334656"/>
    <w:rsid w:val="00337A86"/>
    <w:rsid w:val="0034147B"/>
    <w:rsid w:val="00341889"/>
    <w:rsid w:val="003426CE"/>
    <w:rsid w:val="00343016"/>
    <w:rsid w:val="0034447B"/>
    <w:rsid w:val="00350C22"/>
    <w:rsid w:val="00351704"/>
    <w:rsid w:val="003570C8"/>
    <w:rsid w:val="00367770"/>
    <w:rsid w:val="00371424"/>
    <w:rsid w:val="00371FF4"/>
    <w:rsid w:val="00372209"/>
    <w:rsid w:val="00377160"/>
    <w:rsid w:val="003771ED"/>
    <w:rsid w:val="0037768B"/>
    <w:rsid w:val="00382E6F"/>
    <w:rsid w:val="00387C00"/>
    <w:rsid w:val="00397960"/>
    <w:rsid w:val="00397F75"/>
    <w:rsid w:val="003A2008"/>
    <w:rsid w:val="003A3BC4"/>
    <w:rsid w:val="003A4AA3"/>
    <w:rsid w:val="003B405E"/>
    <w:rsid w:val="003B4843"/>
    <w:rsid w:val="003B494E"/>
    <w:rsid w:val="003B560C"/>
    <w:rsid w:val="003C6E9E"/>
    <w:rsid w:val="003C792F"/>
    <w:rsid w:val="003D117A"/>
    <w:rsid w:val="003D36B2"/>
    <w:rsid w:val="003D42D5"/>
    <w:rsid w:val="003D78B5"/>
    <w:rsid w:val="003E0BD4"/>
    <w:rsid w:val="003E45B9"/>
    <w:rsid w:val="003E654C"/>
    <w:rsid w:val="003F0DE5"/>
    <w:rsid w:val="003F46FC"/>
    <w:rsid w:val="003F4AA5"/>
    <w:rsid w:val="003F697D"/>
    <w:rsid w:val="003F7C45"/>
    <w:rsid w:val="00400500"/>
    <w:rsid w:val="0040132C"/>
    <w:rsid w:val="0040218E"/>
    <w:rsid w:val="00404257"/>
    <w:rsid w:val="00407F66"/>
    <w:rsid w:val="004113B4"/>
    <w:rsid w:val="0041220A"/>
    <w:rsid w:val="00413B96"/>
    <w:rsid w:val="00413C2C"/>
    <w:rsid w:val="00415168"/>
    <w:rsid w:val="00415B04"/>
    <w:rsid w:val="00416A6B"/>
    <w:rsid w:val="0042044C"/>
    <w:rsid w:val="00421624"/>
    <w:rsid w:val="00424151"/>
    <w:rsid w:val="00425A5A"/>
    <w:rsid w:val="00425FB6"/>
    <w:rsid w:val="004268BB"/>
    <w:rsid w:val="0042785F"/>
    <w:rsid w:val="004314FF"/>
    <w:rsid w:val="004358D6"/>
    <w:rsid w:val="004408EC"/>
    <w:rsid w:val="00440F74"/>
    <w:rsid w:val="00441FEC"/>
    <w:rsid w:val="004425E8"/>
    <w:rsid w:val="0044280E"/>
    <w:rsid w:val="00443C8F"/>
    <w:rsid w:val="00447BC6"/>
    <w:rsid w:val="004501CE"/>
    <w:rsid w:val="00452481"/>
    <w:rsid w:val="00452B25"/>
    <w:rsid w:val="00453417"/>
    <w:rsid w:val="00454A0F"/>
    <w:rsid w:val="0046335D"/>
    <w:rsid w:val="00463C2C"/>
    <w:rsid w:val="00483271"/>
    <w:rsid w:val="0049210E"/>
    <w:rsid w:val="0049297D"/>
    <w:rsid w:val="0049327D"/>
    <w:rsid w:val="0049405D"/>
    <w:rsid w:val="0049455C"/>
    <w:rsid w:val="00495A03"/>
    <w:rsid w:val="004A1BE1"/>
    <w:rsid w:val="004A63CB"/>
    <w:rsid w:val="004A67B0"/>
    <w:rsid w:val="004A6FB2"/>
    <w:rsid w:val="004B0847"/>
    <w:rsid w:val="004B0E6D"/>
    <w:rsid w:val="004B16E8"/>
    <w:rsid w:val="004B54B8"/>
    <w:rsid w:val="004C0541"/>
    <w:rsid w:val="004C634A"/>
    <w:rsid w:val="004C660B"/>
    <w:rsid w:val="004D050C"/>
    <w:rsid w:val="004D23D9"/>
    <w:rsid w:val="004D3537"/>
    <w:rsid w:val="004D45B6"/>
    <w:rsid w:val="004D4D4E"/>
    <w:rsid w:val="004D614E"/>
    <w:rsid w:val="004D650F"/>
    <w:rsid w:val="004E2133"/>
    <w:rsid w:val="004E4E04"/>
    <w:rsid w:val="004E70B7"/>
    <w:rsid w:val="004F521C"/>
    <w:rsid w:val="005002A3"/>
    <w:rsid w:val="00502CD8"/>
    <w:rsid w:val="0050361C"/>
    <w:rsid w:val="0050527A"/>
    <w:rsid w:val="00506A40"/>
    <w:rsid w:val="0051064F"/>
    <w:rsid w:val="00513A0E"/>
    <w:rsid w:val="005142E5"/>
    <w:rsid w:val="00515D7B"/>
    <w:rsid w:val="00515F29"/>
    <w:rsid w:val="0052009E"/>
    <w:rsid w:val="00524880"/>
    <w:rsid w:val="00530161"/>
    <w:rsid w:val="005413D4"/>
    <w:rsid w:val="0054389B"/>
    <w:rsid w:val="005450F7"/>
    <w:rsid w:val="00545A0B"/>
    <w:rsid w:val="00545BED"/>
    <w:rsid w:val="0054672F"/>
    <w:rsid w:val="00547A9A"/>
    <w:rsid w:val="00547FA4"/>
    <w:rsid w:val="005536D4"/>
    <w:rsid w:val="00553EC8"/>
    <w:rsid w:val="0055493E"/>
    <w:rsid w:val="005564EE"/>
    <w:rsid w:val="00557D4A"/>
    <w:rsid w:val="0056176B"/>
    <w:rsid w:val="00561889"/>
    <w:rsid w:val="005621F6"/>
    <w:rsid w:val="0056291C"/>
    <w:rsid w:val="005668D3"/>
    <w:rsid w:val="00566EBD"/>
    <w:rsid w:val="0057154B"/>
    <w:rsid w:val="005742DB"/>
    <w:rsid w:val="00577209"/>
    <w:rsid w:val="005800A9"/>
    <w:rsid w:val="00581139"/>
    <w:rsid w:val="00581645"/>
    <w:rsid w:val="00583723"/>
    <w:rsid w:val="0058694E"/>
    <w:rsid w:val="005875F9"/>
    <w:rsid w:val="00593A35"/>
    <w:rsid w:val="00593C74"/>
    <w:rsid w:val="00597D8B"/>
    <w:rsid w:val="005A46FF"/>
    <w:rsid w:val="005A557E"/>
    <w:rsid w:val="005A63FD"/>
    <w:rsid w:val="005B462A"/>
    <w:rsid w:val="005B5137"/>
    <w:rsid w:val="005B6047"/>
    <w:rsid w:val="005C0ED7"/>
    <w:rsid w:val="005C4AE5"/>
    <w:rsid w:val="005C5409"/>
    <w:rsid w:val="005C6FF7"/>
    <w:rsid w:val="005C7D00"/>
    <w:rsid w:val="005D01A4"/>
    <w:rsid w:val="005D0BAB"/>
    <w:rsid w:val="005D1893"/>
    <w:rsid w:val="005D26E9"/>
    <w:rsid w:val="005D2CAA"/>
    <w:rsid w:val="005D4CBA"/>
    <w:rsid w:val="005E01A3"/>
    <w:rsid w:val="005E0354"/>
    <w:rsid w:val="005E6C62"/>
    <w:rsid w:val="005E6F13"/>
    <w:rsid w:val="005E726C"/>
    <w:rsid w:val="005F293E"/>
    <w:rsid w:val="005F43B9"/>
    <w:rsid w:val="005F458B"/>
    <w:rsid w:val="005F4A6A"/>
    <w:rsid w:val="005F4E28"/>
    <w:rsid w:val="005F56BA"/>
    <w:rsid w:val="0060008E"/>
    <w:rsid w:val="00602321"/>
    <w:rsid w:val="006033E3"/>
    <w:rsid w:val="00606B29"/>
    <w:rsid w:val="0060758A"/>
    <w:rsid w:val="00607D0E"/>
    <w:rsid w:val="006101F5"/>
    <w:rsid w:val="00610DA5"/>
    <w:rsid w:val="00611663"/>
    <w:rsid w:val="0061321C"/>
    <w:rsid w:val="00613F44"/>
    <w:rsid w:val="006160BD"/>
    <w:rsid w:val="0061679A"/>
    <w:rsid w:val="00617125"/>
    <w:rsid w:val="00620EDB"/>
    <w:rsid w:val="0062386E"/>
    <w:rsid w:val="00623DB6"/>
    <w:rsid w:val="00624EDE"/>
    <w:rsid w:val="006253EF"/>
    <w:rsid w:val="00626075"/>
    <w:rsid w:val="0062680E"/>
    <w:rsid w:val="00631158"/>
    <w:rsid w:val="00632923"/>
    <w:rsid w:val="006341E6"/>
    <w:rsid w:val="00634439"/>
    <w:rsid w:val="006366C6"/>
    <w:rsid w:val="00636B55"/>
    <w:rsid w:val="00636EB1"/>
    <w:rsid w:val="006373D6"/>
    <w:rsid w:val="006403D4"/>
    <w:rsid w:val="00642CBC"/>
    <w:rsid w:val="00643760"/>
    <w:rsid w:val="0064454A"/>
    <w:rsid w:val="00645293"/>
    <w:rsid w:val="0064698F"/>
    <w:rsid w:val="00651B78"/>
    <w:rsid w:val="0065237A"/>
    <w:rsid w:val="00652FF5"/>
    <w:rsid w:val="00654382"/>
    <w:rsid w:val="00654758"/>
    <w:rsid w:val="00661244"/>
    <w:rsid w:val="006640DF"/>
    <w:rsid w:val="00666A3C"/>
    <w:rsid w:val="00667519"/>
    <w:rsid w:val="006676A0"/>
    <w:rsid w:val="00670857"/>
    <w:rsid w:val="00670868"/>
    <w:rsid w:val="00673D69"/>
    <w:rsid w:val="00676431"/>
    <w:rsid w:val="0068050D"/>
    <w:rsid w:val="00685FFC"/>
    <w:rsid w:val="00686943"/>
    <w:rsid w:val="00686EDE"/>
    <w:rsid w:val="00687AD5"/>
    <w:rsid w:val="00690A31"/>
    <w:rsid w:val="006911CE"/>
    <w:rsid w:val="00695251"/>
    <w:rsid w:val="00695B58"/>
    <w:rsid w:val="0069798D"/>
    <w:rsid w:val="006A4828"/>
    <w:rsid w:val="006A7C09"/>
    <w:rsid w:val="006B046C"/>
    <w:rsid w:val="006B252F"/>
    <w:rsid w:val="006B3940"/>
    <w:rsid w:val="006B3FDB"/>
    <w:rsid w:val="006B4DD1"/>
    <w:rsid w:val="006B66FE"/>
    <w:rsid w:val="006C168D"/>
    <w:rsid w:val="006C4033"/>
    <w:rsid w:val="006C642C"/>
    <w:rsid w:val="006D3BC4"/>
    <w:rsid w:val="006D7386"/>
    <w:rsid w:val="006E0DAD"/>
    <w:rsid w:val="006E313F"/>
    <w:rsid w:val="006E3EFB"/>
    <w:rsid w:val="006F1F1A"/>
    <w:rsid w:val="006F5AC2"/>
    <w:rsid w:val="006F5B4C"/>
    <w:rsid w:val="006F6C28"/>
    <w:rsid w:val="007007EB"/>
    <w:rsid w:val="00701F57"/>
    <w:rsid w:val="00703E8A"/>
    <w:rsid w:val="00706046"/>
    <w:rsid w:val="007112F0"/>
    <w:rsid w:val="00711343"/>
    <w:rsid w:val="00714309"/>
    <w:rsid w:val="0071450F"/>
    <w:rsid w:val="00714C6F"/>
    <w:rsid w:val="0071681D"/>
    <w:rsid w:val="00717772"/>
    <w:rsid w:val="00721DBE"/>
    <w:rsid w:val="007226EC"/>
    <w:rsid w:val="00722B5E"/>
    <w:rsid w:val="00724F6D"/>
    <w:rsid w:val="0072678C"/>
    <w:rsid w:val="00732D1D"/>
    <w:rsid w:val="007350D4"/>
    <w:rsid w:val="00736034"/>
    <w:rsid w:val="00740707"/>
    <w:rsid w:val="0074120F"/>
    <w:rsid w:val="00743764"/>
    <w:rsid w:val="00743B2D"/>
    <w:rsid w:val="00747930"/>
    <w:rsid w:val="0075060E"/>
    <w:rsid w:val="00752E8B"/>
    <w:rsid w:val="007541BB"/>
    <w:rsid w:val="00754D62"/>
    <w:rsid w:val="00756CFF"/>
    <w:rsid w:val="00757FD7"/>
    <w:rsid w:val="00761B7A"/>
    <w:rsid w:val="007651E5"/>
    <w:rsid w:val="00765256"/>
    <w:rsid w:val="007661B8"/>
    <w:rsid w:val="007661D4"/>
    <w:rsid w:val="007661FD"/>
    <w:rsid w:val="00766A7C"/>
    <w:rsid w:val="00767A27"/>
    <w:rsid w:val="0077111A"/>
    <w:rsid w:val="00775419"/>
    <w:rsid w:val="007763A5"/>
    <w:rsid w:val="0078008C"/>
    <w:rsid w:val="0078105B"/>
    <w:rsid w:val="00782390"/>
    <w:rsid w:val="00782B50"/>
    <w:rsid w:val="00784FE0"/>
    <w:rsid w:val="007858B1"/>
    <w:rsid w:val="0078648E"/>
    <w:rsid w:val="00791A3A"/>
    <w:rsid w:val="00791D9C"/>
    <w:rsid w:val="007A391B"/>
    <w:rsid w:val="007A4409"/>
    <w:rsid w:val="007A4F37"/>
    <w:rsid w:val="007A5241"/>
    <w:rsid w:val="007A59B8"/>
    <w:rsid w:val="007B06C7"/>
    <w:rsid w:val="007B3D06"/>
    <w:rsid w:val="007B42F5"/>
    <w:rsid w:val="007B5157"/>
    <w:rsid w:val="007B5CD8"/>
    <w:rsid w:val="007C04A1"/>
    <w:rsid w:val="007C1122"/>
    <w:rsid w:val="007C19EC"/>
    <w:rsid w:val="007C364E"/>
    <w:rsid w:val="007C5359"/>
    <w:rsid w:val="007C6701"/>
    <w:rsid w:val="007D16ED"/>
    <w:rsid w:val="007D2398"/>
    <w:rsid w:val="007D440B"/>
    <w:rsid w:val="007D5908"/>
    <w:rsid w:val="007D62F9"/>
    <w:rsid w:val="007D63A4"/>
    <w:rsid w:val="007D732D"/>
    <w:rsid w:val="007E0F19"/>
    <w:rsid w:val="007E2A84"/>
    <w:rsid w:val="007E5ECB"/>
    <w:rsid w:val="007F063D"/>
    <w:rsid w:val="007F0D73"/>
    <w:rsid w:val="007F2FC8"/>
    <w:rsid w:val="007F432A"/>
    <w:rsid w:val="007F63AA"/>
    <w:rsid w:val="008006B7"/>
    <w:rsid w:val="008032FD"/>
    <w:rsid w:val="00806461"/>
    <w:rsid w:val="008064CE"/>
    <w:rsid w:val="0080673A"/>
    <w:rsid w:val="00807A94"/>
    <w:rsid w:val="00810B79"/>
    <w:rsid w:val="00810EAD"/>
    <w:rsid w:val="00812803"/>
    <w:rsid w:val="008129C0"/>
    <w:rsid w:val="00813B0C"/>
    <w:rsid w:val="00814530"/>
    <w:rsid w:val="00815386"/>
    <w:rsid w:val="00821F9C"/>
    <w:rsid w:val="00825570"/>
    <w:rsid w:val="00826403"/>
    <w:rsid w:val="00827990"/>
    <w:rsid w:val="00834CA6"/>
    <w:rsid w:val="0083623B"/>
    <w:rsid w:val="008379E4"/>
    <w:rsid w:val="00837E59"/>
    <w:rsid w:val="00842100"/>
    <w:rsid w:val="008428A9"/>
    <w:rsid w:val="0084308F"/>
    <w:rsid w:val="00846C2B"/>
    <w:rsid w:val="0085139A"/>
    <w:rsid w:val="008524F6"/>
    <w:rsid w:val="00854B3F"/>
    <w:rsid w:val="00861C2C"/>
    <w:rsid w:val="008668B8"/>
    <w:rsid w:val="00866D32"/>
    <w:rsid w:val="0086748F"/>
    <w:rsid w:val="00867B4D"/>
    <w:rsid w:val="00867CF3"/>
    <w:rsid w:val="00870278"/>
    <w:rsid w:val="00874AB5"/>
    <w:rsid w:val="008750A9"/>
    <w:rsid w:val="00875A68"/>
    <w:rsid w:val="00877671"/>
    <w:rsid w:val="00877A13"/>
    <w:rsid w:val="008869BC"/>
    <w:rsid w:val="00887DDD"/>
    <w:rsid w:val="00887DE6"/>
    <w:rsid w:val="00887E9F"/>
    <w:rsid w:val="008908AA"/>
    <w:rsid w:val="00890E08"/>
    <w:rsid w:val="00894DCA"/>
    <w:rsid w:val="00897D88"/>
    <w:rsid w:val="008A00BE"/>
    <w:rsid w:val="008A1539"/>
    <w:rsid w:val="008A2C5D"/>
    <w:rsid w:val="008A3BE2"/>
    <w:rsid w:val="008A6B30"/>
    <w:rsid w:val="008B05E7"/>
    <w:rsid w:val="008B0758"/>
    <w:rsid w:val="008B1875"/>
    <w:rsid w:val="008B4146"/>
    <w:rsid w:val="008B5312"/>
    <w:rsid w:val="008B59CE"/>
    <w:rsid w:val="008B6078"/>
    <w:rsid w:val="008B7110"/>
    <w:rsid w:val="008B7F4A"/>
    <w:rsid w:val="008C04E1"/>
    <w:rsid w:val="008C04FE"/>
    <w:rsid w:val="008C2F50"/>
    <w:rsid w:val="008C3109"/>
    <w:rsid w:val="008C5312"/>
    <w:rsid w:val="008C5DBD"/>
    <w:rsid w:val="008C61D6"/>
    <w:rsid w:val="008D49AF"/>
    <w:rsid w:val="008D4A2B"/>
    <w:rsid w:val="008D4A9F"/>
    <w:rsid w:val="008D6294"/>
    <w:rsid w:val="008E1FE0"/>
    <w:rsid w:val="008E3939"/>
    <w:rsid w:val="008E3DDD"/>
    <w:rsid w:val="008E58D6"/>
    <w:rsid w:val="008F1426"/>
    <w:rsid w:val="008F2125"/>
    <w:rsid w:val="008F23F4"/>
    <w:rsid w:val="008F61C4"/>
    <w:rsid w:val="008F7763"/>
    <w:rsid w:val="009007CB"/>
    <w:rsid w:val="009010F0"/>
    <w:rsid w:val="00901162"/>
    <w:rsid w:val="00901D46"/>
    <w:rsid w:val="009028E2"/>
    <w:rsid w:val="00903692"/>
    <w:rsid w:val="00904E07"/>
    <w:rsid w:val="00912BAF"/>
    <w:rsid w:val="00914EAB"/>
    <w:rsid w:val="0091541F"/>
    <w:rsid w:val="009165E9"/>
    <w:rsid w:val="00920D98"/>
    <w:rsid w:val="0092249B"/>
    <w:rsid w:val="00922D49"/>
    <w:rsid w:val="009238DB"/>
    <w:rsid w:val="00925E37"/>
    <w:rsid w:val="00925EDD"/>
    <w:rsid w:val="00930079"/>
    <w:rsid w:val="00930966"/>
    <w:rsid w:val="00932F64"/>
    <w:rsid w:val="00936075"/>
    <w:rsid w:val="00936D40"/>
    <w:rsid w:val="00937445"/>
    <w:rsid w:val="00937ABF"/>
    <w:rsid w:val="00937DB1"/>
    <w:rsid w:val="009407FE"/>
    <w:rsid w:val="009463CC"/>
    <w:rsid w:val="00950413"/>
    <w:rsid w:val="0095078E"/>
    <w:rsid w:val="00952404"/>
    <w:rsid w:val="00952A72"/>
    <w:rsid w:val="009530AC"/>
    <w:rsid w:val="009550A8"/>
    <w:rsid w:val="00955FF2"/>
    <w:rsid w:val="0095693D"/>
    <w:rsid w:val="00956B0D"/>
    <w:rsid w:val="0096260B"/>
    <w:rsid w:val="009631C1"/>
    <w:rsid w:val="00963918"/>
    <w:rsid w:val="00970C69"/>
    <w:rsid w:val="00973B57"/>
    <w:rsid w:val="00973E0D"/>
    <w:rsid w:val="0097403F"/>
    <w:rsid w:val="00975D18"/>
    <w:rsid w:val="00976797"/>
    <w:rsid w:val="00980C0C"/>
    <w:rsid w:val="00982E47"/>
    <w:rsid w:val="00983E7D"/>
    <w:rsid w:val="00985F0E"/>
    <w:rsid w:val="00986963"/>
    <w:rsid w:val="00990ABB"/>
    <w:rsid w:val="00991642"/>
    <w:rsid w:val="0099260C"/>
    <w:rsid w:val="009942F4"/>
    <w:rsid w:val="00995B3C"/>
    <w:rsid w:val="009A045B"/>
    <w:rsid w:val="009A0513"/>
    <w:rsid w:val="009A2283"/>
    <w:rsid w:val="009A31AF"/>
    <w:rsid w:val="009A3507"/>
    <w:rsid w:val="009A5C1D"/>
    <w:rsid w:val="009B4286"/>
    <w:rsid w:val="009B5BF9"/>
    <w:rsid w:val="009B5DAF"/>
    <w:rsid w:val="009B5F83"/>
    <w:rsid w:val="009B61C5"/>
    <w:rsid w:val="009B769E"/>
    <w:rsid w:val="009C03E5"/>
    <w:rsid w:val="009C4D19"/>
    <w:rsid w:val="009C5FDB"/>
    <w:rsid w:val="009C65AF"/>
    <w:rsid w:val="009C67A4"/>
    <w:rsid w:val="009C70CB"/>
    <w:rsid w:val="009C74DD"/>
    <w:rsid w:val="009D27AA"/>
    <w:rsid w:val="009D2AD9"/>
    <w:rsid w:val="009D514E"/>
    <w:rsid w:val="009D5C39"/>
    <w:rsid w:val="009D6FED"/>
    <w:rsid w:val="009E0A95"/>
    <w:rsid w:val="009E0D47"/>
    <w:rsid w:val="009E549D"/>
    <w:rsid w:val="009E54AF"/>
    <w:rsid w:val="009E5C59"/>
    <w:rsid w:val="009E6BB8"/>
    <w:rsid w:val="009F1CC3"/>
    <w:rsid w:val="009F26F2"/>
    <w:rsid w:val="009F3E1E"/>
    <w:rsid w:val="009F4CC5"/>
    <w:rsid w:val="009F6550"/>
    <w:rsid w:val="00A003BE"/>
    <w:rsid w:val="00A01C74"/>
    <w:rsid w:val="00A02F51"/>
    <w:rsid w:val="00A0520F"/>
    <w:rsid w:val="00A05ACE"/>
    <w:rsid w:val="00A06788"/>
    <w:rsid w:val="00A104A4"/>
    <w:rsid w:val="00A10D63"/>
    <w:rsid w:val="00A115BC"/>
    <w:rsid w:val="00A11776"/>
    <w:rsid w:val="00A1276C"/>
    <w:rsid w:val="00A14098"/>
    <w:rsid w:val="00A14304"/>
    <w:rsid w:val="00A14399"/>
    <w:rsid w:val="00A14C46"/>
    <w:rsid w:val="00A15524"/>
    <w:rsid w:val="00A15EE9"/>
    <w:rsid w:val="00A16675"/>
    <w:rsid w:val="00A1724E"/>
    <w:rsid w:val="00A20263"/>
    <w:rsid w:val="00A22E07"/>
    <w:rsid w:val="00A26437"/>
    <w:rsid w:val="00A32410"/>
    <w:rsid w:val="00A32B48"/>
    <w:rsid w:val="00A36D00"/>
    <w:rsid w:val="00A43389"/>
    <w:rsid w:val="00A4642E"/>
    <w:rsid w:val="00A47AF8"/>
    <w:rsid w:val="00A50AC8"/>
    <w:rsid w:val="00A52D75"/>
    <w:rsid w:val="00A53013"/>
    <w:rsid w:val="00A54BD6"/>
    <w:rsid w:val="00A5643A"/>
    <w:rsid w:val="00A57678"/>
    <w:rsid w:val="00A6090C"/>
    <w:rsid w:val="00A6200E"/>
    <w:rsid w:val="00A62D1E"/>
    <w:rsid w:val="00A65C6D"/>
    <w:rsid w:val="00A716B9"/>
    <w:rsid w:val="00A720D8"/>
    <w:rsid w:val="00A72216"/>
    <w:rsid w:val="00A733F2"/>
    <w:rsid w:val="00A75705"/>
    <w:rsid w:val="00A75BE1"/>
    <w:rsid w:val="00A8187C"/>
    <w:rsid w:val="00A82C9E"/>
    <w:rsid w:val="00A8324F"/>
    <w:rsid w:val="00A85142"/>
    <w:rsid w:val="00A95B37"/>
    <w:rsid w:val="00A96B6F"/>
    <w:rsid w:val="00AA0CE8"/>
    <w:rsid w:val="00AA35FD"/>
    <w:rsid w:val="00AA3DB7"/>
    <w:rsid w:val="00AA5F63"/>
    <w:rsid w:val="00AA7EBD"/>
    <w:rsid w:val="00AB2431"/>
    <w:rsid w:val="00AB69EF"/>
    <w:rsid w:val="00AC11DC"/>
    <w:rsid w:val="00AC3E87"/>
    <w:rsid w:val="00AC469F"/>
    <w:rsid w:val="00AD0611"/>
    <w:rsid w:val="00AD0E4F"/>
    <w:rsid w:val="00AD26D7"/>
    <w:rsid w:val="00AD3905"/>
    <w:rsid w:val="00AD4555"/>
    <w:rsid w:val="00AD4A31"/>
    <w:rsid w:val="00AD5638"/>
    <w:rsid w:val="00AD7214"/>
    <w:rsid w:val="00AE1066"/>
    <w:rsid w:val="00AE12A4"/>
    <w:rsid w:val="00AE2E1B"/>
    <w:rsid w:val="00AE33EA"/>
    <w:rsid w:val="00AE5129"/>
    <w:rsid w:val="00AE5645"/>
    <w:rsid w:val="00AF1D6B"/>
    <w:rsid w:val="00AF24AA"/>
    <w:rsid w:val="00AF3AF9"/>
    <w:rsid w:val="00AF3E5F"/>
    <w:rsid w:val="00AF4CE4"/>
    <w:rsid w:val="00AF4F09"/>
    <w:rsid w:val="00AF643E"/>
    <w:rsid w:val="00AF79C8"/>
    <w:rsid w:val="00B007B6"/>
    <w:rsid w:val="00B00FA8"/>
    <w:rsid w:val="00B011B0"/>
    <w:rsid w:val="00B0270C"/>
    <w:rsid w:val="00B0391C"/>
    <w:rsid w:val="00B047F6"/>
    <w:rsid w:val="00B06019"/>
    <w:rsid w:val="00B0700F"/>
    <w:rsid w:val="00B1493B"/>
    <w:rsid w:val="00B15119"/>
    <w:rsid w:val="00B17169"/>
    <w:rsid w:val="00B20F47"/>
    <w:rsid w:val="00B23996"/>
    <w:rsid w:val="00B23CB2"/>
    <w:rsid w:val="00B24A18"/>
    <w:rsid w:val="00B255C5"/>
    <w:rsid w:val="00B25807"/>
    <w:rsid w:val="00B268B3"/>
    <w:rsid w:val="00B268DD"/>
    <w:rsid w:val="00B32AE1"/>
    <w:rsid w:val="00B34368"/>
    <w:rsid w:val="00B37780"/>
    <w:rsid w:val="00B37813"/>
    <w:rsid w:val="00B37EEF"/>
    <w:rsid w:val="00B411CD"/>
    <w:rsid w:val="00B41ABB"/>
    <w:rsid w:val="00B41C1D"/>
    <w:rsid w:val="00B43917"/>
    <w:rsid w:val="00B43E1E"/>
    <w:rsid w:val="00B4515C"/>
    <w:rsid w:val="00B46220"/>
    <w:rsid w:val="00B464EA"/>
    <w:rsid w:val="00B47574"/>
    <w:rsid w:val="00B52BE7"/>
    <w:rsid w:val="00B5430C"/>
    <w:rsid w:val="00B56A90"/>
    <w:rsid w:val="00B5711C"/>
    <w:rsid w:val="00B57BCF"/>
    <w:rsid w:val="00B57E36"/>
    <w:rsid w:val="00B60209"/>
    <w:rsid w:val="00B606A3"/>
    <w:rsid w:val="00B65D6F"/>
    <w:rsid w:val="00B673F3"/>
    <w:rsid w:val="00B67A25"/>
    <w:rsid w:val="00B70229"/>
    <w:rsid w:val="00B7354A"/>
    <w:rsid w:val="00B7435B"/>
    <w:rsid w:val="00B74446"/>
    <w:rsid w:val="00B74B59"/>
    <w:rsid w:val="00B77142"/>
    <w:rsid w:val="00B8024E"/>
    <w:rsid w:val="00B80C3A"/>
    <w:rsid w:val="00B81633"/>
    <w:rsid w:val="00B84643"/>
    <w:rsid w:val="00B90452"/>
    <w:rsid w:val="00B90780"/>
    <w:rsid w:val="00B916D6"/>
    <w:rsid w:val="00B91AD8"/>
    <w:rsid w:val="00B9209B"/>
    <w:rsid w:val="00B9240D"/>
    <w:rsid w:val="00B95753"/>
    <w:rsid w:val="00B97E42"/>
    <w:rsid w:val="00BA0C05"/>
    <w:rsid w:val="00BA54D0"/>
    <w:rsid w:val="00BA7532"/>
    <w:rsid w:val="00BB1013"/>
    <w:rsid w:val="00BB4515"/>
    <w:rsid w:val="00BB7B89"/>
    <w:rsid w:val="00BC1A9B"/>
    <w:rsid w:val="00BC2A22"/>
    <w:rsid w:val="00BC4986"/>
    <w:rsid w:val="00BC5E2E"/>
    <w:rsid w:val="00BC6379"/>
    <w:rsid w:val="00BC7EEF"/>
    <w:rsid w:val="00BD1AD9"/>
    <w:rsid w:val="00BD43BB"/>
    <w:rsid w:val="00BD7ADE"/>
    <w:rsid w:val="00BE1A85"/>
    <w:rsid w:val="00BE46ED"/>
    <w:rsid w:val="00BE4FD1"/>
    <w:rsid w:val="00BE642D"/>
    <w:rsid w:val="00BE6D7A"/>
    <w:rsid w:val="00BF2511"/>
    <w:rsid w:val="00BF377F"/>
    <w:rsid w:val="00BF3F88"/>
    <w:rsid w:val="00BF57BE"/>
    <w:rsid w:val="00C0042B"/>
    <w:rsid w:val="00C02E58"/>
    <w:rsid w:val="00C030B6"/>
    <w:rsid w:val="00C04B38"/>
    <w:rsid w:val="00C067B7"/>
    <w:rsid w:val="00C10A09"/>
    <w:rsid w:val="00C121BC"/>
    <w:rsid w:val="00C14D92"/>
    <w:rsid w:val="00C16739"/>
    <w:rsid w:val="00C17F3F"/>
    <w:rsid w:val="00C23BA2"/>
    <w:rsid w:val="00C260A2"/>
    <w:rsid w:val="00C30DEC"/>
    <w:rsid w:val="00C31142"/>
    <w:rsid w:val="00C31DEF"/>
    <w:rsid w:val="00C338EB"/>
    <w:rsid w:val="00C35BB7"/>
    <w:rsid w:val="00C36B35"/>
    <w:rsid w:val="00C400CD"/>
    <w:rsid w:val="00C41617"/>
    <w:rsid w:val="00C4309A"/>
    <w:rsid w:val="00C43F23"/>
    <w:rsid w:val="00C43FF1"/>
    <w:rsid w:val="00C45494"/>
    <w:rsid w:val="00C52D18"/>
    <w:rsid w:val="00C544B8"/>
    <w:rsid w:val="00C559CE"/>
    <w:rsid w:val="00C55E19"/>
    <w:rsid w:val="00C563BF"/>
    <w:rsid w:val="00C57512"/>
    <w:rsid w:val="00C57607"/>
    <w:rsid w:val="00C61133"/>
    <w:rsid w:val="00C64009"/>
    <w:rsid w:val="00C7016D"/>
    <w:rsid w:val="00C767B3"/>
    <w:rsid w:val="00C76C07"/>
    <w:rsid w:val="00C80F23"/>
    <w:rsid w:val="00C835B4"/>
    <w:rsid w:val="00C850A3"/>
    <w:rsid w:val="00C87568"/>
    <w:rsid w:val="00C92451"/>
    <w:rsid w:val="00C9272C"/>
    <w:rsid w:val="00C97764"/>
    <w:rsid w:val="00C97C9B"/>
    <w:rsid w:val="00CA344C"/>
    <w:rsid w:val="00CB142D"/>
    <w:rsid w:val="00CB26C7"/>
    <w:rsid w:val="00CB29F6"/>
    <w:rsid w:val="00CB2BBF"/>
    <w:rsid w:val="00CB481C"/>
    <w:rsid w:val="00CB4C8C"/>
    <w:rsid w:val="00CB62E1"/>
    <w:rsid w:val="00CB6EFE"/>
    <w:rsid w:val="00CC16F9"/>
    <w:rsid w:val="00CC28A9"/>
    <w:rsid w:val="00CC4183"/>
    <w:rsid w:val="00CC6928"/>
    <w:rsid w:val="00CC70A4"/>
    <w:rsid w:val="00CD2BA8"/>
    <w:rsid w:val="00CD4A0C"/>
    <w:rsid w:val="00CD5CEF"/>
    <w:rsid w:val="00CE06EC"/>
    <w:rsid w:val="00CE1F8A"/>
    <w:rsid w:val="00CE592E"/>
    <w:rsid w:val="00CE5BC5"/>
    <w:rsid w:val="00CF16A4"/>
    <w:rsid w:val="00CF299F"/>
    <w:rsid w:val="00CF3357"/>
    <w:rsid w:val="00CF58DF"/>
    <w:rsid w:val="00D00BC3"/>
    <w:rsid w:val="00D03538"/>
    <w:rsid w:val="00D04410"/>
    <w:rsid w:val="00D05EE7"/>
    <w:rsid w:val="00D06A9D"/>
    <w:rsid w:val="00D07C15"/>
    <w:rsid w:val="00D11D4F"/>
    <w:rsid w:val="00D13A01"/>
    <w:rsid w:val="00D15733"/>
    <w:rsid w:val="00D20364"/>
    <w:rsid w:val="00D2130C"/>
    <w:rsid w:val="00D26746"/>
    <w:rsid w:val="00D26DDD"/>
    <w:rsid w:val="00D27BDC"/>
    <w:rsid w:val="00D27EA0"/>
    <w:rsid w:val="00D305C9"/>
    <w:rsid w:val="00D3194F"/>
    <w:rsid w:val="00D33751"/>
    <w:rsid w:val="00D3639B"/>
    <w:rsid w:val="00D37343"/>
    <w:rsid w:val="00D37495"/>
    <w:rsid w:val="00D41727"/>
    <w:rsid w:val="00D427E4"/>
    <w:rsid w:val="00D45F1B"/>
    <w:rsid w:val="00D472A5"/>
    <w:rsid w:val="00D52289"/>
    <w:rsid w:val="00D55A37"/>
    <w:rsid w:val="00D55B7E"/>
    <w:rsid w:val="00D64354"/>
    <w:rsid w:val="00D66685"/>
    <w:rsid w:val="00D70D35"/>
    <w:rsid w:val="00D71351"/>
    <w:rsid w:val="00D71997"/>
    <w:rsid w:val="00D753E9"/>
    <w:rsid w:val="00D777B9"/>
    <w:rsid w:val="00D82273"/>
    <w:rsid w:val="00D82FA5"/>
    <w:rsid w:val="00D84A4B"/>
    <w:rsid w:val="00D84B45"/>
    <w:rsid w:val="00D857AE"/>
    <w:rsid w:val="00D8623D"/>
    <w:rsid w:val="00D867FB"/>
    <w:rsid w:val="00D873C4"/>
    <w:rsid w:val="00D9110D"/>
    <w:rsid w:val="00D91124"/>
    <w:rsid w:val="00D91987"/>
    <w:rsid w:val="00D92168"/>
    <w:rsid w:val="00D93426"/>
    <w:rsid w:val="00D94B22"/>
    <w:rsid w:val="00D958D3"/>
    <w:rsid w:val="00D9594F"/>
    <w:rsid w:val="00D97213"/>
    <w:rsid w:val="00DA0C95"/>
    <w:rsid w:val="00DA134E"/>
    <w:rsid w:val="00DA13F3"/>
    <w:rsid w:val="00DA2DE3"/>
    <w:rsid w:val="00DA47D9"/>
    <w:rsid w:val="00DA64AF"/>
    <w:rsid w:val="00DB1F4F"/>
    <w:rsid w:val="00DB2AC7"/>
    <w:rsid w:val="00DB704C"/>
    <w:rsid w:val="00DC693B"/>
    <w:rsid w:val="00DC7C77"/>
    <w:rsid w:val="00DD0F5D"/>
    <w:rsid w:val="00DD426D"/>
    <w:rsid w:val="00DD74FC"/>
    <w:rsid w:val="00DE117F"/>
    <w:rsid w:val="00DE1769"/>
    <w:rsid w:val="00DE1A17"/>
    <w:rsid w:val="00DE1D7B"/>
    <w:rsid w:val="00DE44C8"/>
    <w:rsid w:val="00DE64CC"/>
    <w:rsid w:val="00DE6AA9"/>
    <w:rsid w:val="00DE7B30"/>
    <w:rsid w:val="00DF20C7"/>
    <w:rsid w:val="00DF4D0C"/>
    <w:rsid w:val="00DF5C20"/>
    <w:rsid w:val="00DF7D81"/>
    <w:rsid w:val="00E02DEB"/>
    <w:rsid w:val="00E03486"/>
    <w:rsid w:val="00E0405A"/>
    <w:rsid w:val="00E042A1"/>
    <w:rsid w:val="00E0476C"/>
    <w:rsid w:val="00E0576B"/>
    <w:rsid w:val="00E067EA"/>
    <w:rsid w:val="00E06D18"/>
    <w:rsid w:val="00E104FA"/>
    <w:rsid w:val="00E1320D"/>
    <w:rsid w:val="00E15FD1"/>
    <w:rsid w:val="00E16022"/>
    <w:rsid w:val="00E1738C"/>
    <w:rsid w:val="00E174FF"/>
    <w:rsid w:val="00E205AA"/>
    <w:rsid w:val="00E22296"/>
    <w:rsid w:val="00E27360"/>
    <w:rsid w:val="00E27C04"/>
    <w:rsid w:val="00E30713"/>
    <w:rsid w:val="00E30EDF"/>
    <w:rsid w:val="00E31FBA"/>
    <w:rsid w:val="00E328E2"/>
    <w:rsid w:val="00E336BB"/>
    <w:rsid w:val="00E3384E"/>
    <w:rsid w:val="00E33F90"/>
    <w:rsid w:val="00E374C8"/>
    <w:rsid w:val="00E4042D"/>
    <w:rsid w:val="00E4135D"/>
    <w:rsid w:val="00E43750"/>
    <w:rsid w:val="00E508EB"/>
    <w:rsid w:val="00E50A31"/>
    <w:rsid w:val="00E521E3"/>
    <w:rsid w:val="00E53B7A"/>
    <w:rsid w:val="00E550C9"/>
    <w:rsid w:val="00E55405"/>
    <w:rsid w:val="00E561F9"/>
    <w:rsid w:val="00E5645D"/>
    <w:rsid w:val="00E57CD3"/>
    <w:rsid w:val="00E608D5"/>
    <w:rsid w:val="00E627A4"/>
    <w:rsid w:val="00E6280E"/>
    <w:rsid w:val="00E62C9C"/>
    <w:rsid w:val="00E630EE"/>
    <w:rsid w:val="00E67A61"/>
    <w:rsid w:val="00E70455"/>
    <w:rsid w:val="00E73221"/>
    <w:rsid w:val="00E75116"/>
    <w:rsid w:val="00E763EB"/>
    <w:rsid w:val="00E8249B"/>
    <w:rsid w:val="00E8342F"/>
    <w:rsid w:val="00E84632"/>
    <w:rsid w:val="00E847EE"/>
    <w:rsid w:val="00E876F9"/>
    <w:rsid w:val="00E96A72"/>
    <w:rsid w:val="00E96B52"/>
    <w:rsid w:val="00EA01F7"/>
    <w:rsid w:val="00EA1D33"/>
    <w:rsid w:val="00EA1F5A"/>
    <w:rsid w:val="00EA375F"/>
    <w:rsid w:val="00EA55D2"/>
    <w:rsid w:val="00EA7104"/>
    <w:rsid w:val="00EA7533"/>
    <w:rsid w:val="00EB067F"/>
    <w:rsid w:val="00EB2419"/>
    <w:rsid w:val="00EB58F5"/>
    <w:rsid w:val="00EB6E6B"/>
    <w:rsid w:val="00EC010F"/>
    <w:rsid w:val="00EC2E3A"/>
    <w:rsid w:val="00EC3CCB"/>
    <w:rsid w:val="00EC5A74"/>
    <w:rsid w:val="00EC737D"/>
    <w:rsid w:val="00ED2154"/>
    <w:rsid w:val="00ED4277"/>
    <w:rsid w:val="00ED7C8C"/>
    <w:rsid w:val="00ED7DDB"/>
    <w:rsid w:val="00EE431B"/>
    <w:rsid w:val="00EE4874"/>
    <w:rsid w:val="00EE53E5"/>
    <w:rsid w:val="00EE6852"/>
    <w:rsid w:val="00EE73FB"/>
    <w:rsid w:val="00EE7BF0"/>
    <w:rsid w:val="00EF2674"/>
    <w:rsid w:val="00EF556F"/>
    <w:rsid w:val="00EF7D07"/>
    <w:rsid w:val="00F0181C"/>
    <w:rsid w:val="00F03512"/>
    <w:rsid w:val="00F0433A"/>
    <w:rsid w:val="00F0519B"/>
    <w:rsid w:val="00F059D4"/>
    <w:rsid w:val="00F11783"/>
    <w:rsid w:val="00F119AF"/>
    <w:rsid w:val="00F1480B"/>
    <w:rsid w:val="00F1498D"/>
    <w:rsid w:val="00F15173"/>
    <w:rsid w:val="00F20065"/>
    <w:rsid w:val="00F21B6D"/>
    <w:rsid w:val="00F22211"/>
    <w:rsid w:val="00F22341"/>
    <w:rsid w:val="00F24039"/>
    <w:rsid w:val="00F24E0E"/>
    <w:rsid w:val="00F26693"/>
    <w:rsid w:val="00F30F17"/>
    <w:rsid w:val="00F3477D"/>
    <w:rsid w:val="00F347FE"/>
    <w:rsid w:val="00F34859"/>
    <w:rsid w:val="00F356F7"/>
    <w:rsid w:val="00F40055"/>
    <w:rsid w:val="00F405D4"/>
    <w:rsid w:val="00F40868"/>
    <w:rsid w:val="00F421D5"/>
    <w:rsid w:val="00F44FDE"/>
    <w:rsid w:val="00F46467"/>
    <w:rsid w:val="00F46B63"/>
    <w:rsid w:val="00F4715C"/>
    <w:rsid w:val="00F47FF8"/>
    <w:rsid w:val="00F529B5"/>
    <w:rsid w:val="00F52AA4"/>
    <w:rsid w:val="00F56162"/>
    <w:rsid w:val="00F56B7E"/>
    <w:rsid w:val="00F6052F"/>
    <w:rsid w:val="00F62FDE"/>
    <w:rsid w:val="00F654E6"/>
    <w:rsid w:val="00F662CD"/>
    <w:rsid w:val="00F67E39"/>
    <w:rsid w:val="00F703A8"/>
    <w:rsid w:val="00F707F1"/>
    <w:rsid w:val="00F7094A"/>
    <w:rsid w:val="00F710BE"/>
    <w:rsid w:val="00F72579"/>
    <w:rsid w:val="00F74742"/>
    <w:rsid w:val="00F804B9"/>
    <w:rsid w:val="00F80AE2"/>
    <w:rsid w:val="00F83FF9"/>
    <w:rsid w:val="00F84D52"/>
    <w:rsid w:val="00F91B52"/>
    <w:rsid w:val="00F961A9"/>
    <w:rsid w:val="00F97478"/>
    <w:rsid w:val="00F97B71"/>
    <w:rsid w:val="00F97B9E"/>
    <w:rsid w:val="00FA0527"/>
    <w:rsid w:val="00FA085E"/>
    <w:rsid w:val="00FA0947"/>
    <w:rsid w:val="00FA2185"/>
    <w:rsid w:val="00FA2D49"/>
    <w:rsid w:val="00FA4B52"/>
    <w:rsid w:val="00FA4D4F"/>
    <w:rsid w:val="00FA4D5B"/>
    <w:rsid w:val="00FA54E8"/>
    <w:rsid w:val="00FA786F"/>
    <w:rsid w:val="00FA7D19"/>
    <w:rsid w:val="00FA7EB3"/>
    <w:rsid w:val="00FB058F"/>
    <w:rsid w:val="00FB387C"/>
    <w:rsid w:val="00FB3C94"/>
    <w:rsid w:val="00FB48C1"/>
    <w:rsid w:val="00FB6808"/>
    <w:rsid w:val="00FB6CD0"/>
    <w:rsid w:val="00FB723C"/>
    <w:rsid w:val="00FB72B4"/>
    <w:rsid w:val="00FC0A2D"/>
    <w:rsid w:val="00FC13C8"/>
    <w:rsid w:val="00FC39F9"/>
    <w:rsid w:val="00FC59F8"/>
    <w:rsid w:val="00FC60F6"/>
    <w:rsid w:val="00FC7F43"/>
    <w:rsid w:val="00FD7D41"/>
    <w:rsid w:val="00FE0072"/>
    <w:rsid w:val="00FE0C71"/>
    <w:rsid w:val="00FE0C8B"/>
    <w:rsid w:val="00FE1E47"/>
    <w:rsid w:val="00FE275D"/>
    <w:rsid w:val="00FE7FBD"/>
    <w:rsid w:val="00FF10BC"/>
    <w:rsid w:val="00FF5DCF"/>
    <w:rsid w:val="00FF6ADB"/>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0" w:defUnhideWhenUsed="1">
    <w:lsdException w:name="Normal" w:qFormat="1" w:semiHidden="0" w:unhideWhenUsed="0"/>
    <w:lsdException w:name="heading 1" w:qFormat="1" w:semiHidden="0" w:uiPriority="99"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iPriority="99" w:unhideWhenUsed="0"/>
    <w:lsdException w:name="Body Text First Indent" w:semiHidden="0" w:unhideWhenUsed="0"/>
    <w:lsdException w:name="Strong" w:qFormat="1" w:semiHidden="0" w:uiPriority="22" w:unhideWhenUsed="0"/>
    <w:lsdException w:name="Emphasis" w:qFormat="1" w:semiHidden="0" w:unhideWhenUsed="0"/>
    <w:lsdException w:name="Plain Text" w:uiPriority="99"/>
    <w:lsdException w:name="Table Grid" w:qFormat="1"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6A4828"/>
    <w:pPr>
      <w:widowControl w:val="0"/>
      <w:jc w:val="both"/>
    </w:pPr>
    <w:rPr>
      <w:kern w:val="2"/>
      <w:sz w:val="21"/>
      <w:szCs w:val="24"/>
    </w:rPr>
  </w:style>
  <w:style w:styleId="1" w:type="paragraph">
    <w:name w:val="heading 1"/>
    <w:basedOn w:val="a"/>
    <w:next w:val="a"/>
    <w:link w:val="1Char"/>
    <w:uiPriority w:val="99"/>
    <w:qFormat/>
    <w:rsid w:val="00180952"/>
    <w:pPr>
      <w:keepNext/>
      <w:keepLines/>
      <w:spacing w:after="330" w:before="340" w:line="578" w:lineRule="auto"/>
      <w:outlineLvl w:val="0"/>
    </w:pPr>
    <w:rPr>
      <w:b/>
      <w:bCs/>
      <w:kern w:val="44"/>
      <w:sz w:val="44"/>
      <w:szCs w:val="44"/>
    </w:rPr>
  </w:style>
  <w:style w:styleId="2" w:type="paragraph">
    <w:name w:val="heading 2"/>
    <w:basedOn w:val="a"/>
    <w:next w:val="a0"/>
    <w:qFormat/>
    <w:rsid w:val="006A4828"/>
    <w:pPr>
      <w:keepNext/>
      <w:keepLines/>
      <w:spacing w:after="260" w:before="260" w:line="360" w:lineRule="auto"/>
      <w:outlineLvl w:val="1"/>
    </w:pPr>
    <w:rPr>
      <w:rFonts w:ascii="Arial" w:cs="Arial" w:hAnsi="Arial"/>
      <w:b/>
      <w:bCs/>
      <w:sz w:val="24"/>
      <w:szCs w:val="28"/>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styleId="a0" w:type="paragraph">
    <w:name w:val="Normal Indent"/>
    <w:basedOn w:val="a"/>
    <w:uiPriority w:val="99"/>
    <w:rsid w:val="006A4828"/>
    <w:pPr>
      <w:ind w:firstLine="420" w:firstLineChars="200"/>
    </w:pPr>
  </w:style>
  <w:style w:styleId="a4" w:type="paragraph">
    <w:name w:val="Body Text Indent"/>
    <w:basedOn w:val="a"/>
    <w:rsid w:val="006A4828"/>
    <w:pPr>
      <w:widowControl/>
      <w:spacing w:after="100" w:afterAutospacing="1" w:before="100" w:beforeAutospacing="1"/>
      <w:jc w:val="left"/>
    </w:pPr>
    <w:rPr>
      <w:rFonts w:ascii="Arial Unicode MS" w:cs="Arial Unicode MS" w:eastAsia="Arial Unicode MS" w:hAnsi="Arial Unicode MS"/>
      <w:kern w:val="0"/>
      <w:sz w:val="24"/>
    </w:rPr>
  </w:style>
  <w:style w:styleId="a5" w:type="paragraph">
    <w:name w:val="Plain Text"/>
    <w:basedOn w:val="a"/>
    <w:link w:val="Char"/>
    <w:uiPriority w:val="99"/>
    <w:rsid w:val="006A4828"/>
    <w:rPr>
      <w:rFonts w:ascii="宋体" w:hAnsi="Courier New"/>
      <w:szCs w:val="21"/>
    </w:rPr>
  </w:style>
  <w:style w:styleId="20" w:type="paragraph">
    <w:name w:val="Body Text Indent 2"/>
    <w:basedOn w:val="a"/>
    <w:rsid w:val="006A4828"/>
    <w:pPr>
      <w:spacing w:line="560" w:lineRule="exact"/>
      <w:ind w:firstLine="480" w:firstLineChars="200"/>
    </w:pPr>
    <w:rPr>
      <w:rFonts w:ascii="宋体" w:hAnsi="宋体"/>
      <w:color w:val="FF0000"/>
      <w:sz w:val="24"/>
    </w:rPr>
  </w:style>
  <w:style w:styleId="a6" w:type="paragraph">
    <w:name w:val="footer"/>
    <w:basedOn w:val="a"/>
    <w:rsid w:val="006A4828"/>
    <w:pPr>
      <w:tabs>
        <w:tab w:pos="4153" w:val="center"/>
        <w:tab w:pos="8306" w:val="right"/>
      </w:tabs>
      <w:snapToGrid w:val="0"/>
      <w:jc w:val="left"/>
    </w:pPr>
    <w:rPr>
      <w:sz w:val="18"/>
      <w:szCs w:val="18"/>
    </w:rPr>
  </w:style>
  <w:style w:styleId="a7" w:type="character">
    <w:name w:val="page number"/>
    <w:basedOn w:val="a1"/>
    <w:rsid w:val="006A4828"/>
  </w:style>
  <w:style w:styleId="a8" w:type="character">
    <w:name w:val="Hyperlink"/>
    <w:basedOn w:val="a1"/>
    <w:rsid w:val="006A4828"/>
    <w:rPr>
      <w:color w:val="0000FF"/>
      <w:u w:val="single"/>
    </w:rPr>
  </w:style>
  <w:style w:styleId="3" w:type="paragraph">
    <w:name w:val="Body Text Indent 3"/>
    <w:basedOn w:val="a"/>
    <w:rsid w:val="006A4828"/>
    <w:pPr>
      <w:spacing w:line="560" w:lineRule="exact"/>
      <w:ind w:firstLine="420" w:firstLineChars="200"/>
    </w:pPr>
    <w:rPr>
      <w:rFonts w:ascii="Arial" w:cs="Arial" w:hAnsi="Arial"/>
      <w:color w:val="FF0000"/>
    </w:rPr>
  </w:style>
  <w:style w:styleId="a9" w:type="paragraph">
    <w:name w:val="header"/>
    <w:basedOn w:val="a"/>
    <w:link w:val="Char0"/>
    <w:uiPriority w:val="99"/>
    <w:rsid w:val="006A4828"/>
    <w:pPr>
      <w:pBdr>
        <w:bottom w:color="auto" w:space="1" w:sz="6" w:val="single"/>
      </w:pBdr>
      <w:tabs>
        <w:tab w:pos="4153" w:val="center"/>
        <w:tab w:pos="8306" w:val="right"/>
      </w:tabs>
      <w:snapToGrid w:val="0"/>
      <w:jc w:val="center"/>
    </w:pPr>
    <w:rPr>
      <w:sz w:val="18"/>
      <w:szCs w:val="18"/>
    </w:rPr>
  </w:style>
  <w:style w:customStyle="1" w:styleId="10" w:type="character">
    <w:name w:val="已访问的超链接1"/>
    <w:basedOn w:val="a1"/>
    <w:rsid w:val="006A4828"/>
    <w:rPr>
      <w:color w:val="800080"/>
      <w:u w:val="single"/>
    </w:rPr>
  </w:style>
  <w:style w:styleId="aa" w:type="paragraph">
    <w:name w:val="List"/>
    <w:basedOn w:val="ab"/>
    <w:rsid w:val="006A4828"/>
    <w:pPr>
      <w:spacing w:after="220" w:line="220" w:lineRule="atLeast"/>
      <w:ind w:hanging="360" w:left="1440"/>
    </w:pPr>
    <w:rPr>
      <w:szCs w:val="20"/>
    </w:rPr>
  </w:style>
  <w:style w:styleId="ab" w:type="paragraph">
    <w:name w:val="Body Text"/>
    <w:basedOn w:val="a"/>
    <w:rsid w:val="006A4828"/>
    <w:pPr>
      <w:spacing w:after="120"/>
    </w:pPr>
  </w:style>
  <w:style w:styleId="ac" w:type="paragraph">
    <w:name w:val="Date"/>
    <w:basedOn w:val="a"/>
    <w:next w:val="a"/>
    <w:link w:val="Char1"/>
    <w:uiPriority w:val="99"/>
    <w:rsid w:val="006A4828"/>
    <w:rPr>
      <w:sz w:val="24"/>
      <w:szCs w:val="20"/>
    </w:rPr>
  </w:style>
  <w:style w:customStyle="1" w:styleId="c1" w:type="character">
    <w:name w:val="c1"/>
    <w:basedOn w:val="a1"/>
    <w:rsid w:val="006A4828"/>
    <w:rPr>
      <w:color w:val="000000"/>
      <w:sz w:val="18"/>
      <w:szCs w:val="18"/>
    </w:rPr>
  </w:style>
  <w:style w:styleId="11" w:type="paragraph">
    <w:name w:val="index 1"/>
    <w:basedOn w:val="a"/>
    <w:next w:val="a"/>
    <w:autoRedefine/>
    <w:semiHidden/>
    <w:rsid w:val="006A4828"/>
    <w:pPr>
      <w:jc w:val="right"/>
    </w:pPr>
    <w:rPr>
      <w:color w:val="008000"/>
    </w:rPr>
  </w:style>
  <w:style w:customStyle="1" w:styleId="font5" w:type="paragraph">
    <w:name w:val="font5"/>
    <w:basedOn w:val="a"/>
    <w:rsid w:val="006A4828"/>
    <w:pPr>
      <w:widowControl/>
      <w:spacing w:after="100" w:afterAutospacing="1" w:before="100" w:beforeAutospacing="1"/>
      <w:jc w:val="left"/>
    </w:pPr>
    <w:rPr>
      <w:rFonts w:ascii="宋体" w:cs="Arial Unicode MS" w:hAnsi="宋体" w:hint="eastAsia"/>
      <w:kern w:val="0"/>
      <w:sz w:val="18"/>
      <w:szCs w:val="18"/>
    </w:rPr>
  </w:style>
  <w:style w:customStyle="1" w:styleId="xl24" w:type="paragraph">
    <w:name w:val="xl24"/>
    <w:basedOn w:val="a"/>
    <w:rsid w:val="006A4828"/>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rPr>
  </w:style>
  <w:style w:customStyle="1" w:styleId="xl26" w:type="paragraph">
    <w:name w:val="xl26"/>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7" w:type="paragraph">
    <w:name w:val="xl27"/>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9" w:type="paragraph">
    <w:name w:val="xl29"/>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0" w:type="paragraph">
    <w:name w:val="xl30"/>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1" w:type="paragraph">
    <w:name w:val="xl31"/>
    <w:basedOn w:val="a"/>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d" w:type="paragraph">
    <w:name w:val="Balloon Text"/>
    <w:basedOn w:val="a"/>
    <w:semiHidden/>
    <w:rsid w:val="006A4828"/>
    <w:rPr>
      <w:sz w:val="18"/>
      <w:szCs w:val="18"/>
    </w:rPr>
  </w:style>
  <w:style w:styleId="ae" w:type="character">
    <w:name w:val="annotation reference"/>
    <w:basedOn w:val="a1"/>
    <w:semiHidden/>
    <w:rsid w:val="006A4828"/>
    <w:rPr>
      <w:sz w:val="21"/>
      <w:szCs w:val="21"/>
    </w:rPr>
  </w:style>
  <w:style w:styleId="af" w:type="paragraph">
    <w:name w:val="annotation text"/>
    <w:basedOn w:val="a"/>
    <w:semiHidden/>
    <w:rsid w:val="006A4828"/>
    <w:pPr>
      <w:jc w:val="left"/>
    </w:pPr>
  </w:style>
  <w:style w:styleId="af0" w:type="paragraph">
    <w:name w:val="annotation subject"/>
    <w:basedOn w:val="af"/>
    <w:next w:val="af"/>
    <w:semiHidden/>
    <w:rsid w:val="006A4828"/>
    <w:rPr>
      <w:b/>
      <w:bCs/>
    </w:rPr>
  </w:style>
  <w:style w:customStyle="1" w:styleId="Char2" w:type="paragraph">
    <w:name w:val="Char"/>
    <w:basedOn w:val="a"/>
    <w:rsid w:val="006A4828"/>
  </w:style>
  <w:style w:styleId="af1" w:type="paragraph">
    <w:name w:val="Document Map"/>
    <w:basedOn w:val="a"/>
    <w:semiHidden/>
    <w:rsid w:val="000A549A"/>
    <w:pPr>
      <w:shd w:color="auto" w:fill="000080" w:val="clear"/>
    </w:pPr>
  </w:style>
  <w:style w:styleId="af2" w:type="table">
    <w:name w:val="Table Grid"/>
    <w:basedOn w:val="a2"/>
    <w:qFormat/>
    <w:rsid w:val="009A31AF"/>
    <w:pPr>
      <w:widowControl w:val="0"/>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af3" w:type="paragraph">
    <w:name w:val="footnote text"/>
    <w:basedOn w:val="a"/>
    <w:link w:val="Char3"/>
    <w:rsid w:val="000B251E"/>
    <w:pPr>
      <w:snapToGrid w:val="0"/>
      <w:jc w:val="left"/>
    </w:pPr>
    <w:rPr>
      <w:sz w:val="18"/>
      <w:szCs w:val="18"/>
    </w:rPr>
  </w:style>
  <w:style w:styleId="af4" w:type="character">
    <w:name w:val="footnote reference"/>
    <w:basedOn w:val="a1"/>
    <w:rsid w:val="000B251E"/>
    <w:rPr>
      <w:vertAlign w:val="superscript"/>
    </w:rPr>
  </w:style>
  <w:style w:styleId="af5" w:type="paragraph">
    <w:name w:val="Normal (Web)"/>
    <w:basedOn w:val="a"/>
    <w:rsid w:val="00B25807"/>
    <w:pPr>
      <w:widowControl/>
      <w:spacing w:after="100" w:afterAutospacing="1" w:before="100" w:beforeAutospacing="1"/>
      <w:jc w:val="left"/>
    </w:pPr>
    <w:rPr>
      <w:rFonts w:ascii="宋体" w:hAnsi="宋体"/>
      <w:kern w:val="0"/>
      <w:sz w:val="24"/>
    </w:rPr>
  </w:style>
  <w:style w:customStyle="1" w:styleId="Char4" w:type="paragraph">
    <w:name w:val="Char"/>
    <w:basedOn w:val="a"/>
    <w:rsid w:val="00D97213"/>
  </w:style>
  <w:style w:customStyle="1" w:styleId="5" w:type="numbering">
    <w:name w:val="样式5"/>
    <w:rsid w:val="00952A72"/>
    <w:pPr>
      <w:numPr>
        <w:numId w:val="8"/>
      </w:numPr>
    </w:pPr>
  </w:style>
  <w:style w:customStyle="1" w:styleId="t1" w:type="character">
    <w:name w:val="t1"/>
    <w:basedOn w:val="a1"/>
    <w:rsid w:val="002D2A00"/>
    <w:rPr>
      <w:color w:val="990000"/>
    </w:rPr>
  </w:style>
  <w:style w:customStyle="1" w:styleId="Char" w:type="character">
    <w:name w:val="纯文本 Char"/>
    <w:basedOn w:val="a1"/>
    <w:link w:val="a5"/>
    <w:uiPriority w:val="99"/>
    <w:rsid w:val="009A045B"/>
    <w:rPr>
      <w:rFonts w:ascii="宋体" w:hAnsi="Courier New"/>
      <w:kern w:val="2"/>
      <w:sz w:val="21"/>
      <w:szCs w:val="21"/>
    </w:rPr>
  </w:style>
  <w:style w:customStyle="1" w:styleId="Char3" w:type="character">
    <w:name w:val="脚注文本 Char"/>
    <w:basedOn w:val="a1"/>
    <w:link w:val="af3"/>
    <w:rsid w:val="00CB481C"/>
    <w:rPr>
      <w:kern w:val="2"/>
      <w:sz w:val="18"/>
      <w:szCs w:val="18"/>
    </w:rPr>
  </w:style>
  <w:style w:customStyle="1" w:styleId="Default" w:type="paragraph">
    <w:name w:val="Default"/>
    <w:uiPriority w:val="99"/>
    <w:rsid w:val="00CB481C"/>
    <w:pPr>
      <w:widowControl w:val="0"/>
      <w:autoSpaceDE w:val="0"/>
      <w:autoSpaceDN w:val="0"/>
      <w:adjustRightInd w:val="0"/>
    </w:pPr>
    <w:rPr>
      <w:rFonts w:ascii="FangSong" w:cs="FangSong" w:hAnsi="FangSong"/>
      <w:color w:val="000000"/>
      <w:sz w:val="24"/>
      <w:szCs w:val="24"/>
    </w:rPr>
  </w:style>
  <w:style w:customStyle="1" w:styleId="Char0" w:type="character">
    <w:name w:val="页眉 Char"/>
    <w:basedOn w:val="a1"/>
    <w:link w:val="a9"/>
    <w:uiPriority w:val="99"/>
    <w:rsid w:val="001207F2"/>
    <w:rPr>
      <w:kern w:val="2"/>
      <w:sz w:val="18"/>
      <w:szCs w:val="18"/>
    </w:rPr>
  </w:style>
  <w:style w:customStyle="1" w:styleId="1Char" w:type="character">
    <w:name w:val="标题 1 Char"/>
    <w:basedOn w:val="a1"/>
    <w:link w:val="1"/>
    <w:uiPriority w:val="99"/>
    <w:rsid w:val="00180952"/>
    <w:rPr>
      <w:b/>
      <w:bCs/>
      <w:kern w:val="44"/>
      <w:sz w:val="44"/>
      <w:szCs w:val="44"/>
    </w:rPr>
  </w:style>
  <w:style w:customStyle="1" w:styleId="Char1" w:type="character">
    <w:name w:val="日期 Char"/>
    <w:basedOn w:val="a1"/>
    <w:link w:val="ac"/>
    <w:uiPriority w:val="99"/>
    <w:rsid w:val="00D66685"/>
    <w:rPr>
      <w:kern w:val="2"/>
      <w:sz w:val="24"/>
    </w:rPr>
  </w:style>
  <w:style w:styleId="af6" w:type="character">
    <w:name w:val="Strong"/>
    <w:basedOn w:val="a1"/>
    <w:uiPriority w:val="22"/>
    <w:qFormat/>
    <w:rsid w:val="00FE0C8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a0">
    <w:name w:val="5"/>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032286">
      <w:bodyDiv w:val="1"/>
      <w:marLeft w:val="0"/>
      <w:marRight w:val="0"/>
      <w:marTop w:val="0"/>
      <w:marBottom w:val="0"/>
      <w:divBdr>
        <w:top w:val="none" w:sz="0" w:space="0" w:color="auto"/>
        <w:left w:val="none" w:sz="0" w:space="0" w:color="auto"/>
        <w:bottom w:val="none" w:sz="0" w:space="0" w:color="auto"/>
        <w:right w:val="none" w:sz="0" w:space="0" w:color="auto"/>
      </w:divBdr>
    </w:div>
    <w:div w:id="269166985">
      <w:bodyDiv w:val="1"/>
      <w:marLeft w:val="0"/>
      <w:marRight w:val="0"/>
      <w:marTop w:val="0"/>
      <w:marBottom w:val="0"/>
      <w:divBdr>
        <w:top w:val="none" w:sz="0" w:space="0" w:color="auto"/>
        <w:left w:val="none" w:sz="0" w:space="0" w:color="auto"/>
        <w:bottom w:val="none" w:sz="0" w:space="0" w:color="auto"/>
        <w:right w:val="none" w:sz="0" w:space="0" w:color="auto"/>
      </w:divBdr>
    </w:div>
    <w:div w:id="275908062">
      <w:bodyDiv w:val="1"/>
      <w:marLeft w:val="0"/>
      <w:marRight w:val="0"/>
      <w:marTop w:val="0"/>
      <w:marBottom w:val="0"/>
      <w:divBdr>
        <w:top w:val="none" w:sz="0" w:space="0" w:color="auto"/>
        <w:left w:val="none" w:sz="0" w:space="0" w:color="auto"/>
        <w:bottom w:val="none" w:sz="0" w:space="0" w:color="auto"/>
        <w:right w:val="none" w:sz="0" w:space="0" w:color="auto"/>
      </w:divBdr>
    </w:div>
    <w:div w:id="462040351">
      <w:bodyDiv w:val="1"/>
      <w:marLeft w:val="0"/>
      <w:marRight w:val="0"/>
      <w:marTop w:val="0"/>
      <w:marBottom w:val="0"/>
      <w:divBdr>
        <w:top w:val="none" w:sz="0" w:space="0" w:color="auto"/>
        <w:left w:val="none" w:sz="0" w:space="0" w:color="auto"/>
        <w:bottom w:val="none" w:sz="0" w:space="0" w:color="auto"/>
        <w:right w:val="none" w:sz="0" w:space="0" w:color="auto"/>
      </w:divBdr>
    </w:div>
    <w:div w:id="515924504">
      <w:bodyDiv w:val="1"/>
      <w:marLeft w:val="0"/>
      <w:marRight w:val="0"/>
      <w:marTop w:val="0"/>
      <w:marBottom w:val="0"/>
      <w:divBdr>
        <w:top w:val="none" w:sz="0" w:space="0" w:color="auto"/>
        <w:left w:val="none" w:sz="0" w:space="0" w:color="auto"/>
        <w:bottom w:val="none" w:sz="0" w:space="0" w:color="auto"/>
        <w:right w:val="none" w:sz="0" w:space="0" w:color="auto"/>
      </w:divBdr>
    </w:div>
    <w:div w:id="713970738">
      <w:bodyDiv w:val="1"/>
      <w:marLeft w:val="0"/>
      <w:marRight w:val="0"/>
      <w:marTop w:val="0"/>
      <w:marBottom w:val="0"/>
      <w:divBdr>
        <w:top w:val="none" w:sz="0" w:space="0" w:color="auto"/>
        <w:left w:val="none" w:sz="0" w:space="0" w:color="auto"/>
        <w:bottom w:val="none" w:sz="0" w:space="0" w:color="auto"/>
        <w:right w:val="none" w:sz="0" w:space="0" w:color="auto"/>
      </w:divBdr>
    </w:div>
    <w:div w:id="718362652">
      <w:bodyDiv w:val="1"/>
      <w:marLeft w:val="0"/>
      <w:marRight w:val="0"/>
      <w:marTop w:val="0"/>
      <w:marBottom w:val="0"/>
      <w:divBdr>
        <w:top w:val="none" w:sz="0" w:space="0" w:color="auto"/>
        <w:left w:val="none" w:sz="0" w:space="0" w:color="auto"/>
        <w:bottom w:val="none" w:sz="0" w:space="0" w:color="auto"/>
        <w:right w:val="none" w:sz="0" w:space="0" w:color="auto"/>
      </w:divBdr>
    </w:div>
    <w:div w:id="1042290413">
      <w:bodyDiv w:val="1"/>
      <w:marLeft w:val="0"/>
      <w:marRight w:val="0"/>
      <w:marTop w:val="0"/>
      <w:marBottom w:val="0"/>
      <w:divBdr>
        <w:top w:val="none" w:sz="0" w:space="0" w:color="auto"/>
        <w:left w:val="none" w:sz="0" w:space="0" w:color="auto"/>
        <w:bottom w:val="none" w:sz="0" w:space="0" w:color="auto"/>
        <w:right w:val="none" w:sz="0" w:space="0" w:color="auto"/>
      </w:divBdr>
    </w:div>
    <w:div w:id="1165123828">
      <w:bodyDiv w:val="1"/>
      <w:marLeft w:val="0"/>
      <w:marRight w:val="0"/>
      <w:marTop w:val="0"/>
      <w:marBottom w:val="0"/>
      <w:divBdr>
        <w:top w:val="none" w:sz="0" w:space="0" w:color="auto"/>
        <w:left w:val="none" w:sz="0" w:space="0" w:color="auto"/>
        <w:bottom w:val="none" w:sz="0" w:space="0" w:color="auto"/>
        <w:right w:val="none" w:sz="0" w:space="0" w:color="auto"/>
      </w:divBdr>
    </w:div>
    <w:div w:id="1197889010">
      <w:bodyDiv w:val="1"/>
      <w:marLeft w:val="0"/>
      <w:marRight w:val="0"/>
      <w:marTop w:val="0"/>
      <w:marBottom w:val="0"/>
      <w:divBdr>
        <w:top w:val="none" w:sz="0" w:space="0" w:color="auto"/>
        <w:left w:val="none" w:sz="0" w:space="0" w:color="auto"/>
        <w:bottom w:val="none" w:sz="0" w:space="0" w:color="auto"/>
        <w:right w:val="none" w:sz="0" w:space="0" w:color="auto"/>
      </w:divBdr>
    </w:div>
    <w:div w:id="1311058596">
      <w:bodyDiv w:val="1"/>
      <w:marLeft w:val="0"/>
      <w:marRight w:val="0"/>
      <w:marTop w:val="0"/>
      <w:marBottom w:val="0"/>
      <w:divBdr>
        <w:top w:val="none" w:sz="0" w:space="0" w:color="auto"/>
        <w:left w:val="none" w:sz="0" w:space="0" w:color="auto"/>
        <w:bottom w:val="none" w:sz="0" w:space="0" w:color="auto"/>
        <w:right w:val="none" w:sz="0" w:space="0" w:color="auto"/>
      </w:divBdr>
    </w:div>
    <w:div w:id="1373310577">
      <w:bodyDiv w:val="1"/>
      <w:marLeft w:val="0"/>
      <w:marRight w:val="0"/>
      <w:marTop w:val="0"/>
      <w:marBottom w:val="0"/>
      <w:divBdr>
        <w:top w:val="none" w:sz="0" w:space="0" w:color="auto"/>
        <w:left w:val="none" w:sz="0" w:space="0" w:color="auto"/>
        <w:bottom w:val="none" w:sz="0" w:space="0" w:color="auto"/>
        <w:right w:val="none" w:sz="0" w:space="0" w:color="auto"/>
      </w:divBdr>
    </w:div>
    <w:div w:id="1391732465">
      <w:bodyDiv w:val="1"/>
      <w:marLeft w:val="0"/>
      <w:marRight w:val="0"/>
      <w:marTop w:val="0"/>
      <w:marBottom w:val="0"/>
      <w:divBdr>
        <w:top w:val="none" w:sz="0" w:space="0" w:color="auto"/>
        <w:left w:val="none" w:sz="0" w:space="0" w:color="auto"/>
        <w:bottom w:val="none" w:sz="0" w:space="0" w:color="auto"/>
        <w:right w:val="none" w:sz="0" w:space="0" w:color="auto"/>
      </w:divBdr>
    </w:div>
    <w:div w:id="1415663530">
      <w:bodyDiv w:val="1"/>
      <w:marLeft w:val="0"/>
      <w:marRight w:val="0"/>
      <w:marTop w:val="0"/>
      <w:marBottom w:val="0"/>
      <w:divBdr>
        <w:top w:val="none" w:sz="0" w:space="0" w:color="auto"/>
        <w:left w:val="none" w:sz="0" w:space="0" w:color="auto"/>
        <w:bottom w:val="none" w:sz="0" w:space="0" w:color="auto"/>
        <w:right w:val="none" w:sz="0" w:space="0" w:color="auto"/>
      </w:divBdr>
    </w:div>
    <w:div w:id="1541361230">
      <w:bodyDiv w:val="1"/>
      <w:marLeft w:val="0"/>
      <w:marRight w:val="0"/>
      <w:marTop w:val="0"/>
      <w:marBottom w:val="0"/>
      <w:divBdr>
        <w:top w:val="none" w:sz="0" w:space="0" w:color="auto"/>
        <w:left w:val="none" w:sz="0" w:space="0" w:color="auto"/>
        <w:bottom w:val="none" w:sz="0" w:space="0" w:color="auto"/>
        <w:right w:val="none" w:sz="0" w:space="0" w:color="auto"/>
      </w:divBdr>
    </w:div>
    <w:div w:id="1736662881">
      <w:bodyDiv w:val="1"/>
      <w:marLeft w:val="0"/>
      <w:marRight w:val="0"/>
      <w:marTop w:val="0"/>
      <w:marBottom w:val="0"/>
      <w:divBdr>
        <w:top w:val="none" w:sz="0" w:space="0" w:color="auto"/>
        <w:left w:val="none" w:sz="0" w:space="0" w:color="auto"/>
        <w:bottom w:val="none" w:sz="0" w:space="0" w:color="auto"/>
        <w:right w:val="none" w:sz="0" w:space="0" w:color="auto"/>
      </w:divBdr>
    </w:div>
    <w:div w:id="1887255298">
      <w:bodyDiv w:val="1"/>
      <w:marLeft w:val="0"/>
      <w:marRight w:val="0"/>
      <w:marTop w:val="0"/>
      <w:marBottom w:val="0"/>
      <w:divBdr>
        <w:top w:val="none" w:sz="0" w:space="0" w:color="auto"/>
        <w:left w:val="none" w:sz="0" w:space="0" w:color="auto"/>
        <w:bottom w:val="none" w:sz="0" w:space="0" w:color="auto"/>
        <w:right w:val="none" w:sz="0" w:space="0" w:color="auto"/>
      </w:divBdr>
    </w:div>
    <w:div w:id="1912079058">
      <w:bodyDiv w:val="1"/>
      <w:marLeft w:val="0"/>
      <w:marRight w:val="0"/>
      <w:marTop w:val="0"/>
      <w:marBottom w:val="0"/>
      <w:divBdr>
        <w:top w:val="none" w:sz="0" w:space="0" w:color="auto"/>
        <w:left w:val="none" w:sz="0" w:space="0" w:color="auto"/>
        <w:bottom w:val="none" w:sz="0" w:space="0" w:color="auto"/>
        <w:right w:val="none" w:sz="0" w:space="0" w:color="auto"/>
      </w:divBdr>
    </w:div>
    <w:div w:id="2025472779">
      <w:bodyDiv w:val="1"/>
      <w:marLeft w:val="0"/>
      <w:marRight w:val="0"/>
      <w:marTop w:val="0"/>
      <w:marBottom w:val="0"/>
      <w:divBdr>
        <w:top w:val="none" w:sz="0" w:space="0" w:color="auto"/>
        <w:left w:val="none" w:sz="0" w:space="0" w:color="auto"/>
        <w:bottom w:val="none" w:sz="0" w:space="0" w:color="auto"/>
        <w:right w:val="none" w:sz="0" w:space="0" w:color="auto"/>
      </w:divBdr>
    </w:div>
    <w:div w:id="2049840325">
      <w:bodyDiv w:val="1"/>
      <w:marLeft w:val="0"/>
      <w:marRight w:val="0"/>
      <w:marTop w:val="0"/>
      <w:marBottom w:val="0"/>
      <w:divBdr>
        <w:top w:val="none" w:sz="0" w:space="0" w:color="auto"/>
        <w:left w:val="none" w:sz="0" w:space="0" w:color="auto"/>
        <w:bottom w:val="none" w:sz="0" w:space="0" w:color="auto"/>
        <w:right w:val="none" w:sz="0" w:space="0" w:color="auto"/>
      </w:divBdr>
    </w:div>
    <w:div w:id="2106463434">
      <w:bodyDiv w:val="1"/>
      <w:marLeft w:val="0"/>
      <w:marRight w:val="0"/>
      <w:marTop w:val="0"/>
      <w:marBottom w:val="0"/>
      <w:divBdr>
        <w:top w:val="none" w:sz="0" w:space="0" w:color="auto"/>
        <w:left w:val="none" w:sz="0" w:space="0" w:color="auto"/>
        <w:bottom w:val="none" w:sz="0" w:space="0" w:color="auto"/>
        <w:right w:val="none" w:sz="0" w:space="0" w:color="auto"/>
      </w:divBdr>
    </w:div>
    <w:div w:id="2127237140">
      <w:bodyDiv w:val="1"/>
      <w:marLeft w:val="150"/>
      <w:marRight w:val="150"/>
      <w:marTop w:val="150"/>
      <w:marBottom w:val="150"/>
      <w:divBdr>
        <w:top w:val="none" w:sz="0" w:space="0" w:color="auto"/>
        <w:left w:val="none" w:sz="0" w:space="0" w:color="auto"/>
        <w:bottom w:val="none" w:sz="0" w:space="0" w:color="auto"/>
        <w:right w:val="none" w:sz="0" w:space="0" w:color="auto"/>
      </w:divBdr>
      <w:divsChild>
        <w:div w:id="16466208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media/image2.jpeg" Type="http://schemas.openxmlformats.org/officeDocument/2006/relationships/image"/>
<Relationship Id="rId13" Target="footer2.xml" Type="http://schemas.openxmlformats.org/officeDocument/2006/relationships/footer"/>
<Relationship Id="rId14" Target="footer3.xml" Type="http://schemas.openxmlformats.org/officeDocument/2006/relationships/footer"/>
<Relationship Id="rId15" Target="fontTable.xml" Type="http://schemas.openxmlformats.org/officeDocument/2006/relationships/fontTable"/>
<Relationship Id="rId16"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_rels/settings.xml.rels><?xml version="1.0" encoding="UTF-8" standalone="no"?>
<Relationships xmlns="http://schemas.openxmlformats.org/package/2006/relationships">
<Relationship Id="rId1" Target="file:///C:/Users/Administrator/Desktop/abc&#23395;&#25253;.dot" TargetMode="External" Type="http://schemas.openxmlformats.org/officeDocument/2006/relationships/attachedTemplat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67A78F-54B7-45A2-9BB7-D03F314BD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abc季报.dot</Template>
  <TotalTime>71</TotalTime>
  <Pages>30</Pages>
  <Words>4542</Words>
  <Characters>25891</Characters>
  <Application>Microsoft Office Word</Application>
  <DocSecurity>0</DocSecurity>
  <Lines>215</Lines>
  <Paragraphs>60</Paragraphs>
  <ScaleCrop>false</ScaleCrop>
  <Company>TRT. Ltd. Co.</Company>
  <LinksUpToDate>false</LinksUpToDate>
  <CharactersWithSpaces>30373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2014-12-16T08:49:00Z</dcterms:created>
  <dc:creator>bonnieliu</dc:creator>
  <cp:lastModifiedBy>sirong han</cp:lastModifiedBy>
  <cp:lastPrinted>2007-07-19T00:46:00Z</cp:lastPrinted>
  <dcterms:modified xsi:type="dcterms:W3CDTF">2020-07-09T03:00:00Z</dcterms:modified>
  <cp:revision>54</cp:revision>
</cp:coreProperties>
</file>