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易方达资源行业混合型证券投资基金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易方达资源行业混合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110025</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110025</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2011年8月16日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546,418,068.71</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本基金主要投资资源行业股票，在严格控制风险的前提下，追求超越业绩比较基准的投资回报。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将根据对资源行业各细分子行业的综合分析，确定各细分子行业的资产配置比例。在各细分子行业中，本基金将选择具有较强竞争优势且估值具有吸引力的上市公司进行投资。当各细分子行业与上市公司的基本面、股票的估值水平出现较大变化时，本基金将对股票组合适时进行调整。</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中证内地资源主题指数收益率×80%+中债总指数收益率×20%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本基金为混合基金，理论上其风险收益水平高于债券基金和货币市场基金，低于股票基金。同时，本基金为行业基金，在享受资源行业收益的同时，也必须承担影响资源行业的因素带来的风险。</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-8,374,132.25</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43,844,424.42</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0.0799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448,903,068.98</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0.822</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11.68%</w:t>
            </w:r>
          </w:p>
        </w:tc>
        <w:tc>
          <w:tcPr>
            <w:vAlign w:val="center"/>
          </w:tcPr>
          <w:p>
            <w:pPr>
              <w:jc w:val="center"/>
            </w:pPr>
            <w:r>
              <w:rPr>
                <w:color w:val="000000"/>
                <w:kern w:val="0"/>
                <w:sz w:val="24"/>
                <w:szCs w:val="24"/>
              </w:rPr>
              <w:t>1.20%</w:t>
            </w:r>
          </w:p>
        </w:tc>
        <w:tc>
          <w:tcPr>
            <w:vAlign w:val="center"/>
          </w:tcPr>
          <w:p>
            <w:pPr>
              <w:jc w:val="center"/>
            </w:pPr>
            <w:r>
              <w:rPr>
                <w:color w:val="000000"/>
                <w:kern w:val="0"/>
                <w:sz w:val="24"/>
                <w:szCs w:val="24"/>
              </w:rPr>
              <w:t>2.04%</w:t>
            </w:r>
          </w:p>
        </w:tc>
        <w:tc>
          <w:tcPr>
            <w:vAlign w:val="center"/>
          </w:tcPr>
          <w:p>
            <w:pPr>
              <w:jc w:val="center"/>
            </w:pPr>
            <w:r>
              <w:rPr>
                <w:color w:val="000000"/>
                <w:kern w:val="0"/>
                <w:sz w:val="24"/>
                <w:szCs w:val="24"/>
              </w:rPr>
              <w:t>0.88%</w:t>
            </w:r>
          </w:p>
        </w:tc>
        <w:tc>
          <w:tcPr>
            <w:vAlign w:val="center"/>
          </w:tcPr>
          <w:p>
            <w:pPr>
              <w:jc w:val="center"/>
            </w:pPr>
            <w:r>
              <w:rPr>
                <w:color w:val="000000"/>
                <w:kern w:val="0"/>
                <w:sz w:val="24"/>
                <w:szCs w:val="24"/>
              </w:rPr>
              <w:t>9.64%</w:t>
            </w:r>
          </w:p>
        </w:tc>
        <w:tc>
          <w:tcPr>
            <w:vAlign w:val="center"/>
          </w:tcPr>
          <w:p>
            <w:pPr>
              <w:jc w:val="center"/>
            </w:pPr>
            <w:r>
              <w:rPr>
                <w:color w:val="000000"/>
                <w:kern w:val="0"/>
                <w:sz w:val="24"/>
                <w:szCs w:val="24"/>
              </w:rPr>
              <w:t>0.32%</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-4.08%</w:t>
            </w:r>
          </w:p>
        </w:tc>
        <w:tc>
          <w:tcPr>
            <w:vAlign w:val="center"/>
          </w:tcPr>
          <w:p>
            <w:pPr>
              <w:jc w:val="center"/>
            </w:pPr>
            <w:r>
              <w:rPr>
                <w:color w:val="000000"/>
                <w:kern w:val="0"/>
                <w:sz w:val="24"/>
                <w:szCs w:val="24"/>
              </w:rPr>
              <w:t>1.83%</w:t>
            </w:r>
          </w:p>
        </w:tc>
        <w:tc>
          <w:tcPr>
            <w:vAlign w:val="center"/>
          </w:tcPr>
          <w:p>
            <w:pPr>
              <w:jc w:val="center"/>
            </w:pPr>
            <w:r>
              <w:rPr>
                <w:color w:val="000000"/>
                <w:kern w:val="0"/>
                <w:sz w:val="24"/>
                <w:szCs w:val="24"/>
              </w:rPr>
              <w:t>-10.69%</w:t>
            </w:r>
          </w:p>
        </w:tc>
        <w:tc>
          <w:tcPr>
            <w:vAlign w:val="center"/>
          </w:tcPr>
          <w:p>
            <w:pPr>
              <w:jc w:val="center"/>
            </w:pPr>
            <w:r>
              <w:rPr>
                <w:color w:val="000000"/>
                <w:kern w:val="0"/>
                <w:sz w:val="24"/>
                <w:szCs w:val="24"/>
              </w:rPr>
              <w:t>1.32%</w:t>
            </w:r>
          </w:p>
        </w:tc>
        <w:tc>
          <w:tcPr>
            <w:vAlign w:val="center"/>
          </w:tcPr>
          <w:p>
            <w:pPr>
              <w:jc w:val="center"/>
            </w:pPr>
            <w:r>
              <w:rPr>
                <w:color w:val="000000"/>
                <w:kern w:val="0"/>
                <w:sz w:val="24"/>
                <w:szCs w:val="24"/>
              </w:rPr>
              <w:t>6.61%</w:t>
            </w:r>
          </w:p>
        </w:tc>
        <w:tc>
          <w:tcPr>
            <w:vAlign w:val="center"/>
          </w:tcPr>
          <w:p>
            <w:pPr>
              <w:jc w:val="center"/>
            </w:pPr>
            <w:r>
              <w:rPr>
                <w:color w:val="000000"/>
                <w:kern w:val="0"/>
                <w:sz w:val="24"/>
                <w:szCs w:val="24"/>
              </w:rPr>
              <w:t>0.51%</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0.12%</w:t>
            </w:r>
          </w:p>
        </w:tc>
        <w:tc>
          <w:tcPr>
            <w:vAlign w:val="center"/>
          </w:tcPr>
          <w:p>
            <w:pPr>
              <w:jc w:val="center"/>
            </w:pPr>
            <w:r>
              <w:rPr>
                <w:color w:val="000000"/>
                <w:kern w:val="0"/>
                <w:sz w:val="24"/>
                <w:szCs w:val="24"/>
              </w:rPr>
              <w:t>1.51%</w:t>
            </w:r>
          </w:p>
        </w:tc>
        <w:tc>
          <w:tcPr>
            <w:vAlign w:val="center"/>
          </w:tcPr>
          <w:p>
            <w:pPr>
              <w:jc w:val="center"/>
            </w:pPr>
            <w:r>
              <w:rPr>
                <w:color w:val="000000"/>
                <w:kern w:val="0"/>
                <w:sz w:val="24"/>
                <w:szCs w:val="24"/>
              </w:rPr>
              <w:t>-10.26%</w:t>
            </w:r>
          </w:p>
        </w:tc>
        <w:tc>
          <w:tcPr>
            <w:vAlign w:val="center"/>
          </w:tcPr>
          <w:p>
            <w:pPr>
              <w:jc w:val="center"/>
            </w:pPr>
            <w:r>
              <w:rPr>
                <w:color w:val="000000"/>
                <w:kern w:val="0"/>
                <w:sz w:val="24"/>
                <w:szCs w:val="24"/>
              </w:rPr>
              <w:t>1.07%</w:t>
            </w:r>
          </w:p>
        </w:tc>
        <w:tc>
          <w:tcPr>
            <w:vAlign w:val="center"/>
          </w:tcPr>
          <w:p>
            <w:pPr>
              <w:jc w:val="center"/>
            </w:pPr>
            <w:r>
              <w:rPr>
                <w:color w:val="000000"/>
                <w:kern w:val="0"/>
                <w:sz w:val="24"/>
                <w:szCs w:val="24"/>
              </w:rPr>
              <w:t>10.38%</w:t>
            </w:r>
          </w:p>
        </w:tc>
        <w:tc>
          <w:tcPr>
            <w:vAlign w:val="center"/>
          </w:tcPr>
          <w:p>
            <w:pPr>
              <w:jc w:val="center"/>
            </w:pPr>
            <w:r>
              <w:rPr>
                <w:color w:val="000000"/>
                <w:kern w:val="0"/>
                <w:sz w:val="24"/>
                <w:szCs w:val="24"/>
              </w:rPr>
              <w:t>0.44%</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-16.89%</w:t>
            </w:r>
          </w:p>
        </w:tc>
        <w:tc>
          <w:tcPr>
            <w:vAlign w:val="center"/>
          </w:tcPr>
          <w:p>
            <w:pPr>
              <w:jc w:val="center"/>
            </w:pPr>
            <w:r>
              <w:rPr>
                <w:color w:val="000000"/>
                <w:kern w:val="0"/>
                <w:sz w:val="24"/>
                <w:szCs w:val="24"/>
              </w:rPr>
              <w:t>1.46%</w:t>
            </w:r>
          </w:p>
        </w:tc>
        <w:tc>
          <w:tcPr>
            <w:vAlign w:val="center"/>
          </w:tcPr>
          <w:p>
            <w:pPr>
              <w:jc w:val="center"/>
            </w:pPr>
            <w:r>
              <w:rPr>
                <w:color w:val="000000"/>
                <w:kern w:val="0"/>
                <w:sz w:val="24"/>
                <w:szCs w:val="24"/>
              </w:rPr>
              <w:t>-17.89%</w:t>
            </w:r>
          </w:p>
        </w:tc>
        <w:tc>
          <w:tcPr>
            <w:vAlign w:val="center"/>
          </w:tcPr>
          <w:p>
            <w:pPr>
              <w:jc w:val="center"/>
            </w:pPr>
            <w:r>
              <w:rPr>
                <w:color w:val="000000"/>
                <w:kern w:val="0"/>
                <w:sz w:val="24"/>
                <w:szCs w:val="24"/>
              </w:rPr>
              <w:t>1.15%</w:t>
            </w:r>
          </w:p>
        </w:tc>
        <w:tc>
          <w:tcPr>
            <w:vAlign w:val="center"/>
          </w:tcPr>
          <w:p>
            <w:pPr>
              <w:jc w:val="center"/>
            </w:pPr>
            <w:r>
              <w:rPr>
                <w:color w:val="000000"/>
                <w:kern w:val="0"/>
                <w:sz w:val="24"/>
                <w:szCs w:val="24"/>
              </w:rPr>
              <w:t>1.00%</w:t>
            </w:r>
          </w:p>
        </w:tc>
        <w:tc>
          <w:tcPr>
            <w:vAlign w:val="center"/>
          </w:tcPr>
          <w:p>
            <w:pPr>
              <w:jc w:val="center"/>
            </w:pPr>
            <w:r>
              <w:rPr>
                <w:color w:val="000000"/>
                <w:kern w:val="0"/>
                <w:sz w:val="24"/>
                <w:szCs w:val="24"/>
              </w:rPr>
              <w:t>0.31%</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-21.11%</w:t>
            </w:r>
          </w:p>
        </w:tc>
        <w:tc>
          <w:tcPr>
            <w:vAlign w:val="center"/>
          </w:tcPr>
          <w:p>
            <w:pPr>
              <w:jc w:val="center"/>
            </w:pPr>
            <w:r>
              <w:rPr>
                <w:color w:val="000000"/>
                <w:kern w:val="0"/>
                <w:sz w:val="24"/>
                <w:szCs w:val="24"/>
              </w:rPr>
              <w:t>1.86%</w:t>
            </w:r>
          </w:p>
        </w:tc>
        <w:tc>
          <w:tcPr>
            <w:vAlign w:val="center"/>
          </w:tcPr>
          <w:p>
            <w:pPr>
              <w:jc w:val="center"/>
            </w:pPr>
            <w:r>
              <w:rPr>
                <w:color w:val="000000"/>
                <w:kern w:val="0"/>
                <w:sz w:val="24"/>
                <w:szCs w:val="24"/>
              </w:rPr>
              <w:t>-34.77%</w:t>
            </w:r>
          </w:p>
        </w:tc>
        <w:tc>
          <w:tcPr>
            <w:vAlign w:val="center"/>
          </w:tcPr>
          <w:p>
            <w:pPr>
              <w:jc w:val="center"/>
            </w:pPr>
            <w:r>
              <w:rPr>
                <w:color w:val="000000"/>
                <w:kern w:val="0"/>
                <w:sz w:val="24"/>
                <w:szCs w:val="24"/>
              </w:rPr>
              <w:t>1.38%</w:t>
            </w:r>
          </w:p>
        </w:tc>
        <w:tc>
          <w:tcPr>
            <w:vAlign w:val="center"/>
          </w:tcPr>
          <w:p>
            <w:pPr>
              <w:jc w:val="center"/>
            </w:pPr>
            <w:r>
              <w:rPr>
                <w:color w:val="000000"/>
                <w:kern w:val="0"/>
                <w:sz w:val="24"/>
                <w:szCs w:val="24"/>
              </w:rPr>
              <w:t>13.66%</w:t>
            </w:r>
          </w:p>
        </w:tc>
        <w:tc>
          <w:tcPr>
            <w:vAlign w:val="center"/>
          </w:tcPr>
          <w:p>
            <w:pPr>
              <w:jc w:val="center"/>
            </w:pPr>
            <w:r>
              <w:rPr>
                <w:color w:val="000000"/>
                <w:kern w:val="0"/>
                <w:sz w:val="24"/>
                <w:szCs w:val="24"/>
              </w:rPr>
              <w:t>0.48%</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-17.80%</w:t>
            </w:r>
          </w:p>
        </w:tc>
        <w:tc>
          <w:tcPr>
            <w:vAlign w:val="center"/>
          </w:tcPr>
          <w:p>
            <w:pPr>
              <w:jc w:val="center"/>
            </w:pPr>
            <w:r>
              <w:rPr>
                <w:color w:val="000000"/>
                <w:kern w:val="0"/>
                <w:sz w:val="24"/>
                <w:szCs w:val="24"/>
              </w:rPr>
              <w:t>1.65%</w:t>
            </w:r>
          </w:p>
        </w:tc>
        <w:tc>
          <w:tcPr>
            <w:vAlign w:val="center"/>
          </w:tcPr>
          <w:p>
            <w:pPr>
              <w:jc w:val="center"/>
            </w:pPr>
            <w:r>
              <w:rPr>
                <w:color w:val="000000"/>
                <w:kern w:val="0"/>
                <w:sz w:val="24"/>
                <w:szCs w:val="24"/>
              </w:rPr>
              <w:t>-46.46%</w:t>
            </w:r>
          </w:p>
        </w:tc>
        <w:tc>
          <w:tcPr>
            <w:vAlign w:val="center"/>
          </w:tcPr>
          <w:p>
            <w:pPr>
              <w:jc w:val="center"/>
            </w:pPr>
            <w:r>
              <w:rPr>
                <w:color w:val="000000"/>
                <w:kern w:val="0"/>
                <w:sz w:val="24"/>
                <w:szCs w:val="24"/>
              </w:rPr>
              <w:t>1.39%</w:t>
            </w:r>
          </w:p>
        </w:tc>
        <w:tc>
          <w:tcPr>
            <w:vAlign w:val="center"/>
          </w:tcPr>
          <w:p>
            <w:pPr>
              <w:jc w:val="center"/>
            </w:pPr>
            <w:r>
              <w:rPr>
                <w:color w:val="000000"/>
                <w:kern w:val="0"/>
                <w:sz w:val="24"/>
                <w:szCs w:val="24"/>
              </w:rPr>
              <w:t>28.66%</w:t>
            </w:r>
          </w:p>
        </w:tc>
        <w:tc>
          <w:tcPr>
            <w:vAlign w:val="center"/>
          </w:tcPr>
          <w:p>
            <w:pPr>
              <w:jc w:val="center"/>
            </w:pPr>
            <w:r>
              <w:rPr>
                <w:color w:val="000000"/>
                <w:kern w:val="0"/>
                <w:sz w:val="24"/>
                <w:szCs w:val="24"/>
              </w:rPr>
              <w:t>0.26%</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易方达资源行业混合型证券投资基金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2011年8月16日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注：自基金合同生效至报告期末，基金份额净值增长率为-17.80%，同期业绩比较基准收益率为-46.46%。</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兰传杰</w:t>
            </w:r>
          </w:p>
        </w:tc>
        <w:tc>
          <w:tcPr>
            <w:vAlign w:val="center"/>
          </w:tcPr>
          <w:p>
            <w:pPr>
              <w:jc w:val="left"/>
            </w:pPr>
            <w:r>
              <w:rPr>
                <w:color w:val="000000"/>
                <w:sz w:val="24"/>
              </w:rPr>
              <w:t>本基金的基金经理、易方达供给改革灵活配置混合型证券投资基金的基金经理、宏观策略研究员</w:t>
            </w:r>
          </w:p>
        </w:tc>
        <w:tc>
          <w:tcPr>
            <w:vAlign w:val="center"/>
          </w:tcPr>
          <w:p>
            <w:pPr>
              <w:jc w:val="center"/>
            </w:pPr>
            <w:r>
              <w:rPr>
                <w:color w:val="000000"/>
                <w:sz w:val="24"/>
              </w:rPr>
              <w:t>2018-12-26</w:t>
            </w:r>
          </w:p>
        </w:tc>
        <w:tc>
          <w:tcPr>
            <w:vAlign w:val="center"/>
          </w:tcPr>
          <w:p>
            <w:pPr>
              <w:jc w:val="center"/>
            </w:pPr>
            <w:r>
              <w:rPr>
                <w:color w:val="000000"/>
                <w:sz w:val="24"/>
              </w:rPr>
              <w:t>-</w:t>
            </w:r>
          </w:p>
        </w:tc>
        <w:tc>
          <w:tcPr>
            <w:vAlign w:val="center"/>
          </w:tcPr>
          <w:p>
            <w:pPr>
              <w:jc w:val="center"/>
            </w:pPr>
            <w:r>
              <w:rPr>
                <w:color w:val="000000"/>
                <w:sz w:val="24"/>
              </w:rPr>
              <w:t>7年</w:t>
            </w:r>
          </w:p>
        </w:tc>
        <w:tc>
          <w:tcPr>
            <w:vAlign w:val="center"/>
          </w:tcPr>
          <w:p>
            <w:pPr>
              <w:jc w:val="both"/>
            </w:pPr>
            <w:r>
              <w:rPr>
                <w:color w:val="000000"/>
                <w:sz w:val="24"/>
              </w:rPr>
              <w:t>硕士研究生，具有基金从业资格。曾任北京市星石投资管理有限公司周期投资部研究员。</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市场呈现反弹趋势，上证指数上涨8.52%，深证成指上涨20.38%，中小板指上涨23.24%，创业板指数上涨30.25%。二季度市场上涨主要源于以下几个方面原因：第一，国内疫情基本得到控制，复工顺利推进，经济数据恢复良好；第二，海外货币政策大幅宽松，出现经济危机的可能性降低，风险偏好修复，外资持续流入A股；第三，国内出台系列稳增长政策的同时保持定力，推动经济结构性改革。在上述因素作用下，报告期内A股中消费、医药、科技板块表现良好。虽然国内经济数据恢复情况不错，但市场对于经济中长期的趋势仍有疑虑，因而资源行业股票表现较为落后。</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本基金坚持在控制与基准偏离度的情况下，精选估值合理、价值有增长潜力的个股为投资理念，二季度继续重点持有新材料、黄金等资源行业股票。</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截至报告期末，本基金份额净值为0.822元，本报告期份额净值增长率为11.68%，同期业绩比较基准收益率为2.04%。</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409,155,925.27</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88.99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409,155,925.27</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88.99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47,782,005.78</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10.39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2,837,951.44</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0.62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459,775,882.49</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130,161,717.75</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29.00</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256,102,709.08</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57.05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4,779,144.70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5,593,327.12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8,350,138.17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1.86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179,547.13</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3,976,575.00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0.89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409,155,925.27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91.15</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603799</w:t>
            </w:r>
          </w:p>
        </w:tc>
        <w:tc>
          <w:tcPr>
            <w:vAlign w:val="center"/>
          </w:tcPr>
          <w:p>
            <w:pPr>
              <w:jc w:val="center"/>
            </w:pPr>
            <w:r>
              <w:rPr>
                <w:color w:val="000000"/>
                <w:kern w:val="0"/>
                <w:sz w:val="24"/>
                <w:szCs w:val="24"/>
              </w:rPr>
              <w:t>华友钴业</w:t>
            </w:r>
          </w:p>
        </w:tc>
        <w:tc>
          <w:tcPr>
            <w:vAlign w:val="center"/>
          </w:tcPr>
          <w:p>
            <w:pPr>
              <w:jc w:val="right"/>
            </w:pPr>
            <w:r>
              <w:rPr>
                <w:color w:val="000000"/>
                <w:kern w:val="0"/>
                <w:sz w:val="24"/>
                <w:szCs w:val="24"/>
              </w:rPr>
              <w:t>1,128,832</w:t>
            </w:r>
          </w:p>
        </w:tc>
        <w:tc>
          <w:tcPr>
            <w:vAlign w:val="center"/>
          </w:tcPr>
          <w:p>
            <w:pPr>
              <w:jc w:val="right"/>
            </w:pPr>
            <w:r>
              <w:rPr>
                <w:color w:val="000000"/>
                <w:kern w:val="0"/>
                <w:sz w:val="24"/>
                <w:szCs w:val="24"/>
              </w:rPr>
              <w:t>43,866,411.52</w:t>
            </w:r>
          </w:p>
        </w:tc>
        <w:tc>
          <w:tcPr>
            <w:vAlign w:val="center"/>
          </w:tcPr>
          <w:p>
            <w:pPr>
              <w:jc w:val="right"/>
            </w:pPr>
            <w:r>
              <w:rPr>
                <w:color w:val="000000"/>
                <w:kern w:val="0"/>
                <w:sz w:val="24"/>
                <w:szCs w:val="24"/>
              </w:rPr>
              <w:t>9.77</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603993</w:t>
            </w:r>
          </w:p>
        </w:tc>
        <w:tc>
          <w:tcPr>
            <w:vAlign w:val="center"/>
          </w:tcPr>
          <w:p>
            <w:pPr>
              <w:jc w:val="center"/>
            </w:pPr>
            <w:r>
              <w:rPr>
                <w:color w:val="000000"/>
                <w:kern w:val="0"/>
                <w:sz w:val="24"/>
                <w:szCs w:val="24"/>
              </w:rPr>
              <w:t>洛阳钼业</w:t>
            </w:r>
          </w:p>
        </w:tc>
        <w:tc>
          <w:tcPr>
            <w:vAlign w:val="center"/>
          </w:tcPr>
          <w:p>
            <w:pPr>
              <w:jc w:val="right"/>
            </w:pPr>
            <w:r>
              <w:rPr>
                <w:color w:val="000000"/>
                <w:kern w:val="0"/>
                <w:sz w:val="24"/>
                <w:szCs w:val="24"/>
              </w:rPr>
              <w:t>8,898,200</w:t>
            </w:r>
          </w:p>
        </w:tc>
        <w:tc>
          <w:tcPr>
            <w:vAlign w:val="center"/>
          </w:tcPr>
          <w:p>
            <w:pPr>
              <w:jc w:val="right"/>
            </w:pPr>
            <w:r>
              <w:rPr>
                <w:color w:val="000000"/>
                <w:kern w:val="0"/>
                <w:sz w:val="24"/>
                <w:szCs w:val="24"/>
              </w:rPr>
              <w:t>32,656,394.00</w:t>
            </w:r>
          </w:p>
        </w:tc>
        <w:tc>
          <w:tcPr>
            <w:vAlign w:val="center"/>
          </w:tcPr>
          <w:p>
            <w:pPr>
              <w:jc w:val="right"/>
            </w:pPr>
            <w:r>
              <w:rPr>
                <w:color w:val="000000"/>
                <w:kern w:val="0"/>
                <w:sz w:val="24"/>
                <w:szCs w:val="24"/>
              </w:rPr>
              <w:t>7.27</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601899</w:t>
            </w:r>
          </w:p>
        </w:tc>
        <w:tc>
          <w:tcPr>
            <w:vAlign w:val="center"/>
          </w:tcPr>
          <w:p>
            <w:pPr>
              <w:jc w:val="center"/>
            </w:pPr>
            <w:r>
              <w:rPr>
                <w:color w:val="000000"/>
                <w:kern w:val="0"/>
                <w:sz w:val="24"/>
                <w:szCs w:val="24"/>
              </w:rPr>
              <w:t>紫金矿业</w:t>
            </w:r>
          </w:p>
        </w:tc>
        <w:tc>
          <w:tcPr>
            <w:vAlign w:val="center"/>
          </w:tcPr>
          <w:p>
            <w:pPr>
              <w:jc w:val="right"/>
            </w:pPr>
            <w:r>
              <w:rPr>
                <w:color w:val="000000"/>
                <w:kern w:val="0"/>
                <w:sz w:val="24"/>
                <w:szCs w:val="24"/>
              </w:rPr>
              <w:t>6,510,900</w:t>
            </w:r>
          </w:p>
        </w:tc>
        <w:tc>
          <w:tcPr>
            <w:vAlign w:val="center"/>
          </w:tcPr>
          <w:p>
            <w:pPr>
              <w:jc w:val="right"/>
            </w:pPr>
            <w:r>
              <w:rPr>
                <w:color w:val="000000"/>
                <w:kern w:val="0"/>
                <w:sz w:val="24"/>
                <w:szCs w:val="24"/>
              </w:rPr>
              <w:t>28,647,960.00</w:t>
            </w:r>
          </w:p>
        </w:tc>
        <w:tc>
          <w:tcPr>
            <w:vAlign w:val="center"/>
          </w:tcPr>
          <w:p>
            <w:pPr>
              <w:jc w:val="right"/>
            </w:pPr>
            <w:r>
              <w:rPr>
                <w:color w:val="000000"/>
                <w:kern w:val="0"/>
                <w:sz w:val="24"/>
                <w:szCs w:val="24"/>
              </w:rPr>
              <w:t>6.38</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002460</w:t>
            </w:r>
          </w:p>
        </w:tc>
        <w:tc>
          <w:tcPr>
            <w:vAlign w:val="center"/>
          </w:tcPr>
          <w:p>
            <w:pPr>
              <w:jc w:val="center"/>
            </w:pPr>
            <w:r>
              <w:rPr>
                <w:color w:val="000000"/>
                <w:kern w:val="0"/>
                <w:sz w:val="24"/>
                <w:szCs w:val="24"/>
              </w:rPr>
              <w:t>赣锋锂业</w:t>
            </w:r>
          </w:p>
        </w:tc>
        <w:tc>
          <w:tcPr>
            <w:vAlign w:val="center"/>
          </w:tcPr>
          <w:p>
            <w:pPr>
              <w:jc w:val="right"/>
            </w:pPr>
            <w:r>
              <w:rPr>
                <w:color w:val="000000"/>
                <w:kern w:val="0"/>
                <w:sz w:val="24"/>
                <w:szCs w:val="24"/>
              </w:rPr>
              <w:t>517,200</w:t>
            </w:r>
          </w:p>
        </w:tc>
        <w:tc>
          <w:tcPr>
            <w:vAlign w:val="center"/>
          </w:tcPr>
          <w:p>
            <w:pPr>
              <w:jc w:val="right"/>
            </w:pPr>
            <w:r>
              <w:rPr>
                <w:color w:val="000000"/>
                <w:kern w:val="0"/>
                <w:sz w:val="24"/>
                <w:szCs w:val="24"/>
              </w:rPr>
              <w:t>27,706,404.00</w:t>
            </w:r>
          </w:p>
        </w:tc>
        <w:tc>
          <w:tcPr>
            <w:vAlign w:val="center"/>
          </w:tcPr>
          <w:p>
            <w:pPr>
              <w:jc w:val="right"/>
            </w:pPr>
            <w:r>
              <w:rPr>
                <w:color w:val="000000"/>
                <w:kern w:val="0"/>
                <w:sz w:val="24"/>
                <w:szCs w:val="24"/>
              </w:rPr>
              <w:t>6.17</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601137</w:t>
            </w:r>
          </w:p>
        </w:tc>
        <w:tc>
          <w:tcPr>
            <w:vAlign w:val="center"/>
          </w:tcPr>
          <w:p>
            <w:pPr>
              <w:jc w:val="center"/>
            </w:pPr>
            <w:r>
              <w:rPr>
                <w:color w:val="000000"/>
                <w:kern w:val="0"/>
                <w:sz w:val="24"/>
                <w:szCs w:val="24"/>
              </w:rPr>
              <w:t>博威合金</w:t>
            </w:r>
          </w:p>
        </w:tc>
        <w:tc>
          <w:tcPr>
            <w:vAlign w:val="center"/>
          </w:tcPr>
          <w:p>
            <w:pPr>
              <w:jc w:val="right"/>
            </w:pPr>
            <w:r>
              <w:rPr>
                <w:color w:val="000000"/>
                <w:kern w:val="0"/>
                <w:sz w:val="24"/>
                <w:szCs w:val="24"/>
              </w:rPr>
              <w:t>1,755,221</w:t>
            </w:r>
          </w:p>
        </w:tc>
        <w:tc>
          <w:tcPr>
            <w:vAlign w:val="center"/>
          </w:tcPr>
          <w:p>
            <w:pPr>
              <w:jc w:val="right"/>
            </w:pPr>
            <w:r>
              <w:rPr>
                <w:color w:val="000000"/>
                <w:kern w:val="0"/>
                <w:sz w:val="24"/>
                <w:szCs w:val="24"/>
              </w:rPr>
              <w:t>27,451,656.44</w:t>
            </w:r>
          </w:p>
        </w:tc>
        <w:tc>
          <w:tcPr>
            <w:vAlign w:val="center"/>
          </w:tcPr>
          <w:p>
            <w:pPr>
              <w:jc w:val="right"/>
            </w:pPr>
            <w:r>
              <w:rPr>
                <w:color w:val="000000"/>
                <w:kern w:val="0"/>
                <w:sz w:val="24"/>
                <w:szCs w:val="24"/>
              </w:rPr>
              <w:t>6.12</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300618</w:t>
            </w:r>
          </w:p>
        </w:tc>
        <w:tc>
          <w:tcPr>
            <w:vAlign w:val="center"/>
          </w:tcPr>
          <w:p>
            <w:pPr>
              <w:jc w:val="center"/>
            </w:pPr>
            <w:r>
              <w:rPr>
                <w:color w:val="000000"/>
                <w:kern w:val="0"/>
                <w:sz w:val="24"/>
                <w:szCs w:val="24"/>
              </w:rPr>
              <w:t>寒锐钴业</w:t>
            </w:r>
          </w:p>
        </w:tc>
        <w:tc>
          <w:tcPr>
            <w:vAlign w:val="center"/>
          </w:tcPr>
          <w:p>
            <w:pPr>
              <w:jc w:val="right"/>
            </w:pPr>
            <w:r>
              <w:rPr>
                <w:color w:val="000000"/>
                <w:kern w:val="0"/>
                <w:sz w:val="24"/>
                <w:szCs w:val="24"/>
              </w:rPr>
              <w:t>427,400</w:t>
            </w:r>
          </w:p>
        </w:tc>
        <w:tc>
          <w:tcPr>
            <w:vAlign w:val="center"/>
          </w:tcPr>
          <w:p>
            <w:pPr>
              <w:jc w:val="right"/>
            </w:pPr>
            <w:r>
              <w:rPr>
                <w:color w:val="000000"/>
                <w:kern w:val="0"/>
                <w:sz w:val="24"/>
                <w:szCs w:val="24"/>
              </w:rPr>
              <w:t>26,507,348.00</w:t>
            </w:r>
          </w:p>
        </w:tc>
        <w:tc>
          <w:tcPr>
            <w:vAlign w:val="center"/>
          </w:tcPr>
          <w:p>
            <w:pPr>
              <w:jc w:val="right"/>
            </w:pPr>
            <w:r>
              <w:rPr>
                <w:color w:val="000000"/>
                <w:kern w:val="0"/>
                <w:sz w:val="24"/>
                <w:szCs w:val="24"/>
              </w:rPr>
              <w:t>5.90</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603688</w:t>
            </w:r>
          </w:p>
        </w:tc>
        <w:tc>
          <w:tcPr>
            <w:vAlign w:val="center"/>
          </w:tcPr>
          <w:p>
            <w:pPr>
              <w:jc w:val="center"/>
            </w:pPr>
            <w:r>
              <w:rPr>
                <w:color w:val="000000"/>
                <w:kern w:val="0"/>
                <w:sz w:val="24"/>
                <w:szCs w:val="24"/>
              </w:rPr>
              <w:t>石英股份</w:t>
            </w:r>
          </w:p>
        </w:tc>
        <w:tc>
          <w:tcPr>
            <w:vAlign w:val="center"/>
          </w:tcPr>
          <w:p>
            <w:pPr>
              <w:jc w:val="right"/>
            </w:pPr>
            <w:r>
              <w:rPr>
                <w:color w:val="000000"/>
                <w:kern w:val="0"/>
                <w:sz w:val="24"/>
                <w:szCs w:val="24"/>
              </w:rPr>
              <w:t>1,069,150</w:t>
            </w:r>
          </w:p>
        </w:tc>
        <w:tc>
          <w:tcPr>
            <w:vAlign w:val="center"/>
          </w:tcPr>
          <w:p>
            <w:pPr>
              <w:jc w:val="right"/>
            </w:pPr>
            <w:r>
              <w:rPr>
                <w:color w:val="000000"/>
                <w:kern w:val="0"/>
                <w:sz w:val="24"/>
                <w:szCs w:val="24"/>
              </w:rPr>
              <w:t>25,467,153.00</w:t>
            </w:r>
          </w:p>
        </w:tc>
        <w:tc>
          <w:tcPr>
            <w:vAlign w:val="center"/>
          </w:tcPr>
          <w:p>
            <w:pPr>
              <w:jc w:val="right"/>
            </w:pPr>
            <w:r>
              <w:rPr>
                <w:color w:val="000000"/>
                <w:kern w:val="0"/>
                <w:sz w:val="24"/>
                <w:szCs w:val="24"/>
              </w:rPr>
              <w:t>5.67</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603260</w:t>
            </w:r>
          </w:p>
        </w:tc>
        <w:tc>
          <w:tcPr>
            <w:vAlign w:val="center"/>
          </w:tcPr>
          <w:p>
            <w:pPr>
              <w:jc w:val="center"/>
            </w:pPr>
            <w:r>
              <w:rPr>
                <w:color w:val="000000"/>
                <w:kern w:val="0"/>
                <w:sz w:val="24"/>
                <w:szCs w:val="24"/>
              </w:rPr>
              <w:t>合盛硅业</w:t>
            </w:r>
          </w:p>
        </w:tc>
        <w:tc>
          <w:tcPr>
            <w:vAlign w:val="center"/>
          </w:tcPr>
          <w:p>
            <w:pPr>
              <w:jc w:val="right"/>
            </w:pPr>
            <w:r>
              <w:rPr>
                <w:color w:val="000000"/>
                <w:kern w:val="0"/>
                <w:sz w:val="24"/>
                <w:szCs w:val="24"/>
              </w:rPr>
              <w:t>806,900</w:t>
            </w:r>
          </w:p>
        </w:tc>
        <w:tc>
          <w:tcPr>
            <w:vAlign w:val="center"/>
          </w:tcPr>
          <w:p>
            <w:pPr>
              <w:jc w:val="right"/>
            </w:pPr>
            <w:r>
              <w:rPr>
                <w:color w:val="000000"/>
                <w:kern w:val="0"/>
                <w:sz w:val="24"/>
                <w:szCs w:val="24"/>
              </w:rPr>
              <w:t>22,060,646.00</w:t>
            </w:r>
          </w:p>
        </w:tc>
        <w:tc>
          <w:tcPr>
            <w:vAlign w:val="center"/>
          </w:tcPr>
          <w:p>
            <w:pPr>
              <w:jc w:val="right"/>
            </w:pPr>
            <w:r>
              <w:rPr>
                <w:color w:val="000000"/>
                <w:kern w:val="0"/>
                <w:sz w:val="24"/>
                <w:szCs w:val="24"/>
              </w:rPr>
              <w:t>4.91</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600547</w:t>
            </w:r>
          </w:p>
        </w:tc>
        <w:tc>
          <w:tcPr>
            <w:vAlign w:val="center"/>
          </w:tcPr>
          <w:p>
            <w:pPr>
              <w:jc w:val="center"/>
            </w:pPr>
            <w:r>
              <w:rPr>
                <w:color w:val="000000"/>
                <w:kern w:val="0"/>
                <w:sz w:val="24"/>
                <w:szCs w:val="24"/>
              </w:rPr>
              <w:t>山东黄金</w:t>
            </w:r>
          </w:p>
        </w:tc>
        <w:tc>
          <w:tcPr>
            <w:vAlign w:val="center"/>
          </w:tcPr>
          <w:p>
            <w:pPr>
              <w:jc w:val="right"/>
            </w:pPr>
            <w:r>
              <w:rPr>
                <w:color w:val="000000"/>
                <w:kern w:val="0"/>
                <w:sz w:val="24"/>
                <w:szCs w:val="24"/>
              </w:rPr>
              <w:t>543,900</w:t>
            </w:r>
          </w:p>
        </w:tc>
        <w:tc>
          <w:tcPr>
            <w:vAlign w:val="center"/>
          </w:tcPr>
          <w:p>
            <w:pPr>
              <w:jc w:val="right"/>
            </w:pPr>
            <w:r>
              <w:rPr>
                <w:color w:val="000000"/>
                <w:kern w:val="0"/>
                <w:sz w:val="24"/>
                <w:szCs w:val="24"/>
              </w:rPr>
              <w:t>19,917,618.00</w:t>
            </w:r>
          </w:p>
        </w:tc>
        <w:tc>
          <w:tcPr>
            <w:vAlign w:val="center"/>
          </w:tcPr>
          <w:p>
            <w:pPr>
              <w:jc w:val="right"/>
            </w:pPr>
            <w:r>
              <w:rPr>
                <w:color w:val="000000"/>
                <w:kern w:val="0"/>
                <w:sz w:val="24"/>
                <w:szCs w:val="24"/>
              </w:rPr>
              <w:t>4.44</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002842</w:t>
            </w:r>
          </w:p>
        </w:tc>
        <w:tc>
          <w:tcPr>
            <w:vAlign w:val="center"/>
          </w:tcPr>
          <w:p>
            <w:pPr>
              <w:jc w:val="center"/>
            </w:pPr>
            <w:r>
              <w:rPr>
                <w:color w:val="000000"/>
                <w:kern w:val="0"/>
                <w:sz w:val="24"/>
                <w:szCs w:val="24"/>
              </w:rPr>
              <w:t>翔鹭钨业</w:t>
            </w:r>
          </w:p>
        </w:tc>
        <w:tc>
          <w:tcPr>
            <w:vAlign w:val="center"/>
          </w:tcPr>
          <w:p>
            <w:pPr>
              <w:jc w:val="right"/>
            </w:pPr>
            <w:r>
              <w:rPr>
                <w:color w:val="000000"/>
                <w:kern w:val="0"/>
                <w:sz w:val="24"/>
                <w:szCs w:val="24"/>
              </w:rPr>
              <w:t>1,930,772</w:t>
            </w:r>
          </w:p>
        </w:tc>
        <w:tc>
          <w:tcPr>
            <w:vAlign w:val="center"/>
          </w:tcPr>
          <w:p>
            <w:pPr>
              <w:jc w:val="right"/>
            </w:pPr>
            <w:r>
              <w:rPr>
                <w:color w:val="000000"/>
                <w:kern w:val="0"/>
                <w:sz w:val="24"/>
                <w:szCs w:val="24"/>
              </w:rPr>
              <w:t>18,014,102.76</w:t>
            </w:r>
          </w:p>
        </w:tc>
        <w:tc>
          <w:tcPr>
            <w:vAlign w:val="center"/>
          </w:tcPr>
          <w:p>
            <w:pPr>
              <w:jc w:val="right"/>
            </w:pPr>
            <w:r>
              <w:rPr>
                <w:color w:val="000000"/>
                <w:kern w:val="0"/>
                <w:sz w:val="24"/>
                <w:szCs w:val="24"/>
              </w:rPr>
              <w:t>4.01</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 xml:space="preserve">本基金投资的前十名证券的发行主体本期没有出现被监管部门立案调查，或在报告编制日前一年内受到公开谴责、处罚的情形。 </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129,535.73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4,469.98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2,703,945.73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2,837,951.44</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495,518,967.69</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338,056,863.68</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287,157,762.66</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546,418,068.71</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8</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8.1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rFonts w:eastAsiaTheme="minorEastAsia"/>
                <w:bCs/>
                <w:color w:themeColor="text1" w:val="000000"/>
                <w:sz w:val="24"/>
                <w:szCs w:val="24"/>
              </w:rPr>
              <w:t>机构</w:t>
            </w:r>
          </w:p>
        </w:tc>
        <w:tc>
          <w:tcPr>
            <w:vAlign w:val="center"/>
          </w:tcPr>
          <w:p>
            <w:pPr>
              <w:jc w:val="center"/>
            </w:pPr>
            <w:r>
              <w:rPr>
                <w:sz w:val="24"/>
                <w:szCs w:val="24"/>
              </w:rPr>
              <w:t>1</w:t>
            </w:r>
          </w:p>
        </w:tc>
        <w:tc>
          <w:tcPr>
            <w:vAlign w:val="center"/>
          </w:tcPr>
          <w:p>
            <w:pPr>
              <w:jc w:val="center"/>
            </w:pPr>
            <w:r>
              <w:rPr>
                <w:sz w:val="24"/>
                <w:szCs w:val="24"/>
              </w:rPr>
              <w:t>2020年06月09日~2020年06月15日</w:t>
            </w:r>
          </w:p>
        </w:tc>
        <w:tc>
          <w:tcPr>
            <w:vAlign w:val="center"/>
          </w:tcPr>
          <w:p>
            <w:pPr>
              <w:jc w:val="center"/>
            </w:pPr>
            <w:r>
              <w:rPr>
                <w:sz w:val="24"/>
                <w:szCs w:val="24"/>
              </w:rPr>
              <w:t>-</w:t>
            </w:r>
          </w:p>
        </w:tc>
        <w:tc>
          <w:tcPr>
            <w:vAlign w:val="center"/>
          </w:tcPr>
          <w:p>
            <w:pPr>
              <w:jc w:val="center"/>
            </w:pPr>
            <w:r>
              <w:rPr>
                <w:sz w:val="24"/>
                <w:szCs w:val="24"/>
              </w:rPr>
              <w:t>142,485,751.30</w:t>
            </w:r>
          </w:p>
        </w:tc>
        <w:tc>
          <w:tcPr>
            <w:vAlign w:val="center"/>
          </w:tcPr>
          <w:p>
            <w:pPr>
              <w:jc w:val="center"/>
            </w:pPr>
            <w:r>
              <w:rPr>
                <w:sz w:val="24"/>
                <w:szCs w:val="24"/>
              </w:rPr>
              <w:t>142,485,751.30</w:t>
            </w:r>
          </w:p>
        </w:tc>
        <w:tc>
          <w:tcPr>
            <w:vAlign w:val="center"/>
          </w:tcPr>
          <w:p>
            <w:pPr>
              <w:jc w:val="center"/>
            </w:pPr>
            <w:r>
              <w:rPr>
                <w:sz w:val="24"/>
                <w:szCs w:val="24"/>
              </w:rPr>
              <w:t>-</w:t>
            </w:r>
          </w:p>
        </w:tc>
        <w:tc>
          <w:tcPr>
            <w:vAlign w:val="center"/>
          </w:tcPr>
          <w:p>
            <w:pPr>
              <w:jc w:val="center"/>
            </w:pPr>
            <w:r>
              <w:rPr>
                <w:sz w:val="24"/>
                <w:szCs w:val="24"/>
              </w:rPr>
              <w:t>-</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9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1.中国证监会核准易方达资源行业股票型证券投资基金募集的文件；</w:t>
      </w:r>
    </w:p>
    <w:p>
      <w:pPr>
        <w:spacing w:line="360" w:lineRule="auto"/>
        <w:ind w:firstLine="480" w:firstLineChars="200"/>
        <w:rPr>
          <w:color w:val="000000"/>
          <w:sz w:val="24"/>
          <w:szCs w:val="24"/>
        </w:rPr>
      </w:pPr>
      <w:r>
        <w:rPr>
          <w:color w:val="000000"/>
          <w:sz w:val="24"/>
          <w:szCs w:val="24"/>
        </w:rPr>
        <w:t>2.易方达基金管理有限公司关于旗下部分开放式基金更名及修改基金合同、托管协议的公告</w:t>
      </w:r>
    </w:p>
    <w:p>
      <w:pPr>
        <w:spacing w:line="360" w:lineRule="auto"/>
        <w:ind w:firstLine="480" w:firstLineChars="200"/>
        <w:rPr>
          <w:color w:val="000000"/>
          <w:sz w:val="24"/>
          <w:szCs w:val="24"/>
        </w:rPr>
      </w:pPr>
      <w:r>
        <w:rPr>
          <w:color w:val="000000"/>
          <w:sz w:val="24"/>
          <w:szCs w:val="24"/>
        </w:rPr>
        <w:t>3.《易方达资源行业混合型证券投资基金基金合同》；</w:t>
      </w:r>
    </w:p>
    <w:p>
      <w:pPr>
        <w:spacing w:line="360" w:lineRule="auto"/>
        <w:ind w:firstLine="480" w:firstLineChars="200"/>
        <w:rPr>
          <w:color w:val="000000"/>
          <w:sz w:val="24"/>
          <w:szCs w:val="24"/>
        </w:rPr>
      </w:pPr>
      <w:r>
        <w:rPr>
          <w:color w:val="000000"/>
          <w:sz w:val="24"/>
          <w:szCs w:val="24"/>
        </w:rPr>
        <w:t>4.《易方达资源行业混合型证券投资基金托管协议》；</w:t>
      </w:r>
    </w:p>
    <w:p>
      <w:pPr>
        <w:spacing w:line="360" w:lineRule="auto"/>
        <w:ind w:firstLine="480" w:firstLineChars="200"/>
        <w:rPr>
          <w:color w:val="000000"/>
          <w:sz w:val="24"/>
          <w:szCs w:val="24"/>
        </w:rPr>
      </w:pPr>
      <w:r>
        <w:rPr>
          <w:color w:val="000000"/>
          <w:sz w:val="24"/>
          <w:szCs w:val="24"/>
        </w:rPr>
        <w:t>5.《易方达基金管理有限公司开放式基金业务规则》；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6.基金管理人业务资格批件和营业执照。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易方达资源行业混合型证券投资基金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