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易方达医疗保健行业混合型证券投资基金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中国银行股份有限公司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基金托管人中国银行股份有限公司根据本基金合同规定，于2020年7月17日复核了本报告中的财务指标、净值表现和投资组合报告等内容，保证复核内容不存在虚假记载、误导性陈述或者重大遗漏。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易方达医疗保健行业混合</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110023</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110023</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契约型开放式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2011年1月28日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1,664,329,146.80</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主要投资医疗保健行业股票，在严格控制风险的前提下，追求超越业绩比较基准的投资回报。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本基金将根据对医疗保健行业各子行业的综合分析，从中选择具有较强竞争优势且估值具有吸引力的上市公司进行投资，在努力控制风险的前提下追求超越业绩比较基准的投资回报。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申万医药生物行业指数收益率×80%+中债总指数收益率×20%</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本基金为混合基金，理论上其风险收益水平高于债券基金和货币市场基金，低于股票基金。同时，本基金为行业基金，在享受医疗保健行业收益的同时，也必须承担单一行业带来的风险。</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中国银行股份有限公司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379,774,110.03</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1,491,346,725.74</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0.9733</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5,779,231,895.49</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3.472</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38.55%</w:t>
            </w:r>
          </w:p>
        </w:tc>
        <w:tc>
          <w:tcPr>
            <w:vAlign w:val="center"/>
          </w:tcPr>
          <w:p>
            <w:pPr>
              <w:jc w:val="center"/>
            </w:pPr>
            <w:r>
              <w:rPr>
                <w:color w:val="000000"/>
                <w:kern w:val="0"/>
                <w:sz w:val="24"/>
                <w:szCs w:val="24"/>
              </w:rPr>
              <w:t>1.57%</w:t>
            </w:r>
          </w:p>
        </w:tc>
        <w:tc>
          <w:tcPr>
            <w:vAlign w:val="center"/>
          </w:tcPr>
          <w:p>
            <w:pPr>
              <w:jc w:val="center"/>
            </w:pPr>
            <w:r>
              <w:rPr>
                <w:color w:val="000000"/>
                <w:kern w:val="0"/>
                <w:sz w:val="24"/>
                <w:szCs w:val="24"/>
              </w:rPr>
              <w:t>23.20%</w:t>
            </w:r>
          </w:p>
        </w:tc>
        <w:tc>
          <w:tcPr>
            <w:vAlign w:val="center"/>
          </w:tcPr>
          <w:p>
            <w:pPr>
              <w:jc w:val="center"/>
            </w:pPr>
            <w:r>
              <w:rPr>
                <w:color w:val="000000"/>
                <w:kern w:val="0"/>
                <w:sz w:val="24"/>
                <w:szCs w:val="24"/>
              </w:rPr>
              <w:t>1.10%</w:t>
            </w:r>
          </w:p>
        </w:tc>
        <w:tc>
          <w:tcPr>
            <w:vAlign w:val="center"/>
          </w:tcPr>
          <w:p>
            <w:pPr>
              <w:jc w:val="center"/>
            </w:pPr>
            <w:r>
              <w:rPr>
                <w:color w:val="000000"/>
                <w:kern w:val="0"/>
                <w:sz w:val="24"/>
                <w:szCs w:val="24"/>
              </w:rPr>
              <w:t>15.35%</w:t>
            </w:r>
          </w:p>
        </w:tc>
        <w:tc>
          <w:tcPr>
            <w:vAlign w:val="center"/>
          </w:tcPr>
          <w:p>
            <w:pPr>
              <w:jc w:val="center"/>
            </w:pPr>
            <w:r>
              <w:rPr>
                <w:color w:val="000000"/>
                <w:kern w:val="0"/>
                <w:sz w:val="24"/>
                <w:szCs w:val="24"/>
              </w:rPr>
              <w:t>0.47%</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57.67%</w:t>
            </w:r>
          </w:p>
        </w:tc>
        <w:tc>
          <w:tcPr>
            <w:vAlign w:val="center"/>
          </w:tcPr>
          <w:p>
            <w:pPr>
              <w:jc w:val="center"/>
            </w:pPr>
            <w:r>
              <w:rPr>
                <w:color w:val="000000"/>
                <w:kern w:val="0"/>
                <w:sz w:val="24"/>
                <w:szCs w:val="24"/>
              </w:rPr>
              <w:t>1.72%</w:t>
            </w:r>
          </w:p>
        </w:tc>
        <w:tc>
          <w:tcPr>
            <w:vAlign w:val="center"/>
          </w:tcPr>
          <w:p>
            <w:pPr>
              <w:jc w:val="center"/>
            </w:pPr>
            <w:r>
              <w:rPr>
                <w:color w:val="000000"/>
                <w:kern w:val="0"/>
                <w:sz w:val="24"/>
                <w:szCs w:val="24"/>
              </w:rPr>
              <w:t>32.39%</w:t>
            </w:r>
          </w:p>
        </w:tc>
        <w:tc>
          <w:tcPr>
            <w:vAlign w:val="center"/>
          </w:tcPr>
          <w:p>
            <w:pPr>
              <w:jc w:val="center"/>
            </w:pPr>
            <w:r>
              <w:rPr>
                <w:color w:val="000000"/>
                <w:kern w:val="0"/>
                <w:sz w:val="24"/>
                <w:szCs w:val="24"/>
              </w:rPr>
              <w:t>1.30%</w:t>
            </w:r>
          </w:p>
        </w:tc>
        <w:tc>
          <w:tcPr>
            <w:vAlign w:val="center"/>
          </w:tcPr>
          <w:p>
            <w:pPr>
              <w:jc w:val="center"/>
            </w:pPr>
            <w:r>
              <w:rPr>
                <w:color w:val="000000"/>
                <w:kern w:val="0"/>
                <w:sz w:val="24"/>
                <w:szCs w:val="24"/>
              </w:rPr>
              <w:t>25.28%</w:t>
            </w:r>
          </w:p>
        </w:tc>
        <w:tc>
          <w:tcPr>
            <w:vAlign w:val="center"/>
          </w:tcPr>
          <w:p>
            <w:pPr>
              <w:jc w:val="center"/>
            </w:pPr>
            <w:r>
              <w:rPr>
                <w:color w:val="000000"/>
                <w:kern w:val="0"/>
                <w:sz w:val="24"/>
                <w:szCs w:val="24"/>
              </w:rPr>
              <w:t>0.42%</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91.08%</w:t>
            </w:r>
          </w:p>
        </w:tc>
        <w:tc>
          <w:tcPr>
            <w:vAlign w:val="center"/>
          </w:tcPr>
          <w:p>
            <w:pPr>
              <w:jc w:val="center"/>
            </w:pPr>
            <w:r>
              <w:rPr>
                <w:color w:val="000000"/>
                <w:kern w:val="0"/>
                <w:sz w:val="24"/>
                <w:szCs w:val="24"/>
              </w:rPr>
              <w:t>1.46%</w:t>
            </w:r>
          </w:p>
        </w:tc>
        <w:tc>
          <w:tcPr>
            <w:vAlign w:val="center"/>
          </w:tcPr>
          <w:p>
            <w:pPr>
              <w:jc w:val="center"/>
            </w:pPr>
            <w:r>
              <w:rPr>
                <w:color w:val="000000"/>
                <w:kern w:val="0"/>
                <w:sz w:val="24"/>
                <w:szCs w:val="24"/>
              </w:rPr>
              <w:t>47.00%</w:t>
            </w:r>
          </w:p>
        </w:tc>
        <w:tc>
          <w:tcPr>
            <w:vAlign w:val="center"/>
          </w:tcPr>
          <w:p>
            <w:pPr>
              <w:jc w:val="center"/>
            </w:pPr>
            <w:r>
              <w:rPr>
                <w:color w:val="000000"/>
                <w:kern w:val="0"/>
                <w:sz w:val="24"/>
                <w:szCs w:val="24"/>
              </w:rPr>
              <w:t>1.10%</w:t>
            </w:r>
          </w:p>
        </w:tc>
        <w:tc>
          <w:tcPr>
            <w:vAlign w:val="center"/>
          </w:tcPr>
          <w:p>
            <w:pPr>
              <w:jc w:val="center"/>
            </w:pPr>
            <w:r>
              <w:rPr>
                <w:color w:val="000000"/>
                <w:kern w:val="0"/>
                <w:sz w:val="24"/>
                <w:szCs w:val="24"/>
              </w:rPr>
              <w:t>44.08%</w:t>
            </w:r>
          </w:p>
        </w:tc>
        <w:tc>
          <w:tcPr>
            <w:vAlign w:val="center"/>
          </w:tcPr>
          <w:p>
            <w:pPr>
              <w:jc w:val="center"/>
            </w:pPr>
            <w:r>
              <w:rPr>
                <w:color w:val="000000"/>
                <w:kern w:val="0"/>
                <w:sz w:val="24"/>
                <w:szCs w:val="24"/>
              </w:rPr>
              <w:t>0.36%</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142.12%</w:t>
            </w:r>
          </w:p>
        </w:tc>
        <w:tc>
          <w:tcPr>
            <w:vAlign w:val="center"/>
          </w:tcPr>
          <w:p>
            <w:pPr>
              <w:jc w:val="center"/>
            </w:pPr>
            <w:r>
              <w:rPr>
                <w:color w:val="000000"/>
                <w:kern w:val="0"/>
                <w:sz w:val="24"/>
                <w:szCs w:val="24"/>
              </w:rPr>
              <w:t>1.47%</w:t>
            </w:r>
          </w:p>
        </w:tc>
        <w:tc>
          <w:tcPr>
            <w:vAlign w:val="center"/>
          </w:tcPr>
          <w:p>
            <w:pPr>
              <w:jc w:val="center"/>
            </w:pPr>
            <w:r>
              <w:rPr>
                <w:color w:val="000000"/>
                <w:kern w:val="0"/>
                <w:sz w:val="24"/>
                <w:szCs w:val="24"/>
              </w:rPr>
              <w:t>36.18%</w:t>
            </w:r>
          </w:p>
        </w:tc>
        <w:tc>
          <w:tcPr>
            <w:vAlign w:val="center"/>
          </w:tcPr>
          <w:p>
            <w:pPr>
              <w:jc w:val="center"/>
            </w:pPr>
            <w:r>
              <w:rPr>
                <w:color w:val="000000"/>
                <w:kern w:val="0"/>
                <w:sz w:val="24"/>
                <w:szCs w:val="24"/>
              </w:rPr>
              <w:t>1.18%</w:t>
            </w:r>
          </w:p>
        </w:tc>
        <w:tc>
          <w:tcPr>
            <w:vAlign w:val="center"/>
          </w:tcPr>
          <w:p>
            <w:pPr>
              <w:jc w:val="center"/>
            </w:pPr>
            <w:r>
              <w:rPr>
                <w:color w:val="000000"/>
                <w:kern w:val="0"/>
                <w:sz w:val="24"/>
                <w:szCs w:val="24"/>
              </w:rPr>
              <w:t>105.94%</w:t>
            </w:r>
          </w:p>
        </w:tc>
        <w:tc>
          <w:tcPr>
            <w:vAlign w:val="center"/>
          </w:tcPr>
          <w:p>
            <w:pPr>
              <w:jc w:val="center"/>
            </w:pPr>
            <w:r>
              <w:rPr>
                <w:color w:val="000000"/>
                <w:kern w:val="0"/>
                <w:sz w:val="24"/>
                <w:szCs w:val="24"/>
              </w:rPr>
              <w:t>0.29%</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65.02%</w:t>
            </w:r>
          </w:p>
        </w:tc>
        <w:tc>
          <w:tcPr>
            <w:vAlign w:val="center"/>
          </w:tcPr>
          <w:p>
            <w:pPr>
              <w:jc w:val="center"/>
            </w:pPr>
            <w:r>
              <w:rPr>
                <w:color w:val="000000"/>
                <w:kern w:val="0"/>
                <w:sz w:val="24"/>
                <w:szCs w:val="24"/>
              </w:rPr>
              <w:t>1.78%</w:t>
            </w:r>
          </w:p>
        </w:tc>
        <w:tc>
          <w:tcPr>
            <w:vAlign w:val="center"/>
          </w:tcPr>
          <w:p>
            <w:pPr>
              <w:jc w:val="center"/>
            </w:pPr>
            <w:r>
              <w:rPr>
                <w:color w:val="000000"/>
                <w:kern w:val="0"/>
                <w:sz w:val="24"/>
                <w:szCs w:val="24"/>
              </w:rPr>
              <w:t>14.23%</w:t>
            </w:r>
          </w:p>
        </w:tc>
        <w:tc>
          <w:tcPr>
            <w:vAlign w:val="center"/>
          </w:tcPr>
          <w:p>
            <w:pPr>
              <w:jc w:val="center"/>
            </w:pPr>
            <w:r>
              <w:rPr>
                <w:color w:val="000000"/>
                <w:kern w:val="0"/>
                <w:sz w:val="24"/>
                <w:szCs w:val="24"/>
              </w:rPr>
              <w:t>1.36%</w:t>
            </w:r>
          </w:p>
        </w:tc>
        <w:tc>
          <w:tcPr>
            <w:vAlign w:val="center"/>
          </w:tcPr>
          <w:p>
            <w:pPr>
              <w:jc w:val="center"/>
            </w:pPr>
            <w:r>
              <w:rPr>
                <w:color w:val="000000"/>
                <w:kern w:val="0"/>
                <w:sz w:val="24"/>
                <w:szCs w:val="24"/>
              </w:rPr>
              <w:t>50.79%</w:t>
            </w:r>
          </w:p>
        </w:tc>
        <w:tc>
          <w:tcPr>
            <w:vAlign w:val="center"/>
          </w:tcPr>
          <w:p>
            <w:pPr>
              <w:jc w:val="center"/>
            </w:pPr>
            <w:r>
              <w:rPr>
                <w:color w:val="000000"/>
                <w:kern w:val="0"/>
                <w:sz w:val="24"/>
                <w:szCs w:val="24"/>
              </w:rPr>
              <w:t>0.42%</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247.20%</w:t>
            </w:r>
          </w:p>
        </w:tc>
        <w:tc>
          <w:tcPr>
            <w:vAlign w:val="center"/>
          </w:tcPr>
          <w:p>
            <w:pPr>
              <w:jc w:val="center"/>
            </w:pPr>
            <w:r>
              <w:rPr>
                <w:color w:val="000000"/>
                <w:kern w:val="0"/>
                <w:sz w:val="24"/>
                <w:szCs w:val="24"/>
              </w:rPr>
              <w:t>1.60%</w:t>
            </w:r>
          </w:p>
        </w:tc>
        <w:tc>
          <w:tcPr>
            <w:vAlign w:val="center"/>
          </w:tcPr>
          <w:p>
            <w:pPr>
              <w:jc w:val="center"/>
            </w:pPr>
            <w:r>
              <w:rPr>
                <w:color w:val="000000"/>
                <w:kern w:val="0"/>
                <w:sz w:val="24"/>
                <w:szCs w:val="24"/>
              </w:rPr>
              <w:t>130.18%</w:t>
            </w:r>
          </w:p>
        </w:tc>
        <w:tc>
          <w:tcPr>
            <w:vAlign w:val="center"/>
          </w:tcPr>
          <w:p>
            <w:pPr>
              <w:jc w:val="center"/>
            </w:pPr>
            <w:r>
              <w:rPr>
                <w:color w:val="000000"/>
                <w:kern w:val="0"/>
                <w:sz w:val="24"/>
                <w:szCs w:val="24"/>
              </w:rPr>
              <w:t>1.29%</w:t>
            </w:r>
          </w:p>
        </w:tc>
        <w:tc>
          <w:tcPr>
            <w:vAlign w:val="center"/>
          </w:tcPr>
          <w:p>
            <w:pPr>
              <w:jc w:val="center"/>
            </w:pPr>
            <w:r>
              <w:rPr>
                <w:color w:val="000000"/>
                <w:kern w:val="0"/>
                <w:sz w:val="24"/>
                <w:szCs w:val="24"/>
              </w:rPr>
              <w:t>117.02%</w:t>
            </w:r>
          </w:p>
        </w:tc>
        <w:tc>
          <w:tcPr>
            <w:vAlign w:val="center"/>
          </w:tcPr>
          <w:p>
            <w:pPr>
              <w:jc w:val="center"/>
            </w:pPr>
            <w:r>
              <w:rPr>
                <w:color w:val="000000"/>
                <w:kern w:val="0"/>
                <w:sz w:val="24"/>
                <w:szCs w:val="24"/>
              </w:rPr>
              <w:t>0.31%</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易方达医疗保健行业混合型证券投资基金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2011年1月28日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注：自基金合同生效至报告期末，基金份额净值增长率为247.20%，同期业绩比较基准收益率为130.18%。</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杨桢霄</w:t>
            </w:r>
          </w:p>
        </w:tc>
        <w:tc>
          <w:tcPr>
            <w:vAlign w:val="center"/>
          </w:tcPr>
          <w:p>
            <w:pPr>
              <w:jc w:val="left"/>
            </w:pPr>
            <w:r>
              <w:rPr>
                <w:color w:val="000000"/>
                <w:sz w:val="24"/>
              </w:rPr>
              <w:t>本基金的基金经理、易方达大健康主题灵活配置混合型证券投资基金的基金经理、易方达全球医药行业混合型发起式证券投资基金（QDII）的基金经理、行业研究员</w:t>
            </w:r>
          </w:p>
        </w:tc>
        <w:tc>
          <w:tcPr>
            <w:vAlign w:val="center"/>
          </w:tcPr>
          <w:p>
            <w:pPr>
              <w:jc w:val="center"/>
            </w:pPr>
            <w:r>
              <w:rPr>
                <w:color w:val="000000"/>
                <w:sz w:val="24"/>
              </w:rPr>
              <w:t>2016-08-20</w:t>
            </w:r>
          </w:p>
        </w:tc>
        <w:tc>
          <w:tcPr>
            <w:vAlign w:val="center"/>
          </w:tcPr>
          <w:p>
            <w:pPr>
              <w:jc w:val="center"/>
            </w:pPr>
            <w:r>
              <w:rPr>
                <w:color w:val="000000"/>
                <w:sz w:val="24"/>
              </w:rPr>
              <w:t>-</w:t>
            </w:r>
          </w:p>
        </w:tc>
        <w:tc>
          <w:tcPr>
            <w:vAlign w:val="center"/>
          </w:tcPr>
          <w:p>
            <w:pPr>
              <w:jc w:val="center"/>
            </w:pPr>
            <w:r>
              <w:rPr>
                <w:color w:val="000000"/>
                <w:sz w:val="24"/>
              </w:rPr>
              <w:t>9年</w:t>
            </w:r>
          </w:p>
        </w:tc>
        <w:tc>
          <w:tcPr>
            <w:vAlign w:val="center"/>
          </w:tcPr>
          <w:p>
            <w:pPr>
              <w:jc w:val="both"/>
            </w:pPr>
            <w:r>
              <w:rPr>
                <w:color w:val="000000"/>
                <w:sz w:val="24"/>
              </w:rPr>
              <w:t>博士研究生，具有基金从业资格。曾任易方达基金管理有限公司投资经理、易方达新兴成长灵活配置混合型证券投资基金基金经理助理、易方达科讯混合型证券投资基金基金经理助理。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2020年二季度，上证综指上涨8.52%，上证50上涨9.40%，创业板指数上涨30.25%。其中，申万医药行业指数上涨29.42%，在28个申万一级行业中排名第三。从具体细分板块来看，整体都表现较好，医疗器械、原料药、体外诊断、医疗服务等都涨幅居前。</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本基金继续坚持均衡配置的投资策略，根据行业景气度对医药行业内部的子行业进行偏离，继续加大医疗器械、原料药等行业的配置力度，并在选择中强调中期业绩的兑现度，精选子行业龙头。</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截至报告期末，本基金份额净值为3.472元，本报告期份额净值增长率为38.55%，同期业绩比较基准收益率为23.20%。</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5,164,342,477.96</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86.71</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5,164,342,477.96</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86.71</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2,868,363.60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0.05</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2,868,363.60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0.05</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643,120,455.08</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10.80</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145,402,168.74</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2.44</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5,955,733,465.38</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tbl>
      <w:tblPr>
        <w:tblW w:type="dxa" w:w="8789"/>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09"/>
        <w:gridCol w:w="3544"/>
        <w:gridCol w:w="2977"/>
        <w:gridCol w:w="1559"/>
      </w:tblGrid>
      <w:tr w:rsidR="008C2A4F" w:rsidRPr="008C2A4F" w:rsidTr="003B5535">
        <w:trPr>
          <w:trHeight w:val="390"/>
        </w:trPr>
        <w:tc>
          <w:tcPr>
            <w:tcW w:type="dxa" w:w="70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代码</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p>
        </w:tc>
        <w:tc>
          <w:tcPr>
            <w:tcW w:type="dxa" w:w="2977"/>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公允价值（元）</w:t>
            </w:r>
          </w:p>
        </w:tc>
        <w:tc>
          <w:tcPr>
            <w:tcW w:type="dxa" w:w="155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A</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农、林、牧、渔业</w:t>
            </w:r>
          </w:p>
        </w:tc>
        <w:tc>
          <w:tcPr>
            <w:tcW w:type="dxa" w:w="2977"/>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B</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采矿业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C</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制造业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4,178,714,840.37</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72.31</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D</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电力、热力、燃气及水生产和供应业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12,766.32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0.00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E</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建筑业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F</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批发和零售业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61,631,921.68</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1.07</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G</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交通运输、仓储和邮政业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5,593,327.12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0.10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H</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住宿和餐饮业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I</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信息传输、软件和信息技术服务业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190,731.77</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0.00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J</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金融业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K</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房地产业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L</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租赁和商务服务业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M</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科学研究和技术服务业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431,070,984.60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7.46</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N</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水利、环境和公共设施管理业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O</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居民服务、修理和其他服务业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P</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教育</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lastRenderedPageBreak/>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Q</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卫生和社会工作</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487,127,906.10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8.43</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R</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文化、体育和娱乐业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S</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综合</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5,164,342,477.96</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89.36</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750D48" w:rsidRPr="00264E55" w:rsidTr="00191BDE">
        <w:tc>
          <w:tcPr>
            <w:tcW w:type="dxa" w:w="851"/>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股票代码</w:t>
            </w:r>
          </w:p>
        </w:tc>
        <w:tc>
          <w:tcPr>
            <w:tcW w:type="dxa" w:w="1418"/>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股票名称</w:t>
            </w:r>
          </w:p>
        </w:tc>
        <w:tc>
          <w:tcPr>
            <w:tcW w:type="dxa" w:w="1701"/>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type="dxa" w:w="1984"/>
            <w:vAlign w:val="center"/>
          </w:tcPr>
          <w:p w:rsidP="005F7917"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559"/>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688029</w:t>
            </w:r>
          </w:p>
        </w:tc>
        <w:tc>
          <w:tcPr>
            <w:vAlign w:val="center"/>
          </w:tcPr>
          <w:p>
            <w:pPr>
              <w:jc w:val="center"/>
            </w:pPr>
            <w:r>
              <w:rPr>
                <w:color w:val="000000"/>
                <w:kern w:val="0"/>
                <w:sz w:val="24"/>
                <w:szCs w:val="24"/>
              </w:rPr>
              <w:t>南微医学</w:t>
            </w:r>
          </w:p>
        </w:tc>
        <w:tc>
          <w:tcPr>
            <w:vAlign w:val="center"/>
          </w:tcPr>
          <w:p>
            <w:pPr>
              <w:jc w:val="right"/>
            </w:pPr>
            <w:r>
              <w:rPr>
                <w:color w:val="000000"/>
                <w:kern w:val="0"/>
                <w:sz w:val="24"/>
                <w:szCs w:val="24"/>
              </w:rPr>
              <w:t>2,124,370</w:t>
            </w:r>
          </w:p>
        </w:tc>
        <w:tc>
          <w:tcPr>
            <w:vAlign w:val="center"/>
          </w:tcPr>
          <w:p>
            <w:pPr>
              <w:jc w:val="right"/>
            </w:pPr>
            <w:r>
              <w:rPr>
                <w:color w:val="000000"/>
                <w:kern w:val="0"/>
                <w:sz w:val="24"/>
                <w:szCs w:val="24"/>
              </w:rPr>
              <w:t>515,244,699.80</w:t>
            </w:r>
          </w:p>
        </w:tc>
        <w:tc>
          <w:tcPr>
            <w:vAlign w:val="center"/>
          </w:tcPr>
          <w:p>
            <w:pPr>
              <w:jc w:val="right"/>
            </w:pPr>
            <w:r>
              <w:rPr>
                <w:color w:val="000000"/>
                <w:kern w:val="0"/>
                <w:sz w:val="24"/>
                <w:szCs w:val="24"/>
              </w:rPr>
              <w:t>8.92</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600276</w:t>
            </w:r>
          </w:p>
        </w:tc>
        <w:tc>
          <w:tcPr>
            <w:vAlign w:val="center"/>
          </w:tcPr>
          <w:p>
            <w:pPr>
              <w:jc w:val="center"/>
            </w:pPr>
            <w:r>
              <w:rPr>
                <w:color w:val="000000"/>
                <w:kern w:val="0"/>
                <w:sz w:val="24"/>
                <w:szCs w:val="24"/>
              </w:rPr>
              <w:t>恒瑞医药</w:t>
            </w:r>
          </w:p>
        </w:tc>
        <w:tc>
          <w:tcPr>
            <w:vAlign w:val="center"/>
          </w:tcPr>
          <w:p>
            <w:pPr>
              <w:jc w:val="right"/>
            </w:pPr>
            <w:r>
              <w:rPr>
                <w:color w:val="000000"/>
                <w:kern w:val="0"/>
                <w:sz w:val="24"/>
                <w:szCs w:val="24"/>
              </w:rPr>
              <w:t>4,421,308</w:t>
            </w:r>
          </w:p>
        </w:tc>
        <w:tc>
          <w:tcPr>
            <w:vAlign w:val="center"/>
          </w:tcPr>
          <w:p>
            <w:pPr>
              <w:jc w:val="right"/>
            </w:pPr>
            <w:r>
              <w:rPr>
                <w:color w:val="000000"/>
                <w:kern w:val="0"/>
                <w:sz w:val="24"/>
                <w:szCs w:val="24"/>
              </w:rPr>
              <w:t>408,086,728.40</w:t>
            </w:r>
          </w:p>
        </w:tc>
        <w:tc>
          <w:tcPr>
            <w:vAlign w:val="center"/>
          </w:tcPr>
          <w:p>
            <w:pPr>
              <w:jc w:val="right"/>
            </w:pPr>
            <w:r>
              <w:rPr>
                <w:color w:val="000000"/>
                <w:kern w:val="0"/>
                <w:sz w:val="24"/>
                <w:szCs w:val="24"/>
              </w:rPr>
              <w:t>7.06</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603259</w:t>
            </w:r>
          </w:p>
        </w:tc>
        <w:tc>
          <w:tcPr>
            <w:vAlign w:val="center"/>
          </w:tcPr>
          <w:p>
            <w:pPr>
              <w:jc w:val="center"/>
            </w:pPr>
            <w:r>
              <w:rPr>
                <w:color w:val="000000"/>
                <w:kern w:val="0"/>
                <w:sz w:val="24"/>
                <w:szCs w:val="24"/>
              </w:rPr>
              <w:t>药明康德</w:t>
            </w:r>
          </w:p>
        </w:tc>
        <w:tc>
          <w:tcPr>
            <w:vAlign w:val="center"/>
          </w:tcPr>
          <w:p>
            <w:pPr>
              <w:jc w:val="right"/>
            </w:pPr>
            <w:r>
              <w:rPr>
                <w:color w:val="000000"/>
                <w:kern w:val="0"/>
                <w:sz w:val="24"/>
                <w:szCs w:val="24"/>
              </w:rPr>
              <w:t>3,887,696</w:t>
            </w:r>
          </w:p>
        </w:tc>
        <w:tc>
          <w:tcPr>
            <w:vAlign w:val="center"/>
          </w:tcPr>
          <w:p>
            <w:pPr>
              <w:jc w:val="right"/>
            </w:pPr>
            <w:r>
              <w:rPr>
                <w:color w:val="000000"/>
                <w:kern w:val="0"/>
                <w:sz w:val="24"/>
                <w:szCs w:val="24"/>
              </w:rPr>
              <w:t>375,551,433.60</w:t>
            </w:r>
          </w:p>
        </w:tc>
        <w:tc>
          <w:tcPr>
            <w:vAlign w:val="center"/>
          </w:tcPr>
          <w:p>
            <w:pPr>
              <w:jc w:val="right"/>
            </w:pPr>
            <w:r>
              <w:rPr>
                <w:color w:val="000000"/>
                <w:kern w:val="0"/>
                <w:sz w:val="24"/>
                <w:szCs w:val="24"/>
              </w:rPr>
              <w:t>6.50</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600216</w:t>
            </w:r>
          </w:p>
        </w:tc>
        <w:tc>
          <w:tcPr>
            <w:vAlign w:val="center"/>
          </w:tcPr>
          <w:p>
            <w:pPr>
              <w:jc w:val="center"/>
            </w:pPr>
            <w:r>
              <w:rPr>
                <w:color w:val="000000"/>
                <w:kern w:val="0"/>
                <w:sz w:val="24"/>
                <w:szCs w:val="24"/>
              </w:rPr>
              <w:t>浙江医药</w:t>
            </w:r>
          </w:p>
        </w:tc>
        <w:tc>
          <w:tcPr>
            <w:vAlign w:val="center"/>
          </w:tcPr>
          <w:p>
            <w:pPr>
              <w:jc w:val="right"/>
            </w:pPr>
            <w:r>
              <w:rPr>
                <w:color w:val="000000"/>
                <w:kern w:val="0"/>
                <w:sz w:val="24"/>
                <w:szCs w:val="24"/>
              </w:rPr>
              <w:t>18,825,244</w:t>
            </w:r>
          </w:p>
        </w:tc>
        <w:tc>
          <w:tcPr>
            <w:vAlign w:val="center"/>
          </w:tcPr>
          <w:p>
            <w:pPr>
              <w:jc w:val="right"/>
            </w:pPr>
            <w:r>
              <w:rPr>
                <w:color w:val="000000"/>
                <w:kern w:val="0"/>
                <w:sz w:val="24"/>
                <w:szCs w:val="24"/>
              </w:rPr>
              <w:t>362,574,199.44</w:t>
            </w:r>
          </w:p>
        </w:tc>
        <w:tc>
          <w:tcPr>
            <w:vAlign w:val="center"/>
          </w:tcPr>
          <w:p>
            <w:pPr>
              <w:jc w:val="right"/>
            </w:pPr>
            <w:r>
              <w:rPr>
                <w:color w:val="000000"/>
                <w:kern w:val="0"/>
                <w:sz w:val="24"/>
                <w:szCs w:val="24"/>
              </w:rPr>
              <w:t>6.27</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000661</w:t>
            </w:r>
          </w:p>
        </w:tc>
        <w:tc>
          <w:tcPr>
            <w:vAlign w:val="center"/>
          </w:tcPr>
          <w:p>
            <w:pPr>
              <w:jc w:val="center"/>
            </w:pPr>
            <w:r>
              <w:rPr>
                <w:color w:val="000000"/>
                <w:kern w:val="0"/>
                <w:sz w:val="24"/>
                <w:szCs w:val="24"/>
              </w:rPr>
              <w:t>长春高新</w:t>
            </w:r>
          </w:p>
        </w:tc>
        <w:tc>
          <w:tcPr>
            <w:vAlign w:val="center"/>
          </w:tcPr>
          <w:p>
            <w:pPr>
              <w:jc w:val="right"/>
            </w:pPr>
            <w:r>
              <w:rPr>
                <w:color w:val="000000"/>
                <w:kern w:val="0"/>
                <w:sz w:val="24"/>
                <w:szCs w:val="24"/>
              </w:rPr>
              <w:t>787,340</w:t>
            </w:r>
          </w:p>
        </w:tc>
        <w:tc>
          <w:tcPr>
            <w:vAlign w:val="center"/>
          </w:tcPr>
          <w:p>
            <w:pPr>
              <w:jc w:val="right"/>
            </w:pPr>
            <w:r>
              <w:rPr>
                <w:color w:val="000000"/>
                <w:kern w:val="0"/>
                <w:sz w:val="24"/>
                <w:szCs w:val="24"/>
              </w:rPr>
              <w:t>342,729,102.00</w:t>
            </w:r>
          </w:p>
        </w:tc>
        <w:tc>
          <w:tcPr>
            <w:vAlign w:val="center"/>
          </w:tcPr>
          <w:p>
            <w:pPr>
              <w:jc w:val="right"/>
            </w:pPr>
            <w:r>
              <w:rPr>
                <w:color w:val="000000"/>
                <w:kern w:val="0"/>
                <w:sz w:val="24"/>
                <w:szCs w:val="24"/>
              </w:rPr>
              <w:t>5.93</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600763</w:t>
            </w:r>
          </w:p>
        </w:tc>
        <w:tc>
          <w:tcPr>
            <w:vAlign w:val="center"/>
          </w:tcPr>
          <w:p>
            <w:pPr>
              <w:jc w:val="center"/>
            </w:pPr>
            <w:r>
              <w:rPr>
                <w:color w:val="000000"/>
                <w:kern w:val="0"/>
                <w:sz w:val="24"/>
                <w:szCs w:val="24"/>
              </w:rPr>
              <w:t>通策医疗</w:t>
            </w:r>
          </w:p>
        </w:tc>
        <w:tc>
          <w:tcPr>
            <w:vAlign w:val="center"/>
          </w:tcPr>
          <w:p>
            <w:pPr>
              <w:jc w:val="right"/>
            </w:pPr>
            <w:r>
              <w:rPr>
                <w:color w:val="000000"/>
                <w:kern w:val="0"/>
                <w:sz w:val="24"/>
                <w:szCs w:val="24"/>
              </w:rPr>
              <w:t>1,369,234</w:t>
            </w:r>
          </w:p>
        </w:tc>
        <w:tc>
          <w:tcPr>
            <w:vAlign w:val="center"/>
          </w:tcPr>
          <w:p>
            <w:pPr>
              <w:jc w:val="right"/>
            </w:pPr>
            <w:r>
              <w:rPr>
                <w:color w:val="000000"/>
                <w:kern w:val="0"/>
                <w:sz w:val="24"/>
                <w:szCs w:val="24"/>
              </w:rPr>
              <w:t>228,347,154.18</w:t>
            </w:r>
          </w:p>
        </w:tc>
        <w:tc>
          <w:tcPr>
            <w:vAlign w:val="center"/>
          </w:tcPr>
          <w:p>
            <w:pPr>
              <w:jc w:val="right"/>
            </w:pPr>
            <w:r>
              <w:rPr>
                <w:color w:val="000000"/>
                <w:kern w:val="0"/>
                <w:sz w:val="24"/>
                <w:szCs w:val="24"/>
              </w:rPr>
              <w:t>3.95</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002007</w:t>
            </w:r>
          </w:p>
        </w:tc>
        <w:tc>
          <w:tcPr>
            <w:vAlign w:val="center"/>
          </w:tcPr>
          <w:p>
            <w:pPr>
              <w:jc w:val="center"/>
            </w:pPr>
            <w:r>
              <w:rPr>
                <w:color w:val="000000"/>
                <w:kern w:val="0"/>
                <w:sz w:val="24"/>
                <w:szCs w:val="24"/>
              </w:rPr>
              <w:t>华兰生物</w:t>
            </w:r>
          </w:p>
        </w:tc>
        <w:tc>
          <w:tcPr>
            <w:vAlign w:val="center"/>
          </w:tcPr>
          <w:p>
            <w:pPr>
              <w:jc w:val="right"/>
            </w:pPr>
            <w:r>
              <w:rPr>
                <w:color w:val="000000"/>
                <w:kern w:val="0"/>
                <w:sz w:val="24"/>
                <w:szCs w:val="24"/>
              </w:rPr>
              <w:t>3,507,379</w:t>
            </w:r>
          </w:p>
        </w:tc>
        <w:tc>
          <w:tcPr>
            <w:vAlign w:val="center"/>
          </w:tcPr>
          <w:p>
            <w:pPr>
              <w:jc w:val="right"/>
            </w:pPr>
            <w:r>
              <w:rPr>
                <w:color w:val="000000"/>
                <w:kern w:val="0"/>
                <w:sz w:val="24"/>
                <w:szCs w:val="24"/>
              </w:rPr>
              <w:t>175,754,761.69</w:t>
            </w:r>
          </w:p>
        </w:tc>
        <w:tc>
          <w:tcPr>
            <w:vAlign w:val="center"/>
          </w:tcPr>
          <w:p>
            <w:pPr>
              <w:jc w:val="right"/>
            </w:pPr>
            <w:r>
              <w:rPr>
                <w:color w:val="000000"/>
                <w:kern w:val="0"/>
                <w:sz w:val="24"/>
                <w:szCs w:val="24"/>
              </w:rPr>
              <w:t>3.04</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300760</w:t>
            </w:r>
          </w:p>
        </w:tc>
        <w:tc>
          <w:tcPr>
            <w:vAlign w:val="center"/>
          </w:tcPr>
          <w:p>
            <w:pPr>
              <w:jc w:val="center"/>
            </w:pPr>
            <w:r>
              <w:rPr>
                <w:color w:val="000000"/>
                <w:kern w:val="0"/>
                <w:sz w:val="24"/>
                <w:szCs w:val="24"/>
              </w:rPr>
              <w:t>迈瑞医疗</w:t>
            </w:r>
          </w:p>
        </w:tc>
        <w:tc>
          <w:tcPr>
            <w:vAlign w:val="center"/>
          </w:tcPr>
          <w:p>
            <w:pPr>
              <w:jc w:val="right"/>
            </w:pPr>
            <w:r>
              <w:rPr>
                <w:color w:val="000000"/>
                <w:kern w:val="0"/>
                <w:sz w:val="24"/>
                <w:szCs w:val="24"/>
              </w:rPr>
              <w:t>555,591</w:t>
            </w:r>
          </w:p>
        </w:tc>
        <w:tc>
          <w:tcPr>
            <w:vAlign w:val="center"/>
          </w:tcPr>
          <w:p>
            <w:pPr>
              <w:jc w:val="right"/>
            </w:pPr>
            <w:r>
              <w:rPr>
                <w:color w:val="000000"/>
                <w:kern w:val="0"/>
                <w:sz w:val="24"/>
                <w:szCs w:val="24"/>
              </w:rPr>
              <w:t>169,844,168.70</w:t>
            </w:r>
          </w:p>
        </w:tc>
        <w:tc>
          <w:tcPr>
            <w:vAlign w:val="center"/>
          </w:tcPr>
          <w:p>
            <w:pPr>
              <w:jc w:val="right"/>
            </w:pPr>
            <w:r>
              <w:rPr>
                <w:color w:val="000000"/>
                <w:kern w:val="0"/>
                <w:sz w:val="24"/>
                <w:szCs w:val="24"/>
              </w:rPr>
              <w:t>2.94</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603520</w:t>
            </w:r>
          </w:p>
        </w:tc>
        <w:tc>
          <w:tcPr>
            <w:vAlign w:val="center"/>
          </w:tcPr>
          <w:p>
            <w:pPr>
              <w:jc w:val="center"/>
            </w:pPr>
            <w:r>
              <w:rPr>
                <w:color w:val="000000"/>
                <w:kern w:val="0"/>
                <w:sz w:val="24"/>
                <w:szCs w:val="24"/>
              </w:rPr>
              <w:t>司太立</w:t>
            </w:r>
          </w:p>
        </w:tc>
        <w:tc>
          <w:tcPr>
            <w:vAlign w:val="center"/>
          </w:tcPr>
          <w:p>
            <w:pPr>
              <w:jc w:val="right"/>
            </w:pPr>
            <w:r>
              <w:rPr>
                <w:color w:val="000000"/>
                <w:kern w:val="0"/>
                <w:sz w:val="24"/>
                <w:szCs w:val="24"/>
              </w:rPr>
              <w:t>1,631,965</w:t>
            </w:r>
          </w:p>
        </w:tc>
        <w:tc>
          <w:tcPr>
            <w:vAlign w:val="center"/>
          </w:tcPr>
          <w:p>
            <w:pPr>
              <w:jc w:val="right"/>
            </w:pPr>
            <w:r>
              <w:rPr>
                <w:color w:val="000000"/>
                <w:kern w:val="0"/>
                <w:sz w:val="24"/>
                <w:szCs w:val="24"/>
              </w:rPr>
              <w:t>137,182,977.90</w:t>
            </w:r>
          </w:p>
        </w:tc>
        <w:tc>
          <w:tcPr>
            <w:vAlign w:val="center"/>
          </w:tcPr>
          <w:p>
            <w:pPr>
              <w:jc w:val="right"/>
            </w:pPr>
            <w:r>
              <w:rPr>
                <w:color w:val="000000"/>
                <w:kern w:val="0"/>
                <w:sz w:val="24"/>
                <w:szCs w:val="24"/>
              </w:rPr>
              <w:t>2.37</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688278</w:t>
            </w:r>
          </w:p>
        </w:tc>
        <w:tc>
          <w:tcPr>
            <w:vAlign w:val="center"/>
          </w:tcPr>
          <w:p>
            <w:pPr>
              <w:jc w:val="center"/>
            </w:pPr>
            <w:r>
              <w:rPr>
                <w:color w:val="000000"/>
                <w:kern w:val="0"/>
                <w:sz w:val="24"/>
                <w:szCs w:val="24"/>
              </w:rPr>
              <w:t>特宝生物</w:t>
            </w:r>
          </w:p>
        </w:tc>
        <w:tc>
          <w:tcPr>
            <w:vAlign w:val="center"/>
          </w:tcPr>
          <w:p>
            <w:pPr>
              <w:jc w:val="right"/>
            </w:pPr>
            <w:r>
              <w:rPr>
                <w:color w:val="000000"/>
                <w:kern w:val="0"/>
                <w:sz w:val="24"/>
                <w:szCs w:val="24"/>
              </w:rPr>
              <w:t>1,880,277</w:t>
            </w:r>
          </w:p>
        </w:tc>
        <w:tc>
          <w:tcPr>
            <w:vAlign w:val="center"/>
          </w:tcPr>
          <w:p>
            <w:pPr>
              <w:jc w:val="right"/>
            </w:pPr>
            <w:r>
              <w:rPr>
                <w:color w:val="000000"/>
                <w:kern w:val="0"/>
                <w:sz w:val="24"/>
                <w:szCs w:val="24"/>
              </w:rPr>
              <w:t>133,048,400.52</w:t>
            </w:r>
          </w:p>
        </w:tc>
        <w:tc>
          <w:tcPr>
            <w:vAlign w:val="center"/>
          </w:tcPr>
          <w:p>
            <w:pPr>
              <w:jc w:val="right"/>
            </w:pPr>
            <w:r>
              <w:rPr>
                <w:color w:val="000000"/>
                <w:kern w:val="0"/>
                <w:sz w:val="24"/>
                <w:szCs w:val="24"/>
              </w:rPr>
              <w:t>2.30</w:t>
            </w:r>
          </w:p>
        </w:tc>
      </w:tr>
    </w:tbl>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tbl>
      <w:tblPr>
        <w:tblStyle w:val="af7"/>
        <w:tblW w:type="dxa" w:w="8755"/>
        <w:jc w:val="center"/>
        <w:tblLayout w:type="fixed"/>
        <w:tblLook w:firstColumn="1" w:firstRow="1" w:lastColumn="0" w:lastRow="0" w:noHBand="0" w:noVBand="1" w:val="04A0"/>
      </w:tblPr>
      <w:tblGrid>
        <w:gridCol w:w="817"/>
        <w:gridCol w:w="3260"/>
        <w:gridCol w:w="2949"/>
        <w:gridCol w:w="1729"/>
      </w:tblGrid>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序号</w:t>
            </w:r>
          </w:p>
        </w:tc>
        <w:tc>
          <w:tcPr>
            <w:tcW w:type="dxa" w:w="3260"/>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债券品种</w:t>
            </w: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
            </w:r>
          </w:p>
        </w:tc>
        <w:tc>
          <w:tcPr>
            <w:tcW w:type="dxa" w:w="294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公允价值</w:t>
            </w:r>
            <w:r w:rsidRPr="00283CAD">
              <w:rPr>
                <w:rFonts w:eastAsiaTheme="minorEastAsia"/>
                <w:color w:themeColor="text1" w:val="000000"/>
                <w:sz w:val="24"/>
                <w:szCs w:val="24"/>
              </w:rPr>
              <w:t>(</w:t>
            </w:r>
            <w:r w:rsidRPr="00283CAD">
              <w:rPr>
                <w:rFonts w:eastAsiaTheme="minorEastAsia"/>
                <w:color w:themeColor="text1" w:val="000000"/>
                <w:sz w:val="24"/>
                <w:szCs w:val="24"/>
              </w:rPr>
              <w:t>元</w:t>
            </w:r>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占基金资产净值比例</w:t>
            </w:r>
            <w:r w:rsidRPr="00283CAD">
              <w:rPr>
                <w:rFonts w:eastAsiaTheme="minorEastAsia"/>
                <w:color w:themeColor="text1" w:val="000000"/>
                <w:sz w:val="24"/>
                <w:szCs w:val="24"/>
              </w:rPr>
              <w:t>(</w:t>
            </w:r>
            <w:r w:rsidRPr="00283CAD">
              <w:rPr>
                <w:rFonts w:eastAsiaTheme="minorEastAsia"/>
                <w:color w:themeColor="text1" w:val="000000"/>
                <w:sz w:val="24"/>
                <w:szCs w:val="24"/>
              </w:rPr>
              <w:t>％</w:t>
            </w: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国家债券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2</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央行票据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3</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金融债券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其中：政策性金融债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4</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5</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企业短期融资券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6</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中期票据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7</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可转债</w:t>
            </w:r>
            <w:r w:rsidR="004B5343" w:rsidRPr="004B5343">
              <w:rPr>
                <w:rFonts w:eastAsiaTheme="minorEastAsia" w:hint="eastAsia"/>
                <w:color w:themeColor="text1" w:val="000000"/>
                <w:sz w:val="24"/>
                <w:szCs w:val="24"/>
              </w:rPr>
              <w:t>（可交换债）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2,868,363.60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lastRenderedPageBreak/>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0.05</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lastRenderedPageBreak/>
              <w:t>8</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同业存单</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9</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其他</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10</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合计</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2,868,363.60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0.05</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1276"/>
        <w:gridCol w:w="1275"/>
        <w:gridCol w:w="1560"/>
        <w:gridCol w:w="1984"/>
        <w:gridCol w:w="1474"/>
      </w:tblGrid>
      <w:tr w:rsidR="00750D48" w:rsidRPr="00264E55" w:rsidTr="005602F3">
        <w:tc>
          <w:tcPr>
            <w:tcW w:type="dxa" w:w="959"/>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债券代码</w:t>
            </w:r>
          </w:p>
        </w:tc>
        <w:tc>
          <w:tcPr>
            <w:tcW w:type="dxa" w:w="1275"/>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债券名称</w:t>
            </w:r>
          </w:p>
        </w:tc>
        <w:tc>
          <w:tcPr>
            <w:tcW w:type="dxa" w:w="1560"/>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（张）</w:t>
            </w:r>
          </w:p>
        </w:tc>
        <w:tc>
          <w:tcPr>
            <w:tcW w:type="dxa" w:w="198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47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113583</w:t>
            </w:r>
          </w:p>
        </w:tc>
        <w:tc>
          <w:tcPr>
            <w:vAlign w:val="center"/>
          </w:tcPr>
          <w:p>
            <w:pPr>
              <w:jc w:val="center"/>
            </w:pPr>
            <w:r>
              <w:rPr>
                <w:color w:val="000000"/>
                <w:kern w:val="0"/>
                <w:sz w:val="24"/>
                <w:szCs w:val="24"/>
              </w:rPr>
              <w:t>益丰转债</w:t>
            </w:r>
          </w:p>
        </w:tc>
        <w:tc>
          <w:tcPr>
            <w:vAlign w:val="center"/>
          </w:tcPr>
          <w:p>
            <w:pPr>
              <w:jc w:val="right"/>
            </w:pPr>
            <w:r>
              <w:rPr>
                <w:color w:val="000000"/>
                <w:kern w:val="0"/>
                <w:sz w:val="24"/>
                <w:szCs w:val="24"/>
              </w:rPr>
              <w:t>17,100</w:t>
            </w:r>
          </w:p>
        </w:tc>
        <w:tc>
          <w:tcPr>
            <w:vAlign w:val="center"/>
          </w:tcPr>
          <w:p>
            <w:pPr>
              <w:jc w:val="right"/>
            </w:pPr>
            <w:r>
              <w:rPr>
                <w:color w:val="000000"/>
                <w:kern w:val="0"/>
                <w:sz w:val="24"/>
                <w:szCs w:val="24"/>
              </w:rPr>
              <w:t>2,273,958.00</w:t>
            </w:r>
          </w:p>
        </w:tc>
        <w:tc>
          <w:tcPr>
            <w:vAlign w:val="center"/>
          </w:tcPr>
          <w:p>
            <w:pPr>
              <w:jc w:val="right"/>
            </w:pPr>
            <w:r>
              <w:rPr>
                <w:color w:val="000000"/>
                <w:kern w:val="0"/>
                <w:sz w:val="24"/>
                <w:szCs w:val="24"/>
              </w:rPr>
              <w:t>0.04</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110057</w:t>
            </w:r>
          </w:p>
        </w:tc>
        <w:tc>
          <w:tcPr>
            <w:vAlign w:val="center"/>
          </w:tcPr>
          <w:p>
            <w:pPr>
              <w:jc w:val="center"/>
            </w:pPr>
            <w:r>
              <w:rPr>
                <w:color w:val="000000"/>
                <w:kern w:val="0"/>
                <w:sz w:val="24"/>
                <w:szCs w:val="24"/>
              </w:rPr>
              <w:t>现代转债</w:t>
            </w:r>
          </w:p>
        </w:tc>
        <w:tc>
          <w:tcPr>
            <w:vAlign w:val="center"/>
          </w:tcPr>
          <w:p>
            <w:pPr>
              <w:jc w:val="right"/>
            </w:pPr>
            <w:r>
              <w:rPr>
                <w:color w:val="000000"/>
                <w:kern w:val="0"/>
                <w:sz w:val="24"/>
                <w:szCs w:val="24"/>
              </w:rPr>
              <w:t>3,570</w:t>
            </w:r>
          </w:p>
        </w:tc>
        <w:tc>
          <w:tcPr>
            <w:vAlign w:val="center"/>
          </w:tcPr>
          <w:p>
            <w:pPr>
              <w:jc w:val="right"/>
            </w:pPr>
            <w:r>
              <w:rPr>
                <w:color w:val="000000"/>
                <w:kern w:val="0"/>
                <w:sz w:val="24"/>
                <w:szCs w:val="24"/>
              </w:rPr>
              <w:t>395,306.10</w:t>
            </w:r>
          </w:p>
        </w:tc>
        <w:tc>
          <w:tcPr>
            <w:vAlign w:val="center"/>
          </w:tcPr>
          <w:p>
            <w:pPr>
              <w:jc w:val="right"/>
            </w:pPr>
            <w:r>
              <w:rPr>
                <w:color w:val="000000"/>
                <w:kern w:val="0"/>
                <w:sz w:val="24"/>
                <w:szCs w:val="24"/>
              </w:rPr>
              <w:t>0.01</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113024</w:t>
            </w:r>
          </w:p>
        </w:tc>
        <w:tc>
          <w:tcPr>
            <w:vAlign w:val="center"/>
          </w:tcPr>
          <w:p>
            <w:pPr>
              <w:jc w:val="center"/>
            </w:pPr>
            <w:r>
              <w:rPr>
                <w:color w:val="000000"/>
                <w:kern w:val="0"/>
                <w:sz w:val="24"/>
                <w:szCs w:val="24"/>
              </w:rPr>
              <w:t>核建转债</w:t>
            </w:r>
          </w:p>
        </w:tc>
        <w:tc>
          <w:tcPr>
            <w:vAlign w:val="center"/>
          </w:tcPr>
          <w:p>
            <w:pPr>
              <w:jc w:val="right"/>
            </w:pPr>
            <w:r>
              <w:rPr>
                <w:color w:val="000000"/>
                <w:kern w:val="0"/>
                <w:sz w:val="24"/>
                <w:szCs w:val="24"/>
              </w:rPr>
              <w:t>1,990</w:t>
            </w:r>
          </w:p>
        </w:tc>
        <w:tc>
          <w:tcPr>
            <w:vAlign w:val="center"/>
          </w:tcPr>
          <w:p>
            <w:pPr>
              <w:jc w:val="right"/>
            </w:pPr>
            <w:r>
              <w:rPr>
                <w:color w:val="000000"/>
                <w:kern w:val="0"/>
                <w:sz w:val="24"/>
                <w:szCs w:val="24"/>
              </w:rPr>
              <w:t>199,099.50</w:t>
            </w:r>
          </w:p>
        </w:tc>
        <w:tc>
          <w:tcPr>
            <w:vAlign w:val="center"/>
          </w:tcPr>
          <w:p>
            <w:pPr>
              <w:jc w:val="right"/>
            </w:pPr>
            <w:r>
              <w:rPr>
                <w:color w:val="000000"/>
                <w:kern w:val="0"/>
                <w:sz w:val="24"/>
                <w:szCs w:val="24"/>
              </w:rPr>
              <w:t>0.00</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本基金投资的前十名股票没有超出基金合同规定的备选股票库。</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791,252.17</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44,410.79</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144,566,505.78</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145,402,168.74</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808"/>
        <w:gridCol w:w="1729"/>
        <w:gridCol w:w="1658"/>
        <w:gridCol w:w="1697"/>
        <w:gridCol w:w="1621"/>
      </w:tblGrid>
      <w:tr w:rsidR="00750D48" w:rsidRPr="00264E55" w:rsidTr="00B05049">
        <w:tc>
          <w:tcPr>
            <w:tcW w:type="dxa" w:w="1808"/>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序号</w:t>
            </w:r>
          </w:p>
        </w:tc>
        <w:tc>
          <w:tcPr>
            <w:tcW w:type="dxa" w:w="1729"/>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债券代码</w:t>
            </w:r>
          </w:p>
        </w:tc>
        <w:tc>
          <w:tcPr>
            <w:tcW w:type="dxa" w:w="1658"/>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债券名称</w:t>
            </w:r>
          </w:p>
        </w:tc>
        <w:tc>
          <w:tcPr>
            <w:tcW w:type="dxa" w:w="1697"/>
            <w:vAlign w:val="center"/>
          </w:tcPr>
          <w:p w:rsidP="005F7917"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公允价值</w:t>
            </w:r>
            <w:r w:rsidR="005F7917" w:rsidRPr="00B227EA">
              <w:rPr>
                <w:color w:val="000000"/>
                <w:kern w:val="0"/>
                <w:sz w:val="24"/>
                <w:szCs w:val="24"/>
              </w:rPr>
              <w:t>（元）</w:t>
            </w:r>
          </w:p>
        </w:tc>
        <w:tc>
          <w:tcPr>
            <w:tcW w:type="dxa" w:w="1621"/>
            <w:vAlign w:val="center"/>
          </w:tcPr>
          <w:p w:rsidP="005F7917"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占基金资产净值比例</w:t>
            </w:r>
            <w:r w:rsidR="005F7917" w:rsidRPr="00B227EA">
              <w:rPr>
                <w:color w:val="000000"/>
                <w:kern w:val="0"/>
                <w:sz w:val="24"/>
                <w:szCs w:val="24"/>
              </w:rPr>
              <w:t>（</w:t>
            </w:r>
            <w:r w:rsidR="005F7917" w:rsidRPr="00B227EA">
              <w:rPr>
                <w:color w:val="000000"/>
                <w:kern w:val="0"/>
                <w:sz w:val="24"/>
                <w:szCs w:val="24"/>
              </w:rPr>
              <w:t>%</w:t>
            </w:r>
            <w:r w:rsidR="005F7917" w:rsidRPr="00B227EA">
              <w:rPr>
                <w:color w:val="000000"/>
                <w:kern w:val="0"/>
                <w:sz w:val="24"/>
                <w:szCs w:val="24"/>
              </w:rPr>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110057</w:t>
            </w:r>
          </w:p>
        </w:tc>
        <w:tc>
          <w:tcPr>
            <w:vAlign w:val="center"/>
          </w:tcPr>
          <w:p>
            <w:pPr>
              <w:jc w:val="center"/>
            </w:pPr>
            <w:r>
              <w:rPr>
                <w:color w:val="000000"/>
                <w:kern w:val="0"/>
                <w:sz w:val="24"/>
                <w:szCs w:val="24"/>
              </w:rPr>
              <w:t>现代转债</w:t>
            </w:r>
          </w:p>
        </w:tc>
        <w:tc>
          <w:tcPr>
            <w:vAlign w:val="center"/>
          </w:tcPr>
          <w:p>
            <w:pPr>
              <w:jc w:val="right"/>
            </w:pPr>
            <w:r>
              <w:rPr>
                <w:color w:val="000000"/>
                <w:kern w:val="0"/>
                <w:sz w:val="24"/>
                <w:szCs w:val="24"/>
              </w:rPr>
              <w:t>395,306.10</w:t>
            </w:r>
          </w:p>
        </w:tc>
        <w:tc>
          <w:tcPr>
            <w:vAlign w:val="center"/>
          </w:tcPr>
          <w:p>
            <w:pPr>
              <w:jc w:val="right"/>
            </w:pPr>
            <w:r>
              <w:rPr>
                <w:color w:val="000000"/>
                <w:kern w:val="0"/>
                <w:sz w:val="24"/>
                <w:szCs w:val="24"/>
              </w:rPr>
              <w:t>0.01</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113024</w:t>
            </w:r>
          </w:p>
        </w:tc>
        <w:tc>
          <w:tcPr>
            <w:vAlign w:val="center"/>
          </w:tcPr>
          <w:p>
            <w:pPr>
              <w:jc w:val="center"/>
            </w:pPr>
            <w:r>
              <w:rPr>
                <w:color w:val="000000"/>
                <w:kern w:val="0"/>
                <w:sz w:val="24"/>
                <w:szCs w:val="24"/>
              </w:rPr>
              <w:t>核建转债</w:t>
            </w:r>
          </w:p>
        </w:tc>
        <w:tc>
          <w:tcPr>
            <w:vAlign w:val="center"/>
          </w:tcPr>
          <w:p>
            <w:pPr>
              <w:jc w:val="right"/>
            </w:pPr>
            <w:r>
              <w:rPr>
                <w:color w:val="000000"/>
                <w:kern w:val="0"/>
                <w:sz w:val="24"/>
                <w:szCs w:val="24"/>
              </w:rPr>
              <w:t>199,099.50</w:t>
            </w:r>
          </w:p>
        </w:tc>
        <w:tc>
          <w:tcPr>
            <w:vAlign w:val="center"/>
          </w:tcPr>
          <w:p>
            <w:pPr>
              <w:jc w:val="right"/>
            </w:pPr>
            <w:r>
              <w:rPr>
                <w:color w:val="000000"/>
                <w:kern w:val="0"/>
                <w:sz w:val="24"/>
                <w:szCs w:val="24"/>
              </w:rPr>
              <w:t>0.00</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本基金本报告期末前十名股票中不存在流通受限情况。</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1,532,401,369.16</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872,113,511.41</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740,185,733.77</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1,664,329,146.80</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232B03" w:rsidR="00750D48" w:rsidRDefault="00AC11B0"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本报告期内基金管理人未持有本基金份额。</w:t>
      </w:r>
    </w:p>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本报告期内基金管理人未运用固有资金申购、赎回、买卖本基金份额。</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8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1.中国证监会核准易方达医疗保健行业股票型证券投资基金募集的文件；</w:t>
      </w:r>
    </w:p>
    <w:p>
      <w:pPr>
        <w:spacing w:line="360" w:lineRule="auto"/>
        <w:ind w:firstLine="480" w:firstLineChars="200"/>
        <w:rPr>
          <w:color w:val="000000"/>
          <w:sz w:val="24"/>
          <w:szCs w:val="24"/>
        </w:rPr>
      </w:pPr>
      <w:r>
        <w:rPr>
          <w:color w:val="000000"/>
          <w:sz w:val="24"/>
          <w:szCs w:val="24"/>
        </w:rPr>
        <w:t>2.易方达基金管理有限公司关于旗下部分开放式基金更名及修改基金合同、托管协议的公告</w:t>
      </w:r>
    </w:p>
    <w:p>
      <w:pPr>
        <w:spacing w:line="360" w:lineRule="auto"/>
        <w:ind w:firstLine="480" w:firstLineChars="200"/>
        <w:rPr>
          <w:color w:val="000000"/>
          <w:sz w:val="24"/>
          <w:szCs w:val="24"/>
        </w:rPr>
      </w:pPr>
      <w:r>
        <w:rPr>
          <w:color w:val="000000"/>
          <w:sz w:val="24"/>
          <w:szCs w:val="24"/>
        </w:rPr>
        <w:t>3.《易方达医疗保健行业混合型证券投资基金基金合同》；</w:t>
      </w:r>
    </w:p>
    <w:p>
      <w:pPr>
        <w:spacing w:line="360" w:lineRule="auto"/>
        <w:ind w:firstLine="480" w:firstLineChars="200"/>
        <w:rPr>
          <w:color w:val="000000"/>
          <w:sz w:val="24"/>
          <w:szCs w:val="24"/>
        </w:rPr>
      </w:pPr>
      <w:r>
        <w:rPr>
          <w:color w:val="000000"/>
          <w:sz w:val="24"/>
          <w:szCs w:val="24"/>
        </w:rPr>
        <w:t>4.《易方达医疗保健行业混合型证券投资基金托管协议》；</w:t>
      </w:r>
    </w:p>
    <w:p>
      <w:pPr>
        <w:spacing w:line="360" w:lineRule="auto"/>
        <w:ind w:firstLine="480" w:firstLineChars="200"/>
        <w:rPr>
          <w:color w:val="000000"/>
          <w:sz w:val="24"/>
          <w:szCs w:val="24"/>
        </w:rPr>
      </w:pPr>
      <w:r>
        <w:rPr>
          <w:color w:val="000000"/>
          <w:sz w:val="24"/>
          <w:szCs w:val="24"/>
        </w:rPr>
        <w:t>5.《易方达基金管理有限公司开放式基金业务规则》；</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6.基金管理人业务资格批件和营业执照。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易方达医疗保健行业混合型证券投资基金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