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易方达消费行业股票型证券投资基金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中国农业银行股份有限公司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易方达消费行业股票</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110022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110022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2010年8月20日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6,067,029,778.75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主要投资消费行业股票，在严格控制风险的前提下，追求超越业绩比较基准的投资回报。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本基金将根据对消费行业各子行业的综合分析，从中选择具有较强竞争优势且估值具有吸引力的上市公司进行投资，在努力控制风险的前提下追求更高回报。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中证内地消费主题指数收益率×85%+中债总指数收益率×15%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本基金为主动股票基金，理论上其风险收益水平高于混合基金和债券基金。同时，本基金为行业基金，在享受消费行业收益的同时，也必须承担单一行业带来的风险。</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中国农业银行股份有限公司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592,923,135.21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3,801,110,506.79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0.6026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20,593,201,707.69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3.394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21.47%</w:t>
            </w:r>
          </w:p>
        </w:tc>
        <w:tc>
          <w:tcPr>
            <w:vAlign w:val="center"/>
          </w:tcPr>
          <w:p>
            <w:pPr>
              <w:jc w:val="center"/>
            </w:pPr>
            <w:r>
              <w:rPr>
                <w:color w:val="000000"/>
                <w:kern w:val="0"/>
                <w:sz w:val="24"/>
                <w:szCs w:val="24"/>
              </w:rPr>
              <w:t>1.10%</w:t>
            </w:r>
          </w:p>
        </w:tc>
        <w:tc>
          <w:tcPr>
            <w:vAlign w:val="center"/>
          </w:tcPr>
          <w:p>
            <w:pPr>
              <w:jc w:val="center"/>
            </w:pPr>
            <w:r>
              <w:rPr>
                <w:color w:val="000000"/>
                <w:kern w:val="0"/>
                <w:sz w:val="24"/>
                <w:szCs w:val="24"/>
              </w:rPr>
              <w:t>17.37%</w:t>
            </w:r>
          </w:p>
        </w:tc>
        <w:tc>
          <w:tcPr>
            <w:vAlign w:val="center"/>
          </w:tcPr>
          <w:p>
            <w:pPr>
              <w:jc w:val="center"/>
            </w:pPr>
            <w:r>
              <w:rPr>
                <w:color w:val="000000"/>
                <w:kern w:val="0"/>
                <w:sz w:val="24"/>
                <w:szCs w:val="24"/>
              </w:rPr>
              <w:t>0.91%</w:t>
            </w:r>
          </w:p>
        </w:tc>
        <w:tc>
          <w:tcPr>
            <w:vAlign w:val="center"/>
          </w:tcPr>
          <w:p>
            <w:pPr>
              <w:jc w:val="center"/>
            </w:pPr>
            <w:r>
              <w:rPr>
                <w:color w:val="000000"/>
                <w:kern w:val="0"/>
                <w:sz w:val="24"/>
                <w:szCs w:val="24"/>
              </w:rPr>
              <w:t>4.10%</w:t>
            </w:r>
          </w:p>
        </w:tc>
        <w:tc>
          <w:tcPr>
            <w:vAlign w:val="center"/>
          </w:tcPr>
          <w:p>
            <w:pPr>
              <w:jc w:val="center"/>
            </w:pPr>
            <w:r>
              <w:rPr>
                <w:color w:val="000000"/>
                <w:kern w:val="0"/>
                <w:sz w:val="24"/>
                <w:szCs w:val="24"/>
              </w:rPr>
              <w:t>0.19%</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11.02%</w:t>
            </w:r>
          </w:p>
        </w:tc>
        <w:tc>
          <w:tcPr>
            <w:vAlign w:val="center"/>
          </w:tcPr>
          <w:p>
            <w:pPr>
              <w:jc w:val="center"/>
            </w:pPr>
            <w:r>
              <w:rPr>
                <w:color w:val="000000"/>
                <w:kern w:val="0"/>
                <w:sz w:val="24"/>
                <w:szCs w:val="24"/>
              </w:rPr>
              <w:t>1.71%</w:t>
            </w:r>
          </w:p>
        </w:tc>
        <w:tc>
          <w:tcPr>
            <w:vAlign w:val="center"/>
          </w:tcPr>
          <w:p>
            <w:pPr>
              <w:jc w:val="center"/>
            </w:pPr>
            <w:r>
              <w:rPr>
                <w:color w:val="000000"/>
                <w:kern w:val="0"/>
                <w:sz w:val="24"/>
                <w:szCs w:val="24"/>
              </w:rPr>
              <w:t>10.07%</w:t>
            </w:r>
          </w:p>
        </w:tc>
        <w:tc>
          <w:tcPr>
            <w:vAlign w:val="center"/>
          </w:tcPr>
          <w:p>
            <w:pPr>
              <w:jc w:val="center"/>
            </w:pPr>
            <w:r>
              <w:rPr>
                <w:color w:val="000000"/>
                <w:kern w:val="0"/>
                <w:sz w:val="24"/>
                <w:szCs w:val="24"/>
              </w:rPr>
              <w:t>1.45%</w:t>
            </w:r>
          </w:p>
        </w:tc>
        <w:tc>
          <w:tcPr>
            <w:vAlign w:val="center"/>
          </w:tcPr>
          <w:p>
            <w:pPr>
              <w:jc w:val="center"/>
            </w:pPr>
            <w:r>
              <w:rPr>
                <w:color w:val="000000"/>
                <w:kern w:val="0"/>
                <w:sz w:val="24"/>
                <w:szCs w:val="24"/>
              </w:rPr>
              <w:t>0.95%</w:t>
            </w:r>
          </w:p>
        </w:tc>
        <w:tc>
          <w:tcPr>
            <w:vAlign w:val="center"/>
          </w:tcPr>
          <w:p>
            <w:pPr>
              <w:jc w:val="center"/>
            </w:pPr>
            <w:r>
              <w:rPr>
                <w:color w:val="000000"/>
                <w:kern w:val="0"/>
                <w:sz w:val="24"/>
                <w:szCs w:val="24"/>
              </w:rPr>
              <w:t>0.26%</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21.69%</w:t>
            </w:r>
          </w:p>
        </w:tc>
        <w:tc>
          <w:tcPr>
            <w:vAlign w:val="center"/>
          </w:tcPr>
          <w:p>
            <w:pPr>
              <w:jc w:val="center"/>
            </w:pPr>
            <w:r>
              <w:rPr>
                <w:color w:val="000000"/>
                <w:kern w:val="0"/>
                <w:sz w:val="24"/>
                <w:szCs w:val="24"/>
              </w:rPr>
              <w:t>1.41%</w:t>
            </w:r>
          </w:p>
        </w:tc>
        <w:tc>
          <w:tcPr>
            <w:vAlign w:val="center"/>
          </w:tcPr>
          <w:p>
            <w:pPr>
              <w:jc w:val="center"/>
            </w:pPr>
            <w:r>
              <w:rPr>
                <w:color w:val="000000"/>
                <w:kern w:val="0"/>
                <w:sz w:val="24"/>
                <w:szCs w:val="24"/>
              </w:rPr>
              <w:t>19.13%</w:t>
            </w:r>
          </w:p>
        </w:tc>
        <w:tc>
          <w:tcPr>
            <w:vAlign w:val="center"/>
          </w:tcPr>
          <w:p>
            <w:pPr>
              <w:jc w:val="center"/>
            </w:pPr>
            <w:r>
              <w:rPr>
                <w:color w:val="000000"/>
                <w:kern w:val="0"/>
                <w:sz w:val="24"/>
                <w:szCs w:val="24"/>
              </w:rPr>
              <w:t>1.17%</w:t>
            </w:r>
          </w:p>
        </w:tc>
        <w:tc>
          <w:tcPr>
            <w:vAlign w:val="center"/>
          </w:tcPr>
          <w:p>
            <w:pPr>
              <w:jc w:val="center"/>
            </w:pPr>
            <w:r>
              <w:rPr>
                <w:color w:val="000000"/>
                <w:kern w:val="0"/>
                <w:sz w:val="24"/>
                <w:szCs w:val="24"/>
              </w:rPr>
              <w:t>2.56%</w:t>
            </w:r>
          </w:p>
        </w:tc>
        <w:tc>
          <w:tcPr>
            <w:vAlign w:val="center"/>
          </w:tcPr>
          <w:p>
            <w:pPr>
              <w:jc w:val="center"/>
            </w:pPr>
            <w:r>
              <w:rPr>
                <w:color w:val="000000"/>
                <w:kern w:val="0"/>
                <w:sz w:val="24"/>
                <w:szCs w:val="24"/>
              </w:rPr>
              <w:t>0.24%</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78.26%</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45.12%</w:t>
            </w:r>
          </w:p>
        </w:tc>
        <w:tc>
          <w:tcPr>
            <w:vAlign w:val="center"/>
          </w:tcPr>
          <w:p>
            <w:pPr>
              <w:jc w:val="center"/>
            </w:pPr>
            <w:r>
              <w:rPr>
                <w:color w:val="000000"/>
                <w:kern w:val="0"/>
                <w:sz w:val="24"/>
                <w:szCs w:val="24"/>
              </w:rPr>
              <w:t>1.29%</w:t>
            </w:r>
          </w:p>
        </w:tc>
        <w:tc>
          <w:tcPr>
            <w:vAlign w:val="center"/>
          </w:tcPr>
          <w:p>
            <w:pPr>
              <w:jc w:val="center"/>
            </w:pPr>
            <w:r>
              <w:rPr>
                <w:color w:val="000000"/>
                <w:kern w:val="0"/>
                <w:sz w:val="24"/>
                <w:szCs w:val="24"/>
              </w:rPr>
              <w:t>33.14%</w:t>
            </w:r>
          </w:p>
        </w:tc>
        <w:tc>
          <w:tcPr>
            <w:vAlign w:val="center"/>
          </w:tcPr>
          <w:p>
            <w:pPr>
              <w:jc w:val="center"/>
            </w:pPr>
            <w:r>
              <w:rPr>
                <w:color w:val="000000"/>
                <w:kern w:val="0"/>
                <w:sz w:val="24"/>
                <w:szCs w:val="24"/>
              </w:rPr>
              <w:t>0.25%</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124.32%</w:t>
            </w:r>
          </w:p>
        </w:tc>
        <w:tc>
          <w:tcPr>
            <w:vAlign w:val="center"/>
          </w:tcPr>
          <w:p>
            <w:pPr>
              <w:jc w:val="center"/>
            </w:pPr>
            <w:r>
              <w:rPr>
                <w:color w:val="000000"/>
                <w:kern w:val="0"/>
                <w:sz w:val="24"/>
                <w:szCs w:val="24"/>
              </w:rPr>
              <w:t>1.62%</w:t>
            </w:r>
          </w:p>
        </w:tc>
        <w:tc>
          <w:tcPr>
            <w:vAlign w:val="center"/>
          </w:tcPr>
          <w:p>
            <w:pPr>
              <w:jc w:val="center"/>
            </w:pPr>
            <w:r>
              <w:rPr>
                <w:color w:val="000000"/>
                <w:kern w:val="0"/>
                <w:sz w:val="24"/>
                <w:szCs w:val="24"/>
              </w:rPr>
              <w:t>46.69%</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77.63%</w:t>
            </w:r>
          </w:p>
        </w:tc>
        <w:tc>
          <w:tcPr>
            <w:vAlign w:val="center"/>
          </w:tcPr>
          <w:p>
            <w:pPr>
              <w:jc w:val="center"/>
            </w:pPr>
            <w:r>
              <w:rPr>
                <w:color w:val="000000"/>
                <w:kern w:val="0"/>
                <w:sz w:val="24"/>
                <w:szCs w:val="24"/>
              </w:rPr>
              <w:t>0.25%</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239.40%</w:t>
            </w:r>
          </w:p>
        </w:tc>
        <w:tc>
          <w:tcPr>
            <w:vAlign w:val="center"/>
          </w:tcPr>
          <w:p>
            <w:pPr>
              <w:jc w:val="center"/>
            </w:pPr>
            <w:r>
              <w:rPr>
                <w:color w:val="000000"/>
                <w:kern w:val="0"/>
                <w:sz w:val="24"/>
                <w:szCs w:val="24"/>
              </w:rPr>
              <w:t>1.43%</w:t>
            </w:r>
          </w:p>
        </w:tc>
        <w:tc>
          <w:tcPr>
            <w:vAlign w:val="center"/>
          </w:tcPr>
          <w:p>
            <w:pPr>
              <w:jc w:val="center"/>
            </w:pPr>
            <w:r>
              <w:rPr>
                <w:color w:val="000000"/>
                <w:kern w:val="0"/>
                <w:sz w:val="24"/>
                <w:szCs w:val="24"/>
              </w:rPr>
              <w:t>117.67%</w:t>
            </w:r>
          </w:p>
        </w:tc>
        <w:tc>
          <w:tcPr>
            <w:vAlign w:val="center"/>
          </w:tcPr>
          <w:p>
            <w:pPr>
              <w:jc w:val="center"/>
            </w:pPr>
            <w:r>
              <w:rPr>
                <w:color w:val="000000"/>
                <w:kern w:val="0"/>
                <w:sz w:val="24"/>
                <w:szCs w:val="24"/>
              </w:rPr>
              <w:t>1.29%</w:t>
            </w:r>
          </w:p>
        </w:tc>
        <w:tc>
          <w:tcPr>
            <w:vAlign w:val="center"/>
          </w:tcPr>
          <w:p>
            <w:pPr>
              <w:jc w:val="center"/>
            </w:pPr>
            <w:r>
              <w:rPr>
                <w:color w:val="000000"/>
                <w:kern w:val="0"/>
                <w:sz w:val="24"/>
                <w:szCs w:val="24"/>
              </w:rPr>
              <w:t>121.73%</w:t>
            </w:r>
          </w:p>
        </w:tc>
        <w:tc>
          <w:tcPr>
            <w:vAlign w:val="center"/>
          </w:tcPr>
          <w:p>
            <w:pPr>
              <w:jc w:val="center"/>
            </w:pPr>
            <w:r>
              <w:rPr>
                <w:color w:val="000000"/>
                <w:kern w:val="0"/>
                <w:sz w:val="24"/>
                <w:szCs w:val="24"/>
              </w:rPr>
              <w:t>0.14%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易方达消费行业股票型证券投资基金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2010年8月20日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注：自基金合同生效至报告期末，基金份额净值增长率为239.40%，同期业绩比较基准收益率为117.67%。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萧楠</w:t>
            </w:r>
          </w:p>
        </w:tc>
        <w:tc>
          <w:tcPr>
            <w:vAlign w:val="center"/>
          </w:tcPr>
          <w:p>
            <w:pPr>
              <w:jc w:val="left"/>
            </w:pPr>
            <w:r>
              <w:rPr>
                <w:color w:val="000000"/>
                <w:sz w:val="24"/>
              </w:rPr>
              <w:t>本基金的基金经理、易方达大健康主题灵活配置混合型证券投资基金的基金经理、易方达现代服务业灵活配置混合型证券投资基金的基金经理（自2017年11月22日至2020年06月05日）、易方达瑞恒灵活配置混合型证券投资基金的基金经理、易方达科顺定期开放灵活配置混合型证券投资基金的基金经理、易方达消费精选股票型证券投资基金的基金经理、投资三部总经理、研究部副总经理</w:t>
            </w:r>
          </w:p>
        </w:tc>
        <w:tc>
          <w:tcPr>
            <w:vAlign w:val="center"/>
          </w:tcPr>
          <w:p>
            <w:pPr>
              <w:jc w:val="center"/>
            </w:pPr>
            <w:r>
              <w:rPr>
                <w:color w:val="000000"/>
                <w:sz w:val="24"/>
              </w:rPr>
              <w:t>2012-09-28</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流动性持续推升股市，市场风险偏好有较明显的提升，上证综指上涨8.52%，上证50指数上涨9.40%，创业板指数上涨30.25%。医药、科技板块继续成为市场主线，而随着疫情得到控制，消费板块也明显受益，中证内地消费指数上涨20.73%，其中免税销售、食品饮料、传媒等板块涨幅居前，而纺织服装、汽车等板块表现落后。</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随着市场整体的估值不断被推高，我们持续买入一些低估值品种以控制组合整体的估值水平；此外，我们坚持自上而下挖掘一些长期以来被市场冷落，但基本面已经出现变化的品种，未来我们还会沿着这个方向进一步配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截至报告期末，本基金份额净值为3.394元，本报告期份额净值增长率为21.47%，同期业绩比较基准收益率为17.37%。</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17,882,136,358.76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85.42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17,882,136,358.76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85.42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17,903,351.60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17,903,351.60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693,981,067.00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3.32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1,989,760,229.05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9.50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350,388,606.90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20,934,169,613.31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277,729,162.00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17,598,439,744.35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85.46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361,358.97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17,882,136,358.76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86.84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12,217,705</w:t>
            </w:r>
          </w:p>
        </w:tc>
        <w:tc>
          <w:tcPr>
            <w:vAlign w:val="center"/>
          </w:tcPr>
          <w:p>
            <w:pPr>
              <w:jc w:val="right"/>
            </w:pPr>
            <w:r>
              <w:rPr>
                <w:color w:val="000000"/>
                <w:kern w:val="0"/>
                <w:sz w:val="24"/>
                <w:szCs w:val="24"/>
              </w:rPr>
              <w:t>2,090,693,679.60</w:t>
            </w:r>
          </w:p>
        </w:tc>
        <w:tc>
          <w:tcPr>
            <w:vAlign w:val="center"/>
          </w:tcPr>
          <w:p>
            <w:pPr>
              <w:jc w:val="right"/>
            </w:pPr>
            <w:r>
              <w:rPr>
                <w:color w:val="000000"/>
                <w:kern w:val="0"/>
                <w:sz w:val="24"/>
                <w:szCs w:val="24"/>
              </w:rPr>
              <w:t>10.15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1,403,547</w:t>
            </w:r>
          </w:p>
        </w:tc>
        <w:tc>
          <w:tcPr>
            <w:vAlign w:val="center"/>
          </w:tcPr>
          <w:p>
            <w:pPr>
              <w:jc w:val="right"/>
            </w:pPr>
            <w:r>
              <w:rPr>
                <w:color w:val="000000"/>
                <w:kern w:val="0"/>
                <w:sz w:val="24"/>
                <w:szCs w:val="24"/>
              </w:rPr>
              <w:t>2,053,220,835.36</w:t>
            </w:r>
          </w:p>
        </w:tc>
        <w:tc>
          <w:tcPr>
            <w:vAlign w:val="center"/>
          </w:tcPr>
          <w:p>
            <w:pPr>
              <w:jc w:val="right"/>
            </w:pPr>
            <w:r>
              <w:rPr>
                <w:color w:val="000000"/>
                <w:kern w:val="0"/>
                <w:sz w:val="24"/>
                <w:szCs w:val="24"/>
              </w:rPr>
              <w:t>9.97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600809</w:t>
            </w:r>
          </w:p>
        </w:tc>
        <w:tc>
          <w:tcPr>
            <w:vAlign w:val="center"/>
          </w:tcPr>
          <w:p>
            <w:pPr>
              <w:jc w:val="center"/>
            </w:pPr>
            <w:r>
              <w:rPr>
                <w:color w:val="000000"/>
                <w:kern w:val="0"/>
                <w:sz w:val="24"/>
                <w:szCs w:val="24"/>
              </w:rPr>
              <w:t>山西汾酒</w:t>
            </w:r>
          </w:p>
        </w:tc>
        <w:tc>
          <w:tcPr>
            <w:vAlign w:val="center"/>
          </w:tcPr>
          <w:p>
            <w:pPr>
              <w:jc w:val="right"/>
            </w:pPr>
            <w:r>
              <w:rPr>
                <w:color w:val="000000"/>
                <w:kern w:val="0"/>
                <w:sz w:val="24"/>
                <w:szCs w:val="24"/>
              </w:rPr>
              <w:t>13,745,273</w:t>
            </w:r>
          </w:p>
        </w:tc>
        <w:tc>
          <w:tcPr>
            <w:vAlign w:val="center"/>
          </w:tcPr>
          <w:p>
            <w:pPr>
              <w:jc w:val="right"/>
            </w:pPr>
            <w:r>
              <w:rPr>
                <w:color w:val="000000"/>
                <w:kern w:val="0"/>
                <w:sz w:val="24"/>
                <w:szCs w:val="24"/>
              </w:rPr>
              <w:t>1,993,064,585.00</w:t>
            </w:r>
          </w:p>
        </w:tc>
        <w:tc>
          <w:tcPr>
            <w:vAlign w:val="center"/>
          </w:tcPr>
          <w:p>
            <w:pPr>
              <w:jc w:val="right"/>
            </w:pPr>
            <w:r>
              <w:rPr>
                <w:color w:val="000000"/>
                <w:kern w:val="0"/>
                <w:sz w:val="24"/>
                <w:szCs w:val="24"/>
              </w:rPr>
              <w:t>9.68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32,100,475</w:t>
            </w:r>
          </w:p>
        </w:tc>
        <w:tc>
          <w:tcPr>
            <w:vAlign w:val="center"/>
          </w:tcPr>
          <w:p>
            <w:pPr>
              <w:jc w:val="right"/>
            </w:pPr>
            <w:r>
              <w:rPr>
                <w:color w:val="000000"/>
                <w:kern w:val="0"/>
                <w:sz w:val="24"/>
                <w:szCs w:val="24"/>
              </w:rPr>
              <w:t>1,815,923,870.75</w:t>
            </w:r>
          </w:p>
        </w:tc>
        <w:tc>
          <w:tcPr>
            <w:vAlign w:val="center"/>
          </w:tcPr>
          <w:p>
            <w:pPr>
              <w:jc w:val="right"/>
            </w:pPr>
            <w:r>
              <w:rPr>
                <w:color w:val="000000"/>
                <w:kern w:val="0"/>
                <w:sz w:val="24"/>
                <w:szCs w:val="24"/>
              </w:rPr>
              <w:t>8.82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29,832,493</w:t>
            </w:r>
          </w:p>
        </w:tc>
        <w:tc>
          <w:tcPr>
            <w:vAlign w:val="center"/>
          </w:tcPr>
          <w:p>
            <w:pPr>
              <w:jc w:val="right"/>
            </w:pPr>
            <w:r>
              <w:rPr>
                <w:color w:val="000000"/>
                <w:kern w:val="0"/>
                <w:sz w:val="24"/>
                <w:szCs w:val="24"/>
              </w:rPr>
              <w:t>1,783,684,756.47</w:t>
            </w:r>
          </w:p>
        </w:tc>
        <w:tc>
          <w:tcPr>
            <w:vAlign w:val="center"/>
          </w:tcPr>
          <w:p>
            <w:pPr>
              <w:jc w:val="right"/>
            </w:pPr>
            <w:r>
              <w:rPr>
                <w:color w:val="000000"/>
                <w:kern w:val="0"/>
                <w:sz w:val="24"/>
                <w:szCs w:val="24"/>
              </w:rPr>
              <w:t>8.66</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19,521,463</w:t>
            </w:r>
          </w:p>
        </w:tc>
        <w:tc>
          <w:tcPr>
            <w:vAlign w:val="center"/>
          </w:tcPr>
          <w:p>
            <w:pPr>
              <w:jc w:val="right"/>
            </w:pPr>
            <w:r>
              <w:rPr>
                <w:color w:val="000000"/>
                <w:kern w:val="0"/>
                <w:sz w:val="24"/>
                <w:szCs w:val="24"/>
              </w:rPr>
              <w:t>1,778,795,708.56</w:t>
            </w:r>
          </w:p>
        </w:tc>
        <w:tc>
          <w:tcPr>
            <w:vAlign w:val="center"/>
          </w:tcPr>
          <w:p>
            <w:pPr>
              <w:jc w:val="right"/>
            </w:pPr>
            <w:r>
              <w:rPr>
                <w:color w:val="000000"/>
                <w:kern w:val="0"/>
                <w:sz w:val="24"/>
                <w:szCs w:val="24"/>
              </w:rPr>
              <w:t>8.64</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30,331,032</w:t>
            </w:r>
          </w:p>
        </w:tc>
        <w:tc>
          <w:tcPr>
            <w:vAlign w:val="center"/>
          </w:tcPr>
          <w:p>
            <w:pPr>
              <w:jc w:val="right"/>
            </w:pPr>
            <w:r>
              <w:rPr>
                <w:color w:val="000000"/>
                <w:kern w:val="0"/>
                <w:sz w:val="24"/>
                <w:szCs w:val="24"/>
              </w:rPr>
              <w:t>1,728,262,203.36</w:t>
            </w:r>
          </w:p>
        </w:tc>
        <w:tc>
          <w:tcPr>
            <w:vAlign w:val="center"/>
          </w:tcPr>
          <w:p>
            <w:pPr>
              <w:jc w:val="right"/>
            </w:pPr>
            <w:r>
              <w:rPr>
                <w:color w:val="000000"/>
                <w:kern w:val="0"/>
                <w:sz w:val="24"/>
                <w:szCs w:val="24"/>
              </w:rPr>
              <w:t>8.39</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11,456,769</w:t>
            </w:r>
          </w:p>
        </w:tc>
        <w:tc>
          <w:tcPr>
            <w:vAlign w:val="center"/>
          </w:tcPr>
          <w:p>
            <w:pPr>
              <w:jc w:val="right"/>
            </w:pPr>
            <w:r>
              <w:rPr>
                <w:color w:val="000000"/>
                <w:kern w:val="0"/>
                <w:sz w:val="24"/>
                <w:szCs w:val="24"/>
              </w:rPr>
              <w:t>1,721,264,974.56</w:t>
            </w:r>
          </w:p>
        </w:tc>
        <w:tc>
          <w:tcPr>
            <w:vAlign w:val="center"/>
          </w:tcPr>
          <w:p>
            <w:pPr>
              <w:jc w:val="right"/>
            </w:pPr>
            <w:r>
              <w:rPr>
                <w:color w:val="000000"/>
                <w:kern w:val="0"/>
                <w:sz w:val="24"/>
                <w:szCs w:val="24"/>
              </w:rPr>
              <w:t>8.36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000423</w:t>
            </w:r>
          </w:p>
        </w:tc>
        <w:tc>
          <w:tcPr>
            <w:vAlign w:val="center"/>
          </w:tcPr>
          <w:p>
            <w:pPr>
              <w:jc w:val="center"/>
            </w:pPr>
            <w:r>
              <w:rPr>
                <w:color w:val="000000"/>
                <w:kern w:val="0"/>
                <w:sz w:val="24"/>
                <w:szCs w:val="24"/>
              </w:rPr>
              <w:t>东阿阿胶</w:t>
            </w:r>
          </w:p>
        </w:tc>
        <w:tc>
          <w:tcPr>
            <w:vAlign w:val="center"/>
          </w:tcPr>
          <w:p>
            <w:pPr>
              <w:jc w:val="right"/>
            </w:pPr>
            <w:r>
              <w:rPr>
                <w:color w:val="000000"/>
                <w:kern w:val="0"/>
                <w:sz w:val="24"/>
                <w:szCs w:val="24"/>
              </w:rPr>
              <w:t>19,609,490</w:t>
            </w:r>
          </w:p>
        </w:tc>
        <w:tc>
          <w:tcPr>
            <w:vAlign w:val="center"/>
          </w:tcPr>
          <w:p>
            <w:pPr>
              <w:jc w:val="right"/>
            </w:pPr>
            <w:r>
              <w:rPr>
                <w:color w:val="000000"/>
                <w:kern w:val="0"/>
                <w:sz w:val="24"/>
                <w:szCs w:val="24"/>
              </w:rPr>
              <w:t>702,215,836.90</w:t>
            </w:r>
          </w:p>
        </w:tc>
        <w:tc>
          <w:tcPr>
            <w:vAlign w:val="center"/>
          </w:tcPr>
          <w:p>
            <w:pPr>
              <w:jc w:val="right"/>
            </w:pPr>
            <w:r>
              <w:rPr>
                <w:color w:val="000000"/>
                <w:kern w:val="0"/>
                <w:sz w:val="24"/>
                <w:szCs w:val="24"/>
              </w:rPr>
              <w:t>3.41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002032</w:t>
            </w:r>
          </w:p>
        </w:tc>
        <w:tc>
          <w:tcPr>
            <w:vAlign w:val="center"/>
          </w:tcPr>
          <w:p>
            <w:pPr>
              <w:jc w:val="center"/>
            </w:pPr>
            <w:r>
              <w:rPr>
                <w:color w:val="000000"/>
                <w:kern w:val="0"/>
                <w:sz w:val="24"/>
                <w:szCs w:val="24"/>
              </w:rPr>
              <w:t>苏泊尔</w:t>
            </w:r>
          </w:p>
        </w:tc>
        <w:tc>
          <w:tcPr>
            <w:vAlign w:val="center"/>
          </w:tcPr>
          <w:p>
            <w:pPr>
              <w:jc w:val="right"/>
            </w:pPr>
            <w:r>
              <w:rPr>
                <w:color w:val="000000"/>
                <w:kern w:val="0"/>
                <w:sz w:val="24"/>
                <w:szCs w:val="24"/>
              </w:rPr>
              <w:t>6,698,108</w:t>
            </w:r>
          </w:p>
        </w:tc>
        <w:tc>
          <w:tcPr>
            <w:vAlign w:val="center"/>
          </w:tcPr>
          <w:p>
            <w:pPr>
              <w:jc w:val="right"/>
            </w:pPr>
            <w:r>
              <w:rPr>
                <w:color w:val="000000"/>
                <w:kern w:val="0"/>
                <w:sz w:val="24"/>
                <w:szCs w:val="24"/>
              </w:rPr>
              <w:t>475,565,668.00</w:t>
            </w:r>
          </w:p>
        </w:tc>
        <w:tc>
          <w:tcPr>
            <w:vAlign w:val="center"/>
          </w:tcPr>
          <w:p>
            <w:pPr>
              <w:jc w:val="right"/>
            </w:pPr>
            <w:r>
              <w:rPr>
                <w:color w:val="000000"/>
                <w:kern w:val="0"/>
                <w:sz w:val="24"/>
                <w:szCs w:val="24"/>
              </w:rPr>
              <w:t>2.31</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注：本报告期末本基金投资五粮液占基金资产净值比例超过10%，属于被动超标。</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17,903,351.60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17,903,351.60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113543</w:t>
            </w:r>
          </w:p>
        </w:tc>
        <w:tc>
          <w:tcPr>
            <w:vAlign w:val="center"/>
          </w:tcPr>
          <w:p>
            <w:pPr>
              <w:jc w:val="center"/>
            </w:pPr>
            <w:r>
              <w:rPr>
                <w:color w:val="000000"/>
                <w:kern w:val="0"/>
                <w:sz w:val="24"/>
                <w:szCs w:val="24"/>
              </w:rPr>
              <w:t>欧派转债</w:t>
            </w:r>
          </w:p>
        </w:tc>
        <w:tc>
          <w:tcPr>
            <w:vAlign w:val="center"/>
          </w:tcPr>
          <w:p>
            <w:pPr>
              <w:jc w:val="right"/>
            </w:pPr>
            <w:r>
              <w:rPr>
                <w:color w:val="000000"/>
                <w:kern w:val="0"/>
                <w:sz w:val="24"/>
                <w:szCs w:val="24"/>
              </w:rPr>
              <w:t>59,390</w:t>
            </w:r>
          </w:p>
        </w:tc>
        <w:tc>
          <w:tcPr>
            <w:vAlign w:val="center"/>
          </w:tcPr>
          <w:p>
            <w:pPr>
              <w:jc w:val="right"/>
            </w:pPr>
            <w:r>
              <w:rPr>
                <w:color w:val="000000"/>
                <w:kern w:val="0"/>
                <w:sz w:val="24"/>
                <w:szCs w:val="24"/>
              </w:rPr>
              <w:t>7,387,522.10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113544</w:t>
            </w:r>
          </w:p>
        </w:tc>
        <w:tc>
          <w:tcPr>
            <w:vAlign w:val="center"/>
          </w:tcPr>
          <w:p>
            <w:pPr>
              <w:jc w:val="center"/>
            </w:pPr>
            <w:r>
              <w:rPr>
                <w:color w:val="000000"/>
                <w:kern w:val="0"/>
                <w:sz w:val="24"/>
                <w:szCs w:val="24"/>
              </w:rPr>
              <w:t>桃李转债</w:t>
            </w:r>
          </w:p>
        </w:tc>
        <w:tc>
          <w:tcPr>
            <w:vAlign w:val="center"/>
          </w:tcPr>
          <w:p>
            <w:pPr>
              <w:jc w:val="right"/>
            </w:pPr>
            <w:r>
              <w:rPr>
                <w:color w:val="000000"/>
                <w:kern w:val="0"/>
                <w:sz w:val="24"/>
                <w:szCs w:val="24"/>
              </w:rPr>
              <w:t>51,250</w:t>
            </w:r>
          </w:p>
        </w:tc>
        <w:tc>
          <w:tcPr>
            <w:vAlign w:val="center"/>
          </w:tcPr>
          <w:p>
            <w:pPr>
              <w:jc w:val="right"/>
            </w:pPr>
            <w:r>
              <w:rPr>
                <w:color w:val="000000"/>
                <w:kern w:val="0"/>
                <w:sz w:val="24"/>
                <w:szCs w:val="24"/>
              </w:rPr>
              <w:t>6,434,950.00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21,500</w:t>
            </w:r>
          </w:p>
        </w:tc>
        <w:tc>
          <w:tcPr>
            <w:vAlign w:val="center"/>
          </w:tcPr>
          <w:p>
            <w:pPr>
              <w:jc w:val="right"/>
            </w:pPr>
            <w:r>
              <w:rPr>
                <w:color w:val="000000"/>
                <w:kern w:val="0"/>
                <w:sz w:val="24"/>
                <w:szCs w:val="24"/>
              </w:rPr>
              <w:t>2,557,640.00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14,550</w:t>
            </w:r>
          </w:p>
        </w:tc>
        <w:tc>
          <w:tcPr>
            <w:vAlign w:val="center"/>
          </w:tcPr>
          <w:p>
            <w:pPr>
              <w:jc w:val="right"/>
            </w:pPr>
            <w:r>
              <w:rPr>
                <w:color w:val="000000"/>
                <w:kern w:val="0"/>
                <w:sz w:val="24"/>
                <w:szCs w:val="24"/>
              </w:rPr>
              <w:t>1,523,239.50</w:t>
            </w:r>
          </w:p>
        </w:tc>
        <w:tc>
          <w:tcPr>
            <w:vAlign w:val="center"/>
          </w:tcPr>
          <w:p>
            <w:pPr>
              <w:jc w:val="right"/>
            </w:pPr>
            <w:r>
              <w:rPr>
                <w:color w:val="000000"/>
                <w:kern w:val="0"/>
                <w:sz w:val="24"/>
                <w:szCs w:val="24"/>
              </w:rPr>
              <w:t>0.01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1,069,744.67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197,962,130.03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457,527.53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150,899,204.67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350,388,606.90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113543</w:t>
            </w:r>
          </w:p>
        </w:tc>
        <w:tc>
          <w:tcPr>
            <w:vAlign w:val="center"/>
          </w:tcPr>
          <w:p>
            <w:pPr>
              <w:jc w:val="center"/>
            </w:pPr>
            <w:r>
              <w:rPr>
                <w:color w:val="000000"/>
                <w:kern w:val="0"/>
                <w:sz w:val="24"/>
                <w:szCs w:val="24"/>
              </w:rPr>
              <w:t>欧派转债</w:t>
            </w:r>
          </w:p>
        </w:tc>
        <w:tc>
          <w:tcPr>
            <w:vAlign w:val="center"/>
          </w:tcPr>
          <w:p>
            <w:pPr>
              <w:jc w:val="right"/>
            </w:pPr>
            <w:r>
              <w:rPr>
                <w:color w:val="000000"/>
                <w:kern w:val="0"/>
                <w:sz w:val="24"/>
                <w:szCs w:val="24"/>
              </w:rPr>
              <w:t>7,387,522.10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113544</w:t>
            </w:r>
          </w:p>
        </w:tc>
        <w:tc>
          <w:tcPr>
            <w:vAlign w:val="center"/>
          </w:tcPr>
          <w:p>
            <w:pPr>
              <w:jc w:val="center"/>
            </w:pPr>
            <w:r>
              <w:rPr>
                <w:color w:val="000000"/>
                <w:kern w:val="0"/>
                <w:sz w:val="24"/>
                <w:szCs w:val="24"/>
              </w:rPr>
              <w:t>桃李转债</w:t>
            </w:r>
          </w:p>
        </w:tc>
        <w:tc>
          <w:tcPr>
            <w:vAlign w:val="center"/>
          </w:tcPr>
          <w:p>
            <w:pPr>
              <w:jc w:val="right"/>
            </w:pPr>
            <w:r>
              <w:rPr>
                <w:color w:val="000000"/>
                <w:kern w:val="0"/>
                <w:sz w:val="24"/>
                <w:szCs w:val="24"/>
              </w:rPr>
              <w:t>6,434,950.00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2,557,640.00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1,523,239.50</w:t>
            </w:r>
          </w:p>
        </w:tc>
        <w:tc>
          <w:tcPr>
            <w:vAlign w:val="center"/>
          </w:tcPr>
          <w:p>
            <w:pPr>
              <w:jc w:val="right"/>
            </w:pPr>
            <w:r>
              <w:rPr>
                <w:color w:val="000000"/>
                <w:kern w:val="0"/>
                <w:sz w:val="24"/>
                <w:szCs w:val="24"/>
              </w:rPr>
              <w:t>0.01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6,298,798,028.60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1,949,710,730.47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2,181,478,980.32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6,067,029,778.75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1.中国证监会核准易方达消费行业股票型证券投资基金募集的文件；</w:t>
      </w:r>
    </w:p>
    <w:p>
      <w:pPr>
        <w:spacing w:line="360" w:lineRule="auto"/>
        <w:ind w:firstLine="480" w:firstLineChars="200"/>
        <w:rPr>
          <w:color w:val="000000"/>
          <w:sz w:val="24"/>
          <w:szCs w:val="24"/>
        </w:rPr>
      </w:pPr>
      <w:r>
        <w:rPr>
          <w:color w:val="000000"/>
          <w:sz w:val="24"/>
          <w:szCs w:val="24"/>
        </w:rPr>
        <w:t>2.《易方达消费行业股票型证券投资基金基金合同》；</w:t>
      </w:r>
    </w:p>
    <w:p>
      <w:pPr>
        <w:spacing w:line="360" w:lineRule="auto"/>
        <w:ind w:firstLine="480" w:firstLineChars="200"/>
        <w:rPr>
          <w:color w:val="000000"/>
          <w:sz w:val="24"/>
          <w:szCs w:val="24"/>
        </w:rPr>
      </w:pPr>
      <w:r>
        <w:rPr>
          <w:color w:val="000000"/>
          <w:sz w:val="24"/>
          <w:szCs w:val="24"/>
        </w:rPr>
        <w:t>3.《易方达消费行业股票型证券投资基金托管协议》；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易方达消费行业股票型证券投资基金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