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FC7F43" w:rsidRDefault="00FC7F4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FC13C8" w:rsidR="009A2283"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Pr="00D3639B">
        <w:rPr>
          <w:rFonts w:eastAsiaTheme="minorEastAsia"/>
          <w:b/>
          <w:color w:themeColor="text1" w:val="000000"/>
          <w:sz w:val="36"/>
          <w:szCs w:val="36"/>
        </w:rPr>
        <w:t>易方达上证中盘交易型开放式指数证券投资基金联接基金</w:t>
      </w:r>
    </w:p>
    <w:p w:rsidP="00FC13C8" w:rsidR="002D2A00"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r w:rsidRPr="00D3639B">
        <w:rPr>
          <w:rFonts w:eastAsiaTheme="minorEastAsia"/>
          <w:b/>
          <w:color w:themeColor="text1" w:val="000000"/>
          <w:sz w:val="36"/>
          <w:szCs w:val="36"/>
        </w:rPr>
        <w:t/>
      </w:r>
      <w:proofErr w:type="spellEnd"/>
      <w:r w:rsidRPr="00D3639B">
        <w:rPr>
          <w:rFonts w:eastAsiaTheme="minorEastAsia"/>
          <w:b/>
          <w:color w:themeColor="text1" w:val="000000"/>
          <w:sz w:val="36"/>
          <w:szCs w:val="36"/>
        </w:rPr>
        <w:t>2020年第2季度报告</w:t>
      </w:r>
    </w:p>
    <w:p w:rsidP="00FC13C8" w:rsidR="009A2283" w:rsidRDefault="00577209"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00121533" w:rsidRPr="00D3639B">
        <w:rPr>
          <w:rFonts w:eastAsiaTheme="minorEastAsia"/>
          <w:b/>
          <w:color w:themeColor="text1" w:val="000000"/>
          <w:sz w:val="36"/>
          <w:szCs w:val="36"/>
        </w:rPr>
        <w:t>2020年6月30日</w:t>
      </w: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E27360" w:rsidR="009A2283" w:rsidRDefault="009A2283" w:rsidRPr="00D3639B">
      <w:pPr>
        <w:spacing w:line="360" w:lineRule="auto"/>
        <w:jc w:val="center"/>
        <w:rPr>
          <w:rFonts w:eastAsiaTheme="minorEastAsia"/>
          <w:b/>
          <w:color w:themeColor="text1" w:val="000000"/>
          <w:szCs w:val="21"/>
        </w:rPr>
      </w:pPr>
    </w:p>
    <w:p w:rsidP="00E27360" w:rsidR="00E27360" w:rsidRDefault="00E27360"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rPr>
          <w:rFonts w:eastAsiaTheme="minorEastAsia"/>
          <w:b/>
          <w:color w:themeColor="text1" w:val="000000"/>
          <w:szCs w:val="21"/>
        </w:rPr>
      </w:pP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基金管理人：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易方达基金管理有限公司</w:t>
      </w: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基金托管人：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中国工商银行股份有限公司</w:t>
      </w:r>
    </w:p>
    <w:p w:rsidP="004B54B8" w:rsidR="009A2283" w:rsidRDefault="009A2283" w:rsidRPr="00D3639B">
      <w:pPr>
        <w:spacing w:line="360" w:lineRule="auto"/>
        <w:ind w:firstLine="2168" w:firstLineChars="900"/>
        <w:rPr>
          <w:rFonts w:eastAsiaTheme="minorEastAsia"/>
          <w:color w:themeColor="text1" w:val="000000"/>
          <w:sz w:val="24"/>
        </w:rPr>
        <w:sectPr w:rsidR="009A2283" w:rsidRPr="00D3639B" w:rsidSect="00F7094A">
          <w:headerReference r:id="rId9" w:type="default"/>
          <w:footerReference r:id="rId10" w:type="default"/>
          <w:pgSz w:h="15840" w:w="11926"/>
          <w:pgMar w:bottom="851" w:footer="992" w:gutter="0" w:header="851" w:left="1418" w:right="1418" w:top="1418"/>
          <w:cols w:space="720"/>
          <w:noEndnote/>
        </w:sectPr>
      </w:pPr>
      <w:r w:rsidRPr="00D3639B">
        <w:rPr>
          <w:rFonts w:eastAsiaTheme="minorEastAsia"/>
          <w:b/>
          <w:color w:themeColor="text1" w:val="000000"/>
          <w:sz w:val="24"/>
        </w:rPr>
        <w:t>报告送出日期：</w:t>
      </w:r>
      <w:r w:rsidR="00D04410" w:rsidRPr="00D3639B">
        <w:rPr>
          <w:rFonts w:eastAsiaTheme="minorEastAsia"/>
          <w:b/>
          <w:color w:themeColor="text1" w:val="000000"/>
          <w:sz w:val="24"/>
        </w:rPr>
        <w:t/>
      </w:r>
      <w:proofErr w:type="spellStart"/>
      <w:proofErr w:type="gramStart"/>
      <w:r w:rsidR="00D04410" w:rsidRPr="00D3639B">
        <w:rPr>
          <w:rFonts w:eastAsiaTheme="minorEastAsia"/>
          <w:b/>
          <w:color w:themeColor="text1" w:val="000000"/>
          <w:sz w:val="24"/>
        </w:rPr>
        <w:t/>
      </w:r>
      <w:proofErr w:type="spellEnd"/>
      <w:proofErr w:type="gramEnd"/>
      <w:r w:rsidR="00D04410" w:rsidRPr="00D3639B">
        <w:rPr>
          <w:rFonts w:eastAsiaTheme="minorEastAsia"/>
          <w:b/>
          <w:color w:themeColor="text1" w:val="000000"/>
          <w:sz w:val="24"/>
        </w:rPr>
        <w:t>二〇二〇年七月二十一日</w:t>
      </w:r>
    </w:p>
    <w:p w:rsidP="00C544B8" w:rsidR="009238DB" w:rsidRDefault="009238DB" w:rsidRPr="00B34368">
      <w:pPr>
        <w:pStyle w:val="1"/>
        <w:spacing w:after="312" w:afterLines="100" w:before="312" w:beforeLines="100" w:line="360" w:lineRule="auto"/>
        <w:jc w:val="center"/>
        <w:rPr>
          <w:rFonts w:eastAsiaTheme="minorEastAsia"/>
          <w:b w:val="0"/>
          <w:color w:themeColor="text1" w:val="000000"/>
          <w:kern w:val="0"/>
          <w:sz w:val="24"/>
          <w:szCs w:val="24"/>
        </w:rPr>
      </w:pPr>
      <w:r w:rsidRPr="00B34368">
        <w:rPr>
          <w:rFonts w:eastAsiaTheme="minorEastAsia"/>
          <w:color w:themeColor="text1" w:val="000000"/>
          <w:kern w:val="0"/>
          <w:sz w:val="24"/>
          <w:szCs w:val="24"/>
        </w:rPr>
        <w:lastRenderedPageBreak/>
        <w:t xml:space="preserve">§1  </w:t>
      </w:r>
      <w:r w:rsidRPr="00B34368">
        <w:rPr>
          <w:rFonts w:eastAsiaTheme="minorEastAsia" w:hAnsiTheme="minorEastAsia"/>
          <w:color w:themeColor="text1" w:val="000000"/>
          <w:kern w:val="0"/>
          <w:sz w:val="24"/>
          <w:szCs w:val="24"/>
        </w:rPr>
        <w:t>重要提示</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基金管理人承诺以诚实信用、勤勉尽责的原则管理和运用基金资产，但不保证基金一定盈利。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基金的过往业绩并不代表其未来表现。投资有风险，投资者在作出投资决策前应仔细阅读本基金的招募说明书。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本报告中财务资料未经审计。</w:t>
      </w:r>
    </w:p>
    <w:p w:rsidP="00B34368" w:rsidR="009238DB" w:rsidRDefault="00267DA9"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本报告期自2020年4月1日起至6月30日止。</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§2  </w:t>
      </w:r>
      <w:r w:rsidRPr="00B34368">
        <w:rPr>
          <w:rFonts w:eastAsiaTheme="minorEastAsia" w:hAnsiTheme="minorEastAsia"/>
          <w:color w:themeColor="text1" w:val="000000"/>
          <w:kern w:val="0"/>
          <w:sz w:val="24"/>
          <w:szCs w:val="24"/>
        </w:rPr>
        <w:t>基金产品概况</w:t>
      </w:r>
    </w:p>
    <w:p w:rsidP="002C32ED" w:rsidR="002C32ED" w:rsidRDefault="002C32ED" w:rsidRPr="00B34368">
      <w:pPr>
        <w:pStyle w:val="2"/>
        <w:keepNext w:val="0"/>
        <w:keepLines w:val="0"/>
        <w:spacing w:after="0" w:before="0"/>
        <w:rPr>
          <w:rFonts w:ascii="Times New Roman" w:cs="Times New Roman" w:eastAsiaTheme="minorEastAsia" w:hAnsi="Times New Roman"/>
          <w:color w:themeColor="text1" w:val="000000"/>
          <w:szCs w:val="24"/>
        </w:rPr>
      </w:pPr>
      <w:bookmarkStart w:id="0" w:name="_Toc245193810"/>
      <w:r w:rsidRPr="00B34368">
        <w:rPr>
          <w:rFonts w:ascii="Times New Roman" w:cs="Times New Roman" w:eastAsiaTheme="minorEastAsia" w:hAnsi="Times New Roman"/>
          <w:color w:themeColor="text1" w:val="000000"/>
          <w:szCs w:val="24"/>
        </w:rPr>
        <w:t>2.1</w:t>
      </w:r>
      <w:r w:rsidRPr="00B34368">
        <w:rPr>
          <w:rFonts w:ascii="Times New Roman" w:cs="Times New Roman" w:eastAsiaTheme="minorEastAsia" w:hAnsiTheme="minorEastAsia"/>
          <w:color w:themeColor="text1" w:val="000000"/>
          <w:szCs w:val="24"/>
        </w:rPr>
        <w:t>基金产品概况</w:t>
      </w:r>
      <w:bookmarkEnd w:id="0"/>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基金简称</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易方达上证中盘ETF联接</w:t>
            </w:r>
          </w:p>
        </w:tc>
      </w:tr>
      <w:tr w:rsidR="00D3639B" w:rsidRPr="00B34368" w:rsidTr="004E70B7">
        <w:tc>
          <w:tcPr>
            <w:tcW w:type="dxa" w:w="2835"/>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479"/>
            <w:gridSpan w:val="2"/>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110021</w:t>
            </w:r>
          </w:p>
        </w:tc>
      </w:tr>
      <w:tr w:rsidR="00D3639B" w:rsidRPr="00B34368" w:rsidTr="004E70B7">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基金运作方式</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契约型开放式</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基金合同生效日</w:t>
            </w:r>
          </w:p>
        </w:tc>
        <w:tc>
          <w:tcPr>
            <w:tcW w:type="dxa" w:w="5479"/>
            <w:gridSpan w:val="2"/>
          </w:tcPr>
          <w:p w:rsidP="00121533" w:rsidR="00A6200E" w:rsidRDefault="0012153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2010年3月31日</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报告期末基金份额总额</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127,647,435.33</w:t>
            </w:r>
            <w:r w:rsidR="0060758A" w:rsidRPr="00B34368">
              <w:rPr>
                <w:rFonts w:eastAsiaTheme="minorEastAsia" w:hAnsiTheme="minorEastAsia"/>
                <w:color w:themeColor="text1" w:val="000000"/>
                <w:kern w:val="0"/>
                <w:sz w:val="24"/>
              </w:rPr>
              <w:t>份</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投资目标</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紧密跟踪业绩比较基准，追求跟踪偏离度及跟踪误差的最小化。力争将日均跟踪偏离度控制在0.35%以内，年化跟踪误差控制在4%以内。</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投资策略</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本基金为上证中盘ETF的联接基金。上证中盘ETF是采用完全复制法实现对上证中盘指数紧密跟踪的全被动指数基金，本基金主要通过投资于上证中盘ETF 实现对业绩比较基准的紧密跟踪，力争将日均跟踪偏离度控制在0.35%以内，年化跟踪误差控制在4%以内。在投资运作过程中，本基金将在综合考虑合规、风险、效率、成本等因素的基础上，决定采用实物申赎的方式或证券二级市场交易的方式进行上证中盘ETF 的买卖。待指数衍生金融产品推出以后，基金管理人在履行适当程序后，本基金可以适度运用衍生金融产品进一步降低跟踪误差。</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业绩比较基准</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上证中盘指数收益率X95%+活期存款利率(税后)X5%</w:t>
            </w:r>
          </w:p>
        </w:tc>
      </w:tr>
      <w:tr w:rsidR="00D3639B" w:rsidRPr="00B34368" w:rsidTr="009A045B">
        <w:tc>
          <w:tcPr>
            <w:tcW w:type="dxa" w:w="2835"/>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风险收益特征</w:t>
            </w:r>
          </w:p>
        </w:tc>
        <w:tc>
          <w:tcPr>
            <w:tcW w:type="dxa" w:w="5479"/>
            <w:gridSpan w:val="2"/>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本基金为上证中盘ETF 的联接基金，其预期风险收益水平高于混合型基金、债券基金和货币市场基金。本基金主要通过投资于上证中盘ETF 追踪业绩比较基准，具有与业绩比较基准相似的风险收益特征。</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基金管理人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易方达基金管理有限公司</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基金托管人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中国工商银行股份有限公司</w:t>
            </w:r>
          </w:p>
        </w:tc>
      </w:tr>
      <w:tr w:rsidR="00D3639B" w:rsidRPr="00B34368" w:rsidTr="00950413">
        <w:tc>
          <w:tcPr>
            <w:tcW w:type="dxa" w:w="2835"/>
          </w:tcPr>
          <w:p w:rsidP="00E205AA" w:rsidR="00950413" w:rsidRDefault="00075E4E" w:rsidRPr="00B34368">
            <w:pPr>
              <w:adjustRightInd w:val="0"/>
              <w:spacing w:before="29" w:line="360" w:lineRule="auto"/>
              <w:ind w:left="17"/>
              <w:jc w:val="left"/>
              <w:rPr>
                <w:rFonts w:eastAsiaTheme="minorEastAsia"/>
                <w:color w:themeColor="text1" w:val="000000"/>
                <w:kern w:val="0"/>
                <w:sz w:val="24"/>
              </w:rPr>
            </w:pPr>
            <w:r>
              <w:rPr>
                <w:rFonts w:eastAsiaTheme="minorEastAsia" w:hAnsiTheme="minorEastAsia"/>
                <w:color w:themeColor="text1" w:val="000000"/>
                <w:sz w:val="24"/>
              </w:rPr>
              <w:t>下属</w:t>
            </w:r>
            <w:r>
              <w:rPr>
                <w:rFonts w:eastAsiaTheme="minorEastAsia" w:hAnsiTheme="minorEastAsia" w:hint="eastAsia"/>
                <w:color w:themeColor="text1" w:val="000000"/>
                <w:sz w:val="24"/>
              </w:rPr>
              <w:t>分</w:t>
            </w:r>
            <w:r w:rsidR="00950413" w:rsidRPr="00B34368">
              <w:rPr>
                <w:rFonts w:eastAsiaTheme="minorEastAsia" w:hAnsiTheme="minorEastAsia"/>
                <w:color w:themeColor="text1" w:val="000000"/>
                <w:sz w:val="24"/>
              </w:rPr>
              <w:t>级基金的基金简称</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AF24AA" w:rsidRPr="00B34368">
              <w:rPr>
                <w:rFonts w:eastAsiaTheme="minorEastAsia"/>
                <w:color w:themeColor="text1" w:val="000000"/>
                <w:kern w:val="0"/>
                <w:sz w:val="24"/>
              </w:rPr>
              <w:t/>
            </w:r>
            <w:proofErr w:type="spellStart"/>
            <w:r w:rsidR="00AF24A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易方达上证中盘ETF联接A</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Pr="00B34368">
              <w:rPr>
                <w:rFonts w:eastAsiaTheme="minorEastAsia"/>
                <w:color w:themeColor="text1" w:val="000000"/>
                <w:sz w:val="24"/>
              </w:rPr>
              <w:t>易方达上证中盘ETF联接C</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级基金的交易代</w:t>
            </w:r>
            <w:r w:rsidRPr="00B34368">
              <w:rPr>
                <w:rFonts w:eastAsiaTheme="minorEastAsia" w:hAnsiTheme="minorEastAsia"/>
                <w:color w:themeColor="text1" w:val="000000"/>
                <w:sz w:val="24"/>
              </w:rPr>
              <w:lastRenderedPageBreak/>
              <w:t>码</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0042785F" w:rsidRPr="00B34368">
              <w:rPr>
                <w:rFonts w:eastAsiaTheme="minorEastAsia"/>
                <w:color w:themeColor="text1" w:val="000000"/>
                <w:sz w:val="24"/>
              </w:rPr>
              <w:t/>
            </w:r>
            <w:r w:rsidRPr="00B34368">
              <w:rPr>
                <w:rFonts w:eastAsiaTheme="minorEastAsia"/>
                <w:color w:themeColor="text1" w:val="000000"/>
                <w:sz w:val="24"/>
              </w:rPr>
              <w:t>110021</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r w:rsidRPr="00B34368">
              <w:rPr>
                <w:rFonts w:eastAsiaTheme="minorEastAsia"/>
                <w:color w:themeColor="text1" w:val="000000"/>
                <w:sz w:val="24"/>
              </w:rPr>
              <w:t/>
            </w:r>
            <w:r w:rsidRPr="00B34368">
              <w:rPr>
                <w:rFonts w:eastAsiaTheme="minorEastAsia"/>
                <w:color w:themeColor="text1" w:val="000000"/>
                <w:sz w:val="24"/>
              </w:rPr>
              <w:lastRenderedPageBreak/>
              <w:t/>
            </w:r>
            <w:r w:rsidR="004D614E" w:rsidRPr="00B34368">
              <w:rPr>
                <w:rFonts w:eastAsiaTheme="minorEastAsia"/>
                <w:color w:themeColor="text1" w:val="000000"/>
                <w:sz w:val="24"/>
              </w:rPr>
              <w:t/>
            </w:r>
            <w:r w:rsidR="00FE7FBD" w:rsidRPr="00B34368">
              <w:rPr>
                <w:rFonts w:eastAsiaTheme="minorEastAsia"/>
                <w:color w:themeColor="text1" w:val="000000"/>
                <w:sz w:val="24"/>
              </w:rPr>
              <w:t>004743</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lastRenderedPageBreak/>
              <w:t>报告期末下属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级基金的份额总额</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proofErr w:type="spellStart"/>
            <w:r w:rsidR="005D4CB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124,142,992.22</w:t>
            </w:r>
            <w:r w:rsidR="00D305C9" w:rsidRPr="00B34368">
              <w:rPr>
                <w:rFonts w:eastAsiaTheme="minorEastAsia" w:hAnsiTheme="minorEastAsia"/>
                <w:color w:themeColor="text1" w:val="000000"/>
                <w:kern w:val="0"/>
                <w:sz w:val="24"/>
              </w:rPr>
              <w:t>份</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3,504,443.11</w:t>
            </w:r>
            <w:r w:rsidR="00D305C9" w:rsidRPr="00B34368">
              <w:rPr>
                <w:rFonts w:eastAsiaTheme="minorEastAsia" w:hAnsiTheme="minorEastAsia"/>
                <w:color w:themeColor="text1" w:val="000000"/>
                <w:kern w:val="0"/>
                <w:sz w:val="24"/>
              </w:rPr>
              <w:t>份</w:t>
            </w:r>
          </w:p>
        </w:tc>
      </w:tr>
    </w:tbl>
    <w:p w:rsidP="00B34368" w:rsidR="002C32ED" w:rsidRDefault="00A6200E"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注：自2017年6月2日起，本基金增设C类份额类别，份额首次确认日为2017年6月5日。</w:t>
      </w:r>
    </w:p>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2.1.1</w:t>
      </w:r>
      <w:r w:rsidRPr="00B34368">
        <w:rPr>
          <w:rFonts w:ascii="Times New Roman" w:cs="Times New Roman" w:eastAsiaTheme="minorEastAsia" w:hAnsiTheme="minorEastAsia"/>
          <w:color w:themeColor="text1" w:val="000000"/>
          <w:szCs w:val="24"/>
        </w:rPr>
        <w:t>目标基金基本情况</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2724"/>
        <w:gridCol w:w="5736"/>
      </w:tblGrid>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易方达上证中盘交易型开放式指数证券投资基金</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510130</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基金运作方式</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交易型开放式（ETF）</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基金合同生效日</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2010年3月29日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基金份额上市的证券交易所</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上海证券交易所</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上市日期</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2010年6月23日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基金管理人名称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易方达基金管理有限公司</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基金托管人名称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中国工商银行股份有限公司</w:t>
            </w:r>
          </w:p>
        </w:tc>
      </w:tr>
    </w:tbl>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2.1.2</w:t>
      </w:r>
      <w:r w:rsidRPr="00B34368">
        <w:rPr>
          <w:rFonts w:ascii="Times New Roman" w:cs="Times New Roman" w:eastAsiaTheme="minorEastAsia" w:hAnsiTheme="minorEastAsia"/>
          <w:color w:themeColor="text1" w:val="000000"/>
          <w:szCs w:val="24"/>
        </w:rPr>
        <w:t>目标基金产品说明</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0" w:firstRow="0" w:lastColumn="0" w:lastRow="0" w:noHBand="0" w:noVBand="0" w:val="0000"/>
      </w:tblPr>
      <w:tblGrid>
        <w:gridCol w:w="2820"/>
        <w:gridCol w:w="5640"/>
      </w:tblGrid>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投资目标</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紧密跟踪标的指数，追求跟踪偏离度及跟踪误差的最小化。</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投资策略</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采取完全复制法进行投资，即按照上证中盘指数的成份股组成及权重构建股票投资组合。但是当指数编制方法变更、成份股发生变更、成份股权重由于自由流通量发生变化、成份股派发现金股息、配股及增发、股票长期停牌、市场流动性不足等情况发生，基金管理人无法按照指数构成及权重进行同步调整时，基金管理人将对投资组合进行优化，尽量降低跟踪误差。</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业绩比较基准</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上证中盘指数</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风险收益特征</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本基金属股票型基金，预期风险与收益水平高于混合基金、债券基金与货币市场基金。本基金为指数型基金，采用完全复制法跟踪标的指数的表现，具有与标的指数相似的风险收益特征。</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§3  </w:t>
      </w:r>
      <w:r w:rsidRPr="00B34368">
        <w:rPr>
          <w:rFonts w:eastAsiaTheme="minorEastAsia" w:hAnsiTheme="minorEastAsia"/>
          <w:color w:themeColor="text1" w:val="000000"/>
          <w:kern w:val="0"/>
          <w:sz w:val="24"/>
          <w:szCs w:val="24"/>
        </w:rPr>
        <w:t>主要财务指标和基金净值表现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3.1 </w:t>
      </w:r>
      <w:r w:rsidRPr="00B34368">
        <w:rPr>
          <w:rFonts w:eastAsiaTheme="minorEastAsia" w:hAnsiTheme="minorEastAsia"/>
          <w:b/>
          <w:color w:themeColor="text1" w:val="000000"/>
          <w:kern w:val="0"/>
          <w:sz w:val="24"/>
        </w:rPr>
        <w:t>主要财务指标</w:t>
      </w:r>
    </w:p>
    <w:p w:rsidP="00E27360"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lastRenderedPageBreak/>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D3639B" w:rsidRPr="00B34368" w:rsidTr="008B5312">
        <w:tc>
          <w:tcPr>
            <w:tcW w:type="dxa" w:w="3402"/>
            <w:vMerge w:val="restart"/>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主要财务指标</w:t>
            </w:r>
          </w:p>
        </w:tc>
        <w:tc>
          <w:tcPr>
            <w:tcW w:type="dxa" w:w="4962"/>
            <w:gridSpan w:val="2"/>
            <w:vAlign w:val="center"/>
          </w:tcPr>
          <w:p w:rsidP="00E205AA" w:rsidR="002976E5"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报告期</w:t>
            </w:r>
          </w:p>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2020年4月1日-</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2020年6月30日)</w:t>
            </w:r>
          </w:p>
        </w:tc>
      </w:tr>
      <w:tr w:rsidR="00D3639B" w:rsidRPr="00B34368" w:rsidTr="008B5312">
        <w:tc>
          <w:tcPr>
            <w:tcW w:type="dxa" w:w="3402"/>
            <w:vMerge/>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易方达上证中盘ETF联接A</w:t>
            </w: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易方达上证中盘ETF联接C</w:t>
            </w:r>
          </w:p>
        </w:tc>
      </w:tr>
      <w:tr w:rsidR="00D3639B" w:rsidRPr="00B34368" w:rsidTr="00973B57">
        <w:tc>
          <w:tcPr>
            <w:tcW w:type="dxa" w:w="3402"/>
          </w:tcPr>
          <w:p w:rsidP="00973B57"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1.</w:t>
            </w:r>
            <w:r w:rsidRPr="00B34368">
              <w:rPr>
                <w:rFonts w:eastAsiaTheme="minorEastAsia" w:hAnsiTheme="minorEastAsia"/>
                <w:color w:themeColor="text1" w:val="000000"/>
                <w:kern w:val="0"/>
                <w:sz w:val="24"/>
              </w:rPr>
              <w:t>本期已实现收益</w:t>
            </w:r>
          </w:p>
        </w:tc>
        <w:tc>
          <w:tcPr>
            <w:tcW w:type="dxa" w:w="2481"/>
            <w:vAlign w:val="bottom"/>
          </w:tcPr>
          <w:p w:rsidP="00973B57"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2,978,162.33</w:t>
            </w:r>
          </w:p>
        </w:tc>
        <w:tc>
          <w:tcPr>
            <w:tcW w:type="dxa" w:w="2481"/>
            <w:vAlign w:val="bottom"/>
          </w:tcPr>
          <w:p w:rsidP="0037768B"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AD3905" w:rsidRPr="00B34368">
              <w:rPr>
                <w:rFonts w:eastAsiaTheme="minorEastAsia"/>
                <w:color w:themeColor="text1" w:val="000000"/>
                <w:sz w:val="24"/>
              </w:rPr>
              <w:t/>
            </w:r>
            <w:r w:rsidR="0037768B" w:rsidRPr="00B34368">
              <w:rPr>
                <w:rFonts w:eastAsiaTheme="minorEastAsia"/>
                <w:color w:themeColor="text1" w:val="00000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82,597.37</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2.</w:t>
            </w:r>
            <w:r w:rsidRPr="00B34368">
              <w:rPr>
                <w:rFonts w:eastAsiaTheme="minorEastAsia" w:hAnsiTheme="minorEastAsia"/>
                <w:color w:themeColor="text1" w:val="000000"/>
                <w:kern w:val="0"/>
                <w:sz w:val="24"/>
              </w:rPr>
              <w:t>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17,994,690.54</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564,127.72</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3.</w:t>
            </w:r>
            <w:r w:rsidRPr="00B34368">
              <w:rPr>
                <w:rFonts w:eastAsiaTheme="minorEastAsia" w:hAnsiTheme="minorEastAsia"/>
                <w:color w:themeColor="text1" w:val="000000"/>
                <w:kern w:val="0"/>
                <w:sz w:val="24"/>
              </w:rPr>
              <w:t>加权平均基金份额本期利润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0.1372</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0.1444</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4.</w:t>
            </w:r>
            <w:r w:rsidRPr="00B34368">
              <w:rPr>
                <w:rFonts w:eastAsiaTheme="minorEastAsia" w:hAnsiTheme="minorEastAsia"/>
                <w:color w:themeColor="text1" w:val="000000"/>
                <w:kern w:val="0"/>
                <w:sz w:val="24"/>
              </w:rPr>
              <w:t>期末基金资产净值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178,704,000.82</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5,168,536.46</w:t>
            </w:r>
          </w:p>
        </w:tc>
      </w:tr>
      <w:tr w:rsidR="00D3639B" w:rsidRPr="00B34368" w:rsidTr="009A5C1D">
        <w:trPr>
          <w:trHeight w:val="158"/>
        </w:trPr>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5.</w:t>
            </w:r>
            <w:r w:rsidRPr="00B34368">
              <w:rPr>
                <w:rFonts w:eastAsiaTheme="minorEastAsia" w:hAnsiTheme="minorEastAsia"/>
                <w:color w:themeColor="text1" w:val="000000"/>
                <w:kern w:val="0"/>
                <w:sz w:val="24"/>
              </w:rPr>
              <w:t>期末基金份额净值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1.4395</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1.4749</w:t>
            </w:r>
          </w:p>
        </w:tc>
      </w:tr>
    </w:tbl>
    <w:p>
      <w:pPr>
        <w:autoSpaceDE w:val="0"/>
        <w:autoSpaceDN w:val="0"/>
        <w:adjustRightInd w:val="0"/>
        <w:spacing w:line="360" w:lineRule="auto"/>
        <w:ind w:firstLine="480" w:firstLineChars="200"/>
        <w:jc w:val="left"/>
        <w:rPr>
          <w:rFonts w:eastAsiaTheme="minorEastAsia"/>
          <w:color w:themeColor="text1" w:val="000000"/>
          <w:sz w:val="24"/>
        </w:rPr>
      </w:pPr>
      <w:r>
        <w:rPr>
          <w:rFonts w:eastAsiaTheme="minorEastAsia"/>
          <w:color w:themeColor="text1" w:val="000000"/>
          <w:sz w:val="24"/>
        </w:rPr>
        <w:t>注：1.所述基金业绩指标不包括持有人认购或交易基金的各项费用，计入费用后实际收益水平要低于所列数字。</w:t>
      </w:r>
    </w:p>
    <w:p w:rsidP="00B34368" w:rsidR="009238DB" w:rsidRDefault="005E01A3"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2.本期已实现收益指基金本期利息收入、投资收益、其他收入（不含公允价值变动收益）扣除相关费用后的余额，本期利润为本期已实现收益加上本期公允价值变动收益。</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3.2 </w:t>
      </w:r>
      <w:r w:rsidRPr="00B34368">
        <w:rPr>
          <w:rFonts w:eastAsiaTheme="minorEastAsia" w:hAnsiTheme="minorEastAsia"/>
          <w:b/>
          <w:color w:themeColor="text1" w:val="000000"/>
          <w:kern w:val="0"/>
          <w:sz w:val="24"/>
        </w:rPr>
        <w:t>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3.2.1</w:t>
      </w:r>
      <w:r w:rsidRPr="00B34368">
        <w:rPr>
          <w:rFonts w:eastAsiaTheme="minorEastAsia" w:hAnsiTheme="minorEastAsia"/>
          <w:b/>
          <w:color w:themeColor="text1" w:val="000000"/>
          <w:kern w:val="0"/>
          <w:sz w:val="24"/>
        </w:rPr>
        <w:t>本报告</w:t>
      </w:r>
      <w:proofErr w:type="gramStart"/>
      <w:r w:rsidRPr="00B34368">
        <w:rPr>
          <w:rFonts w:eastAsiaTheme="minorEastAsia" w:hAnsiTheme="minorEastAsia"/>
          <w:b/>
          <w:color w:themeColor="text1" w:val="000000"/>
          <w:kern w:val="0"/>
          <w:sz w:val="24"/>
        </w:rPr>
        <w:t>期基金</w:t>
      </w:r>
      <w:proofErr w:type="gramEnd"/>
      <w:r w:rsidRPr="00B34368">
        <w:rPr>
          <w:rFonts w:eastAsiaTheme="minorEastAsia" w:hAnsiTheme="minorEastAsia"/>
          <w:b/>
          <w:color w:themeColor="text1" w:val="000000"/>
          <w:kern w:val="0"/>
          <w:sz w:val="24"/>
        </w:rPr>
        <w:t>份额净值增长率及其与同期业绩比较基准收益率的比较</w:t>
      </w:r>
    </w:p>
    <w:p w:rsidP="00FC13C8" w:rsidR="009238DB" w:rsidRDefault="00A5643A" w:rsidRPr="00B34368">
      <w:pPr>
        <w:spacing w:line="360" w:lineRule="auto"/>
        <w:rPr>
          <w:rFonts w:eastAsiaTheme="minorEastAsia"/>
          <w:b/>
          <w:color w:themeColor="text1" w:val="000000"/>
          <w:sz w:val="24"/>
        </w:rPr>
      </w:pPr>
      <w:r w:rsidRPr="00B34368">
        <w:rPr>
          <w:rFonts w:eastAsiaTheme="minorEastAsia"/>
          <w:b/>
          <w:color w:themeColor="text1" w:val="000000"/>
          <w:kern w:val="0"/>
          <w:sz w:val="24"/>
        </w:rPr>
        <w:t/>
      </w:r>
      <w:proofErr w:type="spellStart"/>
      <w:r w:rsidRPr="00B34368">
        <w:rPr>
          <w:rFonts w:eastAsiaTheme="minorEastAsia"/>
          <w:b/>
          <w:color w:themeColor="text1" w:val="000000"/>
          <w:kern w:val="0"/>
          <w:sz w:val="24"/>
        </w:rPr>
        <w:t/>
      </w:r>
      <w:proofErr w:type="spellEnd"/>
      <w:r w:rsidRPr="00B34368">
        <w:rPr>
          <w:rFonts w:eastAsiaTheme="minorEastAsia"/>
          <w:b/>
          <w:color w:themeColor="text1" w:val="000000"/>
          <w:kern w:val="0"/>
          <w:sz w:val="24"/>
        </w:rPr>
        <w:t/>
      </w:r>
      <w:r w:rsidR="0042785F" w:rsidRPr="00B34368">
        <w:rPr>
          <w:rFonts w:eastAsiaTheme="minorEastAsia"/>
          <w:b/>
          <w:color w:themeColor="text1" w:val="000000"/>
          <w:kern w:val="0"/>
          <w:sz w:val="24"/>
        </w:rPr>
        <w:t/>
      </w:r>
      <w:r w:rsidRPr="00B34368">
        <w:rPr>
          <w:rFonts w:eastAsiaTheme="minorEastAsia"/>
          <w:b/>
          <w:color w:themeColor="text1" w:val="000000"/>
          <w:kern w:val="0"/>
          <w:sz w:val="24"/>
        </w:rPr>
        <w:t>易方达上证中盘ETF联接A</w:t>
      </w:r>
      <w:r w:rsidR="009238DB" w:rsidRPr="00B34368">
        <w:rPr>
          <w:rFonts w:eastAsiaTheme="minorEastAsia" w:hAnsiTheme="minorEastAsia"/>
          <w:b/>
          <w:color w:themeColor="text1" w:val="00000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10.66%</w:t>
            </w:r>
          </w:p>
        </w:tc>
        <w:tc>
          <w:tcPr>
            <w:vAlign w:val="center"/>
          </w:tcPr>
          <w:p>
            <w:pPr>
              <w:jc w:val="right"/>
            </w:pPr>
            <w:r>
              <w:rPr>
                <w:rFonts w:eastAsiaTheme="minorEastAsia"/>
                <w:color w:themeColor="text1" w:val="000000"/>
                <w:sz w:val="24"/>
              </w:rPr>
              <w:t>0.85%</w:t>
            </w:r>
          </w:p>
        </w:tc>
        <w:tc>
          <w:tcPr>
            <w:vAlign w:val="center"/>
          </w:tcPr>
          <w:p>
            <w:pPr>
              <w:jc w:val="right"/>
            </w:pPr>
            <w:r>
              <w:rPr>
                <w:rFonts w:eastAsiaTheme="minorEastAsia"/>
                <w:color w:themeColor="text1" w:val="000000"/>
                <w:sz w:val="24"/>
              </w:rPr>
              <w:t>8.31%</w:t>
            </w:r>
          </w:p>
        </w:tc>
        <w:tc>
          <w:tcPr>
            <w:vAlign w:val="center"/>
          </w:tcPr>
          <w:p>
            <w:pPr>
              <w:jc w:val="right"/>
            </w:pPr>
            <w:r>
              <w:rPr>
                <w:rFonts w:eastAsiaTheme="minorEastAsia"/>
                <w:color w:themeColor="text1" w:val="000000"/>
                <w:sz w:val="24"/>
              </w:rPr>
              <w:t>0.86%</w:t>
            </w:r>
          </w:p>
        </w:tc>
        <w:tc>
          <w:tcPr>
            <w:vAlign w:val="center"/>
          </w:tcPr>
          <w:p>
            <w:pPr>
              <w:jc w:val="right"/>
            </w:pPr>
            <w:r>
              <w:rPr>
                <w:rFonts w:eastAsiaTheme="minorEastAsia"/>
                <w:color w:themeColor="text1" w:val="000000"/>
                <w:sz w:val="24"/>
              </w:rPr>
              <w:t>2.35%</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3.43%</w:t>
            </w:r>
          </w:p>
        </w:tc>
        <w:tc>
          <w:tcPr>
            <w:vAlign w:val="center"/>
          </w:tcPr>
          <w:p>
            <w:pPr>
              <w:jc w:val="right"/>
            </w:pPr>
            <w:r>
              <w:rPr>
                <w:rFonts w:eastAsiaTheme="minorEastAsia"/>
                <w:color w:themeColor="text1" w:val="000000"/>
                <w:sz w:val="24"/>
              </w:rPr>
              <w:t>1.38%</w:t>
            </w:r>
          </w:p>
        </w:tc>
        <w:tc>
          <w:tcPr>
            <w:vAlign w:val="center"/>
          </w:tcPr>
          <w:p>
            <w:pPr>
              <w:jc w:val="right"/>
            </w:pPr>
            <w:r>
              <w:rPr>
                <w:rFonts w:eastAsiaTheme="minorEastAsia"/>
                <w:color w:themeColor="text1" w:val="000000"/>
                <w:sz w:val="24"/>
              </w:rPr>
              <w:t>-0.24%</w:t>
            </w:r>
          </w:p>
        </w:tc>
        <w:tc>
          <w:tcPr>
            <w:vAlign w:val="center"/>
          </w:tcPr>
          <w:p>
            <w:pPr>
              <w:jc w:val="right"/>
            </w:pPr>
            <w:r>
              <w:rPr>
                <w:rFonts w:eastAsiaTheme="minorEastAsia"/>
                <w:color w:themeColor="text1" w:val="000000"/>
                <w:sz w:val="24"/>
              </w:rPr>
              <w:t>1.41%</w:t>
            </w:r>
          </w:p>
        </w:tc>
        <w:tc>
          <w:tcPr>
            <w:vAlign w:val="center"/>
          </w:tcPr>
          <w:p>
            <w:pPr>
              <w:jc w:val="right"/>
            </w:pPr>
            <w:r>
              <w:rPr>
                <w:rFonts w:eastAsiaTheme="minorEastAsia"/>
                <w:color w:themeColor="text1" w:val="000000"/>
                <w:sz w:val="24"/>
              </w:rPr>
              <w:t>3.67%</w:t>
            </w:r>
          </w:p>
        </w:tc>
        <w:tc>
          <w:tcPr>
            <w:vAlign w:val="center"/>
          </w:tcPr>
          <w:p>
            <w:pPr>
              <w:jc w:val="right"/>
            </w:pPr>
            <w:r>
              <w:rPr>
                <w:rFonts w:eastAsiaTheme="minorEastAsia"/>
                <w:color w:themeColor="text1" w:val="000000"/>
                <w:sz w:val="24"/>
              </w:rPr>
              <w:t>-0.03%</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7.74%</w:t>
            </w:r>
          </w:p>
        </w:tc>
        <w:tc>
          <w:tcPr>
            <w:vAlign w:val="center"/>
          </w:tcPr>
          <w:p>
            <w:pPr>
              <w:jc w:val="right"/>
            </w:pPr>
            <w:r>
              <w:rPr>
                <w:rFonts w:eastAsiaTheme="minorEastAsia"/>
                <w:color w:themeColor="text1" w:val="000000"/>
                <w:sz w:val="24"/>
              </w:rPr>
              <w:t>1.12%</w:t>
            </w:r>
          </w:p>
        </w:tc>
        <w:tc>
          <w:tcPr>
            <w:vAlign w:val="center"/>
          </w:tcPr>
          <w:p>
            <w:pPr>
              <w:jc w:val="right"/>
            </w:pPr>
            <w:r>
              <w:rPr>
                <w:rFonts w:eastAsiaTheme="minorEastAsia"/>
                <w:color w:themeColor="text1" w:val="000000"/>
                <w:sz w:val="24"/>
              </w:rPr>
              <w:t>1.08%</w:t>
            </w:r>
          </w:p>
        </w:tc>
        <w:tc>
          <w:tcPr>
            <w:vAlign w:val="center"/>
          </w:tcPr>
          <w:p>
            <w:pPr>
              <w:jc w:val="right"/>
            </w:pPr>
            <w:r>
              <w:rPr>
                <w:rFonts w:eastAsiaTheme="minorEastAsia"/>
                <w:color w:themeColor="text1" w:val="000000"/>
                <w:sz w:val="24"/>
              </w:rPr>
              <w:t>1.14%</w:t>
            </w:r>
          </w:p>
        </w:tc>
        <w:tc>
          <w:tcPr>
            <w:vAlign w:val="center"/>
          </w:tcPr>
          <w:p>
            <w:pPr>
              <w:jc w:val="right"/>
            </w:pPr>
            <w:r>
              <w:rPr>
                <w:rFonts w:eastAsiaTheme="minorEastAsia"/>
                <w:color w:themeColor="text1" w:val="000000"/>
                <w:sz w:val="24"/>
              </w:rPr>
              <w:t>6.66%</w:t>
            </w:r>
          </w:p>
        </w:tc>
        <w:tc>
          <w:tcPr>
            <w:vAlign w:val="center"/>
          </w:tcPr>
          <w:p>
            <w:pPr>
              <w:jc w:val="right"/>
            </w:pPr>
            <w:r>
              <w:rPr>
                <w:rFonts w:eastAsiaTheme="minorEastAsia"/>
                <w:color w:themeColor="text1" w:val="000000"/>
                <w:sz w:val="24"/>
              </w:rPr>
              <w:t>-0.02%</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11.20%</w:t>
            </w:r>
          </w:p>
        </w:tc>
        <w:tc>
          <w:tcPr>
            <w:vAlign w:val="center"/>
          </w:tcPr>
          <w:p>
            <w:pPr>
              <w:jc w:val="right"/>
            </w:pPr>
            <w:r>
              <w:rPr>
                <w:rFonts w:eastAsiaTheme="minorEastAsia"/>
                <w:color w:themeColor="text1" w:val="000000"/>
                <w:sz w:val="24"/>
              </w:rPr>
              <w:t>1.13%</w:t>
            </w:r>
          </w:p>
        </w:tc>
        <w:tc>
          <w:tcPr>
            <w:vAlign w:val="center"/>
          </w:tcPr>
          <w:p>
            <w:pPr>
              <w:jc w:val="right"/>
            </w:pPr>
            <w:r>
              <w:rPr>
                <w:rFonts w:eastAsiaTheme="minorEastAsia"/>
                <w:color w:themeColor="text1" w:val="000000"/>
                <w:sz w:val="24"/>
              </w:rPr>
              <w:t>-0.59%</w:t>
            </w:r>
          </w:p>
        </w:tc>
        <w:tc>
          <w:tcPr>
            <w:vAlign w:val="center"/>
          </w:tcPr>
          <w:p>
            <w:pPr>
              <w:jc w:val="right"/>
            </w:pPr>
            <w:r>
              <w:rPr>
                <w:rFonts w:eastAsiaTheme="minorEastAsia"/>
                <w:color w:themeColor="text1" w:val="000000"/>
                <w:sz w:val="24"/>
              </w:rPr>
              <w:t>1.17%</w:t>
            </w:r>
          </w:p>
        </w:tc>
        <w:tc>
          <w:tcPr>
            <w:vAlign w:val="center"/>
          </w:tcPr>
          <w:p>
            <w:pPr>
              <w:jc w:val="right"/>
            </w:pPr>
            <w:r>
              <w:rPr>
                <w:rFonts w:eastAsiaTheme="minorEastAsia"/>
                <w:color w:themeColor="text1" w:val="000000"/>
                <w:sz w:val="24"/>
              </w:rPr>
              <w:t>11.79%</w:t>
            </w:r>
          </w:p>
        </w:tc>
        <w:tc>
          <w:tcPr>
            <w:vAlign w:val="center"/>
          </w:tcPr>
          <w:p>
            <w:pPr>
              <w:jc w:val="right"/>
            </w:pPr>
            <w:r>
              <w:rPr>
                <w:rFonts w:eastAsiaTheme="minorEastAsia"/>
                <w:color w:themeColor="text1" w:val="000000"/>
                <w:sz w:val="24"/>
              </w:rPr>
              <w:t>-0.04%</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-14.69%</w:t>
            </w:r>
          </w:p>
        </w:tc>
        <w:tc>
          <w:tcPr>
            <w:vAlign w:val="center"/>
          </w:tcPr>
          <w:p>
            <w:pPr>
              <w:jc w:val="right"/>
            </w:pPr>
            <w:r>
              <w:rPr>
                <w:rFonts w:eastAsiaTheme="minorEastAsia"/>
                <w:color w:themeColor="text1" w:val="000000"/>
                <w:sz w:val="24"/>
              </w:rPr>
              <w:t>1.49%</w:t>
            </w:r>
          </w:p>
        </w:tc>
        <w:tc>
          <w:tcPr>
            <w:vAlign w:val="center"/>
          </w:tcPr>
          <w:p>
            <w:pPr>
              <w:jc w:val="right"/>
            </w:pPr>
            <w:r>
              <w:rPr>
                <w:rFonts w:eastAsiaTheme="minorEastAsia"/>
                <w:color w:themeColor="text1" w:val="000000"/>
                <w:sz w:val="24"/>
              </w:rPr>
              <w:t>-28.43%</w:t>
            </w:r>
          </w:p>
        </w:tc>
        <w:tc>
          <w:tcPr>
            <w:vAlign w:val="center"/>
          </w:tcPr>
          <w:p>
            <w:pPr>
              <w:jc w:val="right"/>
            </w:pPr>
            <w:r>
              <w:rPr>
                <w:rFonts w:eastAsiaTheme="minorEastAsia"/>
                <w:color w:themeColor="text1" w:val="000000"/>
                <w:sz w:val="24"/>
              </w:rPr>
              <w:t>1.48%</w:t>
            </w:r>
          </w:p>
        </w:tc>
        <w:tc>
          <w:tcPr>
            <w:vAlign w:val="center"/>
          </w:tcPr>
          <w:p>
            <w:pPr>
              <w:jc w:val="right"/>
            </w:pPr>
            <w:r>
              <w:rPr>
                <w:rFonts w:eastAsiaTheme="minorEastAsia"/>
                <w:color w:themeColor="text1" w:val="000000"/>
                <w:sz w:val="24"/>
              </w:rPr>
              <w:t>13.74%</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43.95%</w:t>
            </w:r>
          </w:p>
        </w:tc>
        <w:tc>
          <w:tcPr>
            <w:vAlign w:val="center"/>
          </w:tcPr>
          <w:p>
            <w:pPr>
              <w:jc w:val="right"/>
            </w:pPr>
            <w:r>
              <w:rPr>
                <w:rFonts w:eastAsiaTheme="minorEastAsia"/>
                <w:color w:themeColor="text1" w:val="000000"/>
                <w:sz w:val="24"/>
              </w:rPr>
              <w:t>1.42%</w:t>
            </w:r>
          </w:p>
        </w:tc>
        <w:tc>
          <w:tcPr>
            <w:vAlign w:val="center"/>
          </w:tcPr>
          <w:p>
            <w:pPr>
              <w:jc w:val="right"/>
            </w:pPr>
            <w:r>
              <w:rPr>
                <w:rFonts w:eastAsiaTheme="minorEastAsia"/>
                <w:color w:themeColor="text1" w:val="000000"/>
                <w:sz w:val="24"/>
              </w:rPr>
              <w:t>9.34%</w:t>
            </w:r>
          </w:p>
        </w:tc>
        <w:tc>
          <w:tcPr>
            <w:vAlign w:val="center"/>
          </w:tcPr>
          <w:p>
            <w:pPr>
              <w:jc w:val="right"/>
            </w:pPr>
            <w:r>
              <w:rPr>
                <w:rFonts w:eastAsiaTheme="minorEastAsia"/>
                <w:color w:themeColor="text1" w:val="000000"/>
                <w:sz w:val="24"/>
              </w:rPr>
              <w:t>1.46%</w:t>
            </w:r>
          </w:p>
        </w:tc>
        <w:tc>
          <w:tcPr>
            <w:vAlign w:val="center"/>
          </w:tcPr>
          <w:p>
            <w:pPr>
              <w:jc w:val="right"/>
            </w:pPr>
            <w:r>
              <w:rPr>
                <w:rFonts w:eastAsiaTheme="minorEastAsia"/>
                <w:color w:themeColor="text1" w:val="000000"/>
                <w:sz w:val="24"/>
              </w:rPr>
              <w:t>34.61%</w:t>
            </w:r>
          </w:p>
        </w:tc>
        <w:tc>
          <w:tcPr>
            <w:vAlign w:val="center"/>
          </w:tcPr>
          <w:p>
            <w:pPr>
              <w:jc w:val="right"/>
            </w:pPr>
            <w:r>
              <w:rPr>
                <w:rFonts w:eastAsiaTheme="minorEastAsia"/>
                <w:color w:themeColor="text1" w:val="000000"/>
                <w:sz w:val="24"/>
              </w:rPr>
              <w:t>-0.04%</w:t>
            </w:r>
          </w:p>
        </w:tc>
      </w:tr>
    </w:tbl>
    <w:p w:rsidP="00C544B8" w:rsidR="009238DB" w:rsidRDefault="00A5643A" w:rsidRPr="00B34368">
      <w:pPr>
        <w:adjustRightInd w:val="0"/>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
      </w:r>
      <w:r w:rsidR="004D614E" w:rsidRPr="00B34368">
        <w:rPr>
          <w:rFonts w:eastAsiaTheme="minorEastAsia"/>
          <w:b/>
          <w:color w:themeColor="text1" w:val="000000"/>
          <w:kern w:val="0"/>
          <w:sz w:val="24"/>
        </w:rPr>
        <w:t/>
      </w:r>
      <w:r w:rsidR="00FE7FBD" w:rsidRPr="00B34368">
        <w:rPr>
          <w:rFonts w:eastAsiaTheme="minorEastAsia"/>
          <w:b/>
          <w:color w:themeColor="text1" w:val="000000"/>
          <w:kern w:val="0"/>
          <w:sz w:val="24"/>
        </w:rPr>
        <w:t>易方达上证中盘ETF联接C</w:t>
      </w:r>
      <w:r w:rsidR="009238DB" w:rsidRPr="00B34368">
        <w:rPr>
          <w:rFonts w:eastAsiaTheme="minorEastAsia" w:hAnsiTheme="minorEastAsia"/>
          <w:b/>
          <w:color w:themeColor="text1" w:val="000000"/>
          <w:kern w:val="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10.60%</w:t>
            </w:r>
          </w:p>
        </w:tc>
        <w:tc>
          <w:tcPr>
            <w:vAlign w:val="center"/>
          </w:tcPr>
          <w:p>
            <w:pPr>
              <w:jc w:val="right"/>
            </w:pPr>
            <w:r>
              <w:rPr>
                <w:rFonts w:eastAsiaTheme="minorEastAsia"/>
                <w:color w:themeColor="text1" w:val="000000"/>
                <w:sz w:val="24"/>
              </w:rPr>
              <w:t>0.85%</w:t>
            </w:r>
          </w:p>
        </w:tc>
        <w:tc>
          <w:tcPr>
            <w:vAlign w:val="center"/>
          </w:tcPr>
          <w:p>
            <w:pPr>
              <w:jc w:val="right"/>
            </w:pPr>
            <w:r>
              <w:rPr>
                <w:rFonts w:eastAsiaTheme="minorEastAsia"/>
                <w:color w:themeColor="text1" w:val="000000"/>
                <w:sz w:val="24"/>
              </w:rPr>
              <w:t>8.31%</w:t>
            </w:r>
          </w:p>
        </w:tc>
        <w:tc>
          <w:tcPr>
            <w:vAlign w:val="center"/>
          </w:tcPr>
          <w:p>
            <w:pPr>
              <w:jc w:val="right"/>
            </w:pPr>
            <w:r>
              <w:rPr>
                <w:rFonts w:eastAsiaTheme="minorEastAsia"/>
                <w:color w:themeColor="text1" w:val="000000"/>
                <w:sz w:val="24"/>
              </w:rPr>
              <w:t>0.86%</w:t>
            </w:r>
          </w:p>
        </w:tc>
        <w:tc>
          <w:tcPr>
            <w:vAlign w:val="center"/>
          </w:tcPr>
          <w:p>
            <w:pPr>
              <w:jc w:val="right"/>
            </w:pPr>
            <w:r>
              <w:rPr>
                <w:rFonts w:eastAsiaTheme="minorEastAsia"/>
                <w:color w:themeColor="text1" w:val="000000"/>
                <w:sz w:val="24"/>
              </w:rPr>
              <w:t>2.29%</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3.31%</w:t>
            </w:r>
          </w:p>
        </w:tc>
        <w:tc>
          <w:tcPr>
            <w:vAlign w:val="center"/>
          </w:tcPr>
          <w:p>
            <w:pPr>
              <w:jc w:val="right"/>
            </w:pPr>
            <w:r>
              <w:rPr>
                <w:rFonts w:eastAsiaTheme="minorEastAsia"/>
                <w:color w:themeColor="text1" w:val="000000"/>
                <w:sz w:val="24"/>
              </w:rPr>
              <w:t>1.38%</w:t>
            </w:r>
          </w:p>
        </w:tc>
        <w:tc>
          <w:tcPr>
            <w:vAlign w:val="center"/>
          </w:tcPr>
          <w:p>
            <w:pPr>
              <w:jc w:val="right"/>
            </w:pPr>
            <w:r>
              <w:rPr>
                <w:rFonts w:eastAsiaTheme="minorEastAsia"/>
                <w:color w:themeColor="text1" w:val="000000"/>
                <w:sz w:val="24"/>
              </w:rPr>
              <w:t>-0.24%</w:t>
            </w:r>
          </w:p>
        </w:tc>
        <w:tc>
          <w:tcPr>
            <w:vAlign w:val="center"/>
          </w:tcPr>
          <w:p>
            <w:pPr>
              <w:jc w:val="right"/>
            </w:pPr>
            <w:r>
              <w:rPr>
                <w:rFonts w:eastAsiaTheme="minorEastAsia"/>
                <w:color w:themeColor="text1" w:val="000000"/>
                <w:sz w:val="24"/>
              </w:rPr>
              <w:t>1.41%</w:t>
            </w:r>
          </w:p>
        </w:tc>
        <w:tc>
          <w:tcPr>
            <w:vAlign w:val="center"/>
          </w:tcPr>
          <w:p>
            <w:pPr>
              <w:jc w:val="right"/>
            </w:pPr>
            <w:r>
              <w:rPr>
                <w:rFonts w:eastAsiaTheme="minorEastAsia"/>
                <w:color w:themeColor="text1" w:val="000000"/>
                <w:sz w:val="24"/>
              </w:rPr>
              <w:t>3.55%</w:t>
            </w:r>
          </w:p>
        </w:tc>
        <w:tc>
          <w:tcPr>
            <w:vAlign w:val="center"/>
          </w:tcPr>
          <w:p>
            <w:pPr>
              <w:jc w:val="right"/>
            </w:pPr>
            <w:r>
              <w:rPr>
                <w:rFonts w:eastAsiaTheme="minorEastAsia"/>
                <w:color w:themeColor="text1" w:val="000000"/>
                <w:sz w:val="24"/>
              </w:rPr>
              <w:t>-0.03%</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7.46%</w:t>
            </w:r>
          </w:p>
        </w:tc>
        <w:tc>
          <w:tcPr>
            <w:vAlign w:val="center"/>
          </w:tcPr>
          <w:p>
            <w:pPr>
              <w:jc w:val="right"/>
            </w:pPr>
            <w:r>
              <w:rPr>
                <w:rFonts w:eastAsiaTheme="minorEastAsia"/>
                <w:color w:themeColor="text1" w:val="000000"/>
                <w:sz w:val="24"/>
              </w:rPr>
              <w:t>1.12%</w:t>
            </w:r>
          </w:p>
        </w:tc>
        <w:tc>
          <w:tcPr>
            <w:vAlign w:val="center"/>
          </w:tcPr>
          <w:p>
            <w:pPr>
              <w:jc w:val="right"/>
            </w:pPr>
            <w:r>
              <w:rPr>
                <w:rFonts w:eastAsiaTheme="minorEastAsia"/>
                <w:color w:themeColor="text1" w:val="000000"/>
                <w:sz w:val="24"/>
              </w:rPr>
              <w:t>1.08%</w:t>
            </w:r>
          </w:p>
        </w:tc>
        <w:tc>
          <w:tcPr>
            <w:vAlign w:val="center"/>
          </w:tcPr>
          <w:p>
            <w:pPr>
              <w:jc w:val="right"/>
            </w:pPr>
            <w:r>
              <w:rPr>
                <w:rFonts w:eastAsiaTheme="minorEastAsia"/>
                <w:color w:themeColor="text1" w:val="000000"/>
                <w:sz w:val="24"/>
              </w:rPr>
              <w:t>1.14%</w:t>
            </w:r>
          </w:p>
        </w:tc>
        <w:tc>
          <w:tcPr>
            <w:vAlign w:val="center"/>
          </w:tcPr>
          <w:p>
            <w:pPr>
              <w:jc w:val="right"/>
            </w:pPr>
            <w:r>
              <w:rPr>
                <w:rFonts w:eastAsiaTheme="minorEastAsia"/>
                <w:color w:themeColor="text1" w:val="000000"/>
                <w:sz w:val="24"/>
              </w:rPr>
              <w:t>6.38%</w:t>
            </w:r>
          </w:p>
        </w:tc>
        <w:tc>
          <w:tcPr>
            <w:vAlign w:val="center"/>
          </w:tcPr>
          <w:p>
            <w:pPr>
              <w:jc w:val="right"/>
            </w:pPr>
            <w:r>
              <w:rPr>
                <w:rFonts w:eastAsiaTheme="minorEastAsia"/>
                <w:color w:themeColor="text1" w:val="000000"/>
                <w:sz w:val="24"/>
              </w:rPr>
              <w:t>-0.02%</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10.98%</w:t>
            </w:r>
          </w:p>
        </w:tc>
        <w:tc>
          <w:tcPr>
            <w:vAlign w:val="center"/>
          </w:tcPr>
          <w:p>
            <w:pPr>
              <w:jc w:val="right"/>
            </w:pPr>
            <w:r>
              <w:rPr>
                <w:rFonts w:eastAsiaTheme="minorEastAsia"/>
                <w:color w:themeColor="text1" w:val="000000"/>
                <w:sz w:val="24"/>
              </w:rPr>
              <w:t>1.14%</w:t>
            </w:r>
          </w:p>
        </w:tc>
        <w:tc>
          <w:tcPr>
            <w:vAlign w:val="center"/>
          </w:tcPr>
          <w:p>
            <w:pPr>
              <w:jc w:val="right"/>
            </w:pPr>
            <w:r>
              <w:rPr>
                <w:rFonts w:eastAsiaTheme="minorEastAsia"/>
                <w:color w:themeColor="text1" w:val="000000"/>
                <w:sz w:val="24"/>
              </w:rPr>
              <w:t>-0.59%</w:t>
            </w:r>
          </w:p>
        </w:tc>
        <w:tc>
          <w:tcPr>
            <w:vAlign w:val="center"/>
          </w:tcPr>
          <w:p>
            <w:pPr>
              <w:jc w:val="right"/>
            </w:pPr>
            <w:r>
              <w:rPr>
                <w:rFonts w:eastAsiaTheme="minorEastAsia"/>
                <w:color w:themeColor="text1" w:val="000000"/>
                <w:sz w:val="24"/>
              </w:rPr>
              <w:t>1.17%</w:t>
            </w:r>
          </w:p>
        </w:tc>
        <w:tc>
          <w:tcPr>
            <w:vAlign w:val="center"/>
          </w:tcPr>
          <w:p>
            <w:pPr>
              <w:jc w:val="right"/>
            </w:pPr>
            <w:r>
              <w:rPr>
                <w:rFonts w:eastAsiaTheme="minorEastAsia"/>
                <w:color w:themeColor="text1" w:val="000000"/>
                <w:sz w:val="24"/>
              </w:rPr>
              <w:t>11.57%</w:t>
            </w:r>
          </w:p>
        </w:tc>
        <w:tc>
          <w:tcPr>
            <w:vAlign w:val="center"/>
          </w:tcPr>
          <w:p>
            <w:pPr>
              <w:jc w:val="right"/>
            </w:pPr>
            <w:r>
              <w:rPr>
                <w:rFonts w:eastAsiaTheme="minorEastAsia"/>
                <w:color w:themeColor="text1" w:val="000000"/>
                <w:sz w:val="24"/>
              </w:rPr>
              <w:t>-0.03%</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19.00%</w:t>
            </w:r>
          </w:p>
        </w:tc>
        <w:tc>
          <w:tcPr>
            <w:vAlign w:val="center"/>
          </w:tcPr>
          <w:p>
            <w:pPr>
              <w:jc w:val="right"/>
            </w:pPr>
            <w:r>
              <w:rPr>
                <w:rFonts w:eastAsiaTheme="minorEastAsia"/>
                <w:color w:themeColor="text1" w:val="000000"/>
                <w:sz w:val="24"/>
              </w:rPr>
              <w:t>1.13%</w:t>
            </w:r>
          </w:p>
        </w:tc>
        <w:tc>
          <w:tcPr>
            <w:vAlign w:val="center"/>
          </w:tcPr>
          <w:p>
            <w:pPr>
              <w:jc w:val="right"/>
            </w:pPr>
            <w:r>
              <w:rPr>
                <w:rFonts w:eastAsiaTheme="minorEastAsia"/>
                <w:color w:themeColor="text1" w:val="000000"/>
                <w:sz w:val="24"/>
              </w:rPr>
              <w:t>3.39%</w:t>
            </w:r>
          </w:p>
        </w:tc>
        <w:tc>
          <w:tcPr>
            <w:vAlign w:val="center"/>
          </w:tcPr>
          <w:p>
            <w:pPr>
              <w:jc w:val="right"/>
            </w:pPr>
            <w:r>
              <w:rPr>
                <w:rFonts w:eastAsiaTheme="minorEastAsia"/>
                <w:color w:themeColor="text1" w:val="000000"/>
                <w:sz w:val="24"/>
              </w:rPr>
              <w:t>1.16%</w:t>
            </w:r>
          </w:p>
        </w:tc>
        <w:tc>
          <w:tcPr>
            <w:vAlign w:val="center"/>
          </w:tcPr>
          <w:p>
            <w:pPr>
              <w:jc w:val="right"/>
            </w:pPr>
            <w:r>
              <w:rPr>
                <w:rFonts w:eastAsiaTheme="minorEastAsia"/>
                <w:color w:themeColor="text1" w:val="000000"/>
                <w:sz w:val="24"/>
              </w:rPr>
              <w:t>15.61%</w:t>
            </w:r>
          </w:p>
        </w:tc>
        <w:tc>
          <w:tcPr>
            <w:vAlign w:val="center"/>
          </w:tcPr>
          <w:p>
            <w:pPr>
              <w:jc w:val="right"/>
            </w:pPr>
            <w:r>
              <w:rPr>
                <w:rFonts w:eastAsiaTheme="minorEastAsia"/>
                <w:color w:themeColor="text1" w:val="000000"/>
                <w:sz w:val="24"/>
              </w:rPr>
              <w:t>-0.03%</w:t>
            </w:r>
          </w:p>
        </w:tc>
      </w:tr>
    </w:tbl>
    <w:p w:rsidP="00C544B8" w:rsidR="009238DB" w:rsidRDefault="009238DB" w:rsidRPr="00B34368">
      <w:pPr>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3.2.2</w:t>
      </w:r>
      <w:r w:rsidRPr="00B34368">
        <w:rPr>
          <w:rFonts w:eastAsiaTheme="minorEastAsia" w:hAnsiTheme="minorEastAsia"/>
          <w:b/>
          <w:color w:themeColor="text1" w:val="000000"/>
          <w:kern w:val="0"/>
          <w:sz w:val="24"/>
        </w:rPr>
        <w:t xml:space="preserve">　</w:t>
      </w:r>
      <w:r w:rsidR="00FE0C8B" w:rsidRPr="00B34368">
        <w:rPr>
          <w:rStyle w:val="af6"/>
          <w:rFonts w:eastAsiaTheme="minorEastAsia"/>
          <w:color w:themeColor="text1" w:val="000000"/>
          <w:sz w:val="24"/>
          <w:shd w:color="auto" w:fill="FFFFFF" w:val="clear"/>
        </w:rPr>
        <w:t/>
      </w:r>
      <w:proofErr w:type="spellStart"/>
      <w:r w:rsidR="00FE0C8B" w:rsidRPr="00B34368">
        <w:rPr>
          <w:rStyle w:val="af6"/>
          <w:rFonts w:eastAsiaTheme="minorEastAsia"/>
          <w:color w:themeColor="text1" w:val="000000"/>
          <w:sz w:val="24"/>
          <w:shd w:color="auto" w:fill="FFFFFF" w:val="clear"/>
        </w:rPr>
        <w:t/>
      </w:r>
      <w:proofErr w:type="spellEnd"/>
      <w:r w:rsidR="00FE0C8B" w:rsidRPr="00B34368">
        <w:rPr>
          <w:rStyle w:val="af6"/>
          <w:rFonts w:eastAsiaTheme="minorEastAsia"/>
          <w:color w:themeColor="text1" w:val="000000"/>
          <w:sz w:val="24"/>
          <w:shd w:color="auto" w:fill="FFFFFF" w:val="clear"/>
        </w:rPr>
        <w:t>自基金合同生效以来</w:t>
      </w:r>
      <w:r w:rsidR="00BF57BE" w:rsidRPr="00B34368">
        <w:rPr>
          <w:rFonts w:eastAsiaTheme="minorEastAsia" w:hAnsiTheme="minorEastAsia"/>
          <w:b/>
          <w:color w:themeColor="text1" w:val="000000"/>
          <w:sz w:val="24"/>
        </w:rPr>
        <w:t>基金累计净值增长率变动及其与同期业绩比较基准收益率变动的比较</w:t>
      </w:r>
    </w:p>
    <w:p w:rsidP="00FC13C8" w:rsidR="009A045B" w:rsidRDefault="009A045B" w:rsidRPr="00B34368">
      <w:pPr>
        <w:spacing w:line="360" w:lineRule="auto"/>
        <w:jc w:val="center"/>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易方达上证中盘交易型开放式指数证券投资基金联接基金</w:t>
      </w:r>
    </w:p>
    <w:p w:rsidP="00F84D52" w:rsidR="00F84D52" w:rsidRDefault="00022396">
      <w:pPr>
        <w:pStyle w:val="a5"/>
        <w:snapToGrid w:val="0"/>
        <w:spacing w:line="360" w:lineRule="auto"/>
        <w:ind w:firstLine="480"/>
        <w:jc w:val="center"/>
        <w:rPr>
          <w:rFonts w:ascii="Times New Roman" w:eastAsiaTheme="minorEastAsia" w:hAnsi="Times New Roman"/>
          <w:color w:themeColor="text1" w:val="000000"/>
          <w:sz w:val="24"/>
          <w:szCs w:val="24"/>
        </w:rPr>
      </w:pPr>
      <w:r w:rsidRPr="00B34368">
        <w:rPr>
          <w:rFonts w:ascii="Times New Roman" w:eastAsiaTheme="minorEastAsia" w:hAnsiTheme="minorEastAsia"/>
          <w:color w:themeColor="text1" w:val="000000"/>
          <w:sz w:val="24"/>
          <w:szCs w:val="24"/>
        </w:rPr>
        <w:t>累计净值增长率与业绩比较基准收益率的历史走势对比图</w:t>
      </w:r>
    </w:p>
    <w:p w:rsidP="00F84D52" w:rsidR="00F84D52" w:rsidRDefault="0042785F">
      <w:pPr>
        <w:snapToGrid w:val="0"/>
        <w:spacing w:line="360" w:lineRule="auto"/>
        <w:rPr>
          <w:rFonts w:eastAsiaTheme="minorEastAsia" w:hAnsi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易方达上证中盘ETF联接A</w:t>
      </w:r>
      <w:r w:rsidR="009238DB" w:rsidRPr="00B34368">
        <w:rPr>
          <w:rFonts w:eastAsiaTheme="minorEastAsia" w:hAnsiTheme="minorEastAsia"/>
          <w:color w:themeColor="text1" w:val="000000"/>
          <w:sz w:val="24"/>
        </w:rPr>
        <w:t>：</w:t>
      </w:r>
    </w:p>
    <w:p w:rsidP="00937445" w:rsidR="009238DB" w:rsidRDefault="00F84D52" w:rsidRPr="00F84D52">
      <w:pPr>
        <w:pStyle w:val="a5"/>
        <w:snapToGrid w:val="0"/>
        <w:spacing w:line="360" w:lineRule="auto"/>
        <w:jc w:val="center"/>
        <w:rPr>
          <w:rFonts w:ascii="Times New Roman" w:hAnsi="Times New Roman"/>
          <w:sz w:val="24"/>
          <w:szCs w:val="24"/>
        </w:rPr>
      </w:pPr>
      <w:r w:rsidRPr="00F84D52">
        <w:rPr>
          <w:rFonts w:ascii="Times New Roman" w:hAnsi="Times New Roman"/>
          <w:sz w:val="24"/>
          <w:szCs w:val="24"/>
        </w:rPr>
        <w:t/>
      </w:r>
      <w:proofErr w:type="spellStart"/>
      <w:proofErr w:type="gramStart"/>
      <w:r w:rsidRPr="00F84D52">
        <w:rPr>
          <w:rFonts w:ascii="Times New Roman" w:hAnsi="Times New Roman"/>
          <w:sz w:val="24"/>
          <w:szCs w:val="24"/>
        </w:rPr>
        <w:t/>
      </w:r>
      <w:proofErr w:type="spellEnd"/>
      <w:r w:rsidRPr="00F84D52">
        <w:rPr>
          <w:rFonts w:ascii="Times New Roman" w:hAnsi="Times New Roman"/>
          <w:sz w:val="24"/>
          <w:szCs w:val="24"/>
        </w:rPr>
        <w:t/>
      </w:r>
      <w:proofErr w:type="gramEnd"/>
      <w:r w:rsidRPr="00F84D52">
        <w:rPr>
          <w:rFonts w:ascii="Times New Roman" w:hAnsi="Times New Roman"/>
          <w:sz w:val="24"/>
          <w:szCs w:val="24"/>
        </w:rPr>
        <w:t>（2010年3月31日至2020年6月30日）</w:t>
      </w:r>
    </w:p>
    <w:p w:rsidP="00FC7F43" w:rsidR="00FC7F43" w:rsidRDefault="006F5B4C"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drawing>
          <wp:inline distB="0" distL="0" distR="0" distT="0">
            <wp:extent cx="5591175" cy="3276600"/>
            <wp:effectExtent b="0" l="0" r="0" t="0"/>
            <wp:docPr descr="D:\浏览器下载\走势图柱状图\走势图1.jpg"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1.jpg" id="0" name="Picture 1"/>
                    <pic:cNvPicPr>
                      <a:picLocks noChangeArrowheads="1" noChangeAspect="1"/>
                    </pic:cNvPicPr>
                  </pic:nvPicPr>
                  <pic:blipFill>
                    <a:blip cstate="print" r:embed="rId11">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P="00F84D52" w:rsidR="00F84D52" w:rsidRDefault="0042785F">
      <w:pPr>
        <w:snapToGrid w:val="0"/>
        <w:spacing w:before="312" w:beforeLines="100" w:line="360" w:lineRule="auto"/>
        <w:rPr>
          <w:rFonts w:eastAsiaTheme="minorEastAsia" w:hAnsi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易方达上证中盘ETF联接C</w:t>
      </w:r>
      <w:r w:rsidRPr="00B34368">
        <w:rPr>
          <w:rFonts w:eastAsiaTheme="minorEastAsia" w:hAnsiTheme="minorEastAsia"/>
          <w:color w:themeColor="text1" w:val="000000"/>
          <w:sz w:val="24"/>
        </w:rPr>
        <w:t>：</w:t>
      </w:r>
    </w:p>
    <w:p w:rsidP="00937445" w:rsidR="009238DB" w:rsidRDefault="00F84D52" w:rsidRPr="00F84D52">
      <w:pPr>
        <w:pStyle w:val="a5"/>
        <w:snapToGrid w:val="0"/>
        <w:spacing w:line="360" w:lineRule="auto"/>
        <w:jc w:val="center"/>
        <w:rPr>
          <w:rFonts w:ascii="Times New Roman" w:hAnsi="Times New Roman"/>
          <w:sz w:val="24"/>
          <w:szCs w:val="24"/>
        </w:rPr>
      </w:pPr>
      <w:r w:rsidRPr="00F84D52">
        <w:rPr>
          <w:rFonts w:ascii="Times New Roman" w:hAnsi="Times New Roman"/>
          <w:sz w:val="24"/>
          <w:szCs w:val="24"/>
        </w:rPr>
        <w:t/>
      </w:r>
      <w:proofErr w:type="spellStart"/>
      <w:proofErr w:type="gramStart"/>
      <w:r w:rsidRPr="00F84D52">
        <w:rPr>
          <w:rFonts w:ascii="Times New Roman" w:hAnsi="Times New Roman"/>
          <w:sz w:val="24"/>
          <w:szCs w:val="24"/>
        </w:rPr>
        <w:t/>
      </w:r>
      <w:proofErr w:type="spellEnd"/>
      <w:r w:rsidRPr="00F84D52">
        <w:rPr>
          <w:rFonts w:ascii="Times New Roman" w:hAnsi="Times New Roman"/>
          <w:sz w:val="24"/>
          <w:szCs w:val="24"/>
        </w:rPr>
        <w:t/>
      </w:r>
      <w:proofErr w:type="gramEnd"/>
      <w:r w:rsidRPr="00F84D52">
        <w:rPr>
          <w:rFonts w:ascii="Times New Roman" w:hAnsi="Times New Roman"/>
          <w:sz w:val="24"/>
          <w:szCs w:val="24"/>
        </w:rPr>
        <w:t>（2017年6月5日至2020年6月30日）</w:t>
      </w:r>
    </w:p>
    <w:p w:rsidP="00FC7F43" w:rsidR="00FC7F43" w:rsidRDefault="00B70229"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lastRenderedPageBreak/>
        <w:drawing>
          <wp:inline distB="0" distL="0" distR="0" distT="0">
            <wp:extent cx="5591175" cy="3276600"/>
            <wp:effectExtent b="0" l="0" r="0" t="0"/>
            <wp:docPr descr="D:\浏览器下载\走势图柱状图\走势图2.jpg"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2.jpg" id="0" name="Picture 2"/>
                    <pic:cNvPicPr>
                      <a:picLocks noChangeArrowheads="1" noChangeAspect="1"/>
                    </pic:cNvPicPr>
                  </pic:nvPicPr>
                  <pic:blipFill>
                    <a:blip cstate="print" r:embed="rId12">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注：1.自2017年6月2日起，本基金增设C类份额类别，份额首次确认日为2017年6月5日，增设当期的相关数据和指标按实际存续期计算。</w:t>
      </w:r>
    </w:p>
    <w:p w:rsidP="00B34368" w:rsidR="00973B57" w:rsidRDefault="00757FD7"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2.自基金合同生效至报告期末，A类基金份额净值增长率为43.95%，同期业绩比较基准收益率为9.34%。C类基金份额净值增长率为19.00%，同期业绩比较基准收益率为3.39%。</w:t>
      </w:r>
    </w:p>
    <w:p w:rsidP="00E561F9" w:rsidR="00E561F9" w:rsidRDefault="00E561F9" w:rsidRPr="00B34368">
      <w:pPr>
        <w:tabs>
          <w:tab w:pos="1800" w:val="left"/>
        </w:tabs>
        <w:spacing w:line="288" w:lineRule="auto"/>
        <w:rPr>
          <w:rFonts w:eastAsiaTheme="minorEastAsia"/>
          <w:color w:themeColor="text1" w:val="000000"/>
          <w:sz w:val="24"/>
        </w:rPr>
      </w:pP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§4  </w:t>
      </w:r>
      <w:r w:rsidRPr="00B34368">
        <w:rPr>
          <w:rFonts w:eastAsiaTheme="minorEastAsia" w:hAnsiTheme="minorEastAsia"/>
          <w:color w:themeColor="text1" w:val="000000"/>
          <w:kern w:val="0"/>
          <w:sz w:val="24"/>
          <w:szCs w:val="24"/>
        </w:rPr>
        <w:t>管理人报告</w:t>
      </w:r>
    </w:p>
    <w:p w:rsidP="00C544B8" w:rsidR="00C544B8" w:rsidRDefault="009238DB">
      <w:pPr>
        <w:autoSpaceDE w:val="0"/>
        <w:autoSpaceDN w:val="0"/>
        <w:adjustRightInd w:val="0"/>
        <w:spacing w:line="360" w:lineRule="auto"/>
        <w:jc w:val="left"/>
        <w:rPr>
          <w:rFonts w:ascii="宋体" w:cs="Arial"/>
          <w:b/>
          <w:color w:val="000000"/>
          <w:kern w:val="0"/>
          <w:sz w:val="24"/>
        </w:rPr>
      </w:pPr>
      <w:r w:rsidRPr="00B34368">
        <w:rPr>
          <w:rFonts w:eastAsiaTheme="minorEastAsia"/>
          <w:b/>
          <w:color w:themeColor="text1" w:val="000000"/>
          <w:kern w:val="0"/>
          <w:sz w:val="24"/>
        </w:rPr>
        <w:t xml:space="preserve">4.1 </w:t>
      </w:r>
      <w:r w:rsidRPr="00B34368">
        <w:rPr>
          <w:rFonts w:eastAsiaTheme="minorEastAsia" w:hAnsiTheme="minorEastAsia"/>
          <w:b/>
          <w:color w:themeColor="text1" w:val="000000"/>
          <w:kern w:val="0"/>
          <w:sz w:val="24"/>
        </w:rPr>
        <w:t>基金经理（或基金经理小组）简介</w:t>
      </w:r>
    </w:p>
    <w:tbl>
      <w:tblPr>
        <w:tblW w:type="dxa" w:w="8925"/>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6"/>
        <w:gridCol w:w="2832"/>
        <w:gridCol w:w="851"/>
        <w:gridCol w:w="850"/>
        <w:gridCol w:w="851"/>
        <w:gridCol w:w="2975"/>
      </w:tblGrid>
      <w:tr w:rsidR="00C544B8" w:rsidTr="004E70B7">
        <w:trPr>
          <w:cantSplit/>
        </w:trPr>
        <w:tc>
          <w:tcPr>
            <w:tcW w:type="dxa" w:w="56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lastRenderedPageBreak/>
              <w:t>姓名</w:t>
            </w:r>
          </w:p>
        </w:tc>
        <w:tc>
          <w:tcPr>
            <w:tcW w:type="dxa" w:w="2835"/>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职务</w:t>
            </w:r>
          </w:p>
        </w:tc>
        <w:tc>
          <w:tcPr>
            <w:tcW w:type="dxa" w:w="1701"/>
            <w:gridSpan w:val="2"/>
            <w:hideMark/>
          </w:tcPr>
          <w:p w:rsidR="00C544B8" w:rsidRDefault="00C544B8">
            <w:pPr>
              <w:autoSpaceDE w:val="0"/>
              <w:autoSpaceDN w:val="0"/>
              <w:adjustRightInd w:val="0"/>
              <w:spacing w:before="29" w:line="288" w:lineRule="auto"/>
              <w:ind w:left="15"/>
              <w:jc w:val="center"/>
              <w:rPr>
                <w:color w:val="000000"/>
                <w:kern w:val="0"/>
                <w:sz w:val="24"/>
              </w:rPr>
            </w:pPr>
            <w:proofErr w:type="gramStart"/>
            <w:r>
              <w:rPr>
                <w:rFonts w:hint="eastAsia"/>
                <w:color w:val="000000"/>
                <w:kern w:val="0"/>
                <w:sz w:val="24"/>
              </w:rPr>
              <w:t>任本基金</w:t>
            </w:r>
            <w:proofErr w:type="gramEnd"/>
            <w:r>
              <w:rPr>
                <w:rFonts w:hint="eastAsia"/>
                <w:color w:val="000000"/>
                <w:kern w:val="0"/>
                <w:sz w:val="24"/>
              </w:rPr>
              <w:t>的基金经理期限</w:t>
            </w:r>
          </w:p>
        </w:tc>
        <w:tc>
          <w:tcPr>
            <w:tcW w:type="dxa" w:w="851"/>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证券从业年限</w:t>
            </w:r>
          </w:p>
        </w:tc>
        <w:tc>
          <w:tcPr>
            <w:tcW w:type="dxa" w:w="297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说明</w:t>
            </w:r>
          </w:p>
        </w:tc>
      </w:tr>
      <w:tr w:rsidR="00C544B8" w:rsidTr="004E70B7">
        <w:trPr>
          <w:cantSplit/>
        </w:trPr>
        <w:tc>
          <w:tcPr>
            <w:tcW w:type="dxa" w:w="8931"/>
            <w:vMerge/>
            <w:vAlign w:val="center"/>
            <w:hideMark/>
          </w:tcPr>
          <w:p w:rsidR="00C544B8" w:rsidRDefault="00C544B8">
            <w:pPr>
              <w:widowControl/>
              <w:jc w:val="left"/>
              <w:rPr>
                <w:color w:val="000000"/>
                <w:kern w:val="0"/>
                <w:sz w:val="24"/>
              </w:rPr>
            </w:pPr>
          </w:p>
        </w:tc>
        <w:tc>
          <w:tcPr>
            <w:tcW w:type="dxa" w:w="2835"/>
            <w:vMerge/>
            <w:vAlign w:val="center"/>
            <w:hideMark/>
          </w:tcPr>
          <w:p w:rsidR="00C544B8" w:rsidRDefault="00C544B8">
            <w:pPr>
              <w:widowControl/>
              <w:jc w:val="left"/>
              <w:rPr>
                <w:color w:val="000000"/>
                <w:kern w:val="0"/>
                <w:sz w:val="24"/>
              </w:rPr>
            </w:pPr>
          </w:p>
        </w:tc>
        <w:tc>
          <w:tcPr>
            <w:tcW w:type="dxa" w:w="851"/>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任职日期</w:t>
            </w:r>
          </w:p>
        </w:tc>
        <w:tc>
          <w:tcPr>
            <w:tcW w:type="dxa" w:w="850"/>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离任日期</w:t>
            </w:r>
          </w:p>
        </w:tc>
        <w:tc>
          <w:tcPr>
            <w:tcW w:type="dxa" w:w="851"/>
            <w:vMerge/>
            <w:vAlign w:val="center"/>
            <w:hideMark/>
          </w:tcPr>
          <w:p w:rsidR="00C544B8" w:rsidRDefault="00C544B8">
            <w:pPr>
              <w:widowControl/>
              <w:jc w:val="left"/>
              <w:rPr>
                <w:color w:val="000000"/>
                <w:kern w:val="0"/>
                <w:sz w:val="24"/>
              </w:rPr>
            </w:pPr>
          </w:p>
        </w:tc>
        <w:tc>
          <w:tcPr>
            <w:tcW w:type="dxa" w:w="2977"/>
            <w:vMerge/>
            <w:vAlign w:val="center"/>
            <w:hideMark/>
          </w:tcPr>
          <w:p w:rsidR="00C544B8" w:rsidRDefault="00C544B8">
            <w:pPr>
              <w:widowControl/>
              <w:jc w:val="left"/>
              <w:rPr>
                <w:color w:val="000000"/>
                <w:kern w:val="0"/>
                <w:sz w:val="24"/>
              </w:rPr>
            </w:pP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深证100交易型开放式指数基金的基金经理、易方达创业板交易型开放式指数证券投资基金的基金经理、易方达生物科技指数分级证券投资基金的基金经理、易方达并购重组指数分级证券投资基金的基金经理、易方达深证100交易型开放式指数证券投资基金联接基金的基金经理、易方达创业板交易型开放式指数证券投资基金联接基金的基金经理、易方达银行指数分级证券投资基金的基金经理、易方达中小板指数证券投资基金（LOF）的基金经理、易方达标普信息科技指数证券投资基金（LOF）的基金经理（自2018年08月11日至2020年04月22日）、易方达标普生物科技指数证券投资基金（LOF）的基金经理（自2018年08月11日至2020年04月22日）、易方达标普医疗保健指数证券投资基金（LOF）的基金经理（自2018年08月11日至2020年04月22日）、易方达上证中盘交易型开放式指数证券投资基金的基金经理、易方达香港恒生综合小型股指数证券投资基金（LOF）的基金经理、易方达标普500指数证券投资基金（LOF）的基金经理、易方达中证800交易型开放式指数证券投资基金的基金经理、易方达中证800交易型开放式指数证券投资基金发起式联接基金的基金经理、易方达中证国企一带一路交易型开放式指数证券投资基金的基金经理、易方达中证国企一带一路交易型开放式指数证券投资基金联接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2018-08-11</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47A9A" w:rsidR="005C7D00" w:rsidRDefault="00C544B8" w:rsidRPr="00B34368">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
      </w:r>
      <w:proofErr w:type="gramStart"/>
      <w:r>
        <w:rPr>
          <w:color w:val="000000"/>
          <w:sz w:val="24"/>
        </w:rPr>
        <w:t/>
      </w:r>
      <w:proofErr w:type="gramEnd"/>
      <w:r>
        <w:rPr>
          <w:color w:val="000000"/>
          <w:sz w:val="24"/>
        </w:rPr>
        <w:t>2.证券从业的含义遵从《证券业从业人员资格管理办法》的相关规定。</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4.2</w:t>
      </w:r>
      <w:r w:rsidR="00B34368" w:rsidRPr="00B34368">
        <w:rPr>
          <w:rFonts w:eastAsiaTheme="minorEastAsia" w:hAnsiTheme="minorEastAsia"/>
          <w:b/>
          <w:color w:themeColor="text1" w:val="000000"/>
          <w:kern w:val="0"/>
          <w:sz w:val="24"/>
        </w:rPr>
        <w:t>管理人对</w:t>
      </w:r>
      <w:r w:rsidRPr="00B34368">
        <w:rPr>
          <w:rFonts w:eastAsiaTheme="minorEastAsia" w:hAnsiTheme="minorEastAsia"/>
          <w:b/>
          <w:color w:themeColor="text1" w:val="000000"/>
          <w:kern w:val="0"/>
          <w:sz w:val="24"/>
        </w:rPr>
        <w:t>报告期内本基金运作遵规守信情况</w:t>
      </w:r>
      <w:r w:rsidR="002F7889" w:rsidRPr="002F7889">
        <w:rPr>
          <w:rFonts w:eastAsiaTheme="minorEastAsia" w:hAnsiTheme="minorEastAsia"/>
          <w:b/>
          <w:color w:themeColor="text1" w:val="000000"/>
          <w:kern w:val="0"/>
          <w:sz w:val="24"/>
        </w:rPr>
        <w:t>的</w:t>
      </w:r>
      <w:r w:rsidRPr="00B34368">
        <w:rPr>
          <w:rFonts w:eastAsiaTheme="minorEastAsia" w:hAnsiTheme="minorEastAsia"/>
          <w:b/>
          <w:color w:themeColor="text1" w:val="000000"/>
          <w:kern w:val="0"/>
          <w:sz w:val="24"/>
        </w:rPr>
        <w:t>说明</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4.3 </w:t>
      </w:r>
      <w:r w:rsidRPr="00B34368">
        <w:rPr>
          <w:rFonts w:eastAsiaTheme="minorEastAsia" w:hAnsiTheme="minorEastAsia"/>
          <w:b/>
          <w:color w:themeColor="text1" w:val="000000"/>
          <w:kern w:val="0"/>
          <w:sz w:val="24"/>
        </w:rPr>
        <w:t>公平交易专项说明</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 xml:space="preserve">4.3.1 </w:t>
      </w:r>
      <w:r w:rsidRPr="00B34368">
        <w:rPr>
          <w:rFonts w:eastAsiaTheme="minorEastAsia" w:hAnsiTheme="minorEastAsia"/>
          <w:color w:themeColor="text1" w:val="000000"/>
          <w:sz w:val="24"/>
        </w:rPr>
        <w:t>公平交易制度的执行情况</w:t>
      </w:r>
    </w:p>
    <w:p w:rsidP="00B34368" w:rsidR="00D15733"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4.3.</w:t>
      </w:r>
      <w:r w:rsidR="005B6047" w:rsidRPr="00B34368">
        <w:rPr>
          <w:rFonts w:eastAsiaTheme="minorEastAsia"/>
          <w:color w:themeColor="text1" w:val="000000"/>
          <w:sz w:val="24"/>
        </w:rPr>
        <w:t>2</w:t>
      </w:r>
      <w:r w:rsidRPr="00B34368">
        <w:rPr>
          <w:rFonts w:eastAsiaTheme="minorEastAsia"/>
          <w:color w:themeColor="text1" w:val="000000"/>
          <w:sz w:val="24"/>
        </w:rPr>
        <w:t xml:space="preserve"> </w:t>
      </w:r>
      <w:r w:rsidRPr="00B34368">
        <w:rPr>
          <w:rFonts w:eastAsiaTheme="minorEastAsia" w:hAnsiTheme="minorEastAsia"/>
          <w:color w:themeColor="text1" w:val="000000"/>
          <w:sz w:val="24"/>
        </w:rPr>
        <w:t>异常交易行为的专项说明</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本报告期内，未发现本基金有可能导致不公平交易和利益输送的异常交易。</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4.4 </w:t>
      </w:r>
      <w:r w:rsidRPr="00B34368">
        <w:rPr>
          <w:rFonts w:eastAsiaTheme="minorEastAsia" w:hAnsiTheme="minorEastAsia"/>
          <w:b/>
          <w:color w:themeColor="text1" w:val="000000"/>
          <w:kern w:val="0"/>
          <w:sz w:val="24"/>
        </w:rPr>
        <w:t>报告期内基金的投资策略和业绩表现说明</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4.4.1</w:t>
      </w:r>
      <w:r w:rsidRPr="00B34368">
        <w:rPr>
          <w:rFonts w:eastAsiaTheme="minorEastAsia" w:hAnsiTheme="minorEastAsia"/>
          <w:color w:themeColor="text1" w:val="000000"/>
          <w:sz w:val="24"/>
        </w:rPr>
        <w:t>报告期内基金投资策略和运作分析</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本基金跟踪的标的指数为上证中盘指数，上证中盘指数由上证180指数成份股中剔除50只上证50指数成份股后剩余的130家成份股构成，以综合反映沪市中盘公司的整体状况。</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年初爆发的新冠疫情给全球经济发展和人们日常生活带来了巨大的影响，股票市场也因此大幅波动。二季度，国内新冠疫情得到有效的控制和缓解，随着各行业陆续复工、复产，国内经济在系列政策的刺激和支持下逐步走向复苏，5月份全国规模以上工业企业利润总额同比增速回升转正至6.0%，6月制造业PMI升至50.9%好于市场预期。A股市场在医药生物、食品饮料、科技等板块的带动下开启了一波反弹行情。本报告期，上证中盘指数上涨8.74%。</w:t>
      </w:r>
    </w:p>
    <w:p w:rsidP="00B34368" w:rsidR="00952A72"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是易方达上证中盘ETF的联接基金，主要投资于易方达上证中盘ETF。基金运作层面，报告期内，本基金严守基金合同认真对待投资者申购、赎回以及成份股调整事项，保障基金的正常运作，基金跟踪误差以及日均偏离度等指标控制在合同规定范围之内。</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4.4.2</w:t>
      </w:r>
      <w:r w:rsidRPr="00B34368">
        <w:rPr>
          <w:rFonts w:eastAsiaTheme="minorEastAsia" w:hAnsiTheme="minorEastAsia"/>
          <w:color w:themeColor="text1" w:val="000000"/>
          <w:sz w:val="24"/>
        </w:rPr>
        <w:t>报告期内基金的业绩表现</w:t>
      </w:r>
    </w:p>
    <w:p w:rsidP="00F405D4" w:rsidR="008129C0" w:rsidRDefault="00323F25" w:rsidRPr="00F405D4">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截至报告期末，本基金A类基金份额净值为1.4395元，本报告期份额净值增长率为10.66%，同期业绩比较基准收益率为8.31%；C类基金份额净值为1.4749元，本报告期份额净值增长率为10.60%，同期业绩比较基准收益率为8.31%。年化跟踪误差0.93%，在合同规定的目标控制范围之内。</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lastRenderedPageBreak/>
        <w:t xml:space="preserve">§5  </w:t>
      </w:r>
      <w:r w:rsidRPr="00B34368">
        <w:rPr>
          <w:rFonts w:eastAsiaTheme="minorEastAsia" w:hAnsiTheme="minorEastAsia"/>
          <w:color w:themeColor="text1" w:val="000000"/>
          <w:kern w:val="0"/>
          <w:sz w:val="24"/>
          <w:szCs w:val="24"/>
        </w:rPr>
        <w:t>投资组合报告</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5.1 </w:t>
      </w:r>
      <w:r w:rsidRPr="00B34368">
        <w:rPr>
          <w:rFonts w:eastAsiaTheme="minorEastAsia" w:hAnsiTheme="minorEastAsia"/>
          <w:b/>
          <w:color w:themeColor="text1" w:val="000000"/>
          <w:kern w:val="0"/>
          <w:sz w:val="24"/>
        </w:rPr>
        <w:t>报告期末基金资产组合情况</w:t>
      </w:r>
    </w:p>
    <w:tbl>
      <w:tblPr>
        <w:tblStyle w:val="af2"/>
        <w:tblW w:type="auto" w:w="0"/>
        <w:tblInd w:type="dxa" w:w="108"/>
        <w:tblLayout w:type="fixed"/>
        <w:tblLook w:firstColumn="1" w:firstRow="1" w:lastColumn="0" w:lastRow="0" w:noHBand="0" w:noVBand="1" w:val="04A0"/>
      </w:tblPr>
      <w:tblGrid>
        <w:gridCol w:w="720"/>
        <w:gridCol w:w="3357"/>
        <w:gridCol w:w="2694"/>
        <w:gridCol w:w="1757"/>
      </w:tblGrid>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33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项目</w:t>
            </w:r>
          </w:p>
        </w:tc>
        <w:tc>
          <w:tcPr>
            <w:tcW w:type="dxa" w:w="2694"/>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金额</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占基金总资产的比例</w:t>
            </w: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1</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权益投资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其中：股票</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2</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基金投资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174,014,343.84</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93.61</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3</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固定收益投资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其中：债券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lastRenderedPageBreak/>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B34368" w:rsidR="00B20F47" w:rsidRDefault="00B20F47" w:rsidRPr="00B34368">
            <w:pPr>
              <w:autoSpaceDE w:val="0"/>
              <w:autoSpaceDN w:val="0"/>
              <w:adjustRightInd w:val="0"/>
              <w:spacing w:before="29" w:line="360" w:lineRule="auto"/>
              <w:ind w:firstLine="720" w:firstLineChars="300" w:left="17"/>
              <w:jc w:val="left"/>
              <w:rPr>
                <w:rFonts w:eastAsiaTheme="minorEastAsia"/>
                <w:color w:themeColor="text1" w:val="000000"/>
                <w:sz w:val="24"/>
              </w:rPr>
            </w:pPr>
            <w:r w:rsidRPr="00B34368">
              <w:rPr>
                <w:rFonts w:eastAsiaTheme="minorEastAsia" w:hAnsiTheme="minorEastAsia"/>
                <w:color w:themeColor="text1" w:val="000000"/>
                <w:sz w:val="24"/>
              </w:rPr>
              <w:t>资产支持证券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tcPr>
          <w:p w:rsidP="00DD272F"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4</w:t>
            </w:r>
          </w:p>
        </w:tc>
        <w:tc>
          <w:tcPr>
            <w:tcW w:type="dxa" w:w="3357"/>
          </w:tcPr>
          <w:p w:rsidP="00DD272F" w:rsidR="00B007B6" w:rsidRDefault="00B007B6" w:rsidRPr="00B34368">
            <w:pPr>
              <w:spacing w:before="29" w:line="360" w:lineRule="auto"/>
              <w:ind w:left="105" w:leftChars="50"/>
              <w:rPr>
                <w:rFonts w:eastAsiaTheme="minorEastAsia"/>
                <w:color w:themeColor="text1" w:val="000000"/>
                <w:sz w:val="24"/>
              </w:rPr>
            </w:pPr>
            <w:r w:rsidRPr="00B34368">
              <w:rPr>
                <w:rFonts w:eastAsiaTheme="minorEastAsia" w:hAnsiTheme="minorEastAsia"/>
                <w:color w:themeColor="text1" w:val="000000"/>
                <w:sz w:val="24"/>
              </w:rPr>
              <w:t>贵金属投资</w:t>
            </w:r>
          </w:p>
        </w:tc>
        <w:tc>
          <w:tcPr>
            <w:tcW w:type="dxa" w:w="2694"/>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5</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金融衍生</w:t>
            </w:r>
            <w:proofErr w:type="gramStart"/>
            <w:r w:rsidRPr="00B34368">
              <w:rPr>
                <w:rFonts w:eastAsiaTheme="minorEastAsia" w:hAnsiTheme="minorEastAsia"/>
                <w:color w:themeColor="text1" w:val="000000"/>
                <w:sz w:val="24"/>
              </w:rPr>
              <w:t>品投资</w:t>
            </w:r>
            <w:proofErr w:type="gramEnd"/>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6</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其中：买断式回购的买入返售金融资产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7</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银行存款和结算备付金合计</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11,029,785.83</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5.93</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8</w:t>
            </w:r>
          </w:p>
        </w:tc>
        <w:tc>
          <w:tcPr>
            <w:tcW w:type="dxa" w:w="3357"/>
            <w:vAlign w:val="center"/>
          </w:tcPr>
          <w:p w:rsidP="00A3193E" w:rsidR="00B007B6" w:rsidRDefault="00E57CD3" w:rsidRPr="00B34368">
            <w:pPr>
              <w:jc w:val="left"/>
              <w:rPr>
                <w:rFonts w:eastAsiaTheme="minorEastAsia"/>
                <w:color w:themeColor="text1" w:val="000000"/>
                <w:sz w:val="24"/>
              </w:rPr>
            </w:pPr>
            <w:r>
              <w:rPr>
                <w:rFonts w:eastAsiaTheme="minorEastAsia" w:hAnsiTheme="minorEastAsia"/>
                <w:color w:themeColor="text1" w:val="000000"/>
                <w:sz w:val="24"/>
              </w:rPr>
              <w:t>其他</w:t>
            </w:r>
            <w:r w:rsidR="00B007B6" w:rsidRPr="00B34368">
              <w:rPr>
                <w:rFonts w:eastAsiaTheme="minorEastAsia" w:hAnsiTheme="minorEastAsia"/>
                <w:color w:themeColor="text1" w:val="000000"/>
                <w:sz w:val="24"/>
              </w:rPr>
              <w:t>资产</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840,708.19</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0.45</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9</w:t>
            </w:r>
          </w:p>
        </w:tc>
        <w:tc>
          <w:tcPr>
            <w:tcW w:type="dxa" w:w="3357"/>
            <w:vAlign w:val="center"/>
          </w:tcPr>
          <w:p w:rsidP="00A3193E" w:rsidR="00B007B6" w:rsidRDefault="00B007B6" w:rsidRPr="00B34368">
            <w:pPr>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185,884,837.86</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100.00</w:t>
            </w:r>
          </w:p>
        </w:tc>
      </w:tr>
    </w:tbl>
    <w:p w:rsidP="00C544B8" w:rsidR="0040218E" w:rsidRDefault="0040218E"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lastRenderedPageBreak/>
        <w:t>5.2</w:t>
      </w:r>
      <w:r w:rsidRPr="00B34368">
        <w:rPr>
          <w:rFonts w:eastAsiaTheme="minorEastAsia" w:hAnsiTheme="minorEastAsia"/>
          <w:b/>
          <w:color w:themeColor="text1" w:val="000000"/>
          <w:kern w:val="0"/>
          <w:sz w:val="24"/>
        </w:rPr>
        <w:t>期末投资目标基金明细</w:t>
      </w:r>
    </w:p>
    <w:tbl>
      <w:tblPr>
        <w:tblStyle w:val="af2"/>
        <w:tblW w:type="auto" w:w="0"/>
        <w:tblInd w:type="dxa" w:w="108"/>
        <w:tblLook w:firstColumn="1" w:firstRow="1" w:lastColumn="0" w:lastRow="0" w:noHBand="0" w:noVBand="1" w:val="04A0"/>
      </w:tblPr>
      <w:tblGrid>
        <w:gridCol w:w="1194"/>
        <w:gridCol w:w="1195"/>
        <w:gridCol w:w="1195"/>
        <w:gridCol w:w="1195"/>
        <w:gridCol w:w="1195"/>
        <w:gridCol w:w="1489"/>
        <w:gridCol w:w="1465"/>
      </w:tblGrid>
      <w:tr w:rsidR="00D3639B" w:rsidRPr="00B34368" w:rsidTr="00975D18">
        <w:tc>
          <w:tcPr>
            <w:tcW w:type="dxa" w:w="1215"/>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基金类型</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运作方式</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管理人</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公允价值</w:t>
            </w:r>
            <w:r w:rsidR="00A22E07" w:rsidRPr="00B34368">
              <w:rPr>
                <w:rFonts w:eastAsiaTheme="minorEastAsia" w:hAnsiTheme="minorEastAsia"/>
                <w:color w:themeColor="text1" w:val="000000"/>
                <w:sz w:val="24"/>
              </w:rPr>
              <w:t>（元）</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占基金资产净值比例（</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易方达上证中盘交易型开放式指数证券投资基金</w:t>
            </w:r>
          </w:p>
        </w:tc>
        <w:tc>
          <w:tcPr>
            <w:vAlign w:val="center"/>
          </w:tcPr>
          <w:p>
            <w:pPr>
              <w:jc w:val="center"/>
            </w:pPr>
            <w:r>
              <w:rPr>
                <w:rFonts w:eastAsiaTheme="minorEastAsia"/>
                <w:color w:themeColor="text1" w:val="000000"/>
                <w:sz w:val="24"/>
              </w:rPr>
              <w:t>股票型</w:t>
            </w:r>
          </w:p>
        </w:tc>
        <w:tc>
          <w:tcPr>
            <w:vAlign w:val="center"/>
          </w:tcPr>
          <w:p>
            <w:pPr>
              <w:jc w:val="center"/>
            </w:pPr>
            <w:r>
              <w:rPr>
                <w:rFonts w:eastAsiaTheme="minorEastAsia"/>
                <w:color w:themeColor="text1" w:val="000000"/>
                <w:sz w:val="24"/>
              </w:rPr>
              <w:t>交易型开放式（ETF）</w:t>
            </w:r>
          </w:p>
        </w:tc>
        <w:tc>
          <w:tcPr>
            <w:vAlign w:val="center"/>
          </w:tcPr>
          <w:p>
            <w:pPr>
              <w:jc w:val="center"/>
            </w:pPr>
            <w:r>
              <w:rPr>
                <w:rFonts w:eastAsiaTheme="minorEastAsia"/>
                <w:color w:themeColor="text1" w:val="000000"/>
                <w:sz w:val="24"/>
              </w:rPr>
              <w:t>易方达基金管理有限公司</w:t>
            </w:r>
          </w:p>
        </w:tc>
        <w:tc>
          <w:tcPr>
            <w:vAlign w:val="center"/>
          </w:tcPr>
          <w:p>
            <w:pPr>
              <w:jc w:val="right"/>
            </w:pPr>
            <w:r>
              <w:rPr>
                <w:rFonts w:eastAsiaTheme="minorEastAsia"/>
                <w:color w:themeColor="text1" w:val="000000"/>
                <w:sz w:val="24"/>
              </w:rPr>
              <w:t>174,014,343.84</w:t>
            </w:r>
          </w:p>
        </w:tc>
        <w:tc>
          <w:tcPr>
            <w:vAlign w:val="center"/>
          </w:tcPr>
          <w:p>
            <w:pPr>
              <w:jc w:val="right"/>
            </w:pPr>
            <w:r>
              <w:rPr>
                <w:rFonts w:eastAsiaTheme="minorEastAsia"/>
                <w:color w:themeColor="text1" w:val="000000"/>
                <w:sz w:val="24"/>
              </w:rPr>
              <w:t>94.64</w:t>
            </w:r>
          </w:p>
        </w:tc>
      </w:tr>
    </w:tbl>
    <w:p w:rsidP="00C544B8" w:rsidR="0054389B" w:rsidRDefault="0054389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5.3 </w:t>
      </w:r>
      <w:r w:rsidRPr="00B34368">
        <w:rPr>
          <w:rFonts w:eastAsiaTheme="minorEastAsia" w:hAnsiTheme="minorEastAsia"/>
          <w:b/>
          <w:color w:themeColor="text1" w:val="000000"/>
          <w:kern w:val="0"/>
          <w:sz w:val="24"/>
        </w:rPr>
        <w:t>报告期末按行业分类的股票投资组合</w:t>
      </w:r>
    </w:p>
    <w:p w:rsidP="0054389B" w:rsidR="0054389B" w:rsidRDefault="0054389B" w:rsidRPr="00B34368">
      <w:pPr>
        <w:rPr>
          <w:rFonts w:eastAsiaTheme="minorEastAsia"/>
          <w:b/>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r w:rsidRPr="00B34368">
        <w:rPr>
          <w:rFonts w:eastAsiaTheme="minorEastAsia"/>
          <w:b/>
          <w:color w:themeColor="text1" w:val="000000"/>
          <w:kern w:val="0"/>
          <w:sz w:val="24"/>
        </w:rPr>
        <w:t>5.3.1</w:t>
      </w:r>
      <w:r w:rsidRPr="00B34368">
        <w:rPr>
          <w:rFonts w:eastAsiaTheme="minorEastAsia" w:hAnsiTheme="minorEastAsia"/>
          <w:b/>
          <w:color w:themeColor="text1" w:val="000000"/>
          <w:kern w:val="0"/>
          <w:sz w:val="24"/>
        </w:rPr>
        <w:t>报告期末按行业分类的境内股票投资组合</w:t>
      </w:r>
    </w:p>
    <w:p w:rsidP="00B34368" w:rsidR="009238DB" w:rsidRDefault="000871DB"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本基金本报告期末未持有境内股票。</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4</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报告期末按公允价值占基金资产净值比例大小排序的前十名股票投资明细</w:t>
      </w:r>
    </w:p>
    <w:p w:rsidP="00B34368" w:rsidR="009238DB" w:rsidRDefault="000871DB"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lastRenderedPageBreak/>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本基金本报告期末未持有股票。</w:t>
      </w:r>
    </w:p>
    <w:p w:rsidP="00C544B8" w:rsidR="00F21B6D"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5</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报告期末按债券品种分类的债券投资组合</w:t>
      </w:r>
    </w:p>
    <w:p w:rsidP="00B34368" w:rsidR="009238DB" w:rsidRDefault="00F21B6D"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本基金本报告期末未持有债券。</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6</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的前五名债券投资明细</w:t>
      </w:r>
    </w:p>
    <w:p w:rsidP="00B34368" w:rsidR="009238DB" w:rsidRDefault="00296E4A"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本基金本报告期末未持有债券。</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7</w:t>
      </w:r>
      <w:r w:rsidRPr="00B34368">
        <w:rPr>
          <w:rFonts w:eastAsiaTheme="minorEastAsia" w:hAnsiTheme="minorEastAsia"/>
          <w:b/>
          <w:color w:themeColor="text1" w:val="000000"/>
          <w:kern w:val="0"/>
          <w:sz w:val="24"/>
        </w:rPr>
        <w:t xml:space="preserve">　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的前十名资产支持证券投资明细</w:t>
      </w:r>
    </w:p>
    <w:p w:rsidP="00B34368" w:rsidR="009238DB"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lastRenderedPageBreak/>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本基金本报告期末未持有资产支持证券。</w:t>
      </w:r>
    </w:p>
    <w:p w:rsidP="00C544B8" w:rsidR="00E15FD1" w:rsidRDefault="00E15FD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5</w:t>
      </w:r>
      <w:proofErr w:type="gramStart"/>
      <w:r w:rsidRPr="00B34368">
        <w:rPr>
          <w:rFonts w:eastAsiaTheme="minorEastAsia"/>
          <w:b/>
          <w:bCs/>
          <w:color w:themeColor="text1" w:val="000000"/>
          <w:kern w:val="0"/>
          <w:sz w:val="24"/>
        </w:rPr>
        <w:t>.</w:t>
      </w:r>
      <w:proofErr w:type="gramEnd"/>
      <w:r w:rsidRPr="00B34368">
        <w:rPr>
          <w:rFonts w:eastAsiaTheme="minorEastAsia"/>
          <w:b/>
          <w:bCs/>
          <w:color w:themeColor="text1" w:val="000000"/>
          <w:kern w:val="0"/>
          <w:sz w:val="24"/>
        </w:rPr>
        <w:t xml:space="preserve">8 </w:t>
      </w:r>
      <w:r w:rsidRPr="00B34368">
        <w:rPr>
          <w:rFonts w:eastAsiaTheme="minorEastAsia" w:hAnsiTheme="minorEastAsia"/>
          <w:b/>
          <w:bCs/>
          <w:color w:themeColor="text1" w:val="000000"/>
          <w:kern w:val="0"/>
          <w:sz w:val="24"/>
        </w:rPr>
        <w:t>报告期末按公允价值占基金资产净值比例大小排序的前五名贵金属投资明细</w:t>
      </w:r>
    </w:p>
    <w:p w:rsidP="00B34368" w:rsidR="00E15FD1" w:rsidRDefault="00E15FD1" w:rsidRPr="00B34368">
      <w:pPr>
        <w:widowControl/>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本基金本报告期末未持有贵金属。</w:t>
      </w:r>
    </w:p>
    <w:p w:rsidP="00C544B8" w:rsidR="009238DB" w:rsidRDefault="00E15FD1"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001D5CD0" w:rsidRPr="00B34368">
        <w:rPr>
          <w:rFonts w:eastAsiaTheme="minorEastAsia"/>
          <w:b/>
          <w:color w:themeColor="text1" w:val="000000"/>
          <w:kern w:val="0"/>
          <w:sz w:val="24"/>
        </w:rPr>
        <w:t>5</w:t>
      </w:r>
      <w:r w:rsidR="009238DB" w:rsidRPr="00B34368">
        <w:rPr>
          <w:rFonts w:eastAsiaTheme="minorEastAsia"/>
          <w:b/>
          <w:color w:themeColor="text1" w:val="000000"/>
          <w:kern w:val="0"/>
          <w:sz w:val="24"/>
        </w:rPr>
        <w:t>.</w:t>
      </w:r>
      <w:r w:rsidR="001D5CD0" w:rsidRPr="00B34368">
        <w:rPr>
          <w:rFonts w:eastAsiaTheme="minorEastAsia"/>
          <w:b/>
          <w:color w:themeColor="text1" w:val="000000"/>
          <w:kern w:val="0"/>
          <w:sz w:val="24"/>
        </w:rPr>
        <w:t/>
      </w:r>
      <w:r w:rsidRPr="00B34368">
        <w:rPr>
          <w:rFonts w:eastAsiaTheme="minorEastAsia"/>
          <w:b/>
          <w:color w:themeColor="text1" w:val="000000"/>
          <w:kern w:val="0"/>
          <w:sz w:val="24"/>
        </w:rPr>
        <w:t/>
      </w:r>
      <w:r w:rsidR="001D5CD0" w:rsidRPr="00B34368">
        <w:rPr>
          <w:rFonts w:eastAsiaTheme="minorEastAsia"/>
          <w:b/>
          <w:color w:themeColor="text1" w:val="000000"/>
          <w:kern w:val="0"/>
          <w:sz w:val="24"/>
        </w:rPr>
        <w:t>9</w:t>
      </w:r>
      <w:r w:rsidR="009238DB" w:rsidRPr="00B34368">
        <w:rPr>
          <w:rFonts w:eastAsiaTheme="minorEastAsia"/>
          <w:b/>
          <w:color w:themeColor="text1" w:val="000000"/>
          <w:kern w:val="0"/>
          <w:sz w:val="24"/>
        </w:rPr>
        <w:t xml:space="preserve"> </w:t>
      </w:r>
      <w:r w:rsidR="009238DB" w:rsidRPr="00B34368">
        <w:rPr>
          <w:rFonts w:eastAsiaTheme="minorEastAsia" w:hAnsiTheme="minorEastAsia"/>
          <w:b/>
          <w:color w:themeColor="text1" w:val="000000"/>
          <w:kern w:val="0"/>
          <w:sz w:val="24"/>
        </w:rPr>
        <w:t>报告</w:t>
      </w:r>
      <w:r w:rsidR="009238DB" w:rsidRPr="00B34368">
        <w:rPr>
          <w:rFonts w:eastAsiaTheme="minorEastAsia" w:hAnsiTheme="minorEastAsia"/>
          <w:b/>
          <w:bCs/>
          <w:color w:themeColor="text1" w:val="000000"/>
          <w:kern w:val="0"/>
          <w:sz w:val="24"/>
        </w:rPr>
        <w:t>期末</w:t>
      </w:r>
      <w:r w:rsidR="009238DB" w:rsidRPr="00B34368">
        <w:rPr>
          <w:rFonts w:eastAsiaTheme="minorEastAsia" w:hAnsiTheme="minorEastAsia"/>
          <w:b/>
          <w:color w:themeColor="text1" w:val="000000"/>
          <w:kern w:val="0"/>
          <w:sz w:val="24"/>
        </w:rPr>
        <w:t>按公允价值占基金资产净值比例大小排</w:t>
      </w:r>
      <w:r w:rsidR="006B3FDB" w:rsidRPr="00B34368">
        <w:rPr>
          <w:rFonts w:eastAsiaTheme="minorEastAsia" w:hAnsiTheme="minorEastAsia"/>
          <w:b/>
          <w:color w:themeColor="text1" w:val="000000"/>
          <w:kern w:val="0"/>
          <w:sz w:val="24"/>
        </w:rPr>
        <w:t>序</w:t>
      </w:r>
      <w:r w:rsidR="009238DB" w:rsidRPr="00B34368">
        <w:rPr>
          <w:rFonts w:eastAsiaTheme="minorEastAsia" w:hAnsiTheme="minorEastAsia"/>
          <w:b/>
          <w:color w:themeColor="text1" w:val="000000"/>
          <w:kern w:val="0"/>
          <w:sz w:val="24"/>
        </w:rPr>
        <w:t>的前五名权证投资明细</w:t>
      </w:r>
    </w:p>
    <w:p w:rsidP="00B34368" w:rsidR="001D5CD0"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00407F66"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本基金本报告期末未持有权证。</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sz w:val="24"/>
        </w:rPr>
      </w:pPr>
      <w:r w:rsidRPr="00B34368">
        <w:rPr>
          <w:rFonts w:eastAsiaTheme="minorEastAsia"/>
          <w:b/>
          <w:color w:themeColor="text1" w:val="000000"/>
          <w:sz w:val="24"/>
        </w:rPr>
        <w:lastRenderedPageBreak/>
        <w:t/>
      </w:r>
      <w:proofErr w:type="spellStart"/>
      <w:r w:rsidRPr="00B34368">
        <w:rPr>
          <w:rFonts w:eastAsiaTheme="minorEastAsia"/>
          <w:b/>
          <w:color w:themeColor="text1" w:val="000000"/>
          <w:sz w:val="24"/>
        </w:rPr>
        <w:t/>
      </w:r>
      <w:r w:rsidRPr="00B34368">
        <w:rPr>
          <w:rFonts w:eastAsiaTheme="minorEastAsia"/>
          <w:b/>
          <w:bCs/>
          <w:color w:themeColor="text1" w:val="000000"/>
          <w:kern w:val="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5.10 </w:t>
      </w:r>
      <w:r w:rsidRPr="00B34368">
        <w:rPr>
          <w:rFonts w:eastAsiaTheme="minorEastAsia" w:hAnsiTheme="minorEastAsia"/>
          <w:b/>
          <w:color w:themeColor="text1" w:val="000000"/>
          <w:sz w:val="24"/>
        </w:rPr>
        <w:t>报告期末本基金投资的股指期货交易情况说明</w:t>
      </w:r>
    </w:p>
    <w:p w:rsidP="00D27EA0" w:rsidR="001D5CD0" w:rsidRDefault="00D27EA0" w:rsidRPr="00B34368">
      <w:pPr>
        <w:spacing w:line="360" w:lineRule="auto"/>
        <w:ind w:firstLine="480" w:firstLineChars="200"/>
        <w:rPr>
          <w:rFonts w:eastAsiaTheme="minorEastAsia"/>
          <w:color w:themeColor="text1"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r w:rsidRPr="00D27EA0">
        <w:rPr>
          <w:rFonts w:eastAsiaTheme="minorEastAsia"/>
          <w:color w:themeColor="text1" w:val="000000"/>
          <w:sz w:val="24"/>
        </w:rPr>
        <w:t/>
      </w:r>
      <w:proofErr w:type="spellEnd"/>
      <w:proofErr w:type="gramEnd"/>
      <w:r w:rsidRPr="00D27EA0">
        <w:rPr>
          <w:rFonts w:eastAsiaTheme="minorEastAsia"/>
          <w:color w:themeColor="text1" w:val="000000"/>
          <w:sz w:val="24"/>
        </w:rPr>
        <w:t>本基金本报告期末未投资股指期货。</w:t>
      </w:r>
    </w:p>
    <w:p w:rsidP="00C544B8" w:rsidR="001D5CD0" w:rsidRDefault="001D5CD0" w:rsidRPr="00B34368">
      <w:pPr>
        <w:adjustRightInd w:val="0"/>
        <w:snapToGrid w:val="0"/>
        <w:spacing w:before="312" w:beforeLines="100" w:line="360" w:lineRule="auto"/>
        <w:rPr>
          <w:rFonts w:eastAsiaTheme="minorEastAsia"/>
          <w:b/>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5.11</w:t>
      </w:r>
      <w:r w:rsidRPr="00B34368">
        <w:rPr>
          <w:rFonts w:eastAsiaTheme="minorEastAsia" w:hAnsiTheme="minorEastAsia"/>
          <w:b/>
          <w:color w:themeColor="text1" w:val="000000"/>
          <w:sz w:val="24"/>
        </w:rPr>
        <w:t>报告期末本基金投资的国债期货交易情况说明</w:t>
      </w:r>
    </w:p>
    <w:p w:rsidP="00985F0E" w:rsidR="00985F0E" w:rsidRDefault="00985F0E">
      <w:pPr>
        <w:spacing w:line="360" w:lineRule="auto"/>
        <w:ind w:firstLine="480" w:firstLineChars="200"/>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本基金本报告期末未投资国债期货。</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w:t>
      </w:r>
      <w:r w:rsidRPr="00B34368">
        <w:rPr>
          <w:rFonts w:eastAsiaTheme="minorEastAsia" w:hAnsiTheme="minorEastAsia"/>
          <w:b/>
          <w:color w:themeColor="text1" w:val="000000"/>
          <w:kern w:val="0"/>
          <w:sz w:val="24"/>
        </w:rPr>
        <w:t>投资组合报告附注</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5.12.1</w:t>
      </w:r>
      <w:r w:rsidR="00BD1AD9">
        <w:rPr>
          <w:rFonts w:eastAsiaTheme="minorEastAsia" w:hint="eastAsia"/>
          <w:color w:themeColor="text1" w:val="000000"/>
          <w:sz w:val="24"/>
        </w:rPr>
        <w:t xml:space="preserve"> </w:t>
      </w:r>
      <w:r w:rsidRPr="00B34368">
        <w:rPr>
          <w:rFonts w:eastAsiaTheme="minorEastAsia"/>
          <w:color w:themeColor="text1" w:val="000000"/>
          <w:sz w:val="24"/>
        </w:rPr>
        <w:t>2019年9月3日，北京银保监局对北京银行股份有限公司个人消费贷款被挪用于支付购房首付款或投资股权、个别个人商办用房贷款违反房地产调控政策、同业投资通过信托通道违规发放土地储备贷款的行为的违法违规事实，责令改正，并处罚款110万元人民币。</w:t>
      </w:r>
    </w:p>
    <w:p>
      <w:pPr>
        <w:widowControl/>
        <w:spacing w:line="360" w:lineRule="auto"/>
        <w:rPr>
          <w:rFonts w:eastAsiaTheme="minorEastAsia"/>
          <w:color w:themeColor="text1" w:val="000000"/>
          <w:sz w:val="24"/>
        </w:rPr>
      </w:pPr>
      <w:r>
        <w:rPr>
          <w:rFonts w:eastAsiaTheme="minorEastAsia"/>
          <w:color w:themeColor="text1" w:val="000000"/>
          <w:sz w:val="24"/>
        </w:rPr>
        <w:t>2019年9月25日，北京银保监局对北京银行股份有限公司员工大额消费贷款违规行为长期未有效整改、同业业务专营部门制改革不到位、同业投资违规接受第三方金融机构信用担保的违法违规事实，责令改正，并给予合计100万元罚款的行政处罚。</w:t>
      </w:r>
    </w:p>
    <w:p>
      <w:pPr>
        <w:widowControl/>
        <w:spacing w:line="360" w:lineRule="auto"/>
        <w:rPr>
          <w:rFonts w:eastAsiaTheme="minorEastAsia"/>
          <w:color w:themeColor="text1" w:val="000000"/>
          <w:sz w:val="24"/>
        </w:rPr>
      </w:pPr>
      <w:r>
        <w:rPr>
          <w:rFonts w:eastAsiaTheme="minorEastAsia"/>
          <w:color w:themeColor="text1" w:val="000000"/>
          <w:sz w:val="24"/>
        </w:rPr>
        <w:t>2020年5月14日，国家外汇管理局北京外汇管理部对北京银行作出“责令改正，给予警告，处14万元人民币罚款”的行政处罚，违法违规事由：未按照规定进行国际收支统计申报；未按照规定报送财务会计报告、统计报表等资料。</w:t>
      </w:r>
    </w:p>
    <w:p>
      <w:pPr>
        <w:widowControl/>
        <w:spacing w:line="360" w:lineRule="auto"/>
        <w:rPr>
          <w:rFonts w:eastAsiaTheme="minorEastAsia"/>
          <w:color w:themeColor="text1" w:val="000000"/>
          <w:sz w:val="24"/>
        </w:rPr>
      </w:pPr>
      <w:r>
        <w:rPr>
          <w:rFonts w:eastAsiaTheme="minorEastAsia"/>
          <w:color w:themeColor="text1" w:val="000000"/>
          <w:sz w:val="24"/>
        </w:rPr>
        <w:t>2019年7月8日，中国银行保险监督管理委员会上海监管局对上海银行股份有限公司信用卡中心的如下违法违规行为作出“责令改正，并处罚款40万元”的行政处罚决定：2017年12月，该中心在为部分客户办理信用卡业务时，未遵守总授信额度管理制度。</w:t>
      </w:r>
    </w:p>
    <w:p>
      <w:pPr>
        <w:widowControl/>
        <w:spacing w:line="360" w:lineRule="auto"/>
        <w:rPr>
          <w:rFonts w:eastAsiaTheme="minorEastAsia"/>
          <w:color w:themeColor="text1" w:val="000000"/>
          <w:sz w:val="24"/>
        </w:rPr>
      </w:pPr>
      <w:r>
        <w:rPr>
          <w:rFonts w:eastAsiaTheme="minorEastAsia"/>
          <w:color w:themeColor="text1" w:val="000000"/>
          <w:sz w:val="24"/>
        </w:rPr>
        <w:t>2019年11月2日，中国人民银行上海分行对上海银行股份有限公司违反支付业务规定的行为，没收违法所得1,762,787.61元，并处以1,762,787.61元罚款，共计3,525,575.22元，同时对相关高级管理人员作出处罚。</w:t>
      </w:r>
    </w:p>
    <w:p>
      <w:pPr>
        <w:widowControl/>
        <w:spacing w:line="360" w:lineRule="auto"/>
        <w:rPr>
          <w:rFonts w:eastAsiaTheme="minorEastAsia"/>
          <w:color w:themeColor="text1" w:val="000000"/>
          <w:sz w:val="24"/>
        </w:rPr>
      </w:pPr>
      <w:r>
        <w:rPr>
          <w:rFonts w:eastAsiaTheme="minorEastAsia"/>
          <w:color w:themeColor="text1" w:val="000000"/>
          <w:sz w:val="24"/>
        </w:rPr>
        <w:t>2020年4月8日，中国人民银行长春中心支行对招商证券股份有限公司长春人民大街证券营业部未按照规定履行客户身份识别义务的违法违规事实，责令整改并处罚款22万元的行政处罚。</w:t>
      </w:r>
    </w:p>
    <w:p>
      <w:pPr>
        <w:widowControl/>
        <w:spacing w:line="360" w:lineRule="auto"/>
        <w:rPr>
          <w:rFonts w:eastAsiaTheme="minorEastAsia"/>
          <w:color w:themeColor="text1" w:val="000000"/>
          <w:sz w:val="24"/>
        </w:rPr>
      </w:pPr>
      <w:r>
        <w:rPr>
          <w:rFonts w:eastAsiaTheme="minorEastAsia"/>
          <w:color w:themeColor="text1" w:val="000000"/>
          <w:sz w:val="24"/>
        </w:rPr>
        <w:t>本基金为目标ETF的联接基金，上述股票系标的指数成份股，上述股票的投资决策程序符合公司投资制度的规定。除上海银行、北京银行、招商证券外，本基金目标ETF投资的前十名证券的发行主体本期没有出现被监管部门立案调查，或在报告编制日前一年内受到公开谴责、处罚的情形。本基金投资的前十名证券的发行主体本期没有出现被监管部门立案调查，或在报告编制日前一年内受到公开谴责、处罚的情形。</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lastRenderedPageBreak/>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5.12.2</w:t>
      </w:r>
      <w:r w:rsidR="00BD1AD9">
        <w:rPr>
          <w:rFonts w:eastAsiaTheme="minorEastAsia" w:hint="eastAsia"/>
          <w:color w:themeColor="text1" w:val="000000"/>
          <w:sz w:val="24"/>
        </w:rPr>
        <w:t xml:space="preserve"> </w:t>
      </w:r>
      <w:r w:rsidRPr="00B34368">
        <w:rPr>
          <w:rFonts w:eastAsiaTheme="minorEastAsia"/>
          <w:color w:themeColor="text1" w:val="000000"/>
          <w:sz w:val="24"/>
        </w:rPr>
        <w:t>本基金本报告期末未持有股票，不存在投资的前十名股票超出基金合同规定的备选股票库情况。</w:t>
      </w:r>
    </w:p>
    <w:p w:rsidP="001D5CD0" w:rsidR="001D5CD0" w:rsidRDefault="001D5CD0" w:rsidRPr="00B34368">
      <w:pPr>
        <w:autoSpaceDE w:val="0"/>
        <w:autoSpaceDN w:val="0"/>
        <w:adjustRightInd w:val="0"/>
        <w:spacing w:line="360" w:lineRule="auto"/>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5.12.3</w:t>
      </w:r>
      <w:r w:rsidR="00153CF9">
        <w:rPr>
          <w:rFonts w:eastAsiaTheme="minorEastAsia" w:hAnsiTheme="minorEastAsia"/>
          <w:b/>
          <w:color w:themeColor="text1" w:val="000000"/>
          <w:kern w:val="0"/>
          <w:sz w:val="24"/>
        </w:rPr>
        <w:t>其他</w:t>
      </w:r>
      <w:bookmarkStart w:id="3" w:name="_GoBack"/>
      <w:bookmarkEnd w:id="3"/>
      <w:r w:rsidRPr="00B34368">
        <w:rPr>
          <w:rFonts w:eastAsiaTheme="minorEastAsia" w:hAnsiTheme="minorEastAsia"/>
          <w:b/>
          <w:color w:themeColor="text1" w:val="000000"/>
          <w:kern w:val="0"/>
          <w:sz w:val="24"/>
        </w:rPr>
        <w:t>资产构成</w:t>
      </w:r>
    </w:p>
    <w:tbl>
      <w:tblPr>
        <w:tblStyle w:val="af2"/>
        <w:tblW w:type="auto" w:w="0"/>
        <w:tblInd w:type="dxa" w:w="108"/>
        <w:tblLook w:firstColumn="1" w:firstRow="1" w:lastColumn="0" w:lastRow="0" w:noHBand="0" w:noVBand="1" w:val="04A0"/>
      </w:tblPr>
      <w:tblGrid>
        <w:gridCol w:w="1235"/>
        <w:gridCol w:w="2761"/>
        <w:gridCol w:w="4808"/>
      </w:tblGrid>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2761"/>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名称</w:t>
            </w:r>
          </w:p>
        </w:tc>
        <w:tc>
          <w:tcPr>
            <w:tcW w:type="dxa" w:w="4808"/>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金额</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元</w:t>
            </w:r>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color w:themeColor="text1" w:val="000000"/>
                <w:sz w:val="24"/>
              </w:rPr>
              <w:t>1</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存出保证金</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6,586.33</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2</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应收证券清算款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3</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应收股利</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4</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应收利息</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970.95</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5</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应收申购款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833,150.91</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6</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其他应收款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7</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sz w:val="24"/>
              </w:rPr>
            </w:pPr>
            <w:r w:rsidRPr="00B34368">
              <w:rPr>
                <w:rFonts w:eastAsiaTheme="minorEastAsia" w:hAnsiTheme="minorEastAsia"/>
                <w:color w:themeColor="text1" w:val="000000"/>
                <w:sz w:val="24"/>
              </w:rPr>
              <w:t>待摊费用</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8</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9</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合计</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840,708.19</w:t>
            </w:r>
          </w:p>
        </w:tc>
      </w:tr>
    </w:tbl>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5.12.4</w:t>
      </w:r>
      <w:r w:rsidRPr="00B34368">
        <w:rPr>
          <w:rFonts w:eastAsiaTheme="minorEastAsia" w:hAnsiTheme="minorEastAsia"/>
          <w:b/>
          <w:color w:themeColor="text1" w:val="000000"/>
          <w:kern w:val="0"/>
          <w:sz w:val="24"/>
        </w:rPr>
        <w:t>报告期末持有的处于转股期的可转换债券明细</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本基金本报告期末未持有处于转股期的可转换债券。</w:t>
      </w:r>
    </w:p>
    <w:p w:rsidP="00C544B8" w:rsidR="001D5CD0" w:rsidRDefault="001D5CD0" w:rsidRPr="00B34368">
      <w:pPr>
        <w:autoSpaceDE w:val="0"/>
        <w:autoSpaceDN w:val="0"/>
        <w:adjustRightInd w:val="0"/>
        <w:spacing w:before="312" w:beforeLines="100" w:line="360" w:lineRule="auto"/>
        <w:jc w:val="left"/>
        <w:rPr>
          <w:rFonts w:eastAsiaTheme="minorEastAsia"/>
          <w:b/>
          <w:bCs/>
          <w:color w:themeColor="text1" w:val="00000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5.12.5</w:t>
      </w:r>
      <w:r w:rsidRPr="00B34368">
        <w:rPr>
          <w:rFonts w:eastAsiaTheme="minorEastAsia" w:hAnsiTheme="minorEastAsia"/>
          <w:b/>
          <w:bCs/>
          <w:color w:themeColor="text1" w:val="000000"/>
          <w:sz w:val="24"/>
        </w:rPr>
        <w:t>报告期末前十名股票中存在流通受限情况的说明</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本基金本报告期末未持有股票。</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§6  </w:t>
      </w:r>
      <w:r w:rsidRPr="00B34368">
        <w:rPr>
          <w:rFonts w:eastAsiaTheme="minorEastAsia" w:hAnsiTheme="minorEastAsia"/>
          <w:color w:themeColor="text1" w:val="000000"/>
          <w:kern w:val="0"/>
          <w:sz w:val="24"/>
          <w:szCs w:val="24"/>
        </w:rPr>
        <w:t>开放式基金份额变动</w:t>
      </w:r>
    </w:p>
    <w:p w:rsidP="00302187"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D3639B" w:rsidRPr="00B34368" w:rsidTr="004E70B7">
        <w:tc>
          <w:tcPr>
            <w:tcW w:type="dxa" w:w="3900"/>
            <w:vAlign w:val="center"/>
          </w:tcPr>
          <w:p w:rsidP="00B84643" w:rsidR="00936D40" w:rsidRDefault="00936D4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项目</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易方达上证中盘ETF联接A</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易方达上证中盘ETF联接C</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w:t>
            </w:r>
            <w:proofErr w:type="gramStart"/>
            <w:r w:rsidRPr="00B34368">
              <w:rPr>
                <w:rFonts w:eastAsiaTheme="minorEastAsia" w:hAnsiTheme="minorEastAsia"/>
                <w:color w:themeColor="text1" w:val="000000"/>
                <w:kern w:val="0"/>
                <w:sz w:val="24"/>
              </w:rPr>
              <w:t>初基金</w:t>
            </w:r>
            <w:proofErr w:type="gramEnd"/>
            <w:r w:rsidRPr="00B34368">
              <w:rPr>
                <w:rFonts w:eastAsiaTheme="minorEastAsia" w:hAnsiTheme="minorEastAsia"/>
                <w:color w:themeColor="text1" w:val="000000"/>
                <w:kern w:val="0"/>
                <w:sz w:val="24"/>
              </w:rPr>
              <w:t>份额总额</w:t>
            </w:r>
          </w:p>
        </w:tc>
        <w:tc>
          <w:tcPr>
            <w:tcW w:type="dxa" w:w="2367"/>
            <w:vAlign w:val="center"/>
          </w:tcPr>
          <w:p w:rsidP="00A1276C"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42785F" w:rsidRPr="00B34368">
              <w:rPr>
                <w:rFonts w:eastAsiaTheme="minorEastAsia"/>
                <w:color w:themeColor="text1" w:val="000000"/>
                <w:sz w:val="24"/>
              </w:rPr>
              <w:t>133,755,782.31</w:t>
            </w:r>
          </w:p>
        </w:tc>
        <w:tc>
          <w:tcPr>
            <w:tcW w:type="dxa" w:w="2367"/>
            <w:vAlign w:val="center"/>
          </w:tcPr>
          <w:p w:rsidP="00936D40"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EA1D33" w:rsidRPr="00B34368">
              <w:rPr>
                <w:rFonts w:eastAsiaTheme="minorEastAsia"/>
                <w:color w:themeColor="text1" w:val="000000"/>
                <w:sz w:val="24"/>
              </w:rPr>
              <w:t/>
            </w:r>
            <w:r w:rsidR="0042785F" w:rsidRPr="00B34368">
              <w:rPr>
                <w:rFonts w:eastAsiaTheme="minorEastAsia"/>
                <w:color w:themeColor="text1" w:val="000000"/>
                <w:sz w:val="24"/>
              </w:rPr>
              <w:t>4,227,885.55</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lastRenderedPageBreak/>
              <w:t/>
            </w:r>
            <w:proofErr w:type="spellStart"/>
            <w:r w:rsidR="00130E37">
              <w:rPr>
                <w:color w:val="000000"/>
                <w:kern w:val="0"/>
                <w:sz w:val="24"/>
              </w:rPr>
              <w:t/>
            </w:r>
            <w:proofErr w:type="spellEnd"/>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基金总申购份额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5,669,103.73</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3,996,862.77</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减：</w:t>
            </w:r>
            <w:r w:rsidR="00F72579" w:rsidRPr="00B34368">
              <w:rPr>
                <w:rFonts w:eastAsiaTheme="minorEastAsia"/>
                <w:color w:themeColor="text1" w:val="000000"/>
                <w:kern w:val="0"/>
                <w:sz w:val="24"/>
              </w:rPr>
              <w:t/>
            </w:r>
            <w:proofErr w:type="spellStart"/>
            <w:r w:rsidR="00130E37">
              <w:rPr>
                <w:color w:val="000000"/>
                <w:kern w:val="0"/>
                <w:sz w:val="24"/>
              </w:rPr>
              <w:t/>
            </w:r>
            <w:proofErr w:type="spellEnd"/>
            <w:r w:rsidR="00F72579" w:rsidRPr="00B34368">
              <w:rPr>
                <w:rFonts w:eastAsiaTheme="minorEastAsia"/>
                <w:color w:themeColor="text1" w:val="000000"/>
                <w:kern w:val="0"/>
                <w:sz w:val="24"/>
              </w:rPr>
              <w:t>报告期</w:t>
            </w:r>
            <w:r w:rsidRPr="00B34368">
              <w:rPr>
                <w:rFonts w:eastAsiaTheme="minorEastAsia" w:hAnsiTheme="minorEastAsia"/>
                <w:color w:themeColor="text1" w:val="000000"/>
                <w:kern w:val="0"/>
                <w:sz w:val="24"/>
              </w:rPr>
              <w:t>基金总赎回份额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15,281,893.82</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4,720,305.21</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r w:rsidR="00130E37">
              <w:rPr>
                <w:color w:val="000000"/>
                <w:kern w:val="0"/>
                <w:sz w:val="24"/>
              </w:rPr>
              <w:t/>
            </w:r>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基金拆分变动份额</w:t>
            </w:r>
            <w:r w:rsidR="00130E37" w:rsidRPr="00130E37">
              <w:rPr>
                <w:rFonts w:eastAsiaTheme="minorEastAsia" w:hAnsiTheme="minorEastAsia" w:hint="eastAsia"/>
                <w:color w:themeColor="text1" w:val="000000"/>
                <w:kern w:val="0"/>
                <w:sz w:val="24"/>
              </w:rPr>
              <w:t>（份额减少以“</w:t>
            </w:r>
            <w:r w:rsidR="00130E37" w:rsidRPr="00130E37">
              <w:rPr>
                <w:rFonts w:eastAsiaTheme="minorEastAsia" w:hAnsiTheme="minorEastAsia" w:hint="eastAsia"/>
                <w:color w:themeColor="text1" w:val="000000"/>
                <w:kern w:val="0"/>
                <w:sz w:val="24"/>
              </w:rPr>
              <w:t>-</w:t>
            </w:r>
            <w:r w:rsidR="00130E37" w:rsidRPr="00130E37">
              <w:rPr>
                <w:rFonts w:eastAsiaTheme="minorEastAsia" w:hAnsiTheme="minorEastAsia" w:hint="eastAsia"/>
                <w:color w:themeColor="text1" w:val="000000"/>
                <w:kern w:val="0"/>
                <w:sz w:val="24"/>
              </w:rPr>
              <w:t>”填列）</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报告期期末基金份额总额</w:t>
            </w:r>
          </w:p>
        </w:tc>
        <w:tc>
          <w:tcPr>
            <w:tcW w:type="dxa" w:w="2367"/>
            <w:vAlign w:val="center"/>
          </w:tcPr>
          <w:p w:rsidP="00B57BCF"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0042785F" w:rsidRPr="00B34368">
              <w:rPr>
                <w:rFonts w:eastAsiaTheme="minorEastAsia"/>
                <w:color w:themeColor="text1" w:val="000000"/>
                <w:sz w:val="24"/>
              </w:rPr>
              <w:t/>
            </w:r>
            <w:proofErr w:type="spellEnd"/>
            <w:r w:rsidR="0042785F" w:rsidRPr="00B34368">
              <w:rPr>
                <w:rFonts w:eastAsiaTheme="minorEastAsia"/>
                <w:color w:themeColor="text1" w:val="000000"/>
                <w:sz w:val="24"/>
              </w:rPr>
              <w:t>124,142,992.22</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3,504,443.11</w:t>
            </w:r>
          </w:p>
        </w:tc>
      </w:tr>
    </w:tbl>
    <w:p w:rsidP="00C544B8" w:rsidR="00617125" w:rsidRDefault="00617125" w:rsidRPr="00B34368">
      <w:pPr>
        <w:pStyle w:val="1"/>
        <w:tabs>
          <w:tab w:pos="4156" w:val="center"/>
          <w:tab w:pos="8312" w:val="right"/>
        </w:tabs>
        <w:spacing w:after="312" w:afterLines="100" w:before="312" w:beforeLines="100" w:line="360" w:lineRule="auto"/>
        <w:jc w:val="center"/>
        <w:rPr>
          <w:rFonts w:eastAsiaTheme="minorEastAsia"/>
          <w:color w:themeColor="text1" w:val="000000"/>
          <w:sz w:val="24"/>
          <w:szCs w:val="24"/>
        </w:rPr>
      </w:pPr>
      <w:r w:rsidRPr="00B34368">
        <w:rPr>
          <w:rFonts w:eastAsiaTheme="minorEastAsia"/>
          <w:color w:themeColor="text1" w:val="000000"/>
          <w:kern w:val="0"/>
          <w:sz w:val="24"/>
          <w:szCs w:val="24"/>
        </w:rPr>
        <w:t/>
      </w:r>
      <w:proofErr w:type="spellStart"/>
      <w:r w:rsidRPr="00B34368">
        <w:rPr>
          <w:rFonts w:eastAsiaTheme="minorEastAsia"/>
          <w:color w:themeColor="text1" w:val="000000"/>
          <w:kern w:val="0"/>
          <w:sz w:val="24"/>
          <w:szCs w:val="24"/>
        </w:rPr>
        <w:t/>
      </w:r>
      <w:proofErr w:type="spellEnd"/>
      <w:r w:rsidRPr="00B34368">
        <w:rPr>
          <w:rFonts w:eastAsiaTheme="minorEastAsia"/>
          <w:color w:themeColor="text1" w:val="000000"/>
          <w:kern w:val="0"/>
          <w:sz w:val="24"/>
          <w:szCs w:val="24"/>
        </w:rPr>
        <w:t>§7</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sz w:val="24"/>
          <w:szCs w:val="24"/>
        </w:rPr>
        <w:t>基金管理人运用</w:t>
      </w:r>
      <w:proofErr w:type="gramStart"/>
      <w:r w:rsidRPr="00B34368">
        <w:rPr>
          <w:rFonts w:eastAsiaTheme="minorEastAsia" w:hAnsiTheme="minorEastAsia"/>
          <w:color w:themeColor="text1" w:val="000000"/>
          <w:sz w:val="24"/>
          <w:szCs w:val="24"/>
        </w:rPr>
        <w:t>固有资金</w:t>
      </w:r>
      <w:proofErr w:type="gramEnd"/>
      <w:r w:rsidRPr="00B34368">
        <w:rPr>
          <w:rFonts w:eastAsiaTheme="minorEastAsia" w:hAnsiTheme="minorEastAsia"/>
          <w:color w:themeColor="text1" w:val="000000"/>
          <w:sz w:val="24"/>
          <w:szCs w:val="24"/>
        </w:rPr>
        <w:t>投资本基金情况</w:t>
      </w:r>
    </w:p>
    <w:p w:rsidP="00617125" w:rsidR="00617125" w:rsidRDefault="00617125" w:rsidRPr="00B34368">
      <w:pPr>
        <w:spacing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7.1 </w:t>
      </w:r>
      <w:r w:rsidRPr="00B34368">
        <w:rPr>
          <w:rFonts w:eastAsiaTheme="minorEastAsia" w:hAnsiTheme="minorEastAsia"/>
          <w:b/>
          <w:color w:themeColor="text1" w:val="000000"/>
          <w:sz w:val="24"/>
        </w:rPr>
        <w:t>基金管理人持有本基金份额变动情况</w:t>
      </w:r>
    </w:p>
    <w:p w:rsidP="00B34368" w:rsidR="00617125" w:rsidRDefault="00A01C74" w:rsidRPr="00B34368">
      <w:pPr>
        <w:autoSpaceDE w:val="0"/>
        <w:autoSpaceDN w:val="0"/>
        <w:adjustRightInd w:val="0"/>
        <w:spacing w:line="360" w:lineRule="auto"/>
        <w:ind w:firstLine="480" w:firstLineChars="200"/>
        <w:jc w:val="left"/>
        <w:rPr>
          <w:rFonts w:eastAsiaTheme="minorEastAsia"/>
          <w:color w:themeColor="text1"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C544B8" w:rsidR="00617125" w:rsidRDefault="00617125" w:rsidRPr="00B34368">
      <w:pPr>
        <w:spacing w:before="312" w:beforeLines="100"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7.2 </w:t>
      </w:r>
      <w:r w:rsidRPr="00B34368">
        <w:rPr>
          <w:rFonts w:eastAsiaTheme="minorEastAsia" w:hAnsiTheme="minorEastAsia"/>
          <w:b/>
          <w:color w:themeColor="text1" w:val="000000"/>
          <w:sz w:val="24"/>
        </w:rPr>
        <w:t>基金管理人运用固有资金投资本基金交易明细</w:t>
      </w:r>
    </w:p>
    <w:p w:rsidP="00B34368" w:rsidR="00617125" w:rsidRDefault="00617125"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本报告期内基金管理人未运用固有资金申购、赎回、买卖本基金份额。</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w:t>
      </w:r>
      <w:r w:rsidR="00A14399" w:rsidRPr="00B34368">
        <w:rPr>
          <w:rFonts w:eastAsiaTheme="minorEastAsia"/>
          <w:color w:themeColor="text1" w:val="000000"/>
          <w:kern w:val="0"/>
          <w:sz w:val="24"/>
          <w:szCs w:val="24"/>
        </w:rPr>
        <w:t/>
      </w:r>
      <w:r w:rsidR="00D13A01" w:rsidRPr="00B34368">
        <w:rPr>
          <w:rFonts w:eastAsiaTheme="minorEastAsia"/>
          <w:color w:themeColor="text1" w:val="000000"/>
          <w:kern w:val="0"/>
          <w:sz w:val="24"/>
          <w:szCs w:val="24"/>
        </w:rPr>
        <w:t/>
      </w:r>
      <w:r w:rsidR="00A14399" w:rsidRPr="00B34368">
        <w:rPr>
          <w:rFonts w:eastAsiaTheme="minorEastAsia"/>
          <w:color w:themeColor="text1" w:val="000000"/>
          <w:kern w:val="0"/>
          <w:sz w:val="24"/>
          <w:szCs w:val="24"/>
        </w:rPr>
        <w:t>8</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kern w:val="0"/>
          <w:sz w:val="24"/>
          <w:szCs w:val="24"/>
        </w:rPr>
        <w:t>备查文件目录</w:t>
      </w:r>
    </w:p>
    <w:p w:rsidP="00FC13C8" w:rsidR="00FB3C94" w:rsidRDefault="00A14399" w:rsidRPr="00B34368">
      <w:pPr>
        <w:autoSpaceDE w:val="0"/>
        <w:autoSpaceDN w:val="0"/>
        <w:adjustRightInd w:val="0"/>
        <w:spacing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00D13A01"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w:t>
      </w:r>
      <w:r w:rsidR="00D13A01" w:rsidRPr="00B34368">
        <w:rPr>
          <w:rFonts w:eastAsiaTheme="minorEastAsia"/>
          <w:b/>
          <w:bCs/>
          <w:color w:themeColor="text1" w:val="000000"/>
          <w:kern w:val="0"/>
          <w:sz w:val="24"/>
        </w:rPr>
        <w:t>1</w:t>
      </w:r>
      <w:r w:rsidR="00FB3C94" w:rsidRPr="00B34368">
        <w:rPr>
          <w:rFonts w:eastAsiaTheme="minorEastAsia" w:hAnsiTheme="minorEastAsia"/>
          <w:b/>
          <w:bCs/>
          <w:color w:themeColor="text1" w:val="000000"/>
          <w:kern w:val="0"/>
          <w:sz w:val="24"/>
        </w:rPr>
        <w:t>备查文件目录</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1.中国证监会核准易方达上证中盘交易型开放式指数证券投资基金联接基金募集的文件；</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2.《易方达上证中盘交易型开放式指数证券投资基金联接基金基金合同》；</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3.《易方达基金管理有限公司开放式基金业务规则》；</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4.《易方达上证中盘交易型开放式指数证券投资基金联接基金托管协议》；</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5.基金管理人业务资格批件和营业执照。</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8.2</w:t>
      </w:r>
      <w:r w:rsidR="00FB3C94" w:rsidRPr="00B34368">
        <w:rPr>
          <w:rFonts w:eastAsiaTheme="minorEastAsia" w:hAnsiTheme="minorEastAsia"/>
          <w:b/>
          <w:bCs/>
          <w:color w:themeColor="text1" w:val="000000"/>
          <w:kern w:val="0"/>
          <w:sz w:val="24"/>
        </w:rPr>
        <w:t>存放地点</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广州市天河区珠江新城珠江东路30号广州银行大厦40-43楼。</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8.3</w:t>
      </w:r>
      <w:r w:rsidR="00FB3C94" w:rsidRPr="00B34368">
        <w:rPr>
          <w:rFonts w:eastAsiaTheme="minorEastAsia" w:hAnsiTheme="minorEastAsia"/>
          <w:b/>
          <w:bCs/>
          <w:color w:themeColor="text1" w:val="000000"/>
          <w:kern w:val="0"/>
          <w:sz w:val="24"/>
        </w:rPr>
        <w:t>查阅方式</w:t>
      </w:r>
    </w:p>
    <w:p w:rsidP="00B34368" w:rsidR="00FB3C94"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投资者可在营业时间免费查阅，也可按工本费购买复印件。</w:t>
      </w:r>
    </w:p>
    <w:p w:rsidP="00FB3C94" w:rsidR="00FB3C94" w:rsidRDefault="00FB3C94" w:rsidRPr="00B34368">
      <w:pPr>
        <w:spacing w:line="360" w:lineRule="auto"/>
        <w:ind w:left="840"/>
        <w:jc w:val="right"/>
        <w:rPr>
          <w:rFonts w:eastAsiaTheme="minorEastAsia"/>
          <w:color w:themeColor="text1" w:val="000000"/>
          <w:sz w:val="24"/>
        </w:rPr>
      </w:pPr>
    </w:p>
    <w:p w:rsidP="00053FFD" w:rsidR="00AF3AF9" w:rsidRDefault="00AF3AF9" w:rsidRPr="00B34368">
      <w:pPr>
        <w:spacing w:line="360" w:lineRule="auto"/>
        <w:ind w:left="840"/>
        <w:jc w:val="center"/>
        <w:rPr>
          <w:rFonts w:eastAsiaTheme="minorEastAsia"/>
          <w:b/>
          <w:color w:themeColor="text1" w:val="000000"/>
          <w:sz w:val="24"/>
        </w:rPr>
      </w:pPr>
    </w:p>
    <w:p w:rsidP="00B1493B" w:rsidR="00FB3C94" w:rsidRDefault="00FB3C94"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易方达基金管理有限公司</w:t>
      </w:r>
    </w:p>
    <w:p w:rsidP="00B1493B" w:rsidR="009238DB" w:rsidRDefault="00D04410"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二〇二〇年七月二十一日</w:t>
      </w:r>
    </w:p>
    <w:sectPr w:rsidR="009238DB" w:rsidRPr="00B34368" w:rsidSect="00A8324F">
      <w:footerReference r:id="rId13" w:type="even"/>
      <w:footerReference r:id="rId14"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93E" w:rsidRDefault="0055493E">
      <w:r>
        <w:separator/>
      </w:r>
    </w:p>
  </w:endnote>
  <w:endnote w:type="continuationSeparator" w:id="0">
    <w:p w:rsidR="0055493E" w:rsidRDefault="0055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7C1122" w:rsidRDefault="007C1122" w:rsidRPr="001D0DB0">
    <w:pPr>
      <w:pStyle w:val="a6"/>
      <w:jc w:val="center"/>
    </w:pPr>
    <w:r>
      <w:rPr>
        <w:rFonts w:hint="eastAsia"/>
        <w:kern w:val="0"/>
        <w:szCs w:val="21"/>
      </w:rPr>
      <w:t>第</w:t>
    </w:r>
    <w:r w:rsidR="00EA55D2">
      <w:rPr>
        <w:kern w:val="0"/>
        <w:szCs w:val="21"/>
      </w:rPr>
      <w:fldChar w:fldCharType="begin"/>
    </w:r>
    <w:r>
      <w:rPr>
        <w:kern w:val="0"/>
        <w:szCs w:val="21"/>
      </w:rPr>
      <w:instrText xml:space="preserve"> PAGE </w:instrText>
    </w:r>
    <w:r w:rsidR="00EA55D2">
      <w:rPr>
        <w:kern w:val="0"/>
        <w:szCs w:val="21"/>
      </w:rPr>
      <w:fldChar w:fldCharType="separate"/>
    </w:r>
    <w:r w:rsidR="00153CF9">
      <w:rPr>
        <w:noProof/>
        <w:kern w:val="0"/>
        <w:szCs w:val="21"/>
      </w:rPr>
      <w:t>1</w:t>
    </w:r>
    <w:r w:rsidR="00EA55D2">
      <w:rPr>
        <w:kern w:val="0"/>
        <w:szCs w:val="21"/>
      </w:rPr>
      <w:fldChar w:fldCharType="end"/>
    </w:r>
    <w:proofErr w:type="gramStart"/>
    <w:r>
      <w:rPr>
        <w:rFonts w:hint="eastAsia"/>
        <w:kern w:val="0"/>
        <w:szCs w:val="21"/>
      </w:rPr>
      <w:t>页共</w:t>
    </w:r>
    <w:proofErr w:type="gramEnd"/>
    <w:r w:rsidR="00EA55D2">
      <w:rPr>
        <w:kern w:val="0"/>
        <w:szCs w:val="21"/>
      </w:rPr>
      <w:fldChar w:fldCharType="begin"/>
    </w:r>
    <w:r>
      <w:rPr>
        <w:kern w:val="0"/>
        <w:szCs w:val="21"/>
      </w:rPr>
      <w:instrText xml:space="preserve"> NUMPAGES </w:instrText>
    </w:r>
    <w:r w:rsidR="00EA55D2">
      <w:rPr>
        <w:kern w:val="0"/>
        <w:szCs w:val="21"/>
      </w:rPr>
      <w:fldChar w:fldCharType="separate"/>
    </w:r>
    <w:r w:rsidR="00153CF9">
      <w:rPr>
        <w:noProof/>
        <w:kern w:val="0"/>
        <w:szCs w:val="21"/>
      </w:rPr>
      <w:t>30</w:t>
    </w:r>
    <w:r w:rsidR="00EA55D2">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end"/>
    </w:r>
  </w:p>
  <w:p w:rsidR="007C1122" w:rsidRDefault="007C112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separate"/>
    </w:r>
    <w:r w:rsidR="00153CF9">
      <w:rPr>
        <w:rStyle w:val="a7"/>
        <w:noProof/>
      </w:rPr>
      <w:t>22</w:t>
    </w:r>
    <w:r>
      <w:rPr>
        <w:rStyle w:val="a7"/>
      </w:rPr>
      <w:fldChar w:fldCharType="end"/>
    </w:r>
  </w:p>
  <w:p w:rsidR="007C1122" w:rsidRDefault="007C112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55493E" w:rsidRDefault="0055493E">
      <w:r>
        <w:separator/>
      </w:r>
    </w:p>
  </w:footnote>
  <w:footnote w:id="0" w:type="continuationSeparator">
    <w:p w:rsidR="0055493E" w:rsidRDefault="0055493E">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7C1122" w:rsidRDefault="007C1122">
    <w:pPr>
      <w:pStyle w:val="a9"/>
      <w:pBdr>
        <w:bottom w:color="auto" w:space="0" w:sz="6" w:val="single"/>
      </w:pBdr>
      <w:jc w:val="right"/>
    </w:pPr>
    <w:r>
      <w:rPr>
        <w:sz w:val="21"/>
        <w:szCs w:val="21"/>
      </w:rPr>
      <w:t/>
    </w:r>
    <w:proofErr w:type="spellStart"/>
    <w:proofErr w:type="gramStart"/>
    <w:r>
      <w:rPr>
        <w:sz w:val="21"/>
        <w:szCs w:val="21"/>
      </w:rPr>
      <w:t/>
    </w:r>
    <w:proofErr w:type="spellEnd"/>
    <w:proofErr w:type="gramEnd"/>
    <w:r>
      <w:rPr>
        <w:sz w:val="21"/>
        <w:szCs w:val="21"/>
      </w:rPr>
      <w:t>易方达上证中盘交易型开放式指数证券投资基金联接基金</w:t>
    </w:r>
    <w:proofErr w:type="spellStart"/>
    <w:r>
      <w:rPr>
        <w:sz w:val="21"/>
        <w:szCs w:val="21"/>
      </w:rPr>
      <w:t/>
    </w:r>
    <w:proofErr w:type="spellEnd"/>
    <w:r>
      <w:rPr>
        <w:sz w:val="21"/>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cs="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hAnsi="宋体" w:hint="default"/>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lvl>
    <w:lvl w:ilvl="1">
      <w:start w:val="1"/>
      <w:numFmt w:val="decimal"/>
      <w:lvlText w:val="%1.%2"/>
      <w:lvlJc w:val="left"/>
      <w:pPr>
        <w:tabs>
          <w:tab w:pos="992" w:val="num"/>
        </w:tabs>
        <w:ind w:hanging="567" w:left="992"/>
      </w:pPr>
    </w:lvl>
    <w:lvl w:ilvl="2">
      <w:start w:val="1"/>
      <w:numFmt w:val="decimal"/>
      <w:lvlText w:val="%1.%2.%3"/>
      <w:lvlJc w:val="left"/>
      <w:pPr>
        <w:tabs>
          <w:tab w:pos="1418" w:val="num"/>
        </w:tabs>
        <w:ind w:hanging="567" w:left="1418"/>
      </w:pPr>
    </w:lvl>
    <w:lvl w:ilvl="3">
      <w:start w:val="1"/>
      <w:numFmt w:val="decimal"/>
      <w:lvlText w:val="%1.%2.%3.%4"/>
      <w:lvlJc w:val="left"/>
      <w:pPr>
        <w:tabs>
          <w:tab w:pos="1984" w:val="num"/>
        </w:tabs>
        <w:ind w:hanging="708" w:left="1984"/>
      </w:pPr>
    </w:lvl>
    <w:lvl w:ilvl="4">
      <w:start w:val="1"/>
      <w:numFmt w:val="decimal"/>
      <w:lvlText w:val="%1.%2.%3.%4.%5"/>
      <w:lvlJc w:val="left"/>
      <w:pPr>
        <w:tabs>
          <w:tab w:pos="2551" w:val="num"/>
        </w:tabs>
        <w:ind w:hanging="850" w:left="2551"/>
      </w:pPr>
    </w:lvl>
    <w:lvl w:ilvl="5">
      <w:start w:val="1"/>
      <w:numFmt w:val="decimal"/>
      <w:lvlText w:val="%1.%2.%3.%4.%5.%6"/>
      <w:lvlJc w:val="left"/>
      <w:pPr>
        <w:tabs>
          <w:tab w:pos="3260" w:val="num"/>
        </w:tabs>
        <w:ind w:hanging="1134" w:left="3260"/>
      </w:pPr>
    </w:lvl>
    <w:lvl w:ilvl="6">
      <w:start w:val="1"/>
      <w:numFmt w:val="decimal"/>
      <w:lvlText w:val="%1.%2.%3.%4.%5.%6.%7"/>
      <w:lvlJc w:val="left"/>
      <w:pPr>
        <w:tabs>
          <w:tab w:pos="3827" w:val="num"/>
        </w:tabs>
        <w:ind w:hanging="1276" w:left="3827"/>
      </w:pPr>
    </w:lvl>
    <w:lvl w:ilvl="7">
      <w:start w:val="1"/>
      <w:numFmt w:val="decimal"/>
      <w:lvlText w:val="%1.%2.%3.%4.%5.%6.%7.%8"/>
      <w:lvlJc w:val="left"/>
      <w:pPr>
        <w:tabs>
          <w:tab w:pos="4394" w:val="num"/>
        </w:tabs>
        <w:ind w:hanging="1418" w:left="4394"/>
      </w:pPr>
    </w:lvl>
    <w:lvl w:ilvl="8">
      <w:start w:val="1"/>
      <w:numFmt w:val="decimal"/>
      <w:lvlText w:val="%1.%2.%3.%4.%5.%6.%7.%8.%9"/>
      <w:lvlJc w:val="left"/>
      <w:pPr>
        <w:tabs>
          <w:tab w:pos="5102" w:val="num"/>
        </w:tabs>
        <w:ind w:hanging="1700" w:left="5102"/>
      </w:p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hint="eastAsia"/>
        <w:sz w:val="24"/>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eastAsia="宋体" w:hint="eastAsia"/>
        <w:color w:val="auto"/>
      </w:rPr>
    </w:lvl>
    <w:lvl w:ilvl="1" w:tplc="D5ACC954">
      <w:start w:val="1"/>
      <w:numFmt w:val="japaneseCounting"/>
      <w:lvlText w:val="(%2)"/>
      <w:lvlJc w:val="left"/>
      <w:pPr>
        <w:tabs>
          <w:tab w:pos="810" w:val="num"/>
        </w:tabs>
        <w:ind w:hanging="390" w:left="810"/>
      </w:pPr>
      <w:rPr>
        <w:rFonts w:hint="eastAsia"/>
      </w:rPr>
    </w:lvl>
    <w:lvl w:ilvl="2" w:tplc="E2F6B948">
      <w:start w:val="1"/>
      <w:numFmt w:val="decimal"/>
      <w:lvlText w:val="%3、"/>
      <w:lvlJc w:val="left"/>
      <w:pPr>
        <w:tabs>
          <w:tab w:pos="1200" w:val="num"/>
        </w:tabs>
        <w:ind w:hanging="360" w:left="1200"/>
      </w:pPr>
      <w:rPr>
        <w:rFonts w:hint="eastAsia"/>
      </w:rPr>
    </w:lvl>
    <w:lvl w:ilvl="3" w:tentative="1" w:tplc="0409000F">
      <w:start w:val="1"/>
      <w:numFmt w:val="decimal"/>
      <w:lvlText w:val="%4."/>
      <w:lvlJc w:val="left"/>
      <w:pPr>
        <w:tabs>
          <w:tab w:pos="1680" w:val="num"/>
        </w:tabs>
        <w:ind w:hanging="420" w:left="1680"/>
      </w:pPr>
    </w:lvl>
    <w:lvl w:ilvl="4" w:tentative="1" w:tplc="04090019">
      <w:start w:val="1"/>
      <w:numFmt w:val="lowerLetter"/>
      <w:lvlText w:val="%5)"/>
      <w:lvlJc w:val="left"/>
      <w:pPr>
        <w:tabs>
          <w:tab w:pos="2100" w:val="num"/>
        </w:tabs>
        <w:ind w:hanging="420" w:left="2100"/>
      </w:pPr>
    </w:lvl>
    <w:lvl w:ilvl="5" w:tentative="1" w:tplc="0409001B">
      <w:start w:val="1"/>
      <w:numFmt w:val="lowerRoman"/>
      <w:lvlText w:val="%6."/>
      <w:lvlJc w:val="right"/>
      <w:pPr>
        <w:tabs>
          <w:tab w:pos="2520" w:val="num"/>
        </w:tabs>
        <w:ind w:hanging="420" w:left="2520"/>
      </w:pPr>
    </w:lvl>
    <w:lvl w:ilvl="6" w:tentative="1" w:tplc="0409000F">
      <w:start w:val="1"/>
      <w:numFmt w:val="decimal"/>
      <w:lvlText w:val="%7."/>
      <w:lvlJc w:val="left"/>
      <w:pPr>
        <w:tabs>
          <w:tab w:pos="2940" w:val="num"/>
        </w:tabs>
        <w:ind w:hanging="420" w:left="2940"/>
      </w:pPr>
    </w:lvl>
    <w:lvl w:ilvl="7" w:tentative="1" w:tplc="04090019">
      <w:start w:val="1"/>
      <w:numFmt w:val="lowerLetter"/>
      <w:lvlText w:val="%8)"/>
      <w:lvlJc w:val="left"/>
      <w:pPr>
        <w:tabs>
          <w:tab w:pos="3360" w:val="num"/>
        </w:tabs>
        <w:ind w:hanging="420" w:left="3360"/>
      </w:pPr>
    </w:lvl>
    <w:lvl w:ilvl="8" w:tentative="1" w:tplc="0409001B">
      <w:start w:val="1"/>
      <w:numFmt w:val="lowerRoman"/>
      <w:lvlText w:val="%9."/>
      <w:lvlJc w:val="right"/>
      <w:pPr>
        <w:tabs>
          <w:tab w:pos="3780" w:val="num"/>
        </w:tabs>
        <w:ind w:hanging="420" w:left="3780"/>
      </w:p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lvl>
    </w:lvlOverride>
    <w:lvlOverride w:ilvl="1">
      <w:lvl w:ilvl="1">
        <w:start w:val="1"/>
        <w:numFmt w:val="decimal"/>
        <w:lvlText w:val="%1.%2"/>
        <w:lvlJc w:val="left"/>
        <w:pPr>
          <w:tabs>
            <w:tab w:pos="992" w:val="num"/>
          </w:tabs>
          <w:ind w:hanging="567" w:left="992"/>
        </w:pPr>
      </w:lvl>
    </w:lvlOverride>
    <w:lvlOverride w:ilvl="2">
      <w:lvl w:ilvl="2">
        <w:start w:val="1"/>
        <w:numFmt w:val="decimal"/>
        <w:lvlText w:val="%1.%2.%3"/>
        <w:lvlJc w:val="left"/>
        <w:pPr>
          <w:tabs>
            <w:tab w:pos="1418" w:val="num"/>
          </w:tabs>
          <w:ind w:hanging="567" w:left="1418"/>
        </w:p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02187"/>
    <w:rsid w:val="0000059C"/>
    <w:rsid w:val="000008B1"/>
    <w:rsid w:val="00002791"/>
    <w:rsid w:val="0000403B"/>
    <w:rsid w:val="00007441"/>
    <w:rsid w:val="00007F1F"/>
    <w:rsid w:val="00010A83"/>
    <w:rsid w:val="000137C1"/>
    <w:rsid w:val="000142F4"/>
    <w:rsid w:val="00014851"/>
    <w:rsid w:val="0001579C"/>
    <w:rsid w:val="00016551"/>
    <w:rsid w:val="00016934"/>
    <w:rsid w:val="00020737"/>
    <w:rsid w:val="00020C27"/>
    <w:rsid w:val="000219D5"/>
    <w:rsid w:val="00022396"/>
    <w:rsid w:val="00023073"/>
    <w:rsid w:val="00023B97"/>
    <w:rsid w:val="00024836"/>
    <w:rsid w:val="00024FB8"/>
    <w:rsid w:val="000252D8"/>
    <w:rsid w:val="0003564A"/>
    <w:rsid w:val="00035B0C"/>
    <w:rsid w:val="00042065"/>
    <w:rsid w:val="00043FD2"/>
    <w:rsid w:val="00045BA9"/>
    <w:rsid w:val="00047D87"/>
    <w:rsid w:val="000510AB"/>
    <w:rsid w:val="00053FFD"/>
    <w:rsid w:val="00056D5C"/>
    <w:rsid w:val="00057507"/>
    <w:rsid w:val="00061B0B"/>
    <w:rsid w:val="00061E09"/>
    <w:rsid w:val="00062C69"/>
    <w:rsid w:val="00062DC5"/>
    <w:rsid w:val="00062E1F"/>
    <w:rsid w:val="00064601"/>
    <w:rsid w:val="00064AE3"/>
    <w:rsid w:val="0006750A"/>
    <w:rsid w:val="00075E4E"/>
    <w:rsid w:val="000776C0"/>
    <w:rsid w:val="00077849"/>
    <w:rsid w:val="000803AD"/>
    <w:rsid w:val="000813D6"/>
    <w:rsid w:val="00081D05"/>
    <w:rsid w:val="000827CC"/>
    <w:rsid w:val="000871DB"/>
    <w:rsid w:val="000922C5"/>
    <w:rsid w:val="0009314F"/>
    <w:rsid w:val="00093A23"/>
    <w:rsid w:val="000A08FC"/>
    <w:rsid w:val="000A15F1"/>
    <w:rsid w:val="000A1617"/>
    <w:rsid w:val="000A40A5"/>
    <w:rsid w:val="000A457E"/>
    <w:rsid w:val="000A549A"/>
    <w:rsid w:val="000A5A81"/>
    <w:rsid w:val="000A72F2"/>
    <w:rsid w:val="000A7BFD"/>
    <w:rsid w:val="000B000E"/>
    <w:rsid w:val="000B1CB9"/>
    <w:rsid w:val="000B24AF"/>
    <w:rsid w:val="000B251E"/>
    <w:rsid w:val="000B3E43"/>
    <w:rsid w:val="000B4E99"/>
    <w:rsid w:val="000B648A"/>
    <w:rsid w:val="000C3452"/>
    <w:rsid w:val="000C45E7"/>
    <w:rsid w:val="000C5956"/>
    <w:rsid w:val="000C751D"/>
    <w:rsid w:val="000C757F"/>
    <w:rsid w:val="000C7DD4"/>
    <w:rsid w:val="000D1164"/>
    <w:rsid w:val="000D1BBE"/>
    <w:rsid w:val="000D3773"/>
    <w:rsid w:val="000D4DE9"/>
    <w:rsid w:val="000D53FB"/>
    <w:rsid w:val="000D6660"/>
    <w:rsid w:val="000D6BA0"/>
    <w:rsid w:val="000D7ECA"/>
    <w:rsid w:val="000E2F81"/>
    <w:rsid w:val="000E3726"/>
    <w:rsid w:val="000E39DB"/>
    <w:rsid w:val="000F0558"/>
    <w:rsid w:val="000F0AC3"/>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0862"/>
    <w:rsid w:val="00121533"/>
    <w:rsid w:val="00121F00"/>
    <w:rsid w:val="0012304E"/>
    <w:rsid w:val="00123051"/>
    <w:rsid w:val="001257C7"/>
    <w:rsid w:val="00125E66"/>
    <w:rsid w:val="00126AC0"/>
    <w:rsid w:val="00126C2B"/>
    <w:rsid w:val="00127A01"/>
    <w:rsid w:val="00130D77"/>
    <w:rsid w:val="00130E37"/>
    <w:rsid w:val="00131EF6"/>
    <w:rsid w:val="0013251D"/>
    <w:rsid w:val="00134734"/>
    <w:rsid w:val="00134CBE"/>
    <w:rsid w:val="00140C30"/>
    <w:rsid w:val="00142C74"/>
    <w:rsid w:val="00145E5B"/>
    <w:rsid w:val="00147319"/>
    <w:rsid w:val="00147551"/>
    <w:rsid w:val="0015012F"/>
    <w:rsid w:val="00150C2E"/>
    <w:rsid w:val="0015170D"/>
    <w:rsid w:val="001517AE"/>
    <w:rsid w:val="00153CF9"/>
    <w:rsid w:val="00154FA5"/>
    <w:rsid w:val="0015531A"/>
    <w:rsid w:val="00156F9D"/>
    <w:rsid w:val="001602E3"/>
    <w:rsid w:val="00160539"/>
    <w:rsid w:val="00161548"/>
    <w:rsid w:val="0017176A"/>
    <w:rsid w:val="00172B54"/>
    <w:rsid w:val="00176312"/>
    <w:rsid w:val="00176874"/>
    <w:rsid w:val="0017725A"/>
    <w:rsid w:val="0018052A"/>
    <w:rsid w:val="00180952"/>
    <w:rsid w:val="0018191A"/>
    <w:rsid w:val="001837D3"/>
    <w:rsid w:val="001857CB"/>
    <w:rsid w:val="00185B68"/>
    <w:rsid w:val="00186199"/>
    <w:rsid w:val="00194155"/>
    <w:rsid w:val="001A0417"/>
    <w:rsid w:val="001A0B71"/>
    <w:rsid w:val="001A1389"/>
    <w:rsid w:val="001A3016"/>
    <w:rsid w:val="001A3914"/>
    <w:rsid w:val="001A5FA6"/>
    <w:rsid w:val="001A78CC"/>
    <w:rsid w:val="001B053A"/>
    <w:rsid w:val="001B06D5"/>
    <w:rsid w:val="001B0C78"/>
    <w:rsid w:val="001B1A13"/>
    <w:rsid w:val="001B22BA"/>
    <w:rsid w:val="001B67D3"/>
    <w:rsid w:val="001C2045"/>
    <w:rsid w:val="001C5040"/>
    <w:rsid w:val="001C715A"/>
    <w:rsid w:val="001D0F6A"/>
    <w:rsid w:val="001D2FA5"/>
    <w:rsid w:val="001D3394"/>
    <w:rsid w:val="001D3D57"/>
    <w:rsid w:val="001D4980"/>
    <w:rsid w:val="001D5045"/>
    <w:rsid w:val="001D5A44"/>
    <w:rsid w:val="001D5CD0"/>
    <w:rsid w:val="001D724B"/>
    <w:rsid w:val="001E023C"/>
    <w:rsid w:val="001E0BA5"/>
    <w:rsid w:val="001F03E1"/>
    <w:rsid w:val="001F1F19"/>
    <w:rsid w:val="001F2BD1"/>
    <w:rsid w:val="001F3080"/>
    <w:rsid w:val="001F3CC6"/>
    <w:rsid w:val="001F5028"/>
    <w:rsid w:val="001F5F5F"/>
    <w:rsid w:val="001F66D3"/>
    <w:rsid w:val="00205064"/>
    <w:rsid w:val="0020548A"/>
    <w:rsid w:val="00206EC3"/>
    <w:rsid w:val="00211668"/>
    <w:rsid w:val="002118A6"/>
    <w:rsid w:val="002122FF"/>
    <w:rsid w:val="002125F7"/>
    <w:rsid w:val="0021288A"/>
    <w:rsid w:val="002150AC"/>
    <w:rsid w:val="002164B5"/>
    <w:rsid w:val="00221938"/>
    <w:rsid w:val="00222262"/>
    <w:rsid w:val="002230A8"/>
    <w:rsid w:val="00225E1C"/>
    <w:rsid w:val="00227D20"/>
    <w:rsid w:val="00231BCE"/>
    <w:rsid w:val="00233CFB"/>
    <w:rsid w:val="002359EB"/>
    <w:rsid w:val="0023649E"/>
    <w:rsid w:val="00241740"/>
    <w:rsid w:val="002424E4"/>
    <w:rsid w:val="00243122"/>
    <w:rsid w:val="002437F5"/>
    <w:rsid w:val="00244DB1"/>
    <w:rsid w:val="00245012"/>
    <w:rsid w:val="0024504E"/>
    <w:rsid w:val="00245B76"/>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6645"/>
    <w:rsid w:val="00267386"/>
    <w:rsid w:val="00267C2E"/>
    <w:rsid w:val="00267DA9"/>
    <w:rsid w:val="00275FD0"/>
    <w:rsid w:val="00280514"/>
    <w:rsid w:val="002819E7"/>
    <w:rsid w:val="00282FF2"/>
    <w:rsid w:val="00283483"/>
    <w:rsid w:val="002844B5"/>
    <w:rsid w:val="0028459B"/>
    <w:rsid w:val="002872F8"/>
    <w:rsid w:val="00296E4A"/>
    <w:rsid w:val="002976E5"/>
    <w:rsid w:val="002A1F14"/>
    <w:rsid w:val="002A2678"/>
    <w:rsid w:val="002A3369"/>
    <w:rsid w:val="002A4B8A"/>
    <w:rsid w:val="002A5161"/>
    <w:rsid w:val="002A5C0F"/>
    <w:rsid w:val="002A61BA"/>
    <w:rsid w:val="002A6385"/>
    <w:rsid w:val="002A7929"/>
    <w:rsid w:val="002B41D7"/>
    <w:rsid w:val="002B5240"/>
    <w:rsid w:val="002B6A13"/>
    <w:rsid w:val="002C0904"/>
    <w:rsid w:val="002C0F67"/>
    <w:rsid w:val="002C1E84"/>
    <w:rsid w:val="002C32ED"/>
    <w:rsid w:val="002C36C3"/>
    <w:rsid w:val="002C77CC"/>
    <w:rsid w:val="002D2A00"/>
    <w:rsid w:val="002D5199"/>
    <w:rsid w:val="002E2862"/>
    <w:rsid w:val="002E4C01"/>
    <w:rsid w:val="002F0516"/>
    <w:rsid w:val="002F22D2"/>
    <w:rsid w:val="002F778A"/>
    <w:rsid w:val="002F7889"/>
    <w:rsid w:val="00302187"/>
    <w:rsid w:val="003028D8"/>
    <w:rsid w:val="0030290F"/>
    <w:rsid w:val="00302DE9"/>
    <w:rsid w:val="0030385E"/>
    <w:rsid w:val="00303869"/>
    <w:rsid w:val="00303F1D"/>
    <w:rsid w:val="00305084"/>
    <w:rsid w:val="00311ABF"/>
    <w:rsid w:val="003123E9"/>
    <w:rsid w:val="00314A81"/>
    <w:rsid w:val="00314DD2"/>
    <w:rsid w:val="00315A7C"/>
    <w:rsid w:val="00317705"/>
    <w:rsid w:val="003204E9"/>
    <w:rsid w:val="003232AA"/>
    <w:rsid w:val="00323A10"/>
    <w:rsid w:val="00323E6A"/>
    <w:rsid w:val="00323F25"/>
    <w:rsid w:val="00324A71"/>
    <w:rsid w:val="003303E3"/>
    <w:rsid w:val="0033236C"/>
    <w:rsid w:val="00334656"/>
    <w:rsid w:val="00337A86"/>
    <w:rsid w:val="0034147B"/>
    <w:rsid w:val="00341889"/>
    <w:rsid w:val="003426CE"/>
    <w:rsid w:val="00343016"/>
    <w:rsid w:val="0034447B"/>
    <w:rsid w:val="00350C22"/>
    <w:rsid w:val="00351704"/>
    <w:rsid w:val="003570C8"/>
    <w:rsid w:val="00367770"/>
    <w:rsid w:val="00371424"/>
    <w:rsid w:val="00371FF4"/>
    <w:rsid w:val="00372209"/>
    <w:rsid w:val="00377160"/>
    <w:rsid w:val="003771ED"/>
    <w:rsid w:val="0037768B"/>
    <w:rsid w:val="00382E6F"/>
    <w:rsid w:val="00387C00"/>
    <w:rsid w:val="00397960"/>
    <w:rsid w:val="00397F75"/>
    <w:rsid w:val="003A2008"/>
    <w:rsid w:val="003A3BC4"/>
    <w:rsid w:val="003A4AA3"/>
    <w:rsid w:val="003B405E"/>
    <w:rsid w:val="003B4843"/>
    <w:rsid w:val="003B494E"/>
    <w:rsid w:val="003B560C"/>
    <w:rsid w:val="003C6E9E"/>
    <w:rsid w:val="003C792F"/>
    <w:rsid w:val="003D117A"/>
    <w:rsid w:val="003D36B2"/>
    <w:rsid w:val="003D42D5"/>
    <w:rsid w:val="003D78B5"/>
    <w:rsid w:val="003E0BD4"/>
    <w:rsid w:val="003E45B9"/>
    <w:rsid w:val="003E654C"/>
    <w:rsid w:val="003F0DE5"/>
    <w:rsid w:val="003F46FC"/>
    <w:rsid w:val="003F4AA5"/>
    <w:rsid w:val="003F697D"/>
    <w:rsid w:val="003F7C45"/>
    <w:rsid w:val="00400500"/>
    <w:rsid w:val="0040132C"/>
    <w:rsid w:val="0040218E"/>
    <w:rsid w:val="00404257"/>
    <w:rsid w:val="00407F66"/>
    <w:rsid w:val="004113B4"/>
    <w:rsid w:val="0041220A"/>
    <w:rsid w:val="00413B96"/>
    <w:rsid w:val="00413C2C"/>
    <w:rsid w:val="00415168"/>
    <w:rsid w:val="00415B04"/>
    <w:rsid w:val="00416A6B"/>
    <w:rsid w:val="0042044C"/>
    <w:rsid w:val="00421624"/>
    <w:rsid w:val="00424151"/>
    <w:rsid w:val="00425A5A"/>
    <w:rsid w:val="00425FB6"/>
    <w:rsid w:val="004268BB"/>
    <w:rsid w:val="0042785F"/>
    <w:rsid w:val="004314FF"/>
    <w:rsid w:val="004358D6"/>
    <w:rsid w:val="004408EC"/>
    <w:rsid w:val="00440F74"/>
    <w:rsid w:val="00441FEC"/>
    <w:rsid w:val="004425E8"/>
    <w:rsid w:val="0044280E"/>
    <w:rsid w:val="00443C8F"/>
    <w:rsid w:val="00447BC6"/>
    <w:rsid w:val="004501CE"/>
    <w:rsid w:val="00452481"/>
    <w:rsid w:val="00452B25"/>
    <w:rsid w:val="00453417"/>
    <w:rsid w:val="00454A0F"/>
    <w:rsid w:val="0046335D"/>
    <w:rsid w:val="00463C2C"/>
    <w:rsid w:val="00483271"/>
    <w:rsid w:val="0049210E"/>
    <w:rsid w:val="0049297D"/>
    <w:rsid w:val="0049327D"/>
    <w:rsid w:val="0049405D"/>
    <w:rsid w:val="0049455C"/>
    <w:rsid w:val="00495A03"/>
    <w:rsid w:val="004A1BE1"/>
    <w:rsid w:val="004A63CB"/>
    <w:rsid w:val="004A67B0"/>
    <w:rsid w:val="004A6FB2"/>
    <w:rsid w:val="004B0847"/>
    <w:rsid w:val="004B0E6D"/>
    <w:rsid w:val="004B16E8"/>
    <w:rsid w:val="004B54B8"/>
    <w:rsid w:val="004C0541"/>
    <w:rsid w:val="004C634A"/>
    <w:rsid w:val="004C660B"/>
    <w:rsid w:val="004D050C"/>
    <w:rsid w:val="004D23D9"/>
    <w:rsid w:val="004D3537"/>
    <w:rsid w:val="004D45B6"/>
    <w:rsid w:val="004D4D4E"/>
    <w:rsid w:val="004D614E"/>
    <w:rsid w:val="004D650F"/>
    <w:rsid w:val="004E2133"/>
    <w:rsid w:val="004E4E04"/>
    <w:rsid w:val="004E70B7"/>
    <w:rsid w:val="004F521C"/>
    <w:rsid w:val="005002A3"/>
    <w:rsid w:val="00502CD8"/>
    <w:rsid w:val="0050361C"/>
    <w:rsid w:val="0050527A"/>
    <w:rsid w:val="00506A40"/>
    <w:rsid w:val="0051064F"/>
    <w:rsid w:val="00513A0E"/>
    <w:rsid w:val="005142E5"/>
    <w:rsid w:val="00515D7B"/>
    <w:rsid w:val="00515F29"/>
    <w:rsid w:val="0052009E"/>
    <w:rsid w:val="00524880"/>
    <w:rsid w:val="00530161"/>
    <w:rsid w:val="005413D4"/>
    <w:rsid w:val="0054389B"/>
    <w:rsid w:val="005450F7"/>
    <w:rsid w:val="00545A0B"/>
    <w:rsid w:val="00545BED"/>
    <w:rsid w:val="0054672F"/>
    <w:rsid w:val="00547A9A"/>
    <w:rsid w:val="00547FA4"/>
    <w:rsid w:val="005536D4"/>
    <w:rsid w:val="00553EC8"/>
    <w:rsid w:val="0055493E"/>
    <w:rsid w:val="005564EE"/>
    <w:rsid w:val="00557D4A"/>
    <w:rsid w:val="0056176B"/>
    <w:rsid w:val="00561889"/>
    <w:rsid w:val="005621F6"/>
    <w:rsid w:val="0056291C"/>
    <w:rsid w:val="005668D3"/>
    <w:rsid w:val="00566EBD"/>
    <w:rsid w:val="0057154B"/>
    <w:rsid w:val="005742DB"/>
    <w:rsid w:val="00577209"/>
    <w:rsid w:val="005800A9"/>
    <w:rsid w:val="00581139"/>
    <w:rsid w:val="00581645"/>
    <w:rsid w:val="00583723"/>
    <w:rsid w:val="0058694E"/>
    <w:rsid w:val="005875F9"/>
    <w:rsid w:val="00593A35"/>
    <w:rsid w:val="00593C74"/>
    <w:rsid w:val="00597D8B"/>
    <w:rsid w:val="005A46FF"/>
    <w:rsid w:val="005A557E"/>
    <w:rsid w:val="005A63FD"/>
    <w:rsid w:val="005B462A"/>
    <w:rsid w:val="005B5137"/>
    <w:rsid w:val="005B6047"/>
    <w:rsid w:val="005C0ED7"/>
    <w:rsid w:val="005C4AE5"/>
    <w:rsid w:val="005C5409"/>
    <w:rsid w:val="005C6FF7"/>
    <w:rsid w:val="005C7D00"/>
    <w:rsid w:val="005D01A4"/>
    <w:rsid w:val="005D0BAB"/>
    <w:rsid w:val="005D1893"/>
    <w:rsid w:val="005D26E9"/>
    <w:rsid w:val="005D2CAA"/>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321C"/>
    <w:rsid w:val="00613F44"/>
    <w:rsid w:val="006160BD"/>
    <w:rsid w:val="0061679A"/>
    <w:rsid w:val="00617125"/>
    <w:rsid w:val="00620EDB"/>
    <w:rsid w:val="0062386E"/>
    <w:rsid w:val="00623DB6"/>
    <w:rsid w:val="00624EDE"/>
    <w:rsid w:val="006253EF"/>
    <w:rsid w:val="00626075"/>
    <w:rsid w:val="0062680E"/>
    <w:rsid w:val="00631158"/>
    <w:rsid w:val="00632923"/>
    <w:rsid w:val="006341E6"/>
    <w:rsid w:val="00634439"/>
    <w:rsid w:val="006366C6"/>
    <w:rsid w:val="00636B55"/>
    <w:rsid w:val="00636EB1"/>
    <w:rsid w:val="006373D6"/>
    <w:rsid w:val="006403D4"/>
    <w:rsid w:val="00642CBC"/>
    <w:rsid w:val="00643760"/>
    <w:rsid w:val="0064454A"/>
    <w:rsid w:val="00645293"/>
    <w:rsid w:val="0064698F"/>
    <w:rsid w:val="00651B78"/>
    <w:rsid w:val="0065237A"/>
    <w:rsid w:val="00652FF5"/>
    <w:rsid w:val="00654382"/>
    <w:rsid w:val="00654758"/>
    <w:rsid w:val="00661244"/>
    <w:rsid w:val="006640DF"/>
    <w:rsid w:val="00666A3C"/>
    <w:rsid w:val="00667519"/>
    <w:rsid w:val="006676A0"/>
    <w:rsid w:val="00670857"/>
    <w:rsid w:val="00670868"/>
    <w:rsid w:val="00673D69"/>
    <w:rsid w:val="00676431"/>
    <w:rsid w:val="0068050D"/>
    <w:rsid w:val="00685FFC"/>
    <w:rsid w:val="00686943"/>
    <w:rsid w:val="00686EDE"/>
    <w:rsid w:val="00687AD5"/>
    <w:rsid w:val="00690A31"/>
    <w:rsid w:val="006911CE"/>
    <w:rsid w:val="00695251"/>
    <w:rsid w:val="00695B58"/>
    <w:rsid w:val="0069798D"/>
    <w:rsid w:val="006A4828"/>
    <w:rsid w:val="006A7C09"/>
    <w:rsid w:val="006B046C"/>
    <w:rsid w:val="006B252F"/>
    <w:rsid w:val="006B3940"/>
    <w:rsid w:val="006B3FDB"/>
    <w:rsid w:val="006B4DD1"/>
    <w:rsid w:val="006B66FE"/>
    <w:rsid w:val="006C168D"/>
    <w:rsid w:val="006C4033"/>
    <w:rsid w:val="006C642C"/>
    <w:rsid w:val="006D3BC4"/>
    <w:rsid w:val="006D7386"/>
    <w:rsid w:val="006E0DAD"/>
    <w:rsid w:val="006E313F"/>
    <w:rsid w:val="006E3EFB"/>
    <w:rsid w:val="006F1F1A"/>
    <w:rsid w:val="006F5AC2"/>
    <w:rsid w:val="006F5B4C"/>
    <w:rsid w:val="006F6C28"/>
    <w:rsid w:val="007007EB"/>
    <w:rsid w:val="00701F57"/>
    <w:rsid w:val="00703E8A"/>
    <w:rsid w:val="00706046"/>
    <w:rsid w:val="007112F0"/>
    <w:rsid w:val="00711343"/>
    <w:rsid w:val="00714309"/>
    <w:rsid w:val="0071450F"/>
    <w:rsid w:val="00714C6F"/>
    <w:rsid w:val="0071681D"/>
    <w:rsid w:val="00717772"/>
    <w:rsid w:val="00721DBE"/>
    <w:rsid w:val="007226EC"/>
    <w:rsid w:val="00722B5E"/>
    <w:rsid w:val="00724F6D"/>
    <w:rsid w:val="0072678C"/>
    <w:rsid w:val="00732D1D"/>
    <w:rsid w:val="007350D4"/>
    <w:rsid w:val="00736034"/>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B8"/>
    <w:rsid w:val="007661D4"/>
    <w:rsid w:val="007661FD"/>
    <w:rsid w:val="00766A7C"/>
    <w:rsid w:val="00767A27"/>
    <w:rsid w:val="0077111A"/>
    <w:rsid w:val="00775419"/>
    <w:rsid w:val="007763A5"/>
    <w:rsid w:val="0078008C"/>
    <w:rsid w:val="0078105B"/>
    <w:rsid w:val="00782390"/>
    <w:rsid w:val="00782B50"/>
    <w:rsid w:val="00784FE0"/>
    <w:rsid w:val="007858B1"/>
    <w:rsid w:val="0078648E"/>
    <w:rsid w:val="00791A3A"/>
    <w:rsid w:val="00791D9C"/>
    <w:rsid w:val="007A391B"/>
    <w:rsid w:val="007A4409"/>
    <w:rsid w:val="007A4F37"/>
    <w:rsid w:val="007A5241"/>
    <w:rsid w:val="007A59B8"/>
    <w:rsid w:val="007B06C7"/>
    <w:rsid w:val="007B3D06"/>
    <w:rsid w:val="007B42F5"/>
    <w:rsid w:val="007B5157"/>
    <w:rsid w:val="007B5CD8"/>
    <w:rsid w:val="007C04A1"/>
    <w:rsid w:val="007C1122"/>
    <w:rsid w:val="007C19EC"/>
    <w:rsid w:val="007C364E"/>
    <w:rsid w:val="007C5359"/>
    <w:rsid w:val="007C6701"/>
    <w:rsid w:val="007D16ED"/>
    <w:rsid w:val="007D2398"/>
    <w:rsid w:val="007D440B"/>
    <w:rsid w:val="007D5908"/>
    <w:rsid w:val="007D62F9"/>
    <w:rsid w:val="007D63A4"/>
    <w:rsid w:val="007D732D"/>
    <w:rsid w:val="007E0F19"/>
    <w:rsid w:val="007E2A84"/>
    <w:rsid w:val="007E5ECB"/>
    <w:rsid w:val="007F063D"/>
    <w:rsid w:val="007F0D73"/>
    <w:rsid w:val="007F2FC8"/>
    <w:rsid w:val="007F432A"/>
    <w:rsid w:val="007F63AA"/>
    <w:rsid w:val="008006B7"/>
    <w:rsid w:val="008032FD"/>
    <w:rsid w:val="00806461"/>
    <w:rsid w:val="008064CE"/>
    <w:rsid w:val="0080673A"/>
    <w:rsid w:val="00807A94"/>
    <w:rsid w:val="00810B79"/>
    <w:rsid w:val="00810EAD"/>
    <w:rsid w:val="00812803"/>
    <w:rsid w:val="008129C0"/>
    <w:rsid w:val="00813B0C"/>
    <w:rsid w:val="00814530"/>
    <w:rsid w:val="00815386"/>
    <w:rsid w:val="00821F9C"/>
    <w:rsid w:val="00825570"/>
    <w:rsid w:val="00826403"/>
    <w:rsid w:val="00827990"/>
    <w:rsid w:val="00834CA6"/>
    <w:rsid w:val="0083623B"/>
    <w:rsid w:val="008379E4"/>
    <w:rsid w:val="00837E59"/>
    <w:rsid w:val="00842100"/>
    <w:rsid w:val="008428A9"/>
    <w:rsid w:val="0084308F"/>
    <w:rsid w:val="00846C2B"/>
    <w:rsid w:val="0085139A"/>
    <w:rsid w:val="008524F6"/>
    <w:rsid w:val="00854B3F"/>
    <w:rsid w:val="00861C2C"/>
    <w:rsid w:val="008668B8"/>
    <w:rsid w:val="00866D32"/>
    <w:rsid w:val="0086748F"/>
    <w:rsid w:val="00867B4D"/>
    <w:rsid w:val="00867CF3"/>
    <w:rsid w:val="00870278"/>
    <w:rsid w:val="00874AB5"/>
    <w:rsid w:val="008750A9"/>
    <w:rsid w:val="00875A68"/>
    <w:rsid w:val="00877671"/>
    <w:rsid w:val="00877A13"/>
    <w:rsid w:val="008869BC"/>
    <w:rsid w:val="00887DDD"/>
    <w:rsid w:val="00887DE6"/>
    <w:rsid w:val="00887E9F"/>
    <w:rsid w:val="008908AA"/>
    <w:rsid w:val="00890E08"/>
    <w:rsid w:val="00894DCA"/>
    <w:rsid w:val="00897D88"/>
    <w:rsid w:val="008A00BE"/>
    <w:rsid w:val="008A1539"/>
    <w:rsid w:val="008A2C5D"/>
    <w:rsid w:val="008A3BE2"/>
    <w:rsid w:val="008A6B30"/>
    <w:rsid w:val="008B05E7"/>
    <w:rsid w:val="008B0758"/>
    <w:rsid w:val="008B1875"/>
    <w:rsid w:val="008B4146"/>
    <w:rsid w:val="008B5312"/>
    <w:rsid w:val="008B59CE"/>
    <w:rsid w:val="008B6078"/>
    <w:rsid w:val="008B7110"/>
    <w:rsid w:val="008B7F4A"/>
    <w:rsid w:val="008C04E1"/>
    <w:rsid w:val="008C04FE"/>
    <w:rsid w:val="008C2F50"/>
    <w:rsid w:val="008C3109"/>
    <w:rsid w:val="008C5312"/>
    <w:rsid w:val="008C5DBD"/>
    <w:rsid w:val="008C61D6"/>
    <w:rsid w:val="008D49AF"/>
    <w:rsid w:val="008D4A2B"/>
    <w:rsid w:val="008D4A9F"/>
    <w:rsid w:val="008D6294"/>
    <w:rsid w:val="008E1FE0"/>
    <w:rsid w:val="008E3939"/>
    <w:rsid w:val="008E3DDD"/>
    <w:rsid w:val="008E58D6"/>
    <w:rsid w:val="008F1426"/>
    <w:rsid w:val="008F2125"/>
    <w:rsid w:val="008F23F4"/>
    <w:rsid w:val="008F61C4"/>
    <w:rsid w:val="008F7763"/>
    <w:rsid w:val="009007CB"/>
    <w:rsid w:val="009010F0"/>
    <w:rsid w:val="00901162"/>
    <w:rsid w:val="00901D46"/>
    <w:rsid w:val="009028E2"/>
    <w:rsid w:val="00903692"/>
    <w:rsid w:val="00904E07"/>
    <w:rsid w:val="00912BAF"/>
    <w:rsid w:val="00914EAB"/>
    <w:rsid w:val="0091541F"/>
    <w:rsid w:val="009165E9"/>
    <w:rsid w:val="00920D98"/>
    <w:rsid w:val="0092249B"/>
    <w:rsid w:val="00922D49"/>
    <w:rsid w:val="009238DB"/>
    <w:rsid w:val="00925E37"/>
    <w:rsid w:val="00925EDD"/>
    <w:rsid w:val="00930079"/>
    <w:rsid w:val="00930966"/>
    <w:rsid w:val="00932F64"/>
    <w:rsid w:val="00936075"/>
    <w:rsid w:val="00936D40"/>
    <w:rsid w:val="00937445"/>
    <w:rsid w:val="00937ABF"/>
    <w:rsid w:val="00937DB1"/>
    <w:rsid w:val="009407FE"/>
    <w:rsid w:val="009463CC"/>
    <w:rsid w:val="00950413"/>
    <w:rsid w:val="0095078E"/>
    <w:rsid w:val="00952404"/>
    <w:rsid w:val="00952A72"/>
    <w:rsid w:val="009530AC"/>
    <w:rsid w:val="009550A8"/>
    <w:rsid w:val="00955FF2"/>
    <w:rsid w:val="0095693D"/>
    <w:rsid w:val="00956B0D"/>
    <w:rsid w:val="0096260B"/>
    <w:rsid w:val="009631C1"/>
    <w:rsid w:val="00963918"/>
    <w:rsid w:val="00970C69"/>
    <w:rsid w:val="00973B57"/>
    <w:rsid w:val="00973E0D"/>
    <w:rsid w:val="0097403F"/>
    <w:rsid w:val="00975D18"/>
    <w:rsid w:val="00976797"/>
    <w:rsid w:val="00980C0C"/>
    <w:rsid w:val="00982E47"/>
    <w:rsid w:val="00983E7D"/>
    <w:rsid w:val="00985F0E"/>
    <w:rsid w:val="00986963"/>
    <w:rsid w:val="00990ABB"/>
    <w:rsid w:val="00991642"/>
    <w:rsid w:val="0099260C"/>
    <w:rsid w:val="009942F4"/>
    <w:rsid w:val="00995B3C"/>
    <w:rsid w:val="009A045B"/>
    <w:rsid w:val="009A0513"/>
    <w:rsid w:val="009A2283"/>
    <w:rsid w:val="009A31AF"/>
    <w:rsid w:val="009A3507"/>
    <w:rsid w:val="009A5C1D"/>
    <w:rsid w:val="009B4286"/>
    <w:rsid w:val="009B5BF9"/>
    <w:rsid w:val="009B5DAF"/>
    <w:rsid w:val="009B5F83"/>
    <w:rsid w:val="009B61C5"/>
    <w:rsid w:val="009B769E"/>
    <w:rsid w:val="009C03E5"/>
    <w:rsid w:val="009C4D19"/>
    <w:rsid w:val="009C5FDB"/>
    <w:rsid w:val="009C65AF"/>
    <w:rsid w:val="009C67A4"/>
    <w:rsid w:val="009C70CB"/>
    <w:rsid w:val="009C74DD"/>
    <w:rsid w:val="009D27AA"/>
    <w:rsid w:val="009D2AD9"/>
    <w:rsid w:val="009D514E"/>
    <w:rsid w:val="009D5C39"/>
    <w:rsid w:val="009D6FED"/>
    <w:rsid w:val="009E0A95"/>
    <w:rsid w:val="009E0D47"/>
    <w:rsid w:val="009E549D"/>
    <w:rsid w:val="009E54AF"/>
    <w:rsid w:val="009E5C59"/>
    <w:rsid w:val="009E6BB8"/>
    <w:rsid w:val="009F1CC3"/>
    <w:rsid w:val="009F26F2"/>
    <w:rsid w:val="009F3E1E"/>
    <w:rsid w:val="009F4CC5"/>
    <w:rsid w:val="009F6550"/>
    <w:rsid w:val="00A003BE"/>
    <w:rsid w:val="00A01C74"/>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20263"/>
    <w:rsid w:val="00A22E07"/>
    <w:rsid w:val="00A26437"/>
    <w:rsid w:val="00A32410"/>
    <w:rsid w:val="00A32B48"/>
    <w:rsid w:val="00A36D00"/>
    <w:rsid w:val="00A43389"/>
    <w:rsid w:val="00A4642E"/>
    <w:rsid w:val="00A47AF8"/>
    <w:rsid w:val="00A50AC8"/>
    <w:rsid w:val="00A52D75"/>
    <w:rsid w:val="00A53013"/>
    <w:rsid w:val="00A54BD6"/>
    <w:rsid w:val="00A5643A"/>
    <w:rsid w:val="00A57678"/>
    <w:rsid w:val="00A6090C"/>
    <w:rsid w:val="00A6200E"/>
    <w:rsid w:val="00A62D1E"/>
    <w:rsid w:val="00A65C6D"/>
    <w:rsid w:val="00A716B9"/>
    <w:rsid w:val="00A720D8"/>
    <w:rsid w:val="00A72216"/>
    <w:rsid w:val="00A733F2"/>
    <w:rsid w:val="00A75705"/>
    <w:rsid w:val="00A75BE1"/>
    <w:rsid w:val="00A8187C"/>
    <w:rsid w:val="00A82C9E"/>
    <w:rsid w:val="00A8324F"/>
    <w:rsid w:val="00A85142"/>
    <w:rsid w:val="00A95B37"/>
    <w:rsid w:val="00A96B6F"/>
    <w:rsid w:val="00AA0CE8"/>
    <w:rsid w:val="00AA35FD"/>
    <w:rsid w:val="00AA3DB7"/>
    <w:rsid w:val="00AA5F63"/>
    <w:rsid w:val="00AA7EBD"/>
    <w:rsid w:val="00AB2431"/>
    <w:rsid w:val="00AB69EF"/>
    <w:rsid w:val="00AC11DC"/>
    <w:rsid w:val="00AC3E87"/>
    <w:rsid w:val="00AC469F"/>
    <w:rsid w:val="00AD0611"/>
    <w:rsid w:val="00AD0E4F"/>
    <w:rsid w:val="00AD26D7"/>
    <w:rsid w:val="00AD3905"/>
    <w:rsid w:val="00AD4555"/>
    <w:rsid w:val="00AD4A31"/>
    <w:rsid w:val="00AD5638"/>
    <w:rsid w:val="00AD7214"/>
    <w:rsid w:val="00AE1066"/>
    <w:rsid w:val="00AE12A4"/>
    <w:rsid w:val="00AE2E1B"/>
    <w:rsid w:val="00AE33EA"/>
    <w:rsid w:val="00AE5129"/>
    <w:rsid w:val="00AE5645"/>
    <w:rsid w:val="00AF1D6B"/>
    <w:rsid w:val="00AF24AA"/>
    <w:rsid w:val="00AF3AF9"/>
    <w:rsid w:val="00AF3E5F"/>
    <w:rsid w:val="00AF4CE4"/>
    <w:rsid w:val="00AF4F09"/>
    <w:rsid w:val="00AF643E"/>
    <w:rsid w:val="00AF79C8"/>
    <w:rsid w:val="00B007B6"/>
    <w:rsid w:val="00B00FA8"/>
    <w:rsid w:val="00B011B0"/>
    <w:rsid w:val="00B0270C"/>
    <w:rsid w:val="00B0391C"/>
    <w:rsid w:val="00B047F6"/>
    <w:rsid w:val="00B06019"/>
    <w:rsid w:val="00B0700F"/>
    <w:rsid w:val="00B1493B"/>
    <w:rsid w:val="00B15119"/>
    <w:rsid w:val="00B17169"/>
    <w:rsid w:val="00B20F47"/>
    <w:rsid w:val="00B23996"/>
    <w:rsid w:val="00B23CB2"/>
    <w:rsid w:val="00B24A18"/>
    <w:rsid w:val="00B255C5"/>
    <w:rsid w:val="00B25807"/>
    <w:rsid w:val="00B268B3"/>
    <w:rsid w:val="00B268DD"/>
    <w:rsid w:val="00B32AE1"/>
    <w:rsid w:val="00B34368"/>
    <w:rsid w:val="00B37780"/>
    <w:rsid w:val="00B37813"/>
    <w:rsid w:val="00B37EEF"/>
    <w:rsid w:val="00B411CD"/>
    <w:rsid w:val="00B41ABB"/>
    <w:rsid w:val="00B41C1D"/>
    <w:rsid w:val="00B43917"/>
    <w:rsid w:val="00B43E1E"/>
    <w:rsid w:val="00B4515C"/>
    <w:rsid w:val="00B46220"/>
    <w:rsid w:val="00B464EA"/>
    <w:rsid w:val="00B47574"/>
    <w:rsid w:val="00B52BE7"/>
    <w:rsid w:val="00B5430C"/>
    <w:rsid w:val="00B56A90"/>
    <w:rsid w:val="00B5711C"/>
    <w:rsid w:val="00B57BCF"/>
    <w:rsid w:val="00B57E36"/>
    <w:rsid w:val="00B60209"/>
    <w:rsid w:val="00B606A3"/>
    <w:rsid w:val="00B65D6F"/>
    <w:rsid w:val="00B673F3"/>
    <w:rsid w:val="00B67A25"/>
    <w:rsid w:val="00B70229"/>
    <w:rsid w:val="00B7354A"/>
    <w:rsid w:val="00B7435B"/>
    <w:rsid w:val="00B74446"/>
    <w:rsid w:val="00B74B59"/>
    <w:rsid w:val="00B77142"/>
    <w:rsid w:val="00B8024E"/>
    <w:rsid w:val="00B80C3A"/>
    <w:rsid w:val="00B81633"/>
    <w:rsid w:val="00B84643"/>
    <w:rsid w:val="00B90452"/>
    <w:rsid w:val="00B90780"/>
    <w:rsid w:val="00B916D6"/>
    <w:rsid w:val="00B91AD8"/>
    <w:rsid w:val="00B9209B"/>
    <w:rsid w:val="00B9240D"/>
    <w:rsid w:val="00B95753"/>
    <w:rsid w:val="00B97E42"/>
    <w:rsid w:val="00BA0C05"/>
    <w:rsid w:val="00BA54D0"/>
    <w:rsid w:val="00BA7532"/>
    <w:rsid w:val="00BB1013"/>
    <w:rsid w:val="00BB4515"/>
    <w:rsid w:val="00BB7B89"/>
    <w:rsid w:val="00BC1A9B"/>
    <w:rsid w:val="00BC2A22"/>
    <w:rsid w:val="00BC4986"/>
    <w:rsid w:val="00BC5E2E"/>
    <w:rsid w:val="00BC6379"/>
    <w:rsid w:val="00BC7EEF"/>
    <w:rsid w:val="00BD1AD9"/>
    <w:rsid w:val="00BD43BB"/>
    <w:rsid w:val="00BD7ADE"/>
    <w:rsid w:val="00BE1A85"/>
    <w:rsid w:val="00BE46ED"/>
    <w:rsid w:val="00BE4FD1"/>
    <w:rsid w:val="00BE642D"/>
    <w:rsid w:val="00BE6D7A"/>
    <w:rsid w:val="00BF2511"/>
    <w:rsid w:val="00BF377F"/>
    <w:rsid w:val="00BF3F88"/>
    <w:rsid w:val="00BF57BE"/>
    <w:rsid w:val="00C0042B"/>
    <w:rsid w:val="00C02E58"/>
    <w:rsid w:val="00C030B6"/>
    <w:rsid w:val="00C04B38"/>
    <w:rsid w:val="00C067B7"/>
    <w:rsid w:val="00C10A09"/>
    <w:rsid w:val="00C121BC"/>
    <w:rsid w:val="00C14D92"/>
    <w:rsid w:val="00C16739"/>
    <w:rsid w:val="00C17F3F"/>
    <w:rsid w:val="00C23BA2"/>
    <w:rsid w:val="00C260A2"/>
    <w:rsid w:val="00C30DEC"/>
    <w:rsid w:val="00C31142"/>
    <w:rsid w:val="00C31DEF"/>
    <w:rsid w:val="00C338EB"/>
    <w:rsid w:val="00C35BB7"/>
    <w:rsid w:val="00C36B35"/>
    <w:rsid w:val="00C400CD"/>
    <w:rsid w:val="00C41617"/>
    <w:rsid w:val="00C4309A"/>
    <w:rsid w:val="00C43F23"/>
    <w:rsid w:val="00C43FF1"/>
    <w:rsid w:val="00C45494"/>
    <w:rsid w:val="00C52D18"/>
    <w:rsid w:val="00C544B8"/>
    <w:rsid w:val="00C559CE"/>
    <w:rsid w:val="00C55E19"/>
    <w:rsid w:val="00C563BF"/>
    <w:rsid w:val="00C57512"/>
    <w:rsid w:val="00C57607"/>
    <w:rsid w:val="00C61133"/>
    <w:rsid w:val="00C64009"/>
    <w:rsid w:val="00C7016D"/>
    <w:rsid w:val="00C767B3"/>
    <w:rsid w:val="00C76C07"/>
    <w:rsid w:val="00C80F23"/>
    <w:rsid w:val="00C835B4"/>
    <w:rsid w:val="00C850A3"/>
    <w:rsid w:val="00C87568"/>
    <w:rsid w:val="00C92451"/>
    <w:rsid w:val="00C9272C"/>
    <w:rsid w:val="00C97764"/>
    <w:rsid w:val="00C97C9B"/>
    <w:rsid w:val="00CA344C"/>
    <w:rsid w:val="00CB142D"/>
    <w:rsid w:val="00CB26C7"/>
    <w:rsid w:val="00CB29F6"/>
    <w:rsid w:val="00CB2BBF"/>
    <w:rsid w:val="00CB481C"/>
    <w:rsid w:val="00CB4C8C"/>
    <w:rsid w:val="00CB62E1"/>
    <w:rsid w:val="00CB6EFE"/>
    <w:rsid w:val="00CC16F9"/>
    <w:rsid w:val="00CC28A9"/>
    <w:rsid w:val="00CC4183"/>
    <w:rsid w:val="00CC6928"/>
    <w:rsid w:val="00CC70A4"/>
    <w:rsid w:val="00CD2BA8"/>
    <w:rsid w:val="00CD4A0C"/>
    <w:rsid w:val="00CD5CEF"/>
    <w:rsid w:val="00CE06EC"/>
    <w:rsid w:val="00CE1F8A"/>
    <w:rsid w:val="00CE592E"/>
    <w:rsid w:val="00CE5BC5"/>
    <w:rsid w:val="00CF16A4"/>
    <w:rsid w:val="00CF299F"/>
    <w:rsid w:val="00CF3357"/>
    <w:rsid w:val="00CF58DF"/>
    <w:rsid w:val="00D00BC3"/>
    <w:rsid w:val="00D03538"/>
    <w:rsid w:val="00D04410"/>
    <w:rsid w:val="00D05EE7"/>
    <w:rsid w:val="00D06A9D"/>
    <w:rsid w:val="00D07C15"/>
    <w:rsid w:val="00D11D4F"/>
    <w:rsid w:val="00D13A01"/>
    <w:rsid w:val="00D15733"/>
    <w:rsid w:val="00D20364"/>
    <w:rsid w:val="00D2130C"/>
    <w:rsid w:val="00D26746"/>
    <w:rsid w:val="00D26DDD"/>
    <w:rsid w:val="00D27BDC"/>
    <w:rsid w:val="00D27EA0"/>
    <w:rsid w:val="00D305C9"/>
    <w:rsid w:val="00D3194F"/>
    <w:rsid w:val="00D33751"/>
    <w:rsid w:val="00D3639B"/>
    <w:rsid w:val="00D37343"/>
    <w:rsid w:val="00D37495"/>
    <w:rsid w:val="00D41727"/>
    <w:rsid w:val="00D427E4"/>
    <w:rsid w:val="00D45F1B"/>
    <w:rsid w:val="00D472A5"/>
    <w:rsid w:val="00D52289"/>
    <w:rsid w:val="00D55A37"/>
    <w:rsid w:val="00D55B7E"/>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110D"/>
    <w:rsid w:val="00D91124"/>
    <w:rsid w:val="00D91987"/>
    <w:rsid w:val="00D92168"/>
    <w:rsid w:val="00D93426"/>
    <w:rsid w:val="00D94B22"/>
    <w:rsid w:val="00D958D3"/>
    <w:rsid w:val="00D9594F"/>
    <w:rsid w:val="00D97213"/>
    <w:rsid w:val="00DA0C95"/>
    <w:rsid w:val="00DA134E"/>
    <w:rsid w:val="00DA13F3"/>
    <w:rsid w:val="00DA2DE3"/>
    <w:rsid w:val="00DA47D9"/>
    <w:rsid w:val="00DA64AF"/>
    <w:rsid w:val="00DB1F4F"/>
    <w:rsid w:val="00DB2AC7"/>
    <w:rsid w:val="00DB704C"/>
    <w:rsid w:val="00DC693B"/>
    <w:rsid w:val="00DC7C77"/>
    <w:rsid w:val="00DD0F5D"/>
    <w:rsid w:val="00DD426D"/>
    <w:rsid w:val="00DD74FC"/>
    <w:rsid w:val="00DE117F"/>
    <w:rsid w:val="00DE1769"/>
    <w:rsid w:val="00DE1A17"/>
    <w:rsid w:val="00DE1D7B"/>
    <w:rsid w:val="00DE44C8"/>
    <w:rsid w:val="00DE64CC"/>
    <w:rsid w:val="00DE6AA9"/>
    <w:rsid w:val="00DE7B30"/>
    <w:rsid w:val="00DF20C7"/>
    <w:rsid w:val="00DF4D0C"/>
    <w:rsid w:val="00DF5C20"/>
    <w:rsid w:val="00DF7D81"/>
    <w:rsid w:val="00E02DEB"/>
    <w:rsid w:val="00E03486"/>
    <w:rsid w:val="00E0405A"/>
    <w:rsid w:val="00E042A1"/>
    <w:rsid w:val="00E0476C"/>
    <w:rsid w:val="00E0576B"/>
    <w:rsid w:val="00E067EA"/>
    <w:rsid w:val="00E06D18"/>
    <w:rsid w:val="00E104FA"/>
    <w:rsid w:val="00E1320D"/>
    <w:rsid w:val="00E15FD1"/>
    <w:rsid w:val="00E16022"/>
    <w:rsid w:val="00E1738C"/>
    <w:rsid w:val="00E174FF"/>
    <w:rsid w:val="00E205AA"/>
    <w:rsid w:val="00E22296"/>
    <w:rsid w:val="00E27360"/>
    <w:rsid w:val="00E27C04"/>
    <w:rsid w:val="00E30713"/>
    <w:rsid w:val="00E30EDF"/>
    <w:rsid w:val="00E31FBA"/>
    <w:rsid w:val="00E328E2"/>
    <w:rsid w:val="00E336BB"/>
    <w:rsid w:val="00E3384E"/>
    <w:rsid w:val="00E33F90"/>
    <w:rsid w:val="00E374C8"/>
    <w:rsid w:val="00E4042D"/>
    <w:rsid w:val="00E4135D"/>
    <w:rsid w:val="00E43750"/>
    <w:rsid w:val="00E508EB"/>
    <w:rsid w:val="00E50A31"/>
    <w:rsid w:val="00E521E3"/>
    <w:rsid w:val="00E53B7A"/>
    <w:rsid w:val="00E550C9"/>
    <w:rsid w:val="00E55405"/>
    <w:rsid w:val="00E561F9"/>
    <w:rsid w:val="00E5645D"/>
    <w:rsid w:val="00E57CD3"/>
    <w:rsid w:val="00E608D5"/>
    <w:rsid w:val="00E627A4"/>
    <w:rsid w:val="00E6280E"/>
    <w:rsid w:val="00E62C9C"/>
    <w:rsid w:val="00E630EE"/>
    <w:rsid w:val="00E67A61"/>
    <w:rsid w:val="00E70455"/>
    <w:rsid w:val="00E73221"/>
    <w:rsid w:val="00E75116"/>
    <w:rsid w:val="00E763EB"/>
    <w:rsid w:val="00E8249B"/>
    <w:rsid w:val="00E8342F"/>
    <w:rsid w:val="00E84632"/>
    <w:rsid w:val="00E847EE"/>
    <w:rsid w:val="00E876F9"/>
    <w:rsid w:val="00E96A72"/>
    <w:rsid w:val="00E96B52"/>
    <w:rsid w:val="00EA01F7"/>
    <w:rsid w:val="00EA1D33"/>
    <w:rsid w:val="00EA1F5A"/>
    <w:rsid w:val="00EA375F"/>
    <w:rsid w:val="00EA55D2"/>
    <w:rsid w:val="00EA7104"/>
    <w:rsid w:val="00EA7533"/>
    <w:rsid w:val="00EB067F"/>
    <w:rsid w:val="00EB2419"/>
    <w:rsid w:val="00EB58F5"/>
    <w:rsid w:val="00EB6E6B"/>
    <w:rsid w:val="00EC010F"/>
    <w:rsid w:val="00EC2E3A"/>
    <w:rsid w:val="00EC3CCB"/>
    <w:rsid w:val="00EC5A74"/>
    <w:rsid w:val="00EC737D"/>
    <w:rsid w:val="00ED2154"/>
    <w:rsid w:val="00ED4277"/>
    <w:rsid w:val="00ED7C8C"/>
    <w:rsid w:val="00ED7DDB"/>
    <w:rsid w:val="00EE431B"/>
    <w:rsid w:val="00EE4874"/>
    <w:rsid w:val="00EE53E5"/>
    <w:rsid w:val="00EE6852"/>
    <w:rsid w:val="00EE73FB"/>
    <w:rsid w:val="00EE7BF0"/>
    <w:rsid w:val="00EF2674"/>
    <w:rsid w:val="00EF556F"/>
    <w:rsid w:val="00EF7D07"/>
    <w:rsid w:val="00F0181C"/>
    <w:rsid w:val="00F03512"/>
    <w:rsid w:val="00F0433A"/>
    <w:rsid w:val="00F0519B"/>
    <w:rsid w:val="00F059D4"/>
    <w:rsid w:val="00F11783"/>
    <w:rsid w:val="00F119AF"/>
    <w:rsid w:val="00F1480B"/>
    <w:rsid w:val="00F1498D"/>
    <w:rsid w:val="00F15173"/>
    <w:rsid w:val="00F20065"/>
    <w:rsid w:val="00F21B6D"/>
    <w:rsid w:val="00F22211"/>
    <w:rsid w:val="00F22341"/>
    <w:rsid w:val="00F24039"/>
    <w:rsid w:val="00F24E0E"/>
    <w:rsid w:val="00F26693"/>
    <w:rsid w:val="00F30F17"/>
    <w:rsid w:val="00F3477D"/>
    <w:rsid w:val="00F347FE"/>
    <w:rsid w:val="00F34859"/>
    <w:rsid w:val="00F356F7"/>
    <w:rsid w:val="00F40055"/>
    <w:rsid w:val="00F405D4"/>
    <w:rsid w:val="00F40868"/>
    <w:rsid w:val="00F421D5"/>
    <w:rsid w:val="00F44FDE"/>
    <w:rsid w:val="00F46467"/>
    <w:rsid w:val="00F46B63"/>
    <w:rsid w:val="00F4715C"/>
    <w:rsid w:val="00F47FF8"/>
    <w:rsid w:val="00F529B5"/>
    <w:rsid w:val="00F52AA4"/>
    <w:rsid w:val="00F56162"/>
    <w:rsid w:val="00F56B7E"/>
    <w:rsid w:val="00F6052F"/>
    <w:rsid w:val="00F62FDE"/>
    <w:rsid w:val="00F654E6"/>
    <w:rsid w:val="00F662CD"/>
    <w:rsid w:val="00F67E39"/>
    <w:rsid w:val="00F703A8"/>
    <w:rsid w:val="00F707F1"/>
    <w:rsid w:val="00F7094A"/>
    <w:rsid w:val="00F710BE"/>
    <w:rsid w:val="00F72579"/>
    <w:rsid w:val="00F74742"/>
    <w:rsid w:val="00F804B9"/>
    <w:rsid w:val="00F80AE2"/>
    <w:rsid w:val="00F83FF9"/>
    <w:rsid w:val="00F84D52"/>
    <w:rsid w:val="00F91B52"/>
    <w:rsid w:val="00F961A9"/>
    <w:rsid w:val="00F97478"/>
    <w:rsid w:val="00F97B71"/>
    <w:rsid w:val="00F97B9E"/>
    <w:rsid w:val="00FA0527"/>
    <w:rsid w:val="00FA085E"/>
    <w:rsid w:val="00FA0947"/>
    <w:rsid w:val="00FA2185"/>
    <w:rsid w:val="00FA2D49"/>
    <w:rsid w:val="00FA4B52"/>
    <w:rsid w:val="00FA4D4F"/>
    <w:rsid w:val="00FA4D5B"/>
    <w:rsid w:val="00FA54E8"/>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0C8B"/>
    <w:rsid w:val="00FE1E47"/>
    <w:rsid w:val="00FE275D"/>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iPriority="99" w:unhideWhenUsed="0"/>
    <w:lsdException w:name="Body Text First Indent" w:semiHidden="0" w:unhideWhenUsed="0"/>
    <w:lsdException w:name="Strong" w:qFormat="1" w:semiHidden="0" w:uiPriority="22" w:unhideWhenUsed="0"/>
    <w:lsdException w:name="Emphasis" w:qFormat="1" w:semiHidden="0" w:unhideWhenUsed="0"/>
    <w:lsdException w:name="Plain Text" w:uiPriority="99"/>
    <w:lsdException w:name="Table Grid" w:qFormat="1"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qFormat/>
    <w:rsid w:val="006A482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Normal Indent"/>
    <w:basedOn w:val="a"/>
    <w:uiPriority w:val="99"/>
    <w:rsid w:val="006A4828"/>
    <w:pPr>
      <w:ind w:firstLine="420" w:firstLineChars="200"/>
    </w:pPr>
  </w:style>
  <w:style w:styleId="a4" w:type="paragraph">
    <w:name w:val="Body Text Indent"/>
    <w:basedOn w:val="a"/>
    <w:rsid w:val="006A4828"/>
    <w:pPr>
      <w:widowControl/>
      <w:spacing w:after="100" w:afterAutospacing="1" w:before="100" w:beforeAutospacing="1"/>
      <w:jc w:val="left"/>
    </w:pPr>
    <w:rPr>
      <w:rFonts w:ascii="Arial Unicode MS" w:cs="Arial Unicode MS" w:eastAsia="Arial Unicode MS" w:hAnsi="Arial Unicode MS"/>
      <w:kern w:val="0"/>
      <w:sz w:val="24"/>
    </w:rPr>
  </w:style>
  <w:style w:styleId="a5" w:type="paragraph">
    <w:name w:val="Plain Text"/>
    <w:basedOn w:val="a"/>
    <w:link w:val="Char"/>
    <w:uiPriority w:val="99"/>
    <w:rsid w:val="006A4828"/>
    <w:rPr>
      <w:rFonts w:ascii="宋体" w:hAnsi="Courier New"/>
      <w:szCs w:val="21"/>
    </w:rPr>
  </w:style>
  <w:style w:styleId="20" w:type="paragraph">
    <w:name w:val="Body Text Indent 2"/>
    <w:basedOn w:val="a"/>
    <w:rsid w:val="006A4828"/>
    <w:pPr>
      <w:spacing w:line="560" w:lineRule="exact"/>
      <w:ind w:firstLine="480" w:firstLineChars="200"/>
    </w:pPr>
    <w:rPr>
      <w:rFonts w:ascii="宋体" w:hAnsi="宋体"/>
      <w:color w:val="FF0000"/>
      <w:sz w:val="24"/>
    </w:rPr>
  </w:style>
  <w:style w:styleId="a6" w:type="paragraph">
    <w:name w:val="footer"/>
    <w:basedOn w:val="a"/>
    <w:rsid w:val="006A4828"/>
    <w:pPr>
      <w:tabs>
        <w:tab w:pos="4153" w:val="center"/>
        <w:tab w:pos="8306" w:val="right"/>
      </w:tabs>
      <w:snapToGrid w:val="0"/>
      <w:jc w:val="left"/>
    </w:pPr>
    <w:rPr>
      <w:sz w:val="18"/>
      <w:szCs w:val="18"/>
    </w:rPr>
  </w:style>
  <w:style w:styleId="a7" w:type="character">
    <w:name w:val="page number"/>
    <w:basedOn w:val="a1"/>
    <w:rsid w:val="006A4828"/>
  </w:style>
  <w:style w:styleId="a8" w:type="character">
    <w:name w:val="Hyperlink"/>
    <w:basedOn w:val="a1"/>
    <w:rsid w:val="006A4828"/>
    <w:rPr>
      <w:color w:val="0000FF"/>
      <w:u w:val="single"/>
    </w:rPr>
  </w:style>
  <w:style w:styleId="3" w:type="paragraph">
    <w:name w:val="Body Text Indent 3"/>
    <w:basedOn w:val="a"/>
    <w:rsid w:val="006A4828"/>
    <w:pPr>
      <w:spacing w:line="560" w:lineRule="exact"/>
      <w:ind w:firstLine="420" w:firstLineChars="200"/>
    </w:pPr>
    <w:rPr>
      <w:rFonts w:ascii="Arial" w:cs="Arial" w:hAnsi="Arial"/>
      <w:color w:val="FF0000"/>
    </w:rPr>
  </w:style>
  <w:style w:styleId="a9" w:type="paragraph">
    <w:name w:val="header"/>
    <w:basedOn w:val="a"/>
    <w:link w:val="Char0"/>
    <w:uiPriority w:val="99"/>
    <w:rsid w:val="006A4828"/>
    <w:pPr>
      <w:pBdr>
        <w:bottom w:color="auto" w:space="1" w:sz="6" w:val="single"/>
      </w:pBdr>
      <w:tabs>
        <w:tab w:pos="4153" w:val="center"/>
        <w:tab w:pos="8306" w:val="right"/>
      </w:tabs>
      <w:snapToGrid w:val="0"/>
      <w:jc w:val="center"/>
    </w:pPr>
    <w:rPr>
      <w:sz w:val="18"/>
      <w:szCs w:val="18"/>
    </w:rPr>
  </w:style>
  <w:style w:customStyle="1" w:styleId="10" w:type="character">
    <w:name w:val="已访问的超链接1"/>
    <w:basedOn w:val="a1"/>
    <w:rsid w:val="006A4828"/>
    <w:rPr>
      <w:color w:val="800080"/>
      <w:u w:val="single"/>
    </w:rPr>
  </w:style>
  <w:style w:styleId="aa" w:type="paragraph">
    <w:name w:val="List"/>
    <w:basedOn w:val="ab"/>
    <w:rsid w:val="006A4828"/>
    <w:pPr>
      <w:spacing w:after="220" w:line="220" w:lineRule="atLeast"/>
      <w:ind w:hanging="360" w:left="1440"/>
    </w:pPr>
    <w:rPr>
      <w:szCs w:val="20"/>
    </w:rPr>
  </w:style>
  <w:style w:styleId="ab" w:type="paragraph">
    <w:name w:val="Body Text"/>
    <w:basedOn w:val="a"/>
    <w:rsid w:val="006A4828"/>
    <w:pPr>
      <w:spacing w:after="120"/>
    </w:pPr>
  </w:style>
  <w:style w:styleId="ac" w:type="paragraph">
    <w:name w:val="Date"/>
    <w:basedOn w:val="a"/>
    <w:next w:val="a"/>
    <w:link w:val="Char1"/>
    <w:uiPriority w:val="99"/>
    <w:rsid w:val="006A4828"/>
    <w:rPr>
      <w:sz w:val="24"/>
      <w:szCs w:val="20"/>
    </w:rPr>
  </w:style>
  <w:style w:customStyle="1" w:styleId="c1" w:type="character">
    <w:name w:val="c1"/>
    <w:basedOn w:val="a1"/>
    <w:rsid w:val="006A4828"/>
    <w:rPr>
      <w:color w:val="000000"/>
      <w:sz w:val="18"/>
      <w:szCs w:val="18"/>
    </w:rPr>
  </w:style>
  <w:style w:styleId="11" w:type="paragraph">
    <w:name w:val="index 1"/>
    <w:basedOn w:val="a"/>
    <w:next w:val="a"/>
    <w:autoRedefine/>
    <w:semiHidden/>
    <w:rsid w:val="006A4828"/>
    <w:pPr>
      <w:jc w:val="right"/>
    </w:pPr>
    <w:rPr>
      <w:color w:val="008000"/>
    </w:rPr>
  </w:style>
  <w:style w:customStyle="1" w:styleId="font5" w:type="paragraph">
    <w:name w:val="font5"/>
    <w:basedOn w:val="a"/>
    <w:rsid w:val="006A4828"/>
    <w:pPr>
      <w:widowControl/>
      <w:spacing w:after="100" w:afterAutospacing="1" w:before="100" w:beforeAutospacing="1"/>
      <w:jc w:val="left"/>
    </w:pPr>
    <w:rPr>
      <w:rFonts w:ascii="宋体" w:cs="Arial Unicode MS" w:hAnsi="宋体" w:hint="eastAsia"/>
      <w:kern w:val="0"/>
      <w:sz w:val="18"/>
      <w:szCs w:val="18"/>
    </w:rPr>
  </w:style>
  <w:style w:customStyle="1" w:styleId="xl24" w:type="paragraph">
    <w:name w:val="xl24"/>
    <w:basedOn w:val="a"/>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semiHidden/>
    <w:rsid w:val="006A4828"/>
    <w:rPr>
      <w:sz w:val="18"/>
      <w:szCs w:val="18"/>
    </w:rPr>
  </w:style>
  <w:style w:styleId="ae" w:type="character">
    <w:name w:val="annotation reference"/>
    <w:basedOn w:val="a1"/>
    <w:semiHidden/>
    <w:rsid w:val="006A4828"/>
    <w:rPr>
      <w:sz w:val="21"/>
      <w:szCs w:val="21"/>
    </w:rPr>
  </w:style>
  <w:style w:styleId="af" w:type="paragraph">
    <w:name w:val="annotation text"/>
    <w:basedOn w:val="a"/>
    <w:semiHidden/>
    <w:rsid w:val="006A4828"/>
    <w:pPr>
      <w:jc w:val="left"/>
    </w:pPr>
  </w:style>
  <w:style w:styleId="af0" w:type="paragraph">
    <w:name w:val="annotation subject"/>
    <w:basedOn w:val="af"/>
    <w:next w:val="af"/>
    <w:semiHidden/>
    <w:rsid w:val="006A4828"/>
    <w:rPr>
      <w:b/>
      <w:bCs/>
    </w:rPr>
  </w:style>
  <w:style w:customStyle="1" w:styleId="Char2" w:type="paragraph">
    <w:name w:val="Char"/>
    <w:basedOn w:val="a"/>
    <w:rsid w:val="006A4828"/>
  </w:style>
  <w:style w:styleId="af1" w:type="paragraph">
    <w:name w:val="Document Map"/>
    <w:basedOn w:val="a"/>
    <w:semiHidden/>
    <w:rsid w:val="000A549A"/>
    <w:pPr>
      <w:shd w:color="auto" w:fill="000080" w:val="clear"/>
    </w:p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3"/>
    <w:rsid w:val="000B251E"/>
    <w:pPr>
      <w:snapToGrid w:val="0"/>
      <w:jc w:val="left"/>
    </w:pPr>
    <w:rPr>
      <w:sz w:val="18"/>
      <w:szCs w:val="18"/>
    </w:rPr>
  </w:style>
  <w:style w:styleId="af4" w:type="character">
    <w:name w:val="footnote reference"/>
    <w:basedOn w:val="a1"/>
    <w:rsid w:val="000B251E"/>
    <w:rPr>
      <w:vertAlign w:val="superscript"/>
    </w:rPr>
  </w:style>
  <w:style w:styleId="af5" w:type="paragraph">
    <w:name w:val="Normal (Web)"/>
    <w:basedOn w:val="a"/>
    <w:rsid w:val="00B25807"/>
    <w:pPr>
      <w:widowControl/>
      <w:spacing w:after="100" w:afterAutospacing="1" w:before="100" w:beforeAutospacing="1"/>
      <w:jc w:val="left"/>
    </w:pPr>
    <w:rPr>
      <w:rFonts w:ascii="宋体" w:hAnsi="宋体"/>
      <w:kern w:val="0"/>
      <w:sz w:val="24"/>
    </w:rPr>
  </w:style>
  <w:style w:customStyle="1" w:styleId="Char4" w:type="paragraph">
    <w:name w:val="Char"/>
    <w:basedOn w:val="a"/>
    <w:rsid w:val="00D97213"/>
  </w:style>
  <w:style w:customStyle="1" w:styleId="5" w:type="numbering">
    <w:name w:val="样式5"/>
    <w:rsid w:val="00952A72"/>
    <w:pPr>
      <w:numPr>
        <w:numId w:val="8"/>
      </w:numPr>
    </w:pPr>
  </w:style>
  <w:style w:customStyle="1" w:styleId="t1" w:type="character">
    <w:name w:val="t1"/>
    <w:basedOn w:val="a1"/>
    <w:rsid w:val="002D2A00"/>
    <w:rPr>
      <w:color w:val="990000"/>
    </w:rPr>
  </w:style>
  <w:style w:customStyle="1" w:styleId="Char" w:type="character">
    <w:name w:val="纯文本 Char"/>
    <w:basedOn w:val="a1"/>
    <w:link w:val="a5"/>
    <w:uiPriority w:val="99"/>
    <w:rsid w:val="009A045B"/>
    <w:rPr>
      <w:rFonts w:ascii="宋体" w:hAnsi="Courier New"/>
      <w:kern w:val="2"/>
      <w:sz w:val="21"/>
      <w:szCs w:val="21"/>
    </w:rPr>
  </w:style>
  <w:style w:customStyle="1" w:styleId="Char3" w:type="character">
    <w:name w:val="脚注文本 Char"/>
    <w:basedOn w:val="a1"/>
    <w:link w:val="af3"/>
    <w:rsid w:val="00CB481C"/>
    <w:rPr>
      <w:kern w:val="2"/>
      <w:sz w:val="18"/>
      <w:szCs w:val="18"/>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Char0" w:type="character">
    <w:name w:val="页眉 Char"/>
    <w:basedOn w:val="a1"/>
    <w:link w:val="a9"/>
    <w:uiPriority w:val="99"/>
    <w:rsid w:val="001207F2"/>
    <w:rPr>
      <w:kern w:val="2"/>
      <w:sz w:val="18"/>
      <w:szCs w:val="18"/>
    </w:rPr>
  </w:style>
  <w:style w:customStyle="1" w:styleId="1Char" w:type="character">
    <w:name w:val="标题 1 Char"/>
    <w:basedOn w:val="a1"/>
    <w:link w:val="1"/>
    <w:uiPriority w:val="99"/>
    <w:rsid w:val="00180952"/>
    <w:rPr>
      <w:b/>
      <w:bCs/>
      <w:kern w:val="44"/>
      <w:sz w:val="44"/>
      <w:szCs w:val="44"/>
    </w:rPr>
  </w:style>
  <w:style w:customStyle="1" w:styleId="Char1" w:type="character">
    <w:name w:val="日期 Char"/>
    <w:basedOn w:val="a1"/>
    <w:link w:val="ac"/>
    <w:uiPriority w:val="99"/>
    <w:rsid w:val="00D66685"/>
    <w:rPr>
      <w:kern w:val="2"/>
      <w:sz w:val="24"/>
    </w:rPr>
  </w:style>
  <w:style w:styleId="af6" w:type="character">
    <w:name w:val="Strong"/>
    <w:basedOn w:val="a1"/>
    <w:uiPriority w:val="22"/>
    <w:qFormat/>
    <w:rsid w:val="00FE0C8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0">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32286">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275908062">
      <w:bodyDiv w:val="1"/>
      <w:marLeft w:val="0"/>
      <w:marRight w:val="0"/>
      <w:marTop w:val="0"/>
      <w:marBottom w:val="0"/>
      <w:divBdr>
        <w:top w:val="none" w:sz="0" w:space="0" w:color="auto"/>
        <w:left w:val="none" w:sz="0" w:space="0" w:color="auto"/>
        <w:bottom w:val="none" w:sz="0" w:space="0" w:color="auto"/>
        <w:right w:val="none" w:sz="0" w:space="0" w:color="auto"/>
      </w:divBdr>
    </w:div>
    <w:div w:id="462040351">
      <w:bodyDiv w:val="1"/>
      <w:marLeft w:val="0"/>
      <w:marRight w:val="0"/>
      <w:marTop w:val="0"/>
      <w:marBottom w:val="0"/>
      <w:divBdr>
        <w:top w:val="none" w:sz="0" w:space="0" w:color="auto"/>
        <w:left w:val="none" w:sz="0" w:space="0" w:color="auto"/>
        <w:bottom w:val="none" w:sz="0" w:space="0" w:color="auto"/>
        <w:right w:val="none" w:sz="0" w:space="0" w:color="auto"/>
      </w:divBdr>
    </w:div>
    <w:div w:id="515924504">
      <w:bodyDiv w:val="1"/>
      <w:marLeft w:val="0"/>
      <w:marRight w:val="0"/>
      <w:marTop w:val="0"/>
      <w:marBottom w:val="0"/>
      <w:divBdr>
        <w:top w:val="none" w:sz="0" w:space="0" w:color="auto"/>
        <w:left w:val="none" w:sz="0" w:space="0" w:color="auto"/>
        <w:bottom w:val="none" w:sz="0" w:space="0" w:color="auto"/>
        <w:right w:val="none" w:sz="0" w:space="0" w:color="auto"/>
      </w:divBdr>
    </w:div>
    <w:div w:id="713970738">
      <w:bodyDiv w:val="1"/>
      <w:marLeft w:val="0"/>
      <w:marRight w:val="0"/>
      <w:marTop w:val="0"/>
      <w:marBottom w:val="0"/>
      <w:divBdr>
        <w:top w:val="none" w:sz="0" w:space="0" w:color="auto"/>
        <w:left w:val="none" w:sz="0" w:space="0" w:color="auto"/>
        <w:bottom w:val="none" w:sz="0" w:space="0" w:color="auto"/>
        <w:right w:val="none" w:sz="0" w:space="0" w:color="auto"/>
      </w:divBdr>
    </w:div>
    <w:div w:id="718362652">
      <w:bodyDiv w:val="1"/>
      <w:marLeft w:val="0"/>
      <w:marRight w:val="0"/>
      <w:marTop w:val="0"/>
      <w:marBottom w:val="0"/>
      <w:divBdr>
        <w:top w:val="none" w:sz="0" w:space="0" w:color="auto"/>
        <w:left w:val="none" w:sz="0" w:space="0" w:color="auto"/>
        <w:bottom w:val="none" w:sz="0" w:space="0" w:color="auto"/>
        <w:right w:val="none" w:sz="0" w:space="0" w:color="auto"/>
      </w:divBdr>
    </w:div>
    <w:div w:id="1042290413">
      <w:bodyDiv w:val="1"/>
      <w:marLeft w:val="0"/>
      <w:marRight w:val="0"/>
      <w:marTop w:val="0"/>
      <w:marBottom w:val="0"/>
      <w:divBdr>
        <w:top w:val="none" w:sz="0" w:space="0" w:color="auto"/>
        <w:left w:val="none" w:sz="0" w:space="0" w:color="auto"/>
        <w:bottom w:val="none" w:sz="0" w:space="0" w:color="auto"/>
        <w:right w:val="none" w:sz="0" w:space="0" w:color="auto"/>
      </w:divBdr>
    </w:div>
    <w:div w:id="1165123828">
      <w:bodyDiv w:val="1"/>
      <w:marLeft w:val="0"/>
      <w:marRight w:val="0"/>
      <w:marTop w:val="0"/>
      <w:marBottom w:val="0"/>
      <w:divBdr>
        <w:top w:val="none" w:sz="0" w:space="0" w:color="auto"/>
        <w:left w:val="none" w:sz="0" w:space="0" w:color="auto"/>
        <w:bottom w:val="none" w:sz="0" w:space="0" w:color="auto"/>
        <w:right w:val="none" w:sz="0" w:space="0" w:color="auto"/>
      </w:divBdr>
    </w:div>
    <w:div w:id="1197889010">
      <w:bodyDiv w:val="1"/>
      <w:marLeft w:val="0"/>
      <w:marRight w:val="0"/>
      <w:marTop w:val="0"/>
      <w:marBottom w:val="0"/>
      <w:divBdr>
        <w:top w:val="none" w:sz="0" w:space="0" w:color="auto"/>
        <w:left w:val="none" w:sz="0" w:space="0" w:color="auto"/>
        <w:bottom w:val="none" w:sz="0" w:space="0" w:color="auto"/>
        <w:right w:val="none" w:sz="0" w:space="0" w:color="auto"/>
      </w:divBdr>
    </w:div>
    <w:div w:id="1311058596">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391732465">
      <w:bodyDiv w:val="1"/>
      <w:marLeft w:val="0"/>
      <w:marRight w:val="0"/>
      <w:marTop w:val="0"/>
      <w:marBottom w:val="0"/>
      <w:divBdr>
        <w:top w:val="none" w:sz="0" w:space="0" w:color="auto"/>
        <w:left w:val="none" w:sz="0" w:space="0" w:color="auto"/>
        <w:bottom w:val="none" w:sz="0" w:space="0" w:color="auto"/>
        <w:right w:val="none" w:sz="0" w:space="0" w:color="auto"/>
      </w:divBdr>
    </w:div>
    <w:div w:id="1415663530">
      <w:bodyDiv w:val="1"/>
      <w:marLeft w:val="0"/>
      <w:marRight w:val="0"/>
      <w:marTop w:val="0"/>
      <w:marBottom w:val="0"/>
      <w:divBdr>
        <w:top w:val="none" w:sz="0" w:space="0" w:color="auto"/>
        <w:left w:val="none" w:sz="0" w:space="0" w:color="auto"/>
        <w:bottom w:val="none" w:sz="0" w:space="0" w:color="auto"/>
        <w:right w:val="none" w:sz="0" w:space="0" w:color="auto"/>
      </w:divBdr>
    </w:div>
    <w:div w:id="1541361230">
      <w:bodyDiv w:val="1"/>
      <w:marLeft w:val="0"/>
      <w:marRight w:val="0"/>
      <w:marTop w:val="0"/>
      <w:marBottom w:val="0"/>
      <w:divBdr>
        <w:top w:val="none" w:sz="0" w:space="0" w:color="auto"/>
        <w:left w:val="none" w:sz="0" w:space="0" w:color="auto"/>
        <w:bottom w:val="none" w:sz="0" w:space="0" w:color="auto"/>
        <w:right w:val="none" w:sz="0" w:space="0" w:color="auto"/>
      </w:divBdr>
    </w:div>
    <w:div w:id="1736662881">
      <w:bodyDiv w:val="1"/>
      <w:marLeft w:val="0"/>
      <w:marRight w:val="0"/>
      <w:marTop w:val="0"/>
      <w:marBottom w:val="0"/>
      <w:divBdr>
        <w:top w:val="none" w:sz="0" w:space="0" w:color="auto"/>
        <w:left w:val="none" w:sz="0" w:space="0" w:color="auto"/>
        <w:bottom w:val="none" w:sz="0" w:space="0" w:color="auto"/>
        <w:right w:val="none" w:sz="0" w:space="0" w:color="auto"/>
      </w:divBdr>
    </w:div>
    <w:div w:id="1887255298">
      <w:bodyDiv w:val="1"/>
      <w:marLeft w:val="0"/>
      <w:marRight w:val="0"/>
      <w:marTop w:val="0"/>
      <w:marBottom w:val="0"/>
      <w:divBdr>
        <w:top w:val="none" w:sz="0" w:space="0" w:color="auto"/>
        <w:left w:val="none" w:sz="0" w:space="0" w:color="auto"/>
        <w:bottom w:val="none" w:sz="0" w:space="0" w:color="auto"/>
        <w:right w:val="none" w:sz="0" w:space="0" w:color="auto"/>
      </w:divBdr>
    </w:div>
    <w:div w:id="1912079058">
      <w:bodyDiv w:val="1"/>
      <w:marLeft w:val="0"/>
      <w:marRight w:val="0"/>
      <w:marTop w:val="0"/>
      <w:marBottom w:val="0"/>
      <w:divBdr>
        <w:top w:val="none" w:sz="0" w:space="0" w:color="auto"/>
        <w:left w:val="none" w:sz="0" w:space="0" w:color="auto"/>
        <w:bottom w:val="none" w:sz="0" w:space="0" w:color="auto"/>
        <w:right w:val="none" w:sz="0" w:space="0" w:color="auto"/>
      </w:divBdr>
    </w:div>
    <w:div w:id="2025472779">
      <w:bodyDiv w:val="1"/>
      <w:marLeft w:val="0"/>
      <w:marRight w:val="0"/>
      <w:marTop w:val="0"/>
      <w:marBottom w:val="0"/>
      <w:divBdr>
        <w:top w:val="none" w:sz="0" w:space="0" w:color="auto"/>
        <w:left w:val="none" w:sz="0" w:space="0" w:color="auto"/>
        <w:bottom w:val="none" w:sz="0" w:space="0" w:color="auto"/>
        <w:right w:val="none" w:sz="0" w:space="0" w:color="auto"/>
      </w:divBdr>
    </w:div>
    <w:div w:id="2049840325">
      <w:bodyDiv w:val="1"/>
      <w:marLeft w:val="0"/>
      <w:marRight w:val="0"/>
      <w:marTop w:val="0"/>
      <w:marBottom w:val="0"/>
      <w:divBdr>
        <w:top w:val="none" w:sz="0" w:space="0" w:color="auto"/>
        <w:left w:val="none" w:sz="0" w:space="0" w:color="auto"/>
        <w:bottom w:val="none" w:sz="0" w:space="0" w:color="auto"/>
        <w:right w:val="none" w:sz="0" w:space="0" w:color="auto"/>
      </w:divBdr>
    </w:div>
    <w:div w:id="2106463434">
      <w:bodyDiv w:val="1"/>
      <w:marLeft w:val="0"/>
      <w:marRight w:val="0"/>
      <w:marTop w:val="0"/>
      <w:marBottom w:val="0"/>
      <w:divBdr>
        <w:top w:val="none" w:sz="0" w:space="0" w:color="auto"/>
        <w:left w:val="none" w:sz="0" w:space="0" w:color="auto"/>
        <w:bottom w:val="none" w:sz="0" w:space="0" w:color="auto"/>
        <w:right w:val="none" w:sz="0" w:space="0" w:color="auto"/>
      </w:divBdr>
    </w:div>
    <w:div w:id="212723714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46620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media/image2.jpeg" Type="http://schemas.openxmlformats.org/officeDocument/2006/relationships/image"/>
<Relationship Id="rId13" Target="footer2.xml" Type="http://schemas.openxmlformats.org/officeDocument/2006/relationships/foot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7A78F-54B7-45A2-9BB7-D03F314B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abc季报.dot</Template>
  <TotalTime>71</TotalTime>
  <Pages>30</Pages>
  <Words>4542</Words>
  <Characters>25891</Characters>
  <Application>Microsoft Office Word</Application>
  <DocSecurity>0</DocSecurity>
  <Lines>215</Lines>
  <Paragraphs>60</Paragraphs>
  <ScaleCrop>false</ScaleCrop>
  <Company>TRT. Ltd. Co.</Company>
  <LinksUpToDate>false</LinksUpToDate>
  <CharactersWithSpaces>30373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2014-12-16T08:49:00Z</dcterms:created>
  <dc:creator>bonnieliu</dc:creator>
  <cp:lastModifiedBy>sirong han</cp:lastModifiedBy>
  <cp:lastPrinted>2007-07-19T00:46:00Z</cp:lastPrinted>
  <dcterms:modified xsi:type="dcterms:W3CDTF">2020-07-09T03:00:00Z</dcterms:modified>
  <cp:revision>54</cp:revision>
</cp:coreProperties>
</file>