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易方达沪深300交易型开放式指数发起式证券投资基金联接基金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中国建设银行股份有限公司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易方达沪深300ETF发起式联接</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110020</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2009年8月26日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3,824,123,791.72</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紧密跟踪业绩比较基准，追求跟踪偏离度及跟踪误差的最小化。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本基金主要通过投资于目标ETF实现对业绩比较基准的紧密跟踪，本基金投资于目标ETF 的比例不低于基金资产净值的90%。在综合考虑合规、风险、效率、成本等因素的基础上，本基金决定采用申赎的方式或证券二级市场交易的方式进行目标ETF 的买卖。本基金还可适度参与目标ETF 基金份额交易和申购、赎回之间的套利，以增强基金收益。在正常市场情况下，力争将年化跟踪误差控制在4%以内。如因标的指数编制规则调整或其他因素导致跟踪误差超过上述范围，基金管理人应采取合理措施避免跟踪误差进一步扩大。</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沪深300指数收益率X95%+活期存款利率(税后)X5%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本基金为沪深300ETF的联接基金，其预期风险收益水平高于混合型基金、债券基金和货币市场基金；本基金主要通过投资沪深300ETF实现对业绩比较基准的紧密跟踪，具有与业绩比较基准相似的风险收益特征。</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中国建设银行股份有限公司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易方达沪深300ETF发起式联接A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易方达沪深300ETF发起式联接C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110020</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007339</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3,355,758,702.45</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468,365,089.27</w:t>
            </w:r>
            <w:r w:rsidR="00D305C9" w:rsidRPr="00B34368">
              <w:rPr>
                <w:rFonts w:eastAsiaTheme="minorEastAsia" w:hAnsiTheme="minorEastAsia"/>
                <w:color w:themeColor="text1" w:val="000000"/>
                <w:kern w:val="0"/>
                <w:sz w:val="24"/>
              </w:rPr>
              <w:t>份</w:t>
            </w:r>
          </w:p>
        </w:tc>
      </w:tr>
    </w:tbl>
    <w:p w:rsidP="00B34368" w:rsidR="002C32ED" w:rsidRDefault="00A6200E"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注：自2019年4月25日起，本基金增设C类份额类别，份额首次确认日为2019年4月26日。</w:t>
      </w:r>
    </w:p>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易方达沪深300交易型开放式指数发起式证券投资基金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510310</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交易型开放式（ETF）、发起式</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2013年3月6日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2013年3月25日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中国建设银行股份有限公司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紧密跟踪标的指数，追求跟踪偏离度和跟踪误差的最小化。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本基金可投资股指期货和其他经中国证监会允许的衍生金融产品。本基金投资股指期货将根据风险管理的原则，以套期保值为目的，主要选择流动性好、交易活跃的股指期货合约。在正常市场情况下，本基金日均跟踪偏离度的绝对值不超过0.2%，年化跟踪误差不超过2%。</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沪深300指数</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易方达沪深300ETF发起式联接A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易方达沪深300ETF发起式联接C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156,477,957.75</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18,939,741.72</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679,435,054.93</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84,355,376.13</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0.1688</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0.1660</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4,916,322,840.86</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684,530,368.44</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1.4650</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1.4615</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易方达沪深300ETF发起式联接A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13.31%</w:t>
            </w:r>
          </w:p>
        </w:tc>
        <w:tc>
          <w:tcPr>
            <w:vAlign w:val="center"/>
          </w:tcPr>
          <w:p>
            <w:pPr>
              <w:jc w:val="right"/>
            </w:pPr>
            <w:r>
              <w:rPr>
                <w:rFonts w:eastAsiaTheme="minorEastAsia"/>
                <w:color w:themeColor="text1" w:val="000000"/>
                <w:sz w:val="24"/>
              </w:rPr>
              <w:t>0.85%</w:t>
            </w:r>
          </w:p>
        </w:tc>
        <w:tc>
          <w:tcPr>
            <w:vAlign w:val="center"/>
          </w:tcPr>
          <w:p>
            <w:pPr>
              <w:jc w:val="right"/>
            </w:pPr>
            <w:r>
              <w:rPr>
                <w:rFonts w:eastAsiaTheme="minorEastAsia"/>
                <w:color w:themeColor="text1" w:val="000000"/>
                <w:sz w:val="24"/>
              </w:rPr>
              <w:t>12.29%</w:t>
            </w:r>
          </w:p>
        </w:tc>
        <w:tc>
          <w:tcPr>
            <w:vAlign w:val="center"/>
          </w:tcPr>
          <w:p>
            <w:pPr>
              <w:jc w:val="right"/>
            </w:pPr>
            <w:r>
              <w:rPr>
                <w:rFonts w:eastAsiaTheme="minorEastAsia"/>
                <w:color w:themeColor="text1" w:val="000000"/>
                <w:sz w:val="24"/>
              </w:rPr>
              <w:t>0.85%</w:t>
            </w:r>
          </w:p>
        </w:tc>
        <w:tc>
          <w:tcPr>
            <w:vAlign w:val="center"/>
          </w:tcPr>
          <w:p>
            <w:pPr>
              <w:jc w:val="right"/>
            </w:pPr>
            <w:r>
              <w:rPr>
                <w:rFonts w:eastAsiaTheme="minorEastAsia"/>
                <w:color w:themeColor="text1" w:val="000000"/>
                <w:sz w:val="24"/>
              </w:rPr>
              <w:t>1.02%</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2.87%</w:t>
            </w:r>
          </w:p>
        </w:tc>
        <w:tc>
          <w:tcPr>
            <w:vAlign w:val="center"/>
          </w:tcPr>
          <w:p>
            <w:pPr>
              <w:jc w:val="right"/>
            </w:pPr>
            <w:r>
              <w:rPr>
                <w:rFonts w:eastAsiaTheme="minorEastAsia"/>
                <w:color w:themeColor="text1" w:val="000000"/>
                <w:sz w:val="24"/>
              </w:rPr>
              <w:t>1.43%</w:t>
            </w:r>
          </w:p>
        </w:tc>
        <w:tc>
          <w:tcPr>
            <w:vAlign w:val="center"/>
          </w:tcPr>
          <w:p>
            <w:pPr>
              <w:jc w:val="right"/>
            </w:pPr>
            <w:r>
              <w:rPr>
                <w:rFonts w:eastAsiaTheme="minorEastAsia"/>
                <w:color w:themeColor="text1" w:val="000000"/>
                <w:sz w:val="24"/>
              </w:rPr>
              <w:t>1.64%</w:t>
            </w:r>
          </w:p>
        </w:tc>
        <w:tc>
          <w:tcPr>
            <w:vAlign w:val="center"/>
          </w:tcPr>
          <w:p>
            <w:pPr>
              <w:jc w:val="right"/>
            </w:pPr>
            <w:r>
              <w:rPr>
                <w:rFonts w:eastAsiaTheme="minorEastAsia"/>
                <w:color w:themeColor="text1" w:val="000000"/>
                <w:sz w:val="24"/>
              </w:rPr>
              <w:t>1.45%</w:t>
            </w:r>
          </w:p>
        </w:tc>
        <w:tc>
          <w:tcPr>
            <w:vAlign w:val="center"/>
          </w:tcPr>
          <w:p>
            <w:pPr>
              <w:jc w:val="right"/>
            </w:pPr>
            <w:r>
              <w:rPr>
                <w:rFonts w:eastAsiaTheme="minorEastAsia"/>
                <w:color w:themeColor="text1" w:val="000000"/>
                <w:sz w:val="24"/>
              </w:rPr>
              <w:t>1.23%</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10.68%</w:t>
            </w:r>
          </w:p>
        </w:tc>
        <w:tc>
          <w:tcPr>
            <w:vAlign w:val="center"/>
          </w:tcPr>
          <w:p>
            <w:pPr>
              <w:jc w:val="right"/>
            </w:pPr>
            <w:r>
              <w:rPr>
                <w:rFonts w:eastAsiaTheme="minorEastAsia"/>
                <w:color w:themeColor="text1" w:val="000000"/>
                <w:sz w:val="24"/>
              </w:rPr>
              <w:t>1.15%</w:t>
            </w:r>
          </w:p>
        </w:tc>
        <w:tc>
          <w:tcPr>
            <w:vAlign w:val="center"/>
          </w:tcPr>
          <w:p>
            <w:pPr>
              <w:jc w:val="right"/>
            </w:pPr>
            <w:r>
              <w:rPr>
                <w:rFonts w:eastAsiaTheme="minorEastAsia"/>
                <w:color w:themeColor="text1" w:val="000000"/>
                <w:sz w:val="24"/>
              </w:rPr>
              <w:t>8.50%</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2.18%</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19.78%</w:t>
            </w:r>
          </w:p>
        </w:tc>
        <w:tc>
          <w:tcPr>
            <w:vAlign w:val="center"/>
          </w:tcPr>
          <w:p>
            <w:pPr>
              <w:jc w:val="right"/>
            </w:pPr>
            <w:r>
              <w:rPr>
                <w:rFonts w:eastAsiaTheme="minorEastAsia"/>
                <w:color w:themeColor="text1" w:val="000000"/>
                <w:sz w:val="24"/>
              </w:rPr>
              <w:t>1.18%</w:t>
            </w:r>
          </w:p>
        </w:tc>
        <w:tc>
          <w:tcPr>
            <w:vAlign w:val="center"/>
          </w:tcPr>
          <w:p>
            <w:pPr>
              <w:jc w:val="right"/>
            </w:pPr>
            <w:r>
              <w:rPr>
                <w:rFonts w:eastAsiaTheme="minorEastAsia"/>
                <w:color w:themeColor="text1" w:val="000000"/>
                <w:sz w:val="24"/>
              </w:rPr>
              <w:t>13.21%</w:t>
            </w:r>
          </w:p>
        </w:tc>
        <w:tc>
          <w:tcPr>
            <w:vAlign w:val="center"/>
          </w:tcPr>
          <w:p>
            <w:pPr>
              <w:jc w:val="right"/>
            </w:pPr>
            <w:r>
              <w:rPr>
                <w:rFonts w:eastAsiaTheme="minorEastAsia"/>
                <w:color w:themeColor="text1" w:val="000000"/>
                <w:sz w:val="24"/>
              </w:rPr>
              <w:t>1.19%</w:t>
            </w:r>
          </w:p>
        </w:tc>
        <w:tc>
          <w:tcPr>
            <w:vAlign w:val="center"/>
          </w:tcPr>
          <w:p>
            <w:pPr>
              <w:jc w:val="right"/>
            </w:pPr>
            <w:r>
              <w:rPr>
                <w:rFonts w:eastAsiaTheme="minorEastAsia"/>
                <w:color w:themeColor="text1" w:val="000000"/>
                <w:sz w:val="24"/>
              </w:rPr>
              <w:t>6.57%</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4.76%</w:t>
            </w:r>
          </w:p>
        </w:tc>
        <w:tc>
          <w:tcPr>
            <w:vAlign w:val="center"/>
          </w:tcPr>
          <w:p>
            <w:pPr>
              <w:jc w:val="right"/>
            </w:pPr>
            <w:r>
              <w:rPr>
                <w:rFonts w:eastAsiaTheme="minorEastAsia"/>
                <w:color w:themeColor="text1" w:val="000000"/>
                <w:sz w:val="24"/>
              </w:rPr>
              <w:t>1.35%</w:t>
            </w:r>
          </w:p>
        </w:tc>
        <w:tc>
          <w:tcPr>
            <w:vAlign w:val="center"/>
          </w:tcPr>
          <w:p>
            <w:pPr>
              <w:jc w:val="right"/>
            </w:pPr>
            <w:r>
              <w:rPr>
                <w:rFonts w:eastAsiaTheme="minorEastAsia"/>
                <w:color w:themeColor="text1" w:val="000000"/>
                <w:sz w:val="24"/>
              </w:rPr>
              <w:t>-5.91%</w:t>
            </w:r>
          </w:p>
        </w:tc>
        <w:tc>
          <w:tcPr>
            <w:vAlign w:val="center"/>
          </w:tcPr>
          <w:p>
            <w:pPr>
              <w:jc w:val="right"/>
            </w:pPr>
            <w:r>
              <w:rPr>
                <w:rFonts w:eastAsiaTheme="minorEastAsia"/>
                <w:color w:themeColor="text1" w:val="000000"/>
                <w:sz w:val="24"/>
              </w:rPr>
              <w:t>1.37%</w:t>
            </w:r>
          </w:p>
        </w:tc>
        <w:tc>
          <w:tcPr>
            <w:vAlign w:val="center"/>
          </w:tcPr>
          <w:p>
            <w:pPr>
              <w:jc w:val="right"/>
            </w:pPr>
            <w:r>
              <w:rPr>
                <w:rFonts w:eastAsiaTheme="minorEastAsia"/>
                <w:color w:themeColor="text1" w:val="000000"/>
                <w:sz w:val="24"/>
              </w:rPr>
              <w:t>10.67%</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46.50%</w:t>
            </w:r>
          </w:p>
        </w:tc>
        <w:tc>
          <w:tcPr>
            <w:vAlign w:val="center"/>
          </w:tcPr>
          <w:p>
            <w:pPr>
              <w:jc w:val="right"/>
            </w:pPr>
            <w:r>
              <w:rPr>
                <w:rFonts w:eastAsiaTheme="minorEastAsia"/>
                <w:color w:themeColor="text1" w:val="000000"/>
                <w:sz w:val="24"/>
              </w:rPr>
              <w:t>1.36%</w:t>
            </w:r>
          </w:p>
        </w:tc>
        <w:tc>
          <w:tcPr>
            <w:vAlign w:val="center"/>
          </w:tcPr>
          <w:p>
            <w:pPr>
              <w:jc w:val="right"/>
            </w:pPr>
            <w:r>
              <w:rPr>
                <w:rFonts w:eastAsiaTheme="minorEastAsia"/>
                <w:color w:themeColor="text1" w:val="000000"/>
                <w:sz w:val="24"/>
              </w:rPr>
              <w:t>34.07%</w:t>
            </w:r>
          </w:p>
        </w:tc>
        <w:tc>
          <w:tcPr>
            <w:vAlign w:val="center"/>
          </w:tcPr>
          <w:p>
            <w:pPr>
              <w:jc w:val="right"/>
            </w:pPr>
            <w:r>
              <w:rPr>
                <w:rFonts w:eastAsiaTheme="minorEastAsia"/>
                <w:color w:themeColor="text1" w:val="000000"/>
                <w:sz w:val="24"/>
              </w:rPr>
              <w:t>1.40%</w:t>
            </w:r>
          </w:p>
        </w:tc>
        <w:tc>
          <w:tcPr>
            <w:vAlign w:val="center"/>
          </w:tcPr>
          <w:p>
            <w:pPr>
              <w:jc w:val="right"/>
            </w:pPr>
            <w:r>
              <w:rPr>
                <w:rFonts w:eastAsiaTheme="minorEastAsia"/>
                <w:color w:themeColor="text1" w:val="000000"/>
                <w:sz w:val="24"/>
              </w:rPr>
              <w:t>12.43%</w:t>
            </w:r>
          </w:p>
        </w:tc>
        <w:tc>
          <w:tcPr>
            <w:vAlign w:val="center"/>
          </w:tcPr>
          <w:p>
            <w:pPr>
              <w:jc w:val="right"/>
            </w:pPr>
            <w:r>
              <w:rPr>
                <w:rFonts w:eastAsiaTheme="minorEastAsia"/>
                <w:color w:themeColor="text1" w:val="000000"/>
                <w:sz w:val="24"/>
              </w:rPr>
              <w:t>-0.04%</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易方达沪深300ETF发起式联接C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13.26%</w:t>
            </w:r>
          </w:p>
        </w:tc>
        <w:tc>
          <w:tcPr>
            <w:vAlign w:val="center"/>
          </w:tcPr>
          <w:p>
            <w:pPr>
              <w:jc w:val="right"/>
            </w:pPr>
            <w:r>
              <w:rPr>
                <w:rFonts w:eastAsiaTheme="minorEastAsia"/>
                <w:color w:themeColor="text1" w:val="000000"/>
                <w:sz w:val="24"/>
              </w:rPr>
              <w:t>0.85%</w:t>
            </w:r>
          </w:p>
        </w:tc>
        <w:tc>
          <w:tcPr>
            <w:vAlign w:val="center"/>
          </w:tcPr>
          <w:p>
            <w:pPr>
              <w:jc w:val="right"/>
            </w:pPr>
            <w:r>
              <w:rPr>
                <w:rFonts w:eastAsiaTheme="minorEastAsia"/>
                <w:color w:themeColor="text1" w:val="000000"/>
                <w:sz w:val="24"/>
              </w:rPr>
              <w:t>12.29%</w:t>
            </w:r>
          </w:p>
        </w:tc>
        <w:tc>
          <w:tcPr>
            <w:vAlign w:val="center"/>
          </w:tcPr>
          <w:p>
            <w:pPr>
              <w:jc w:val="right"/>
            </w:pPr>
            <w:r>
              <w:rPr>
                <w:rFonts w:eastAsiaTheme="minorEastAsia"/>
                <w:color w:themeColor="text1" w:val="000000"/>
                <w:sz w:val="24"/>
              </w:rPr>
              <w:t>0.85%</w:t>
            </w:r>
          </w:p>
        </w:tc>
        <w:tc>
          <w:tcPr>
            <w:vAlign w:val="center"/>
          </w:tcPr>
          <w:p>
            <w:pPr>
              <w:jc w:val="right"/>
            </w:pPr>
            <w:r>
              <w:rPr>
                <w:rFonts w:eastAsiaTheme="minorEastAsia"/>
                <w:color w:themeColor="text1" w:val="000000"/>
                <w:sz w:val="24"/>
              </w:rPr>
              <w:t>0.97%</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2.76%</w:t>
            </w:r>
          </w:p>
        </w:tc>
        <w:tc>
          <w:tcPr>
            <w:vAlign w:val="center"/>
          </w:tcPr>
          <w:p>
            <w:pPr>
              <w:jc w:val="right"/>
            </w:pPr>
            <w:r>
              <w:rPr>
                <w:rFonts w:eastAsiaTheme="minorEastAsia"/>
                <w:color w:themeColor="text1" w:val="000000"/>
                <w:sz w:val="24"/>
              </w:rPr>
              <w:t>1.43%</w:t>
            </w:r>
          </w:p>
        </w:tc>
        <w:tc>
          <w:tcPr>
            <w:vAlign w:val="center"/>
          </w:tcPr>
          <w:p>
            <w:pPr>
              <w:jc w:val="right"/>
            </w:pPr>
            <w:r>
              <w:rPr>
                <w:rFonts w:eastAsiaTheme="minorEastAsia"/>
                <w:color w:themeColor="text1" w:val="000000"/>
                <w:sz w:val="24"/>
              </w:rPr>
              <w:t>1.64%</w:t>
            </w:r>
          </w:p>
        </w:tc>
        <w:tc>
          <w:tcPr>
            <w:vAlign w:val="center"/>
          </w:tcPr>
          <w:p>
            <w:pPr>
              <w:jc w:val="right"/>
            </w:pPr>
            <w:r>
              <w:rPr>
                <w:rFonts w:eastAsiaTheme="minorEastAsia"/>
                <w:color w:themeColor="text1" w:val="000000"/>
                <w:sz w:val="24"/>
              </w:rPr>
              <w:t>1.45%</w:t>
            </w:r>
          </w:p>
        </w:tc>
        <w:tc>
          <w:tcPr>
            <w:vAlign w:val="center"/>
          </w:tcPr>
          <w:p>
            <w:pPr>
              <w:jc w:val="right"/>
            </w:pPr>
            <w:r>
              <w:rPr>
                <w:rFonts w:eastAsiaTheme="minorEastAsia"/>
                <w:color w:themeColor="text1" w:val="000000"/>
                <w:sz w:val="24"/>
              </w:rPr>
              <w:t>1.12%</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10.48%</w:t>
            </w:r>
          </w:p>
        </w:tc>
        <w:tc>
          <w:tcPr>
            <w:vAlign w:val="center"/>
          </w:tcPr>
          <w:p>
            <w:pPr>
              <w:jc w:val="right"/>
            </w:pPr>
            <w:r>
              <w:rPr>
                <w:rFonts w:eastAsiaTheme="minorEastAsia"/>
                <w:color w:themeColor="text1" w:val="000000"/>
                <w:sz w:val="24"/>
              </w:rPr>
              <w:t>1.15%</w:t>
            </w:r>
          </w:p>
        </w:tc>
        <w:tc>
          <w:tcPr>
            <w:vAlign w:val="center"/>
          </w:tcPr>
          <w:p>
            <w:pPr>
              <w:jc w:val="right"/>
            </w:pPr>
            <w:r>
              <w:rPr>
                <w:rFonts w:eastAsiaTheme="minorEastAsia"/>
                <w:color w:themeColor="text1" w:val="000000"/>
                <w:sz w:val="24"/>
              </w:rPr>
              <w:t>8.50%</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1.98%</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8.49%</w:t>
            </w:r>
          </w:p>
        </w:tc>
        <w:tc>
          <w:tcPr>
            <w:vAlign w:val="center"/>
          </w:tcPr>
          <w:p>
            <w:pPr>
              <w:jc w:val="right"/>
            </w:pPr>
            <w:r>
              <w:rPr>
                <w:rFonts w:eastAsiaTheme="minorEastAsia"/>
                <w:color w:themeColor="text1" w:val="000000"/>
                <w:sz w:val="24"/>
              </w:rPr>
              <w:t>1.20%</w:t>
            </w:r>
          </w:p>
        </w:tc>
        <w:tc>
          <w:tcPr>
            <w:vAlign w:val="center"/>
          </w:tcPr>
          <w:p>
            <w:pPr>
              <w:jc w:val="right"/>
            </w:pPr>
            <w:r>
              <w:rPr>
                <w:rFonts w:eastAsiaTheme="minorEastAsia"/>
                <w:color w:themeColor="text1" w:val="000000"/>
                <w:sz w:val="24"/>
              </w:rPr>
              <w:t>5.49%</w:t>
            </w:r>
          </w:p>
        </w:tc>
        <w:tc>
          <w:tcPr>
            <w:vAlign w:val="center"/>
          </w:tcPr>
          <w:p>
            <w:pPr>
              <w:jc w:val="right"/>
            </w:pPr>
            <w:r>
              <w:rPr>
                <w:rFonts w:eastAsiaTheme="minorEastAsia"/>
                <w:color w:themeColor="text1" w:val="000000"/>
                <w:sz w:val="24"/>
              </w:rPr>
              <w:t>1.22%</w:t>
            </w:r>
          </w:p>
        </w:tc>
        <w:tc>
          <w:tcPr>
            <w:vAlign w:val="center"/>
          </w:tcPr>
          <w:p>
            <w:pPr>
              <w:jc w:val="right"/>
            </w:pPr>
            <w:r>
              <w:rPr>
                <w:rFonts w:eastAsiaTheme="minorEastAsia"/>
                <w:color w:themeColor="text1" w:val="000000"/>
                <w:sz w:val="24"/>
              </w:rPr>
              <w:t>3.00%</w:t>
            </w:r>
          </w:p>
        </w:tc>
        <w:tc>
          <w:tcPr>
            <w:vAlign w:val="center"/>
          </w:tcPr>
          <w:p>
            <w:pPr>
              <w:jc w:val="right"/>
            </w:pPr>
            <w:r>
              <w:rPr>
                <w:rFonts w:eastAsiaTheme="minorEastAsia"/>
                <w:color w:themeColor="text1" w:val="000000"/>
                <w:sz w:val="24"/>
              </w:rPr>
              <w:t>-0.02%</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易方达沪深300交易型开放式指数发起式证券投资基金联接基金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易方达沪深300ETF发起式联接A</w:t>
      </w:r>
      <w:r w:rsidR="009238DB"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（2009年8月26日至2020年6月30日）</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易方达沪深300ETF发起式联接C</w:t>
      </w:r>
      <w:r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（2019年4月26日至2020年6月30日）</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注：1.自2019年4月25日起，本基金增设C类份额类别，份额首次确认日为2019年4月26日，增设当期的相关数据和指标按实际存续期计算。</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 xml:space="preserve">2.自基金合同生效至报告期末，A类基金份额净值增长率为46.50%，同期业绩比较基准收益率为34.07%。C类基金份额净值增长率为8.49%，同期业绩比较基准收益率为5.49%。 </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沪深300交易型开放式指数发起式证券投资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的基金经理、易方达黄金交易型开放式证券投资基金的基金经理、易方达恒生中国企业交易型开放式指数证券投资基金联接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2016-04-16</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沪深300ETF的联接基金，主要投资于沪深300ETF。报告期内本基金为正常运作期，在操作中，我们严格遵守基金合同，依据基金申购赎回变动的情况进行日常操作，控制跟踪误差和跟踪偏离度在较低水平上。</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截至报告期末，本基金A类基金份额净值为1.4650元，本报告期份额净值增长率为13.31%，同期业绩比较基准收益率为12.29%；C类基金份额净值为1.4615元，本报告期份额净值增长率为13.26%，同期业绩比较基准收益率为12.29%。</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报告期内本基金日跟踪偏离度的均值为0.03%，年化跟踪误差为0.594%，各项指标均在合同规定的目标控制范围之内。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109,718,823.07</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1.95</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109,718,823.07</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1.95</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5,189,954,551.61</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92.01</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99,591,700.00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1.77</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99,591,700.00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1.77</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198,722,268.47</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3.52</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42,728,315.73</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0.76</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5,640,715,658.88</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易方达沪深300交易型开放式指数发起式证券投资基金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交易型开放式（ETF）、发起式</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5,189,954,551.61</w:t>
            </w:r>
          </w:p>
        </w:tc>
        <w:tc>
          <w:tcPr>
            <w:vAlign w:val="center"/>
          </w:tcPr>
          <w:p>
            <w:pPr>
              <w:jc w:val="right"/>
            </w:pPr>
            <w:r>
              <w:rPr>
                <w:rFonts w:eastAsiaTheme="minorEastAsia"/>
                <w:color w:themeColor="text1" w:val="000000"/>
                <w:sz w:val="24"/>
              </w:rPr>
              <w:t>92.66</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3135"/>
        <w:gridCol w:w="1365"/>
      </w:tblGrid>
      <w:tr w:rsidR="00D3639B" w:rsidRPr="00B34368" w:rsidTr="004E70B7">
        <w:trPr>
          <w:trHeight w:val="390"/>
        </w:trPr>
        <w:tc>
          <w:tcPr>
            <w:tcW w:type="dxa" w:w="540"/>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代码</w:t>
            </w:r>
            <w:r w:rsidR="00FA0527" w:rsidRPr="00B34368">
              <w:rPr>
                <w:rFonts w:eastAsiaTheme="minorEastAsia"/>
                <w:color w:themeColor="text1" w:val="000000"/>
                <w:sz w:val="24"/>
              </w:rPr>
              <w:t/>
            </w:r>
            <w:proofErr w:type="spellStart"/>
            <w:r w:rsidR="00FA0527" w:rsidRPr="00B34368">
              <w:rPr>
                <w:rFonts w:eastAsiaTheme="minorEastAsia"/>
                <w:color w:themeColor="text1" w:val="000000"/>
                <w:sz w:val="24"/>
              </w:rPr>
              <w:t/>
            </w:r>
            <w:proofErr w:type="spellEnd"/>
            <w:r w:rsidR="00FA0527" w:rsidRPr="00B34368">
              <w:rPr>
                <w:rFonts w:eastAsiaTheme="minorEastAsia"/>
                <w:color w:themeColor="text1" w:val="000000"/>
                <w:sz w:val="24"/>
              </w:rPr>
              <w:t/>
            </w:r>
          </w:p>
        </w:tc>
        <w:tc>
          <w:tcPr>
            <w:tcW w:type="dxa" w:w="3691"/>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行业类别</w:t>
            </w:r>
          </w:p>
        </w:tc>
        <w:tc>
          <w:tcPr>
            <w:tcW w:type="dxa" w:w="3135"/>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公允价值（元）</w:t>
            </w:r>
          </w:p>
        </w:tc>
        <w:tc>
          <w:tcPr>
            <w:tcW w:type="dxa" w:w="1365"/>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A</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农、林、牧、渔业</w:t>
            </w:r>
          </w:p>
        </w:tc>
        <w:tc>
          <w:tcPr>
            <w:tcW w:type="dxa" w:w="3135"/>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1,552,680.00</w:t>
            </w:r>
          </w:p>
        </w:tc>
        <w:tc>
          <w:tcPr>
            <w:tcW w:type="dxa" w:w="1365"/>
            <w:tcMar>
              <w:top w:type="dxa" w:w="15"/>
              <w:left w:type="dxa" w:w="15"/>
              <w:bottom w:type="dxa" w:w="0"/>
              <w:right w:type="dxa" w:w="15"/>
            </w:tcMar>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0.03</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B</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采矿业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2,511,557.00</w:t>
            </w:r>
          </w:p>
          <w:p w:rsidP="00724F6D" w:rsidR="005F458B" w:rsidRDefault="005F458B" w:rsidRPr="00B34368">
            <w:pPr>
              <w:jc w:val="right"/>
              <w:rPr>
                <w:rFonts w:eastAsiaTheme="minorEastAsia"/>
                <w:color w:themeColor="text1" w:val="000000"/>
                <w:sz w:val="24"/>
              </w:rPr>
            </w:pP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0.04</w:t>
            </w:r>
          </w:p>
          <w:p w:rsidP="00724F6D" w:rsidR="005F458B" w:rsidRDefault="005F458B" w:rsidRPr="00B34368">
            <w:pPr>
              <w:jc w:val="right"/>
              <w:rPr>
                <w:rFonts w:eastAsiaTheme="minorEastAsia"/>
                <w:color w:themeColor="text1" w:val="000000"/>
                <w:sz w:val="24"/>
              </w:rPr>
            </w:pP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C</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制造业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50,375,287.65</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0.90</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D</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电力、热力、燃气及水生产和供应业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2,203,839.32</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0.04</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E</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建筑业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1,983,106.00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0.04</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F</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批发和零售业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982,211.00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0.02</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G</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交通运输、仓储和邮政业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8,469,545.12</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0.15</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H</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住宿和餐饮业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I</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信息传输、软件和信息技术服务业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4,967,776.98</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0.09</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J</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金融业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28,377,204.00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0.51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K</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房地产业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3,778,342.00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0.07</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L</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租赁和商务服务业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1,704,183.00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0.03</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M</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科学研究和技术服务业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763,140.00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N</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水利、环境和公共设施管理业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O</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居民服务、修理和其他服务业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P</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教育</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144,300.00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Q</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卫生和社会工作</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1,206,643.00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0.02</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R</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文化、体育和娱乐业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699,008.00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S</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综合</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109,718,823.07</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1.96</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1276"/>
        <w:gridCol w:w="1701"/>
        <w:gridCol w:w="1276"/>
        <w:gridCol w:w="1842"/>
        <w:gridCol w:w="1616"/>
      </w:tblGrid>
      <w:tr w:rsidR="00D3639B" w:rsidRPr="00B34368" w:rsidTr="00975D18">
        <w:tc>
          <w:tcPr>
            <w:tcW w:type="dxa" w:w="817"/>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701"/>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数量</w:t>
            </w:r>
            <w:r w:rsidRPr="00B34368">
              <w:rPr>
                <w:rFonts w:eastAsiaTheme="minorEastAsia"/>
                <w:color w:themeColor="text1" w:val="000000"/>
                <w:sz w:val="24"/>
              </w:rPr>
              <w:t>(</w:t>
            </w:r>
            <w:r w:rsidRPr="00B34368">
              <w:rPr>
                <w:rFonts w:eastAsiaTheme="minorEastAsia" w:hAnsiTheme="minorEastAsia"/>
                <w:color w:themeColor="text1" w:val="000000"/>
                <w:sz w:val="24"/>
              </w:rPr>
              <w:t>股</w:t>
            </w:r>
            <w:r w:rsidRPr="00B34368">
              <w:rPr>
                <w:rFonts w:eastAsiaTheme="minorEastAsia"/>
                <w:color w:themeColor="text1" w:val="000000"/>
                <w:sz w:val="24"/>
              </w:rPr>
              <w:t>)</w:t>
            </w:r>
          </w:p>
        </w:tc>
        <w:tc>
          <w:tcPr>
            <w:tcW w:type="dxa" w:w="1842"/>
            <w:vAlign w:val="center"/>
          </w:tcPr>
          <w:p w:rsidP="000871DB" w:rsidR="000871DB" w:rsidRDefault="000871DB" w:rsidRPr="00B34368">
            <w:pPr>
              <w:autoSpaceDE w:val="0"/>
              <w:autoSpaceDN w:val="0"/>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1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601816</w:t>
            </w:r>
          </w:p>
        </w:tc>
        <w:tc>
          <w:tcPr>
            <w:vAlign w:val="center"/>
          </w:tcPr>
          <w:p>
            <w:pPr>
              <w:jc w:val="center"/>
            </w:pPr>
            <w:r>
              <w:rPr>
                <w:rFonts w:eastAsiaTheme="minorEastAsia"/>
                <w:color w:themeColor="text1" w:val="000000"/>
                <w:sz w:val="24"/>
              </w:rPr>
              <w:t>京沪高铁</w:t>
            </w:r>
          </w:p>
        </w:tc>
        <w:tc>
          <w:tcPr>
            <w:vAlign w:val="center"/>
          </w:tcPr>
          <w:p>
            <w:pPr>
              <w:jc w:val="right"/>
            </w:pPr>
            <w:r>
              <w:rPr>
                <w:rFonts w:eastAsiaTheme="minorEastAsia"/>
                <w:color w:themeColor="text1" w:val="000000"/>
                <w:sz w:val="24"/>
              </w:rPr>
              <w:t>906,536</w:t>
            </w:r>
          </w:p>
        </w:tc>
        <w:tc>
          <w:tcPr>
            <w:vAlign w:val="center"/>
          </w:tcPr>
          <w:p>
            <w:pPr>
              <w:jc w:val="right"/>
            </w:pPr>
            <w:r>
              <w:rPr>
                <w:rFonts w:eastAsiaTheme="minorEastAsia"/>
                <w:color w:themeColor="text1" w:val="000000"/>
                <w:sz w:val="24"/>
              </w:rPr>
              <w:t>5,593,327.12</w:t>
            </w:r>
          </w:p>
        </w:tc>
        <w:tc>
          <w:tcPr>
            <w:vAlign w:val="center"/>
          </w:tcPr>
          <w:p>
            <w:pPr>
              <w:jc w:val="right"/>
            </w:pPr>
            <w:r>
              <w:rPr>
                <w:rFonts w:eastAsiaTheme="minorEastAsia"/>
                <w:color w:themeColor="text1" w:val="000000"/>
                <w:sz w:val="24"/>
              </w:rPr>
              <w:t>0.10</w:t>
            </w:r>
          </w:p>
        </w:tc>
      </w:tr>
      <w:tr>
        <w:tc>
          <w:tcPr>
            <w:vAlign w:val="center"/>
          </w:tcPr>
          <w:p>
            <w:pPr>
              <w:jc w:val="center"/>
            </w:pPr>
            <w:r>
              <w:rPr>
                <w:rFonts w:eastAsiaTheme="minorEastAsia"/>
                <w:color w:themeColor="text1" w:val="000000"/>
                <w:sz w:val="24"/>
              </w:rPr>
              <w:t>2</w:t>
            </w:r>
          </w:p>
        </w:tc>
        <w:tc>
          <w:tcPr>
            <w:vAlign w:val="center"/>
          </w:tcPr>
          <w:p>
            <w:pPr>
              <w:jc w:val="center"/>
            </w:pPr>
            <w:r>
              <w:rPr>
                <w:rFonts w:eastAsiaTheme="minorEastAsia"/>
                <w:color w:themeColor="text1" w:val="000000"/>
                <w:sz w:val="24"/>
              </w:rPr>
              <w:t>601318</w:t>
            </w:r>
          </w:p>
        </w:tc>
        <w:tc>
          <w:tcPr>
            <w:vAlign w:val="center"/>
          </w:tcPr>
          <w:p>
            <w:pPr>
              <w:jc w:val="center"/>
            </w:pPr>
            <w:r>
              <w:rPr>
                <w:rFonts w:eastAsiaTheme="minorEastAsia"/>
                <w:color w:themeColor="text1" w:val="000000"/>
                <w:sz w:val="24"/>
              </w:rPr>
              <w:t>中国平安</w:t>
            </w:r>
          </w:p>
        </w:tc>
        <w:tc>
          <w:tcPr>
            <w:vAlign w:val="center"/>
          </w:tcPr>
          <w:p>
            <w:pPr>
              <w:jc w:val="right"/>
            </w:pPr>
            <w:r>
              <w:rPr>
                <w:rFonts w:eastAsiaTheme="minorEastAsia"/>
                <w:color w:themeColor="text1" w:val="000000"/>
                <w:sz w:val="24"/>
              </w:rPr>
              <w:t>77,300</w:t>
            </w:r>
          </w:p>
        </w:tc>
        <w:tc>
          <w:tcPr>
            <w:vAlign w:val="center"/>
          </w:tcPr>
          <w:p>
            <w:pPr>
              <w:jc w:val="right"/>
            </w:pPr>
            <w:r>
              <w:rPr>
                <w:rFonts w:eastAsiaTheme="minorEastAsia"/>
                <w:color w:themeColor="text1" w:val="000000"/>
                <w:sz w:val="24"/>
              </w:rPr>
              <w:t>5,519,220.00</w:t>
            </w:r>
          </w:p>
        </w:tc>
        <w:tc>
          <w:tcPr>
            <w:vAlign w:val="center"/>
          </w:tcPr>
          <w:p>
            <w:pPr>
              <w:jc w:val="right"/>
            </w:pPr>
            <w:r>
              <w:rPr>
                <w:rFonts w:eastAsiaTheme="minorEastAsia"/>
                <w:color w:themeColor="text1" w:val="000000"/>
                <w:sz w:val="24"/>
              </w:rPr>
              <w:t>0.10</w:t>
            </w:r>
          </w:p>
        </w:tc>
      </w:tr>
      <w:tr>
        <w:tc>
          <w:tcPr>
            <w:vAlign w:val="center"/>
          </w:tcPr>
          <w:p>
            <w:pPr>
              <w:jc w:val="center"/>
            </w:pPr>
            <w:r>
              <w:rPr>
                <w:rFonts w:eastAsiaTheme="minorEastAsia"/>
                <w:color w:themeColor="text1" w:val="000000"/>
                <w:sz w:val="24"/>
              </w:rPr>
              <w:t>3</w:t>
            </w:r>
          </w:p>
        </w:tc>
        <w:tc>
          <w:tcPr>
            <w:vAlign w:val="center"/>
          </w:tcPr>
          <w:p>
            <w:pPr>
              <w:jc w:val="center"/>
            </w:pPr>
            <w:r>
              <w:rPr>
                <w:rFonts w:eastAsiaTheme="minorEastAsia"/>
                <w:color w:themeColor="text1" w:val="000000"/>
                <w:sz w:val="24"/>
              </w:rPr>
              <w:t>600519</w:t>
            </w:r>
          </w:p>
        </w:tc>
        <w:tc>
          <w:tcPr>
            <w:vAlign w:val="center"/>
          </w:tcPr>
          <w:p>
            <w:pPr>
              <w:jc w:val="center"/>
            </w:pPr>
            <w:r>
              <w:rPr>
                <w:rFonts w:eastAsiaTheme="minorEastAsia"/>
                <w:color w:themeColor="text1" w:val="000000"/>
                <w:sz w:val="24"/>
              </w:rPr>
              <w:t>贵州茅台</w:t>
            </w:r>
          </w:p>
        </w:tc>
        <w:tc>
          <w:tcPr>
            <w:vAlign w:val="center"/>
          </w:tcPr>
          <w:p>
            <w:pPr>
              <w:jc w:val="right"/>
            </w:pPr>
            <w:r>
              <w:rPr>
                <w:rFonts w:eastAsiaTheme="minorEastAsia"/>
                <w:color w:themeColor="text1" w:val="000000"/>
                <w:sz w:val="24"/>
              </w:rPr>
              <w:t>2,800</w:t>
            </w:r>
          </w:p>
        </w:tc>
        <w:tc>
          <w:tcPr>
            <w:vAlign w:val="center"/>
          </w:tcPr>
          <w:p>
            <w:pPr>
              <w:jc w:val="right"/>
            </w:pPr>
            <w:r>
              <w:rPr>
                <w:rFonts w:eastAsiaTheme="minorEastAsia"/>
                <w:color w:themeColor="text1" w:val="000000"/>
                <w:sz w:val="24"/>
              </w:rPr>
              <w:t>4,096,064.00</w:t>
            </w:r>
          </w:p>
        </w:tc>
        <w:tc>
          <w:tcPr>
            <w:vAlign w:val="center"/>
          </w:tcPr>
          <w:p>
            <w:pPr>
              <w:jc w:val="right"/>
            </w:pPr>
            <w:r>
              <w:rPr>
                <w:rFonts w:eastAsiaTheme="minorEastAsia"/>
                <w:color w:themeColor="text1" w:val="000000"/>
                <w:sz w:val="24"/>
              </w:rPr>
              <w:t>0.07</w:t>
            </w:r>
          </w:p>
        </w:tc>
      </w:tr>
      <w:tr>
        <w:tc>
          <w:tcPr>
            <w:vAlign w:val="center"/>
          </w:tcPr>
          <w:p>
            <w:pPr>
              <w:jc w:val="center"/>
            </w:pPr>
            <w:r>
              <w:rPr>
                <w:rFonts w:eastAsiaTheme="minorEastAsia"/>
                <w:color w:themeColor="text1" w:val="000000"/>
                <w:sz w:val="24"/>
              </w:rPr>
              <w:t>4</w:t>
            </w:r>
          </w:p>
        </w:tc>
        <w:tc>
          <w:tcPr>
            <w:vAlign w:val="center"/>
          </w:tcPr>
          <w:p>
            <w:pPr>
              <w:jc w:val="center"/>
            </w:pPr>
            <w:r>
              <w:rPr>
                <w:rFonts w:eastAsiaTheme="minorEastAsia"/>
                <w:color w:themeColor="text1" w:val="000000"/>
                <w:sz w:val="24"/>
              </w:rPr>
              <w:t>600276</w:t>
            </w:r>
          </w:p>
        </w:tc>
        <w:tc>
          <w:tcPr>
            <w:vAlign w:val="center"/>
          </w:tcPr>
          <w:p>
            <w:pPr>
              <w:jc w:val="center"/>
            </w:pPr>
            <w:r>
              <w:rPr>
                <w:rFonts w:eastAsiaTheme="minorEastAsia"/>
                <w:color w:themeColor="text1" w:val="000000"/>
                <w:sz w:val="24"/>
              </w:rPr>
              <w:t>恒瑞医药</w:t>
            </w:r>
          </w:p>
        </w:tc>
        <w:tc>
          <w:tcPr>
            <w:vAlign w:val="center"/>
          </w:tcPr>
          <w:p>
            <w:pPr>
              <w:jc w:val="right"/>
            </w:pPr>
            <w:r>
              <w:rPr>
                <w:rFonts w:eastAsiaTheme="minorEastAsia"/>
                <w:color w:themeColor="text1" w:val="000000"/>
                <w:sz w:val="24"/>
              </w:rPr>
              <w:t>26,800</w:t>
            </w:r>
          </w:p>
        </w:tc>
        <w:tc>
          <w:tcPr>
            <w:vAlign w:val="center"/>
          </w:tcPr>
          <w:p>
            <w:pPr>
              <w:jc w:val="right"/>
            </w:pPr>
            <w:r>
              <w:rPr>
                <w:rFonts w:eastAsiaTheme="minorEastAsia"/>
                <w:color w:themeColor="text1" w:val="000000"/>
                <w:sz w:val="24"/>
              </w:rPr>
              <w:t>2,473,640.00</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5</w:t>
            </w:r>
          </w:p>
        </w:tc>
        <w:tc>
          <w:tcPr>
            <w:vAlign w:val="center"/>
          </w:tcPr>
          <w:p>
            <w:pPr>
              <w:jc w:val="center"/>
            </w:pPr>
            <w:r>
              <w:rPr>
                <w:rFonts w:eastAsiaTheme="minorEastAsia"/>
                <w:color w:themeColor="text1" w:val="000000"/>
                <w:sz w:val="24"/>
              </w:rPr>
              <w:t>600036</w:t>
            </w:r>
          </w:p>
        </w:tc>
        <w:tc>
          <w:tcPr>
            <w:vAlign w:val="center"/>
          </w:tcPr>
          <w:p>
            <w:pPr>
              <w:jc w:val="center"/>
            </w:pPr>
            <w:r>
              <w:rPr>
                <w:rFonts w:eastAsiaTheme="minorEastAsia"/>
                <w:color w:themeColor="text1" w:val="000000"/>
                <w:sz w:val="24"/>
              </w:rPr>
              <w:t>招商银行</w:t>
            </w:r>
          </w:p>
        </w:tc>
        <w:tc>
          <w:tcPr>
            <w:vAlign w:val="center"/>
          </w:tcPr>
          <w:p>
            <w:pPr>
              <w:jc w:val="right"/>
            </w:pPr>
            <w:r>
              <w:rPr>
                <w:rFonts w:eastAsiaTheme="minorEastAsia"/>
                <w:color w:themeColor="text1" w:val="000000"/>
                <w:sz w:val="24"/>
              </w:rPr>
              <w:t>71,800</w:t>
            </w:r>
          </w:p>
        </w:tc>
        <w:tc>
          <w:tcPr>
            <w:vAlign w:val="center"/>
          </w:tcPr>
          <w:p>
            <w:pPr>
              <w:jc w:val="right"/>
            </w:pPr>
            <w:r>
              <w:rPr>
                <w:rFonts w:eastAsiaTheme="minorEastAsia"/>
                <w:color w:themeColor="text1" w:val="000000"/>
                <w:sz w:val="24"/>
              </w:rPr>
              <w:t>2,421,096.00</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6</w:t>
            </w:r>
          </w:p>
        </w:tc>
        <w:tc>
          <w:tcPr>
            <w:vAlign w:val="center"/>
          </w:tcPr>
          <w:p>
            <w:pPr>
              <w:jc w:val="center"/>
            </w:pPr>
            <w:r>
              <w:rPr>
                <w:rFonts w:eastAsiaTheme="minorEastAsia"/>
                <w:color w:themeColor="text1" w:val="000000"/>
                <w:sz w:val="24"/>
              </w:rPr>
              <w:t>000858</w:t>
            </w:r>
          </w:p>
        </w:tc>
        <w:tc>
          <w:tcPr>
            <w:vAlign w:val="center"/>
          </w:tcPr>
          <w:p>
            <w:pPr>
              <w:jc w:val="center"/>
            </w:pPr>
            <w:r>
              <w:rPr>
                <w:rFonts w:eastAsiaTheme="minorEastAsia"/>
                <w:color w:themeColor="text1" w:val="000000"/>
                <w:sz w:val="24"/>
              </w:rPr>
              <w:t>五粮液</w:t>
            </w:r>
          </w:p>
        </w:tc>
        <w:tc>
          <w:tcPr>
            <w:vAlign w:val="center"/>
          </w:tcPr>
          <w:p>
            <w:pPr>
              <w:jc w:val="right"/>
            </w:pPr>
            <w:r>
              <w:rPr>
                <w:rFonts w:eastAsiaTheme="minorEastAsia"/>
                <w:color w:themeColor="text1" w:val="000000"/>
                <w:sz w:val="24"/>
              </w:rPr>
              <w:t>13,700</w:t>
            </w:r>
          </w:p>
        </w:tc>
        <w:tc>
          <w:tcPr>
            <w:vAlign w:val="center"/>
          </w:tcPr>
          <w:p>
            <w:pPr>
              <w:jc w:val="right"/>
            </w:pPr>
            <w:r>
              <w:rPr>
                <w:rFonts w:eastAsiaTheme="minorEastAsia"/>
                <w:color w:themeColor="text1" w:val="000000"/>
                <w:sz w:val="24"/>
              </w:rPr>
              <w:t>2,344,344.00</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7</w:t>
            </w:r>
          </w:p>
        </w:tc>
        <w:tc>
          <w:tcPr>
            <w:vAlign w:val="center"/>
          </w:tcPr>
          <w:p>
            <w:pPr>
              <w:jc w:val="center"/>
            </w:pPr>
            <w:r>
              <w:rPr>
                <w:rFonts w:eastAsiaTheme="minorEastAsia"/>
                <w:color w:themeColor="text1" w:val="000000"/>
                <w:sz w:val="24"/>
              </w:rPr>
              <w:t>000333</w:t>
            </w:r>
          </w:p>
        </w:tc>
        <w:tc>
          <w:tcPr>
            <w:vAlign w:val="center"/>
          </w:tcPr>
          <w:p>
            <w:pPr>
              <w:jc w:val="center"/>
            </w:pPr>
            <w:r>
              <w:rPr>
                <w:rFonts w:eastAsiaTheme="minorEastAsia"/>
                <w:color w:themeColor="text1" w:val="000000"/>
                <w:sz w:val="24"/>
              </w:rPr>
              <w:t>美的集团</w:t>
            </w:r>
          </w:p>
        </w:tc>
        <w:tc>
          <w:tcPr>
            <w:vAlign w:val="center"/>
          </w:tcPr>
          <w:p>
            <w:pPr>
              <w:jc w:val="right"/>
            </w:pPr>
            <w:r>
              <w:rPr>
                <w:rFonts w:eastAsiaTheme="minorEastAsia"/>
                <w:color w:themeColor="text1" w:val="000000"/>
                <w:sz w:val="24"/>
              </w:rPr>
              <w:t>33,500</w:t>
            </w:r>
          </w:p>
        </w:tc>
        <w:tc>
          <w:tcPr>
            <w:vAlign w:val="center"/>
          </w:tcPr>
          <w:p>
            <w:pPr>
              <w:jc w:val="right"/>
            </w:pPr>
            <w:r>
              <w:rPr>
                <w:rFonts w:eastAsiaTheme="minorEastAsia"/>
                <w:color w:themeColor="text1" w:val="000000"/>
                <w:sz w:val="24"/>
              </w:rPr>
              <w:t>2,002,965.00</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8</w:t>
            </w:r>
          </w:p>
        </w:tc>
        <w:tc>
          <w:tcPr>
            <w:vAlign w:val="center"/>
          </w:tcPr>
          <w:p>
            <w:pPr>
              <w:jc w:val="center"/>
            </w:pPr>
            <w:r>
              <w:rPr>
                <w:rFonts w:eastAsiaTheme="minorEastAsia"/>
                <w:color w:themeColor="text1" w:val="000000"/>
                <w:sz w:val="24"/>
              </w:rPr>
              <w:t>000651</w:t>
            </w:r>
          </w:p>
        </w:tc>
        <w:tc>
          <w:tcPr>
            <w:vAlign w:val="center"/>
          </w:tcPr>
          <w:p>
            <w:pPr>
              <w:jc w:val="center"/>
            </w:pPr>
            <w:r>
              <w:rPr>
                <w:rFonts w:eastAsiaTheme="minorEastAsia"/>
                <w:color w:themeColor="text1" w:val="000000"/>
                <w:sz w:val="24"/>
              </w:rPr>
              <w:t>格力电器</w:t>
            </w:r>
          </w:p>
        </w:tc>
        <w:tc>
          <w:tcPr>
            <w:vAlign w:val="center"/>
          </w:tcPr>
          <w:p>
            <w:pPr>
              <w:jc w:val="right"/>
            </w:pPr>
            <w:r>
              <w:rPr>
                <w:rFonts w:eastAsiaTheme="minorEastAsia"/>
                <w:color w:themeColor="text1" w:val="000000"/>
                <w:sz w:val="24"/>
              </w:rPr>
              <w:t>33,200</w:t>
            </w:r>
          </w:p>
        </w:tc>
        <w:tc>
          <w:tcPr>
            <w:vAlign w:val="center"/>
          </w:tcPr>
          <w:p>
            <w:pPr>
              <w:jc w:val="right"/>
            </w:pPr>
            <w:r>
              <w:rPr>
                <w:rFonts w:eastAsiaTheme="minorEastAsia"/>
                <w:color w:themeColor="text1" w:val="000000"/>
                <w:sz w:val="24"/>
              </w:rPr>
              <w:t>1,878,124.00</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9</w:t>
            </w:r>
          </w:p>
        </w:tc>
        <w:tc>
          <w:tcPr>
            <w:vAlign w:val="center"/>
          </w:tcPr>
          <w:p>
            <w:pPr>
              <w:jc w:val="center"/>
            </w:pPr>
            <w:r>
              <w:rPr>
                <w:rFonts w:eastAsiaTheme="minorEastAsia"/>
                <w:color w:themeColor="text1" w:val="000000"/>
                <w:sz w:val="24"/>
              </w:rPr>
              <w:t>601166</w:t>
            </w:r>
          </w:p>
        </w:tc>
        <w:tc>
          <w:tcPr>
            <w:vAlign w:val="center"/>
          </w:tcPr>
          <w:p>
            <w:pPr>
              <w:jc w:val="center"/>
            </w:pPr>
            <w:r>
              <w:rPr>
                <w:rFonts w:eastAsiaTheme="minorEastAsia"/>
                <w:color w:themeColor="text1" w:val="000000"/>
                <w:sz w:val="24"/>
              </w:rPr>
              <w:t>兴业银行</w:t>
            </w:r>
          </w:p>
        </w:tc>
        <w:tc>
          <w:tcPr>
            <w:vAlign w:val="center"/>
          </w:tcPr>
          <w:p>
            <w:pPr>
              <w:jc w:val="right"/>
            </w:pPr>
            <w:r>
              <w:rPr>
                <w:rFonts w:eastAsiaTheme="minorEastAsia"/>
                <w:color w:themeColor="text1" w:val="000000"/>
                <w:sz w:val="24"/>
              </w:rPr>
              <w:t>102,000</w:t>
            </w:r>
          </w:p>
        </w:tc>
        <w:tc>
          <w:tcPr>
            <w:vAlign w:val="center"/>
          </w:tcPr>
          <w:p>
            <w:pPr>
              <w:jc w:val="right"/>
            </w:pPr>
            <w:r>
              <w:rPr>
                <w:rFonts w:eastAsiaTheme="minorEastAsia"/>
                <w:color w:themeColor="text1" w:val="000000"/>
                <w:sz w:val="24"/>
              </w:rPr>
              <w:t>1,609,560.00</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10</w:t>
            </w:r>
          </w:p>
        </w:tc>
        <w:tc>
          <w:tcPr>
            <w:vAlign w:val="center"/>
          </w:tcPr>
          <w:p>
            <w:pPr>
              <w:jc w:val="center"/>
            </w:pPr>
            <w:r>
              <w:rPr>
                <w:rFonts w:eastAsiaTheme="minorEastAsia"/>
                <w:color w:themeColor="text1" w:val="000000"/>
                <w:sz w:val="24"/>
              </w:rPr>
              <w:t>002475</w:t>
            </w:r>
          </w:p>
        </w:tc>
        <w:tc>
          <w:tcPr>
            <w:vAlign w:val="center"/>
          </w:tcPr>
          <w:p>
            <w:pPr>
              <w:jc w:val="center"/>
            </w:pPr>
            <w:r>
              <w:rPr>
                <w:rFonts w:eastAsiaTheme="minorEastAsia"/>
                <w:color w:themeColor="text1" w:val="000000"/>
                <w:sz w:val="24"/>
              </w:rPr>
              <w:t>立讯精密</w:t>
            </w:r>
          </w:p>
        </w:tc>
        <w:tc>
          <w:tcPr>
            <w:vAlign w:val="center"/>
          </w:tcPr>
          <w:p>
            <w:pPr>
              <w:jc w:val="right"/>
            </w:pPr>
            <w:r>
              <w:rPr>
                <w:rFonts w:eastAsiaTheme="minorEastAsia"/>
                <w:color w:themeColor="text1" w:val="000000"/>
                <w:sz w:val="24"/>
              </w:rPr>
              <w:t>29,260</w:t>
            </w:r>
          </w:p>
        </w:tc>
        <w:tc>
          <w:tcPr>
            <w:vAlign w:val="center"/>
          </w:tcPr>
          <w:p>
            <w:pPr>
              <w:jc w:val="right"/>
            </w:pPr>
            <w:r>
              <w:rPr>
                <w:rFonts w:eastAsiaTheme="minorEastAsia"/>
                <w:color w:themeColor="text1" w:val="000000"/>
                <w:sz w:val="24"/>
              </w:rPr>
              <w:t>1,502,501.00</w:t>
            </w:r>
          </w:p>
        </w:tc>
        <w:tc>
          <w:tcPr>
            <w:vAlign w:val="center"/>
          </w:tcPr>
          <w:p>
            <w:pPr>
              <w:jc w:val="right"/>
            </w:pPr>
            <w:r>
              <w:rPr>
                <w:rFonts w:eastAsiaTheme="minorEastAsia"/>
                <w:color w:themeColor="text1" w:val="000000"/>
                <w:sz w:val="24"/>
              </w:rPr>
              <w:t>0.03</w:t>
            </w:r>
          </w:p>
        </w:tc>
      </w:tr>
    </w:tbl>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410"/>
        <w:gridCol w:w="2041"/>
      </w:tblGrid>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260"/>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债券品种</w:t>
            </w: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
        </w:tc>
        <w:tc>
          <w:tcPr>
            <w:tcW w:type="dxa" w:w="2410"/>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国家债券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央行票据</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99,590,000.00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1.78</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其中：政策性金融债</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99,590,000.00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1.78</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企业债券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lastRenderedPageBreak/>
              <w:t>5</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企业短期融资</w:t>
            </w:r>
            <w:proofErr w:type="gramStart"/>
            <w:r w:rsidRPr="00B34368">
              <w:rPr>
                <w:rFonts w:eastAsiaTheme="minorEastAsia" w:hAnsiTheme="minorEastAsia"/>
                <w:color w:themeColor="text1" w:val="000000"/>
                <w:sz w:val="24"/>
              </w:rPr>
              <w:t>券</w:t>
            </w:r>
            <w:proofErr w:type="gramEnd"/>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中期票据</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260"/>
            <w:vAlign w:val="center"/>
          </w:tcPr>
          <w:p w:rsidP="008F6C49" w:rsidR="00F21B6D" w:rsidRDefault="0054389B"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可转债（可交换债）</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同业存单</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其他</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lastRenderedPageBreak/>
              <w:t>10</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99,591,700.00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1.78</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tbl>
      <w:tblPr>
        <w:tblStyle w:val="af2"/>
        <w:tblW w:type="auto" w:w="0"/>
        <w:tblInd w:type="dxa" w:w="108"/>
        <w:tblLayout w:type="fixed"/>
        <w:tblLook w:firstColumn="1" w:firstRow="1" w:lastColumn="0" w:lastRow="0" w:noHBand="0" w:noVBand="1" w:val="04A0"/>
      </w:tblPr>
      <w:tblGrid>
        <w:gridCol w:w="1504"/>
        <w:gridCol w:w="1504"/>
        <w:gridCol w:w="1504"/>
        <w:gridCol w:w="1503"/>
        <w:gridCol w:w="1503"/>
        <w:gridCol w:w="1503"/>
      </w:tblGrid>
      <w:tr w:rsidR="00D3639B" w:rsidRPr="00B34368" w:rsidTr="00975D18">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债券代码</w:t>
            </w:r>
          </w:p>
        </w:tc>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债券名称</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数量（张）</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w:t>
            </w:r>
            <w:r w:rsidR="00334656" w:rsidRPr="00B34368">
              <w:rPr>
                <w:rFonts w:eastAsiaTheme="minorEastAsia" w:hAnsiTheme="minorEastAsia"/>
                <w:color w:themeColor="text1" w:val="000000"/>
                <w:kern w:val="0"/>
                <w:sz w:val="24"/>
              </w:rPr>
              <w:t>例</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200306</w:t>
            </w:r>
          </w:p>
        </w:tc>
        <w:tc>
          <w:tcPr>
            <w:vAlign w:val="center"/>
          </w:tcPr>
          <w:p>
            <w:pPr>
              <w:jc w:val="center"/>
            </w:pPr>
            <w:r>
              <w:rPr>
                <w:rFonts w:eastAsiaTheme="minorEastAsia"/>
                <w:color w:themeColor="text1" w:val="000000"/>
                <w:sz w:val="24"/>
              </w:rPr>
              <w:t>20进出06</w:t>
            </w:r>
          </w:p>
        </w:tc>
        <w:tc>
          <w:tcPr>
            <w:vAlign w:val="center"/>
          </w:tcPr>
          <w:p>
            <w:pPr>
              <w:jc w:val="right"/>
            </w:pPr>
            <w:r>
              <w:rPr>
                <w:rFonts w:eastAsiaTheme="minorEastAsia"/>
                <w:color w:themeColor="text1" w:val="000000"/>
                <w:sz w:val="24"/>
              </w:rPr>
              <w:t>1,000,000</w:t>
            </w:r>
          </w:p>
        </w:tc>
        <w:tc>
          <w:tcPr>
            <w:vAlign w:val="center"/>
          </w:tcPr>
          <w:p>
            <w:pPr>
              <w:jc w:val="right"/>
            </w:pPr>
            <w:r>
              <w:rPr>
                <w:rFonts w:eastAsiaTheme="minorEastAsia"/>
                <w:color w:themeColor="text1" w:val="000000"/>
                <w:sz w:val="24"/>
              </w:rPr>
              <w:t>99,590,000.00</w:t>
            </w:r>
          </w:p>
        </w:tc>
        <w:tc>
          <w:tcPr>
            <w:vAlign w:val="center"/>
          </w:tcPr>
          <w:p>
            <w:pPr>
              <w:jc w:val="right"/>
            </w:pPr>
            <w:r>
              <w:rPr>
                <w:rFonts w:eastAsiaTheme="minorEastAsia"/>
                <w:color w:themeColor="text1" w:val="000000"/>
                <w:sz w:val="24"/>
              </w:rPr>
              <w:t>1.78</w:t>
            </w:r>
          </w:p>
        </w:tc>
      </w:tr>
      <w:tr>
        <w:tc>
          <w:tcPr>
            <w:vAlign w:val="center"/>
          </w:tcPr>
          <w:p>
            <w:pPr>
              <w:jc w:val="center"/>
            </w:pPr>
            <w:r>
              <w:rPr>
                <w:rFonts w:eastAsiaTheme="minorEastAsia"/>
                <w:color w:themeColor="text1" w:val="000000"/>
                <w:sz w:val="24"/>
              </w:rPr>
              <w:t>2</w:t>
            </w:r>
          </w:p>
        </w:tc>
        <w:tc>
          <w:tcPr>
            <w:vAlign w:val="center"/>
          </w:tcPr>
          <w:p>
            <w:pPr>
              <w:jc w:val="center"/>
            </w:pPr>
            <w:r>
              <w:rPr>
                <w:rFonts w:eastAsiaTheme="minorEastAsia"/>
                <w:color w:themeColor="text1" w:val="000000"/>
                <w:sz w:val="24"/>
              </w:rPr>
              <w:t>128114</w:t>
            </w:r>
          </w:p>
        </w:tc>
        <w:tc>
          <w:tcPr>
            <w:vAlign w:val="center"/>
          </w:tcPr>
          <w:p>
            <w:pPr>
              <w:jc w:val="center"/>
            </w:pPr>
            <w:r>
              <w:rPr>
                <w:rFonts w:eastAsiaTheme="minorEastAsia"/>
                <w:color w:themeColor="text1" w:val="000000"/>
                <w:sz w:val="24"/>
              </w:rPr>
              <w:t>正邦转债</w:t>
            </w:r>
          </w:p>
        </w:tc>
        <w:tc>
          <w:tcPr>
            <w:vAlign w:val="center"/>
          </w:tcPr>
          <w:p>
            <w:pPr>
              <w:jc w:val="right"/>
            </w:pPr>
            <w:r>
              <w:rPr>
                <w:rFonts w:eastAsiaTheme="minorEastAsia"/>
                <w:color w:themeColor="text1" w:val="000000"/>
                <w:sz w:val="24"/>
              </w:rPr>
              <w:t>17</w:t>
            </w:r>
          </w:p>
        </w:tc>
        <w:tc>
          <w:tcPr>
            <w:vAlign w:val="center"/>
          </w:tcPr>
          <w:p>
            <w:pPr>
              <w:jc w:val="right"/>
            </w:pPr>
            <w:r>
              <w:rPr>
                <w:rFonts w:eastAsiaTheme="minorEastAsia"/>
                <w:color w:themeColor="text1" w:val="000000"/>
                <w:sz w:val="24"/>
              </w:rPr>
              <w:t>1,700.00</w:t>
            </w:r>
          </w:p>
        </w:tc>
        <w:tc>
          <w:tcPr>
            <w:vAlign w:val="center"/>
          </w:tcPr>
          <w:p>
            <w:pPr>
              <w:jc w:val="right"/>
            </w:pPr>
            <w:r>
              <w:rPr>
                <w:rFonts w:eastAsiaTheme="minorEastAsia"/>
                <w:color w:themeColor="text1" w:val="000000"/>
                <w:sz w:val="24"/>
              </w:rPr>
              <w:t>0.00</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D27EA0" w:rsidRDefault="001D5CD0" w:rsidRPr="001B0A62">
      <w:pPr>
        <w:autoSpaceDE w:val="0"/>
        <w:autoSpaceDN w:val="0"/>
        <w:adjustRightInd w:val="0"/>
        <w:spacing w:line="360" w:lineRule="auto"/>
        <w:jc w:val="left"/>
        <w:rPr>
          <w:rFonts w:ascii="宋体"/>
          <w:b/>
          <w:bCs/>
          <w:color w:val="000000"/>
          <w:kern w:val="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5.10.1 </w:t>
      </w:r>
      <w:r w:rsidRPr="00B34368">
        <w:rPr>
          <w:rFonts w:eastAsiaTheme="minorEastAsia" w:hAnsiTheme="minorEastAsia"/>
          <w:b/>
          <w:color w:themeColor="text1" w:val="000000"/>
          <w:sz w:val="24"/>
        </w:rPr>
        <w:t>报告期末本基金投资的股指期货持仓和损益明细</w:t>
      </w:r>
      <w:r w:rsidR="00B81633" w:rsidRPr="00B34368">
        <w:rPr>
          <w:rFonts w:eastAsiaTheme="minorEastAsia"/>
          <w:b/>
          <w:color w:themeColor="text1" w:val="000000"/>
          <w:sz w:val="24"/>
        </w:rPr>
        <w:t/>
      </w:r>
      <w:proofErr w:type="spellStart"/>
      <w:r w:rsidR="00B81633" w:rsidRPr="00B34368">
        <w:rPr>
          <w:rFonts w:eastAsiaTheme="minorEastAsia"/>
          <w:b/>
          <w:color w:themeColor="text1" w:val="000000"/>
          <w:sz w:val="24"/>
        </w:rPr>
        <w:t/>
      </w:r>
      <w:proofErr w:type="spellEnd"/>
      <w:r w:rsidR="00B81633" w:rsidRPr="00B34368">
        <w:rPr>
          <w:rFonts w:eastAsiaTheme="minorEastAsia"/>
          <w:b/>
          <w:color w:themeColor="text1" w:val="000000"/>
          <w:sz w:val="24"/>
        </w:rPr>
        <w:t/>
      </w:r>
      <w:r w:rsidR="00D27EA0" w:rsidRPr="00D27EA0">
        <w:rPr>
          <w:rFonts w:ascii="宋体"/>
          <w:b/>
          <w:bCs/>
          <w:color w:val="000000"/>
          <w:kern w:val="0"/>
          <w:sz w:val="24"/>
        </w:rPr>
        <w:t xml:space="preserve"> </w:t>
      </w:r>
    </w:p>
    <w:tbl>
      <w:tblPr>
        <w:tblW w:type="dxa" w:w="8845"/>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1134"/>
        <w:gridCol w:w="1303"/>
        <w:gridCol w:w="993"/>
        <w:gridCol w:w="1700"/>
        <w:gridCol w:w="1641"/>
        <w:gridCol w:w="2074"/>
      </w:tblGrid>
      <w:tr w:rsidR="00D27EA0" w:rsidRPr="00264E55" w:rsidTr="00BA7532">
        <w:trPr>
          <w:trHeight w:val="105"/>
          <w:jc w:val="center"/>
        </w:trPr>
        <w:tc>
          <w:tcPr>
            <w:tcW w:type="dxa" w:w="1134"/>
          </w:tcPr>
          <w:p w:rsidP="003F0E6C" w:rsidR="00D27EA0" w:rsidRDefault="00D27EA0" w:rsidRPr="00FA472B">
            <w:pPr>
              <w:pStyle w:val="Default"/>
              <w:rPr>
                <w:rFonts w:ascii="Times New Roman" w:cs="Times New Roman" w:hAnsi="Times New Roman"/>
              </w:rPr>
            </w:pPr>
            <w:r w:rsidRPr="00FA472B">
              <w:rPr>
                <w:rFonts w:ascii="Times New Roman" w:cs="Times New Roman" w:hAnsi="Times New Roman"/>
              </w:rPr>
              <w:t>代码</w:t>
            </w:r>
            <w:r w:rsidRPr="00FA472B">
              <w:rPr>
                <w:rFonts w:ascii="Times New Roman" w:cs="Times New Roman" w:hAnsi="Times New Roman"/>
                <w:b/>
              </w:rPr>
              <w:t/>
            </w:r>
            <w:proofErr w:type="spellStart"/>
            <w:r w:rsidRPr="00FA472B">
              <w:rPr>
                <w:rFonts w:ascii="Times New Roman" w:cs="Times New Roman" w:hAnsi="Times New Roman"/>
                <w:b/>
              </w:rPr>
              <w:t/>
            </w:r>
            <w:proofErr w:type="spellEnd"/>
            <w:r w:rsidRPr="00FA472B">
              <w:rPr>
                <w:rFonts w:ascii="Times New Roman" w:cs="Times New Roman" w:hAnsi="Times New Roman"/>
              </w:rPr>
              <w:t/>
            </w:r>
            <w:r w:rsidRPr="00DC41F5">
              <w:rPr>
                <w:rFonts w:ascii="Times New Roman" w:cs="Times New Roman" w:eastAsiaTheme="minorEastAsia" w:hAnsi="Times New Roman"/>
                <w:b/>
              </w:rPr>
              <w:t/>
            </w:r>
            <w:proofErr w:type="spellStart"/>
            <w:r w:rsidRPr="00DC41F5">
              <w:rPr>
                <w:rFonts w:ascii="Times New Roman" w:cs="Times New Roman" w:eastAsiaTheme="minorEastAsia" w:hAnsi="Times New Roman"/>
                <w:b/>
              </w:rPr>
              <w:t/>
            </w:r>
            <w:proofErr w:type="spellEnd"/>
            <w:r w:rsidRPr="00DC41F5">
              <w:rPr>
                <w:rFonts w:ascii="Times New Roman" w:cs="Times New Roman" w:eastAsiaTheme="minorEastAsia" w:hAnsi="Times New Roman" w:hint="eastAsia"/>
                <w:b/>
              </w:rPr>
              <w:t/>
            </w:r>
          </w:p>
        </w:tc>
        <w:tc>
          <w:tcPr>
            <w:tcW w:type="dxa" w:w="1303"/>
          </w:tcPr>
          <w:p w:rsidP="003F0E6C" w:rsidR="00D27EA0" w:rsidRDefault="00D27EA0" w:rsidRPr="00FA472B">
            <w:pPr>
              <w:pStyle w:val="Default"/>
              <w:rPr>
                <w:rFonts w:ascii="Times New Roman" w:cs="Times New Roman" w:hAnsi="Times New Roman"/>
              </w:rPr>
            </w:pPr>
            <w:r w:rsidRPr="00FA472B">
              <w:rPr>
                <w:rFonts w:ascii="Times New Roman" w:cs="Times New Roman" w:hAnsi="Times New Roman"/>
              </w:rPr>
              <w:t>名称</w:t>
            </w:r>
          </w:p>
        </w:tc>
        <w:tc>
          <w:tcPr>
            <w:tcW w:type="dxa" w:w="993"/>
          </w:tcPr>
          <w:p w:rsidP="003F0E6C" w:rsidR="00D27EA0" w:rsidRDefault="00D27EA0" w:rsidRPr="00B227EA">
            <w:pPr>
              <w:pStyle w:val="Default"/>
              <w:rPr>
                <w:rFonts w:ascii="Times New Roman" w:cs="Times New Roman" w:hAnsi="Times New Roman"/>
              </w:rPr>
            </w:pPr>
            <w:r w:rsidRPr="00B227EA">
              <w:rPr>
                <w:rFonts w:ascii="Times New Roman" w:cs="Times New Roman" w:hAnsi="Times New Roman"/>
              </w:rPr>
              <w:t>持仓量</w:t>
            </w:r>
          </w:p>
        </w:tc>
        <w:tc>
          <w:tcPr>
            <w:tcW w:type="dxa" w:w="1700"/>
          </w:tcPr>
          <w:p w:rsidP="003F0E6C" w:rsidR="00D27EA0" w:rsidRDefault="00D27EA0" w:rsidRPr="00B227EA">
            <w:pPr>
              <w:pStyle w:val="Default"/>
              <w:rPr>
                <w:rFonts w:ascii="Times New Roman" w:cs="Times New Roman" w:hAnsi="Times New Roman"/>
              </w:rPr>
            </w:pPr>
            <w:r w:rsidRPr="00B227EA">
              <w:rPr>
                <w:rFonts w:ascii="Times New Roman" w:cs="Times New Roman" w:hAnsi="Times New Roman"/>
              </w:rPr>
              <w:t>合约市值（元）</w:t>
            </w:r>
          </w:p>
        </w:tc>
        <w:tc>
          <w:tcPr>
            <w:tcW w:type="dxa" w:w="1641"/>
          </w:tcPr>
          <w:p w:rsidP="003F0E6C" w:rsidR="00D27EA0" w:rsidRDefault="00D27EA0" w:rsidRPr="00B227EA">
            <w:pPr>
              <w:pStyle w:val="Default"/>
              <w:rPr>
                <w:rFonts w:ascii="Times New Roman" w:cs="Times New Roman" w:hAnsi="Times New Roman"/>
              </w:rPr>
            </w:pPr>
            <w:r w:rsidRPr="00B227EA">
              <w:rPr>
                <w:rFonts w:ascii="Times New Roman" w:cs="Times New Roman" w:hAnsi="Times New Roman"/>
              </w:rPr>
              <w:t>公允价值变动（元）</w:t>
            </w:r>
          </w:p>
        </w:tc>
        <w:tc>
          <w:tcPr>
            <w:tcW w:type="dxa" w:w="2074"/>
          </w:tcPr>
          <w:p w:rsidP="003F0E6C" w:rsidR="00D27EA0" w:rsidRDefault="00D27EA0" w:rsidRPr="00B227EA">
            <w:pPr>
              <w:pStyle w:val="Default"/>
              <w:jc w:val="center"/>
              <w:rPr>
                <w:rFonts w:ascii="Times New Roman" w:cs="Times New Roman" w:hAnsi="Times New Roman"/>
                <w:color w:val="auto"/>
              </w:rPr>
            </w:pPr>
            <w:r w:rsidRPr="00B227EA">
              <w:rPr>
                <w:rFonts w:ascii="Times New Roman" w:cs="Times New Roman" w:hAnsi="Times New Roman"/>
                <w:color w:val="auto"/>
              </w:rPr>
              <w:t>风险说明</w:t>
            </w:r>
          </w:p>
        </w:tc>
      </w:tr>
      <w:tr>
        <w:tc>
          <w:tcPr>
            <w:vAlign w:val="center"/>
          </w:tcPr>
          <w:p>
            <w:pPr>
              <w:jc w:val="center"/>
            </w:pPr>
            <w:r>
              <w:rPr>
                <w:rFonts w:ascii="Times New Roman" w:cs="Times New Roman" w:hAnsi="Times New Roman"/>
              </w:rPr>
              <w:t>IF2007</w:t>
            </w:r>
          </w:p>
        </w:tc>
        <w:tc>
          <w:tcPr>
            <w:vAlign w:val="center"/>
          </w:tcPr>
          <w:p>
            <w:pPr>
              <w:jc w:val="left"/>
            </w:pPr>
            <w:r>
              <w:rPr>
                <w:rFonts w:ascii="Times New Roman" w:cs="Times New Roman" w:hAnsi="Times New Roman"/>
              </w:rPr>
              <w:t>IF2007</w:t>
            </w:r>
          </w:p>
        </w:tc>
        <w:tc>
          <w:tcPr>
            <w:vAlign w:val="center"/>
          </w:tcPr>
          <w:p>
            <w:pPr>
              <w:jc w:val="right"/>
            </w:pPr>
            <w:r>
              <w:rPr>
                <w:rFonts w:ascii="Times New Roman" w:cs="Times New Roman" w:hAnsi="Times New Roman"/>
              </w:rPr>
              <w:t>4</w:t>
            </w:r>
          </w:p>
        </w:tc>
        <w:tc>
          <w:tcPr>
            <w:vAlign w:val="center"/>
          </w:tcPr>
          <w:p>
            <w:pPr>
              <w:jc w:val="right"/>
            </w:pPr>
            <w:r>
              <w:rPr>
                <w:rFonts w:ascii="Times New Roman" w:cs="Times New Roman" w:hAnsi="Times New Roman"/>
              </w:rPr>
              <w:t>4,941,600.00</w:t>
            </w:r>
          </w:p>
        </w:tc>
        <w:tc>
          <w:tcPr>
            <w:vAlign w:val="center"/>
          </w:tcPr>
          <w:p>
            <w:pPr>
              <w:jc w:val="right"/>
            </w:pPr>
            <w:r>
              <w:rPr>
                <w:rFonts w:ascii="Times New Roman" w:cs="Times New Roman" w:hAnsi="Times New Roman"/>
              </w:rPr>
              <w:t>281,772.83</w:t>
            </w:r>
          </w:p>
        </w:tc>
        <w:tc>
          <w:tcPr>
            <w:vAlign w:val="center"/>
          </w:tcPr>
          <w:p>
            <w:pPr>
              <w:jc w:val="left"/>
            </w:pPr>
            <w:r>
              <w:rPr>
                <w:rFonts w:ascii="Times New Roman" w:cs="Times New Roman" w:hAnsi="Times New Roman"/>
              </w:rPr>
              <w:t>在本报告期内，基金利用股指期货进行套期保值操作，以应对基金由于大额净申赎等需要及时调整组合市场暴露情况时，通过股指期货套保交易满足基金的投资替代需求和风险对冲需求，利用股指期货的杠杆作用，降低股票仓位频繁调整的交易成本和跟踪误差，达到有效跟踪标的指数的目的。</w:t>
            </w:r>
          </w:p>
        </w:tc>
      </w:tr>
      <w:tr>
        <w:tc>
          <w:tcPr>
            <w:vAlign w:val="center"/>
          </w:tcPr>
          <w:p>
            <w:pPr>
              <w:jc w:val="center"/>
            </w:pPr>
            <w:r>
              <w:rPr>
                <w:rFonts w:ascii="Times New Roman" w:cs="Times New Roman" w:hAnsi="Times New Roman"/>
              </w:rPr>
              <w:t>IF2009</w:t>
            </w:r>
          </w:p>
        </w:tc>
        <w:tc>
          <w:tcPr>
            <w:vAlign w:val="center"/>
          </w:tcPr>
          <w:p>
            <w:pPr>
              <w:jc w:val="left"/>
            </w:pPr>
            <w:r>
              <w:rPr>
                <w:rFonts w:ascii="Times New Roman" w:cs="Times New Roman" w:hAnsi="Times New Roman"/>
              </w:rPr>
              <w:t>IF2009</w:t>
            </w:r>
          </w:p>
        </w:tc>
        <w:tc>
          <w:tcPr>
            <w:vAlign w:val="center"/>
          </w:tcPr>
          <w:p>
            <w:pPr>
              <w:jc w:val="right"/>
            </w:pPr>
            <w:r>
              <w:rPr>
                <w:rFonts w:ascii="Times New Roman" w:cs="Times New Roman" w:hAnsi="Times New Roman"/>
              </w:rPr>
              <w:t>4</w:t>
            </w:r>
          </w:p>
        </w:tc>
        <w:tc>
          <w:tcPr>
            <w:vAlign w:val="center"/>
          </w:tcPr>
          <w:p>
            <w:pPr>
              <w:jc w:val="right"/>
            </w:pPr>
            <w:r>
              <w:rPr>
                <w:rFonts w:ascii="Times New Roman" w:cs="Times New Roman" w:hAnsi="Times New Roman"/>
              </w:rPr>
              <w:t>4,881,120.00</w:t>
            </w:r>
          </w:p>
        </w:tc>
        <w:tc>
          <w:tcPr>
            <w:vAlign w:val="center"/>
          </w:tcPr>
          <w:p>
            <w:pPr>
              <w:jc w:val="right"/>
            </w:pPr>
            <w:r>
              <w:rPr>
                <w:rFonts w:ascii="Times New Roman" w:cs="Times New Roman" w:hAnsi="Times New Roman"/>
              </w:rPr>
              <w:t>347,400.00</w:t>
            </w:r>
          </w:p>
        </w:tc>
        <w:tc>
          <w:tcPr>
            <w:vAlign w:val="center"/>
          </w:tcPr>
          <w:p>
            <w:pPr>
              <w:jc w:val="left"/>
            </w:pPr>
            <w:r>
              <w:rPr>
                <w:rFonts w:ascii="Times New Roman" w:cs="Times New Roman" w:hAnsi="Times New Roman"/>
              </w:rPr>
              <w:t>在本报告期内，基金利用股指期货进行套期保值操作，以应对基金由于大额净申赎等需要及时调整组合市场暴露情况时，通过股指期货套保交易满足基金的投资替代需求和风险对冲需求，利用股指期货的杠杆作用，降低股票仓位频繁调整的交易成本和跟踪误差，达到有效跟踪标的指数的目的。</w:t>
            </w:r>
          </w:p>
        </w:tc>
      </w:tr>
      <w:tr w:rsidR="00D27EA0" w:rsidRPr="00264E55" w:rsidTr="00BA7532">
        <w:trPr>
          <w:trHeight w:val="105"/>
          <w:jc w:val="center"/>
        </w:trPr>
        <w:tc>
          <w:tcPr>
            <w:tcW w:type="dxa" w:w="6771"/>
            <w:gridSpan w:val="5"/>
          </w:tcPr>
          <w:p w:rsidP="003F0E6C" w:rsidR="00D27EA0" w:rsidRDefault="00D27EA0" w:rsidRPr="00FA472B">
            <w:pPr>
              <w:pStyle w:val="Default"/>
              <w:rPr>
                <w:rFonts w:ascii="Times New Roman" w:cs="Times New Roman" w:hAnsi="Times New Roman"/>
              </w:rPr>
            </w:pPr>
            <w:r w:rsidRPr="00FA472B">
              <w:rPr>
                <w:rFonts w:ascii="Times New Roman" w:cs="Times New Roman" w:hAnsi="Times New Roman"/>
              </w:rPr>
              <w:t>公允价值变动总额合计</w:t>
            </w:r>
            <w:r w:rsidRPr="00FA472B">
              <w:rPr>
                <w:rFonts w:ascii="Times New Roman" w:cs="Times New Roman" w:hAnsi="Times New Roman"/>
              </w:rPr>
              <w:t>(</w:t>
            </w:r>
            <w:r w:rsidRPr="00FA472B">
              <w:rPr>
                <w:rFonts w:ascii="Times New Roman" w:cs="Times New Roman" w:hAnsi="Times New Roman"/>
              </w:rPr>
              <w:t>元</w:t>
            </w:r>
            <w:r w:rsidRPr="00FA472B">
              <w:rPr>
                <w:rFonts w:ascii="Times New Roman" w:cs="Times New Roman" w:hAnsi="Times New Roman"/>
              </w:rPr>
              <w:t>)</w:t>
            </w:r>
          </w:p>
        </w:tc>
        <w:tc>
          <w:tcPr>
            <w:tcW w:type="dxa" w:w="2074"/>
          </w:tcPr>
          <w:p w:rsidP="003F0E6C" w:rsidR="00D27EA0" w:rsidRDefault="00D27EA0" w:rsidRPr="00FA472B">
            <w:pPr>
              <w:pStyle w:val="Default"/>
              <w:jc w:val="right"/>
              <w:rPr>
                <w:rFonts w:ascii="Times New Roman" w:cs="Times New Roman" w:hAnsi="Times New Roman"/>
                <w:color w:val="auto"/>
              </w:rPr>
            </w:pPr>
            <w:r w:rsidRPr="00FA472B">
              <w:rPr>
                <w:rFonts w:ascii="Times New Roman" w:cs="Times New Roman" w:hAnsi="Times New Roman"/>
                <w:color w:val="auto"/>
              </w:rPr>
              <w:t/>
            </w:r>
            <w:proofErr w:type="spellStart"/>
            <w:r w:rsidRPr="00FA472B">
              <w:rPr>
                <w:rFonts w:ascii="Times New Roman" w:cs="Times New Roman" w:hAnsi="Times New Roman"/>
                <w:color w:val="auto"/>
              </w:rPr>
              <w:t/>
            </w:r>
            <w:proofErr w:type="spellEnd"/>
            <w:r w:rsidRPr="00FA472B">
              <w:rPr>
                <w:rFonts w:ascii="Times New Roman" w:cs="Times New Roman" w:hAnsi="Times New Roman"/>
                <w:color w:val="auto"/>
              </w:rPr>
              <w:t>629,172.83</w:t>
            </w:r>
          </w:p>
        </w:tc>
      </w:tr>
      <w:tr w:rsidR="00D27EA0" w:rsidRPr="00264E55" w:rsidTr="00BA7532">
        <w:trPr>
          <w:trHeight w:val="105"/>
          <w:jc w:val="center"/>
        </w:trPr>
        <w:tc>
          <w:tcPr>
            <w:tcW w:type="dxa" w:w="6771"/>
            <w:gridSpan w:val="5"/>
          </w:tcPr>
          <w:p w:rsidP="003F0E6C" w:rsidR="00D27EA0" w:rsidRDefault="00D27EA0" w:rsidRPr="00FA472B">
            <w:pPr>
              <w:pStyle w:val="Default"/>
              <w:rPr>
                <w:rFonts w:ascii="Times New Roman" w:cs="Times New Roman" w:hAnsi="Times New Roman"/>
                <w:color w:val="auto"/>
              </w:rPr>
            </w:pPr>
            <w:r w:rsidRPr="00FA472B">
              <w:rPr>
                <w:rFonts w:ascii="Times New Roman" w:cs="Times New Roman" w:hAnsi="Times New Roman"/>
                <w:color w:val="auto"/>
              </w:rPr>
              <w:t>股指期货投资本期收益</w:t>
            </w:r>
            <w:r w:rsidRPr="00FA472B">
              <w:rPr>
                <w:rFonts w:ascii="Times New Roman" w:cs="Times New Roman" w:hAnsi="Times New Roman"/>
              </w:rPr>
              <w:t>(</w:t>
            </w:r>
            <w:r w:rsidRPr="00FA472B">
              <w:rPr>
                <w:rFonts w:ascii="Times New Roman" w:cs="Times New Roman" w:hAnsi="Times New Roman"/>
              </w:rPr>
              <w:t>元</w:t>
            </w:r>
            <w:r w:rsidRPr="00FA472B">
              <w:rPr>
                <w:rFonts w:ascii="Times New Roman" w:cs="Times New Roman" w:hAnsi="Times New Roman"/>
              </w:rPr>
              <w:t>)</w:t>
            </w:r>
          </w:p>
        </w:tc>
        <w:tc>
          <w:tcPr>
            <w:tcW w:type="dxa" w:w="2074"/>
          </w:tcPr>
          <w:p w:rsidP="003F0E6C" w:rsidR="00D27EA0" w:rsidRDefault="00D27EA0" w:rsidRPr="00FA472B">
            <w:pPr>
              <w:pStyle w:val="Default"/>
              <w:jc w:val="right"/>
              <w:rPr>
                <w:rFonts w:ascii="Times New Roman" w:cs="Times New Roman" w:hAnsi="Times New Roman"/>
                <w:color w:val="auto"/>
              </w:rPr>
            </w:pPr>
            <w:r w:rsidRPr="00FA472B">
              <w:rPr>
                <w:rFonts w:ascii="Times New Roman" w:cs="Times New Roman" w:hAnsi="Times New Roman"/>
                <w:color w:val="auto"/>
              </w:rPr>
              <w:t/>
            </w:r>
            <w:proofErr w:type="spellStart"/>
            <w:r w:rsidRPr="00FA472B">
              <w:rPr>
                <w:rFonts w:ascii="Times New Roman" w:cs="Times New Roman" w:hAnsi="Times New Roman"/>
                <w:color w:val="auto"/>
              </w:rPr>
              <w:t/>
            </w:r>
            <w:proofErr w:type="spellEnd"/>
            <w:r w:rsidRPr="00FA472B">
              <w:rPr>
                <w:rFonts w:ascii="Times New Roman" w:cs="Times New Roman" w:hAnsi="Times New Roman"/>
                <w:color w:val="auto"/>
              </w:rPr>
              <w:t>2,575,443.86</w:t>
            </w:r>
          </w:p>
        </w:tc>
      </w:tr>
      <w:tr w:rsidR="00D27EA0" w:rsidRPr="00264E55" w:rsidTr="00BA7532">
        <w:trPr>
          <w:trHeight w:val="105"/>
          <w:jc w:val="center"/>
        </w:trPr>
        <w:tc>
          <w:tcPr>
            <w:tcW w:type="dxa" w:w="6771"/>
            <w:gridSpan w:val="5"/>
          </w:tcPr>
          <w:p w:rsidP="003F0E6C" w:rsidR="00D27EA0" w:rsidRDefault="00D27EA0" w:rsidRPr="00FA472B">
            <w:pPr>
              <w:pStyle w:val="Default"/>
              <w:rPr>
                <w:rFonts w:ascii="Times New Roman" w:cs="Times New Roman" w:hAnsi="Times New Roman"/>
                <w:color w:val="auto"/>
              </w:rPr>
            </w:pPr>
            <w:r w:rsidRPr="00FA472B">
              <w:rPr>
                <w:rFonts w:ascii="Times New Roman" w:cs="Times New Roman" w:hAnsi="Times New Roman"/>
                <w:color w:val="auto"/>
              </w:rPr>
              <w:t>股指期货投资本期公允价值变动</w:t>
            </w:r>
            <w:r w:rsidRPr="00FA472B">
              <w:rPr>
                <w:rFonts w:ascii="Times New Roman" w:cs="Times New Roman" w:hAnsi="Times New Roman"/>
              </w:rPr>
              <w:t>(</w:t>
            </w:r>
            <w:r w:rsidRPr="00FA472B">
              <w:rPr>
                <w:rFonts w:ascii="Times New Roman" w:cs="Times New Roman" w:hAnsi="Times New Roman"/>
              </w:rPr>
              <w:t>元</w:t>
            </w:r>
            <w:r w:rsidRPr="00FA472B">
              <w:rPr>
                <w:rFonts w:ascii="Times New Roman" w:cs="Times New Roman" w:hAnsi="Times New Roman"/>
              </w:rPr>
              <w:t>)</w:t>
            </w:r>
          </w:p>
        </w:tc>
        <w:tc>
          <w:tcPr>
            <w:tcW w:type="dxa" w:w="2074"/>
          </w:tcPr>
          <w:p w:rsidP="003F0E6C" w:rsidR="00D27EA0" w:rsidRDefault="00D27EA0" w:rsidRPr="00FA472B">
            <w:pPr>
              <w:pStyle w:val="Default"/>
              <w:jc w:val="right"/>
              <w:rPr>
                <w:rFonts w:ascii="Times New Roman" w:cs="Times New Roman" w:hAnsi="Times New Roman"/>
                <w:color w:val="auto"/>
              </w:rPr>
            </w:pPr>
            <w:r w:rsidRPr="00FA472B">
              <w:rPr>
                <w:rFonts w:ascii="Times New Roman" w:cs="Times New Roman" w:hAnsi="Times New Roman"/>
                <w:color w:val="auto"/>
              </w:rPr>
              <w:t>219,192.83</w:t>
            </w:r>
          </w:p>
        </w:tc>
      </w:tr>
    </w:tbl>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5.10.2 </w:t>
      </w:r>
      <w:r w:rsidRPr="00B34368">
        <w:rPr>
          <w:rFonts w:eastAsiaTheme="minorEastAsia" w:hAnsiTheme="minorEastAsia"/>
          <w:b/>
          <w:color w:themeColor="text1" w:val="000000"/>
          <w:sz w:val="24"/>
        </w:rPr>
        <w:t>本基金投资股指期货的投资政策</w:t>
      </w:r>
      <w:r w:rsidR="00623DB6" w:rsidRPr="00B34368">
        <w:rPr>
          <w:rFonts w:eastAsiaTheme="minorEastAsia"/>
          <w:b/>
          <w:color w:themeColor="text1" w:val="000000"/>
          <w:sz w:val="24"/>
        </w:rPr>
        <w:t/>
      </w:r>
      <w:proofErr w:type="spellStart"/>
      <w:r w:rsidR="00623DB6" w:rsidRPr="00B34368">
        <w:rPr>
          <w:rFonts w:eastAsiaTheme="minorEastAsia"/>
          <w:b/>
          <w:color w:themeColor="text1" w:val="000000"/>
          <w:sz w:val="24"/>
        </w:rPr>
        <w:t/>
      </w:r>
      <w:proofErr w:type="spellEnd"/>
      <w:r w:rsidR="00623DB6" w:rsidRPr="00B34368">
        <w:rPr>
          <w:rFonts w:eastAsiaTheme="minorEastAsia"/>
          <w:b/>
          <w:color w:themeColor="text1" w:val="000000"/>
          <w:sz w:val="24"/>
        </w:rPr>
        <w:t/>
      </w:r>
    </w:p>
    <w:p w:rsidP="00B34368" w:rsidR="001D5CD0" w:rsidRDefault="001D5CD0"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可投资股指期货和其他经中国证监会允许的衍生金融产品。本基金将根据风险管理的原则，以套期保值为目的，按照相关法律法规的有关规定，主要选择流动性好、交易活跃的股指期货合约来进行投资。本基金在出现大额净申赎等需要及时调整组合市场暴露情况时，通过股指期货套保交易满足基金的投资替代需求和风险管理需求。本基金力争利用股指期货的杠杆作用，降低股票仓位频繁调整的交易成本和跟踪误差，达到有效跟踪标的指数的目的。本报告期内，本基金投资股指期货符合既定的投资政策和投资目的。</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widowControl/>
        <w:spacing w:line="360" w:lineRule="auto"/>
        <w:rPr>
          <w:rFonts w:eastAsiaTheme="minorEastAsia"/>
          <w:color w:themeColor="text1" w:val="000000"/>
          <w:sz w:val="24"/>
        </w:rPr>
      </w:pPr>
      <w:r>
        <w:rPr>
          <w:rFonts w:eastAsiaTheme="minorEastAsia"/>
          <w:color w:themeColor="text1" w:val="00000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widowControl/>
        <w:spacing w:line="360" w:lineRule="auto"/>
        <w:rPr>
          <w:rFonts w:eastAsiaTheme="minorEastAsia"/>
          <w:color w:themeColor="text1" w:val="000000"/>
          <w:sz w:val="24"/>
        </w:rPr>
      </w:pPr>
      <w:r>
        <w:rPr>
          <w:rFonts w:eastAsiaTheme="minorEastAsia"/>
          <w:color w:themeColor="text1" w:val="000000"/>
          <w:sz w:val="24"/>
        </w:rPr>
        <w:t>2019年11月18日，珠海市交通运输局对珠海格力电器股份有限公司违反《超限运输车辆行驶公路管理规定》第四十三条的行为作出“罚款4000元”的行政处罚决定。</w:t>
      </w:r>
    </w:p>
    <w:p>
      <w:pPr>
        <w:widowControl/>
        <w:spacing w:line="360" w:lineRule="auto"/>
        <w:rPr>
          <w:rFonts w:eastAsiaTheme="minorEastAsia"/>
          <w:color w:themeColor="text1" w:val="000000"/>
          <w:sz w:val="24"/>
        </w:rPr>
      </w:pPr>
      <w:r>
        <w:rPr>
          <w:rFonts w:eastAsiaTheme="minorEastAsia"/>
          <w:color w:themeColor="text1" w:val="000000"/>
          <w:sz w:val="24"/>
        </w:rPr>
        <w:t>2019年12月4日，珠海市交通运输局对珠海格力电器股份有限公司违反《超限运输车辆行驶公路管理规定》第四十三条的行为作出“罚款4000元”的行政处罚决定。</w:t>
      </w:r>
    </w:p>
    <w:p>
      <w:pPr>
        <w:widowControl/>
        <w:spacing w:line="360" w:lineRule="auto"/>
        <w:rPr>
          <w:rFonts w:eastAsiaTheme="minorEastAsia"/>
          <w:color w:themeColor="text1" w:val="000000"/>
          <w:sz w:val="24"/>
        </w:rPr>
      </w:pPr>
      <w:r>
        <w:rPr>
          <w:rFonts w:eastAsiaTheme="minorEastAsia"/>
          <w:color w:themeColor="text1" w:val="000000"/>
          <w:sz w:val="24"/>
        </w:rPr>
        <w:t>本基金为目标ETF的联接基金，上述股票系标的指数成份股，上述股票的投资决策程序符合公司投资制度的规定。除招商银行、兴业银行、格力电器外，本基金的目标ETF投资的前十名证券的发行主体本期没有出现被监管部门立案调查，或在报告编制日前一年内受到公开谴责、处罚的情形。除招商银行、兴业银行、格力电器外，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本基金投资的前十名股票没有超出基金合同规定的备选股票库。</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1,864,774.25</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7,829,067.46</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453,367.28</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32,581,106.74</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42,728,315.73</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tbl>
      <w:tblPr>
        <w:tblStyle w:val="af2"/>
        <w:tblW w:type="auto" w:w="0"/>
        <w:tblInd w:type="dxa" w:w="108"/>
        <w:tblLayout w:type="fixed"/>
        <w:tblLook w:firstColumn="1" w:firstRow="1" w:lastColumn="0" w:lastRow="0" w:noHBand="0" w:noVBand="1" w:val="04A0"/>
      </w:tblPr>
      <w:tblGrid>
        <w:gridCol w:w="1083"/>
        <w:gridCol w:w="1302"/>
        <w:gridCol w:w="1301"/>
        <w:gridCol w:w="1805"/>
        <w:gridCol w:w="1655"/>
        <w:gridCol w:w="1367"/>
      </w:tblGrid>
      <w:tr w:rsidR="00D3639B" w:rsidRPr="00B34368" w:rsidTr="00975D18">
        <w:tc>
          <w:tcPr>
            <w:tcW w:type="dxa" w:w="1083"/>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lastRenderedPageBreak/>
              <w:t>序号</w:t>
            </w:r>
          </w:p>
        </w:tc>
        <w:tc>
          <w:tcPr>
            <w:tcW w:type="dxa" w:w="1302"/>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301"/>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805"/>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流通受限部分的公允价值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55"/>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p>
        </w:tc>
        <w:tc>
          <w:tcPr>
            <w:tcW w:type="dxa" w:w="1367"/>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流通受限情况说明</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601816</w:t>
            </w:r>
          </w:p>
        </w:tc>
        <w:tc>
          <w:tcPr>
            <w:vAlign w:val="center"/>
          </w:tcPr>
          <w:p>
            <w:pPr>
              <w:jc w:val="center"/>
            </w:pPr>
            <w:r>
              <w:rPr>
                <w:rFonts w:eastAsiaTheme="minorEastAsia"/>
                <w:color w:themeColor="text1" w:val="000000"/>
                <w:sz w:val="24"/>
              </w:rPr>
              <w:t>京沪高铁</w:t>
            </w:r>
          </w:p>
        </w:tc>
        <w:tc>
          <w:tcPr>
            <w:vAlign w:val="center"/>
          </w:tcPr>
          <w:p>
            <w:pPr>
              <w:jc w:val="right"/>
            </w:pPr>
            <w:r>
              <w:rPr>
                <w:rFonts w:eastAsiaTheme="minorEastAsia"/>
                <w:color w:themeColor="text1" w:val="000000"/>
                <w:sz w:val="24"/>
              </w:rPr>
              <w:t>5,593,327.12</w:t>
            </w:r>
          </w:p>
        </w:tc>
        <w:tc>
          <w:tcPr>
            <w:vAlign w:val="center"/>
          </w:tcPr>
          <w:p>
            <w:pPr>
              <w:jc w:val="right"/>
            </w:pPr>
            <w:r>
              <w:rPr>
                <w:rFonts w:eastAsiaTheme="minorEastAsia"/>
                <w:color w:themeColor="text1" w:val="000000"/>
                <w:sz w:val="24"/>
              </w:rPr>
              <w:t>0.10</w:t>
            </w:r>
          </w:p>
        </w:tc>
        <w:tc>
          <w:tcPr>
            <w:vAlign w:val="center"/>
          </w:tcPr>
          <w:p>
            <w:pPr>
              <w:jc w:val="right"/>
            </w:pPr>
            <w:r>
              <w:rPr>
                <w:rFonts w:eastAsiaTheme="minorEastAsia"/>
                <w:color w:themeColor="text1" w:val="000000"/>
                <w:sz w:val="24"/>
              </w:rPr>
              <w:t>新股流通受限</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易方达沪深300ETF发起式联接A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易方达沪深300ETF发起式联接C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4,048,701,428.41</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577,182,359.41</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1,019,023,045.09</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561,357,967.09</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1,711,965,771.05</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670,175,237.23</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3,355,758,702.45</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468,365,089.27</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B34368" w:rsidR="00617125" w:rsidRDefault="00A01C74" w:rsidRPr="00B34368">
      <w:pPr>
        <w:autoSpaceDE w:val="0"/>
        <w:autoSpaceDN w:val="0"/>
        <w:adjustRightInd w:val="0"/>
        <w:spacing w:line="360" w:lineRule="auto"/>
        <w:ind w:firstLine="480" w:firstLineChars="200"/>
        <w:jc w:val="left"/>
        <w:rPr>
          <w:rFonts w:eastAsiaTheme="minorEastAsia"/>
          <w:color w:themeColor="text1"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8</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1.中国证监会核准易方达沪深300指数证券投资基金募集的文件；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2.中国证监会《关于易方达沪深300指数证券投资基金基金份额持有人大会决议备案的回函》；</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3.《易方达沪深300交易型开放式指数发起式证券投资基金联接基金基金合同》；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4.《易方达沪深300交易型开放式指数发起式证券投资基金联接基金托管协议》；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5.《易方达基金管理有限公司开放式基金业务规则》；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6.基金管理人业务资格批件和营业执照。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易方达沪深300交易型开放式指数发起式证券投资基金联接基金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