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易方达增强回报债券型证券投资基金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中国建设银行股份有限公司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易方达增强回报债券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110017</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2008年3月19日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4,815,757,295.73</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通过主要投资于债券品种，力争为基金持有人创造较高的当期收益和总回报，实现基金资产的长期稳健增值。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基于对以下因素的判断，进行基金资产在非信用类固定收益品种（国债、央行票据等）、信用类固定收益品种（含可转换债券）、新股（含增发）申购及套利性股票投资之间的配置：1）基于对利率走势、利率期限结构等因素的分析，预测固定收益品种的投资收益和风险；2）对宏观经济、行业前景以及公司财务进行严谨的分析，考察其对固定收益市场信用利差的影响；3）基于新股发行频率、中签率、上市后的平均涨幅等的分析，预测新股申购的收益率以及风险；4）套利性投资机会的投资期间及预期收益率；5）股票市场走势的预测；6）可转换债券发行公司的成长性和转债价值的判断。</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中债总指数（全价）</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本基金为债券型基金，其长期平均风险和预期收益率低于混合型基金、股票型基金，高于货币市场基金。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中国建设银行股份有限公司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易方达增强回报债券A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易方达增强回报债券B</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110017</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110018</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3,565,396,878.44</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1,250,360,417.29</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易方达增强回报债券A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易方达增强回报债券B</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90,888,748.87</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32,272,399.44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110,596,402.39</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43,137,183.40</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0.0285</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0.0291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4,528,681,640.78</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1,577,241,704.57</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1.270</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1.261</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易方达增强回报债券A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2.21%</w:t>
            </w:r>
          </w:p>
        </w:tc>
        <w:tc>
          <w:tcPr>
            <w:vAlign w:val="center"/>
          </w:tcPr>
          <w:p>
            <w:pPr>
              <w:jc w:val="center"/>
            </w:pPr>
            <w:r>
              <w:rPr>
                <w:color w:val="000000"/>
                <w:sz w:val="24"/>
              </w:rPr>
              <w:t>0.23%</w:t>
            </w:r>
          </w:p>
        </w:tc>
        <w:tc>
          <w:tcPr>
            <w:vAlign w:val="center"/>
          </w:tcPr>
          <w:p>
            <w:pPr>
              <w:jc w:val="center"/>
            </w:pPr>
            <w:r>
              <w:rPr>
                <w:color w:val="000000"/>
                <w:sz w:val="24"/>
              </w:rPr>
              <w:t>-1.70%</w:t>
            </w:r>
          </w:p>
        </w:tc>
        <w:tc>
          <w:tcPr>
            <w:vAlign w:val="center"/>
          </w:tcPr>
          <w:p>
            <w:pPr>
              <w:jc w:val="center"/>
            </w:pPr>
            <w:r>
              <w:rPr>
                <w:color w:val="000000"/>
                <w:sz w:val="24"/>
              </w:rPr>
              <w:t>0.19%</w:t>
            </w:r>
          </w:p>
        </w:tc>
        <w:tc>
          <w:tcPr>
            <w:vAlign w:val="center"/>
          </w:tcPr>
          <w:p>
            <w:pPr>
              <w:jc w:val="center"/>
            </w:pPr>
            <w:r>
              <w:rPr>
                <w:color w:val="000000"/>
                <w:sz w:val="24"/>
              </w:rPr>
              <w:t>3.91%</w:t>
            </w:r>
          </w:p>
        </w:tc>
        <w:tc>
          <w:tcPr>
            <w:vAlign w:val="center"/>
          </w:tcPr>
          <w:p>
            <w:pPr>
              <w:jc w:val="center"/>
            </w:pPr>
            <w:r>
              <w:rPr>
                <w:color w:val="000000"/>
                <w:sz w:val="24"/>
              </w:rPr>
              <w:t>0.04%</w:t>
            </w:r>
          </w:p>
        </w:tc>
      </w:tr>
      <w:tr>
        <w:tc>
          <w:tcPr>
            <w:vAlign w:val="center"/>
          </w:tcPr>
          <w:p>
            <w:pPr>
              <w:jc w:val="left"/>
            </w:pPr>
            <w:r>
              <w:rPr>
                <w:color w:val="000000"/>
                <w:sz w:val="24"/>
              </w:rPr>
              <w:t>过去六个月</w:t>
            </w:r>
          </w:p>
        </w:tc>
        <w:tc>
          <w:tcPr>
            <w:vAlign w:val="center"/>
          </w:tcPr>
          <w:p>
            <w:pPr>
              <w:jc w:val="center"/>
            </w:pPr>
            <w:r>
              <w:rPr>
                <w:color w:val="000000"/>
                <w:sz w:val="24"/>
              </w:rPr>
              <w:t>1.10%</w:t>
            </w:r>
          </w:p>
        </w:tc>
        <w:tc>
          <w:tcPr>
            <w:vAlign w:val="center"/>
          </w:tcPr>
          <w:p>
            <w:pPr>
              <w:jc w:val="center"/>
            </w:pPr>
            <w:r>
              <w:rPr>
                <w:color w:val="000000"/>
                <w:sz w:val="24"/>
              </w:rPr>
              <w:t>0.32%</w:t>
            </w:r>
          </w:p>
        </w:tc>
        <w:tc>
          <w:tcPr>
            <w:vAlign w:val="center"/>
          </w:tcPr>
          <w:p>
            <w:pPr>
              <w:jc w:val="center"/>
            </w:pPr>
            <w:r>
              <w:rPr>
                <w:color w:val="000000"/>
                <w:sz w:val="24"/>
              </w:rPr>
              <w:t>0.84%</w:t>
            </w:r>
          </w:p>
        </w:tc>
        <w:tc>
          <w:tcPr>
            <w:vAlign w:val="center"/>
          </w:tcPr>
          <w:p>
            <w:pPr>
              <w:jc w:val="center"/>
            </w:pPr>
            <w:r>
              <w:rPr>
                <w:color w:val="000000"/>
                <w:sz w:val="24"/>
              </w:rPr>
              <w:t>0.18%</w:t>
            </w:r>
          </w:p>
        </w:tc>
        <w:tc>
          <w:tcPr>
            <w:vAlign w:val="center"/>
          </w:tcPr>
          <w:p>
            <w:pPr>
              <w:jc w:val="center"/>
            </w:pPr>
            <w:r>
              <w:rPr>
                <w:color w:val="000000"/>
                <w:sz w:val="24"/>
              </w:rPr>
              <w:t>0.26%</w:t>
            </w:r>
          </w:p>
        </w:tc>
        <w:tc>
          <w:tcPr>
            <w:vAlign w:val="center"/>
          </w:tcPr>
          <w:p>
            <w:pPr>
              <w:jc w:val="center"/>
            </w:pPr>
            <w:r>
              <w:rPr>
                <w:color w:val="000000"/>
                <w:sz w:val="24"/>
              </w:rPr>
              <w:t>0.14%</w:t>
            </w:r>
          </w:p>
        </w:tc>
      </w:tr>
      <w:tr>
        <w:tc>
          <w:tcPr>
            <w:vAlign w:val="center"/>
          </w:tcPr>
          <w:p>
            <w:pPr>
              <w:jc w:val="left"/>
            </w:pPr>
            <w:r>
              <w:rPr>
                <w:color w:val="000000"/>
                <w:sz w:val="24"/>
              </w:rPr>
              <w:t>过去一年</w:t>
            </w:r>
          </w:p>
        </w:tc>
        <w:tc>
          <w:tcPr>
            <w:vAlign w:val="center"/>
          </w:tcPr>
          <w:p>
            <w:pPr>
              <w:jc w:val="center"/>
            </w:pPr>
            <w:r>
              <w:rPr>
                <w:color w:val="000000"/>
                <w:sz w:val="24"/>
              </w:rPr>
              <w:t>6.43%</w:t>
            </w:r>
          </w:p>
        </w:tc>
        <w:tc>
          <w:tcPr>
            <w:vAlign w:val="center"/>
          </w:tcPr>
          <w:p>
            <w:pPr>
              <w:jc w:val="center"/>
            </w:pPr>
            <w:r>
              <w:rPr>
                <w:color w:val="000000"/>
                <w:sz w:val="24"/>
              </w:rPr>
              <w:t>0.27%</w:t>
            </w:r>
          </w:p>
        </w:tc>
        <w:tc>
          <w:tcPr>
            <w:vAlign w:val="center"/>
          </w:tcPr>
          <w:p>
            <w:pPr>
              <w:jc w:val="center"/>
            </w:pPr>
            <w:r>
              <w:rPr>
                <w:color w:val="000000"/>
                <w:sz w:val="24"/>
              </w:rPr>
              <w:t>2.33%</w:t>
            </w:r>
          </w:p>
        </w:tc>
        <w:tc>
          <w:tcPr>
            <w:vAlign w:val="center"/>
          </w:tcPr>
          <w:p>
            <w:pPr>
              <w:jc w:val="center"/>
            </w:pPr>
            <w:r>
              <w:rPr>
                <w:color w:val="000000"/>
                <w:sz w:val="24"/>
              </w:rPr>
              <w:t>0.14%</w:t>
            </w:r>
          </w:p>
        </w:tc>
        <w:tc>
          <w:tcPr>
            <w:vAlign w:val="center"/>
          </w:tcPr>
          <w:p>
            <w:pPr>
              <w:jc w:val="center"/>
            </w:pPr>
            <w:r>
              <w:rPr>
                <w:color w:val="000000"/>
                <w:sz w:val="24"/>
              </w:rPr>
              <w:t>4.10%</w:t>
            </w:r>
          </w:p>
        </w:tc>
        <w:tc>
          <w:tcPr>
            <w:vAlign w:val="center"/>
          </w:tcPr>
          <w:p>
            <w:pPr>
              <w:jc w:val="center"/>
            </w:pPr>
            <w:r>
              <w:rPr>
                <w:color w:val="000000"/>
                <w:sz w:val="24"/>
              </w:rPr>
              <w:t>0.13%</w:t>
            </w:r>
          </w:p>
        </w:tc>
      </w:tr>
      <w:tr>
        <w:tc>
          <w:tcPr>
            <w:vAlign w:val="center"/>
          </w:tcPr>
          <w:p>
            <w:pPr>
              <w:jc w:val="left"/>
            </w:pPr>
            <w:r>
              <w:rPr>
                <w:color w:val="000000"/>
                <w:sz w:val="24"/>
              </w:rPr>
              <w:t>过去三年</w:t>
            </w:r>
          </w:p>
        </w:tc>
        <w:tc>
          <w:tcPr>
            <w:vAlign w:val="center"/>
          </w:tcPr>
          <w:p>
            <w:pPr>
              <w:jc w:val="center"/>
            </w:pPr>
            <w:r>
              <w:rPr>
                <w:color w:val="000000"/>
                <w:sz w:val="24"/>
              </w:rPr>
              <w:t>20.68%</w:t>
            </w:r>
          </w:p>
        </w:tc>
        <w:tc>
          <w:tcPr>
            <w:vAlign w:val="center"/>
          </w:tcPr>
          <w:p>
            <w:pPr>
              <w:jc w:val="center"/>
            </w:pPr>
            <w:r>
              <w:rPr>
                <w:color w:val="000000"/>
                <w:sz w:val="24"/>
              </w:rPr>
              <w:t>0.27%</w:t>
            </w:r>
          </w:p>
        </w:tc>
        <w:tc>
          <w:tcPr>
            <w:vAlign w:val="center"/>
          </w:tcPr>
          <w:p>
            <w:pPr>
              <w:jc w:val="center"/>
            </w:pPr>
            <w:r>
              <w:rPr>
                <w:color w:val="000000"/>
                <w:sz w:val="24"/>
              </w:rPr>
              <w:t>6.25%</w:t>
            </w:r>
          </w:p>
        </w:tc>
        <w:tc>
          <w:tcPr>
            <w:vAlign w:val="center"/>
          </w:tcPr>
          <w:p>
            <w:pPr>
              <w:jc w:val="center"/>
            </w:pPr>
            <w:r>
              <w:rPr>
                <w:color w:val="000000"/>
                <w:sz w:val="24"/>
              </w:rPr>
              <w:t>0.11%</w:t>
            </w:r>
          </w:p>
        </w:tc>
        <w:tc>
          <w:tcPr>
            <w:vAlign w:val="center"/>
          </w:tcPr>
          <w:p>
            <w:pPr>
              <w:jc w:val="center"/>
            </w:pPr>
            <w:r>
              <w:rPr>
                <w:color w:val="000000"/>
                <w:sz w:val="24"/>
              </w:rPr>
              <w:t>14.43%</w:t>
            </w:r>
          </w:p>
        </w:tc>
        <w:tc>
          <w:tcPr>
            <w:vAlign w:val="center"/>
          </w:tcPr>
          <w:p>
            <w:pPr>
              <w:jc w:val="center"/>
            </w:pPr>
            <w:r>
              <w:rPr>
                <w:color w:val="000000"/>
                <w:sz w:val="24"/>
              </w:rPr>
              <w:t>0.16%</w:t>
            </w:r>
          </w:p>
        </w:tc>
      </w:tr>
      <w:tr>
        <w:tc>
          <w:tcPr>
            <w:vAlign w:val="center"/>
          </w:tcPr>
          <w:p>
            <w:pPr>
              <w:jc w:val="left"/>
            </w:pPr>
            <w:r>
              <w:rPr>
                <w:color w:val="000000"/>
                <w:sz w:val="24"/>
              </w:rPr>
              <w:t>过去五年</w:t>
            </w:r>
          </w:p>
        </w:tc>
        <w:tc>
          <w:tcPr>
            <w:vAlign w:val="center"/>
          </w:tcPr>
          <w:p>
            <w:pPr>
              <w:jc w:val="center"/>
            </w:pPr>
            <w:r>
              <w:rPr>
                <w:color w:val="000000"/>
                <w:sz w:val="24"/>
              </w:rPr>
              <w:t>33.32%</w:t>
            </w:r>
          </w:p>
        </w:tc>
        <w:tc>
          <w:tcPr>
            <w:vAlign w:val="center"/>
          </w:tcPr>
          <w:p>
            <w:pPr>
              <w:jc w:val="center"/>
            </w:pPr>
            <w:r>
              <w:rPr>
                <w:color w:val="000000"/>
                <w:sz w:val="24"/>
              </w:rPr>
              <w:t>0.25%</w:t>
            </w:r>
          </w:p>
        </w:tc>
        <w:tc>
          <w:tcPr>
            <w:vAlign w:val="center"/>
          </w:tcPr>
          <w:p>
            <w:pPr>
              <w:jc w:val="center"/>
            </w:pPr>
            <w:r>
              <w:rPr>
                <w:color w:val="000000"/>
                <w:sz w:val="24"/>
              </w:rPr>
              <w:t>5.53%</w:t>
            </w:r>
          </w:p>
        </w:tc>
        <w:tc>
          <w:tcPr>
            <w:vAlign w:val="center"/>
          </w:tcPr>
          <w:p>
            <w:pPr>
              <w:jc w:val="center"/>
            </w:pPr>
            <w:r>
              <w:rPr>
                <w:color w:val="000000"/>
                <w:sz w:val="24"/>
              </w:rPr>
              <w:t>0.11%</w:t>
            </w:r>
          </w:p>
        </w:tc>
        <w:tc>
          <w:tcPr>
            <w:vAlign w:val="center"/>
          </w:tcPr>
          <w:p>
            <w:pPr>
              <w:jc w:val="center"/>
            </w:pPr>
            <w:r>
              <w:rPr>
                <w:color w:val="000000"/>
                <w:sz w:val="24"/>
              </w:rPr>
              <w:t>27.79%</w:t>
            </w:r>
          </w:p>
        </w:tc>
        <w:tc>
          <w:tcPr>
            <w:vAlign w:val="center"/>
          </w:tcPr>
          <w:p>
            <w:pPr>
              <w:jc w:val="center"/>
            </w:pPr>
            <w:r>
              <w:rPr>
                <w:color w:val="000000"/>
                <w:sz w:val="24"/>
              </w:rPr>
              <w:t>0.14%</w:t>
            </w:r>
          </w:p>
        </w:tc>
      </w:tr>
      <w:tr>
        <w:tc>
          <w:tcPr>
            <w:vAlign w:val="center"/>
          </w:tcPr>
          <w:p>
            <w:pPr>
              <w:jc w:val="left"/>
            </w:pPr>
            <w:r>
              <w:rPr>
                <w:color w:val="000000"/>
                <w:sz w:val="24"/>
              </w:rPr>
              <w:t>自基金合同生效起至今</w:t>
            </w:r>
          </w:p>
        </w:tc>
        <w:tc>
          <w:tcPr>
            <w:vAlign w:val="center"/>
          </w:tcPr>
          <w:p>
            <w:pPr>
              <w:jc w:val="center"/>
            </w:pPr>
            <w:r>
              <w:rPr>
                <w:color w:val="000000"/>
                <w:sz w:val="24"/>
              </w:rPr>
              <w:t>176.92%</w:t>
            </w:r>
          </w:p>
        </w:tc>
        <w:tc>
          <w:tcPr>
            <w:vAlign w:val="center"/>
          </w:tcPr>
          <w:p>
            <w:pPr>
              <w:jc w:val="center"/>
            </w:pPr>
            <w:r>
              <w:rPr>
                <w:color w:val="000000"/>
                <w:sz w:val="24"/>
              </w:rPr>
              <w:t>0.29%</w:t>
            </w:r>
          </w:p>
        </w:tc>
        <w:tc>
          <w:tcPr>
            <w:vAlign w:val="center"/>
          </w:tcPr>
          <w:p>
            <w:pPr>
              <w:jc w:val="center"/>
            </w:pPr>
            <w:r>
              <w:rPr>
                <w:color w:val="000000"/>
                <w:sz w:val="24"/>
              </w:rPr>
              <w:t>13.67%</w:t>
            </w:r>
          </w:p>
        </w:tc>
        <w:tc>
          <w:tcPr>
            <w:vAlign w:val="center"/>
          </w:tcPr>
          <w:p>
            <w:pPr>
              <w:jc w:val="center"/>
            </w:pPr>
            <w:r>
              <w:rPr>
                <w:color w:val="000000"/>
                <w:sz w:val="24"/>
              </w:rPr>
              <w:t>0.13%</w:t>
            </w:r>
          </w:p>
        </w:tc>
        <w:tc>
          <w:tcPr>
            <w:vAlign w:val="center"/>
          </w:tcPr>
          <w:p>
            <w:pPr>
              <w:jc w:val="center"/>
            </w:pPr>
            <w:r>
              <w:rPr>
                <w:color w:val="000000"/>
                <w:sz w:val="24"/>
              </w:rPr>
              <w:t>163.25%</w:t>
            </w:r>
          </w:p>
        </w:tc>
        <w:tc>
          <w:tcPr>
            <w:vAlign w:val="center"/>
          </w:tcPr>
          <w:p>
            <w:pPr>
              <w:jc w:val="center"/>
            </w:pPr>
            <w:r>
              <w:rPr>
                <w:color w:val="000000"/>
                <w:sz w:val="24"/>
              </w:rPr>
              <w:t>0.16%</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易方达增强回报债券B</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2.06%</w:t>
            </w:r>
          </w:p>
        </w:tc>
        <w:tc>
          <w:tcPr>
            <w:vAlign w:val="center"/>
          </w:tcPr>
          <w:p>
            <w:pPr>
              <w:jc w:val="center"/>
            </w:pPr>
            <w:r>
              <w:rPr>
                <w:color w:val="000000"/>
                <w:sz w:val="24"/>
              </w:rPr>
              <w:t>0.23%</w:t>
            </w:r>
          </w:p>
        </w:tc>
        <w:tc>
          <w:tcPr>
            <w:vAlign w:val="center"/>
          </w:tcPr>
          <w:p>
            <w:pPr>
              <w:jc w:val="center"/>
            </w:pPr>
            <w:r>
              <w:rPr>
                <w:color w:val="000000"/>
                <w:sz w:val="24"/>
              </w:rPr>
              <w:t>-1.70%</w:t>
            </w:r>
          </w:p>
        </w:tc>
        <w:tc>
          <w:tcPr>
            <w:vAlign w:val="center"/>
          </w:tcPr>
          <w:p>
            <w:pPr>
              <w:jc w:val="center"/>
            </w:pPr>
            <w:r>
              <w:rPr>
                <w:color w:val="000000"/>
                <w:sz w:val="24"/>
              </w:rPr>
              <w:t>0.19%</w:t>
            </w:r>
          </w:p>
        </w:tc>
        <w:tc>
          <w:tcPr>
            <w:vAlign w:val="center"/>
          </w:tcPr>
          <w:p>
            <w:pPr>
              <w:jc w:val="center"/>
            </w:pPr>
            <w:r>
              <w:rPr>
                <w:color w:val="000000"/>
                <w:sz w:val="24"/>
              </w:rPr>
              <w:t>3.76%</w:t>
            </w:r>
          </w:p>
        </w:tc>
        <w:tc>
          <w:tcPr>
            <w:vAlign w:val="center"/>
          </w:tcPr>
          <w:p>
            <w:pPr>
              <w:jc w:val="center"/>
            </w:pPr>
            <w:r>
              <w:rPr>
                <w:color w:val="000000"/>
                <w:sz w:val="24"/>
              </w:rPr>
              <w:t>0.04%</w:t>
            </w:r>
          </w:p>
        </w:tc>
      </w:tr>
      <w:tr>
        <w:tc>
          <w:tcPr>
            <w:vAlign w:val="center"/>
          </w:tcPr>
          <w:p>
            <w:pPr>
              <w:jc w:val="left"/>
            </w:pPr>
            <w:r>
              <w:rPr>
                <w:color w:val="000000"/>
                <w:sz w:val="24"/>
              </w:rPr>
              <w:t>过去六个月</w:t>
            </w:r>
          </w:p>
        </w:tc>
        <w:tc>
          <w:tcPr>
            <w:vAlign w:val="center"/>
          </w:tcPr>
          <w:p>
            <w:pPr>
              <w:jc w:val="center"/>
            </w:pPr>
            <w:r>
              <w:rPr>
                <w:color w:val="000000"/>
                <w:sz w:val="24"/>
              </w:rPr>
              <w:t>0.87%</w:t>
            </w:r>
          </w:p>
        </w:tc>
        <w:tc>
          <w:tcPr>
            <w:vAlign w:val="center"/>
          </w:tcPr>
          <w:p>
            <w:pPr>
              <w:jc w:val="center"/>
            </w:pPr>
            <w:r>
              <w:rPr>
                <w:color w:val="000000"/>
                <w:sz w:val="24"/>
              </w:rPr>
              <w:t>0.33%</w:t>
            </w:r>
          </w:p>
        </w:tc>
        <w:tc>
          <w:tcPr>
            <w:vAlign w:val="center"/>
          </w:tcPr>
          <w:p>
            <w:pPr>
              <w:jc w:val="center"/>
            </w:pPr>
            <w:r>
              <w:rPr>
                <w:color w:val="000000"/>
                <w:sz w:val="24"/>
              </w:rPr>
              <w:t>0.84%</w:t>
            </w:r>
          </w:p>
        </w:tc>
        <w:tc>
          <w:tcPr>
            <w:vAlign w:val="center"/>
          </w:tcPr>
          <w:p>
            <w:pPr>
              <w:jc w:val="center"/>
            </w:pPr>
            <w:r>
              <w:rPr>
                <w:color w:val="000000"/>
                <w:sz w:val="24"/>
              </w:rPr>
              <w:t>0.18%</w:t>
            </w:r>
          </w:p>
        </w:tc>
        <w:tc>
          <w:tcPr>
            <w:vAlign w:val="center"/>
          </w:tcPr>
          <w:p>
            <w:pPr>
              <w:jc w:val="center"/>
            </w:pPr>
            <w:r>
              <w:rPr>
                <w:color w:val="000000"/>
                <w:sz w:val="24"/>
              </w:rPr>
              <w:t>0.03%</w:t>
            </w:r>
          </w:p>
        </w:tc>
        <w:tc>
          <w:tcPr>
            <w:vAlign w:val="center"/>
          </w:tcPr>
          <w:p>
            <w:pPr>
              <w:jc w:val="center"/>
            </w:pPr>
            <w:r>
              <w:rPr>
                <w:color w:val="000000"/>
                <w:sz w:val="24"/>
              </w:rPr>
              <w:t>0.15%</w:t>
            </w:r>
          </w:p>
        </w:tc>
      </w:tr>
      <w:tr>
        <w:tc>
          <w:tcPr>
            <w:vAlign w:val="center"/>
          </w:tcPr>
          <w:p>
            <w:pPr>
              <w:jc w:val="left"/>
            </w:pPr>
            <w:r>
              <w:rPr>
                <w:color w:val="000000"/>
                <w:sz w:val="24"/>
              </w:rPr>
              <w:t>过去一年</w:t>
            </w:r>
          </w:p>
        </w:tc>
        <w:tc>
          <w:tcPr>
            <w:vAlign w:val="center"/>
          </w:tcPr>
          <w:p>
            <w:pPr>
              <w:jc w:val="center"/>
            </w:pPr>
            <w:r>
              <w:rPr>
                <w:color w:val="000000"/>
                <w:sz w:val="24"/>
              </w:rPr>
              <w:t>6.00%</w:t>
            </w:r>
          </w:p>
        </w:tc>
        <w:tc>
          <w:tcPr>
            <w:vAlign w:val="center"/>
          </w:tcPr>
          <w:p>
            <w:pPr>
              <w:jc w:val="center"/>
            </w:pPr>
            <w:r>
              <w:rPr>
                <w:color w:val="000000"/>
                <w:sz w:val="24"/>
              </w:rPr>
              <w:t>0.27%</w:t>
            </w:r>
          </w:p>
        </w:tc>
        <w:tc>
          <w:tcPr>
            <w:vAlign w:val="center"/>
          </w:tcPr>
          <w:p>
            <w:pPr>
              <w:jc w:val="center"/>
            </w:pPr>
            <w:r>
              <w:rPr>
                <w:color w:val="000000"/>
                <w:sz w:val="24"/>
              </w:rPr>
              <w:t>2.33%</w:t>
            </w:r>
          </w:p>
        </w:tc>
        <w:tc>
          <w:tcPr>
            <w:vAlign w:val="center"/>
          </w:tcPr>
          <w:p>
            <w:pPr>
              <w:jc w:val="center"/>
            </w:pPr>
            <w:r>
              <w:rPr>
                <w:color w:val="000000"/>
                <w:sz w:val="24"/>
              </w:rPr>
              <w:t>0.14%</w:t>
            </w:r>
          </w:p>
        </w:tc>
        <w:tc>
          <w:tcPr>
            <w:vAlign w:val="center"/>
          </w:tcPr>
          <w:p>
            <w:pPr>
              <w:jc w:val="center"/>
            </w:pPr>
            <w:r>
              <w:rPr>
                <w:color w:val="000000"/>
                <w:sz w:val="24"/>
              </w:rPr>
              <w:t>3.67%</w:t>
            </w:r>
          </w:p>
        </w:tc>
        <w:tc>
          <w:tcPr>
            <w:vAlign w:val="center"/>
          </w:tcPr>
          <w:p>
            <w:pPr>
              <w:jc w:val="center"/>
            </w:pPr>
            <w:r>
              <w:rPr>
                <w:color w:val="000000"/>
                <w:sz w:val="24"/>
              </w:rPr>
              <w:t>0.13%</w:t>
            </w:r>
          </w:p>
        </w:tc>
      </w:tr>
      <w:tr>
        <w:tc>
          <w:tcPr>
            <w:vAlign w:val="center"/>
          </w:tcPr>
          <w:p>
            <w:pPr>
              <w:jc w:val="left"/>
            </w:pPr>
            <w:r>
              <w:rPr>
                <w:color w:val="000000"/>
                <w:sz w:val="24"/>
              </w:rPr>
              <w:t>过去三年</w:t>
            </w:r>
          </w:p>
        </w:tc>
        <w:tc>
          <w:tcPr>
            <w:vAlign w:val="center"/>
          </w:tcPr>
          <w:p>
            <w:pPr>
              <w:jc w:val="center"/>
            </w:pPr>
            <w:r>
              <w:rPr>
                <w:color w:val="000000"/>
                <w:sz w:val="24"/>
              </w:rPr>
              <w:t>19.16%</w:t>
            </w:r>
          </w:p>
        </w:tc>
        <w:tc>
          <w:tcPr>
            <w:vAlign w:val="center"/>
          </w:tcPr>
          <w:p>
            <w:pPr>
              <w:jc w:val="center"/>
            </w:pPr>
            <w:r>
              <w:rPr>
                <w:color w:val="000000"/>
                <w:sz w:val="24"/>
              </w:rPr>
              <w:t>0.28%</w:t>
            </w:r>
          </w:p>
        </w:tc>
        <w:tc>
          <w:tcPr>
            <w:vAlign w:val="center"/>
          </w:tcPr>
          <w:p>
            <w:pPr>
              <w:jc w:val="center"/>
            </w:pPr>
            <w:r>
              <w:rPr>
                <w:color w:val="000000"/>
                <w:sz w:val="24"/>
              </w:rPr>
              <w:t>6.25%</w:t>
            </w:r>
          </w:p>
        </w:tc>
        <w:tc>
          <w:tcPr>
            <w:vAlign w:val="center"/>
          </w:tcPr>
          <w:p>
            <w:pPr>
              <w:jc w:val="center"/>
            </w:pPr>
            <w:r>
              <w:rPr>
                <w:color w:val="000000"/>
                <w:sz w:val="24"/>
              </w:rPr>
              <w:t>0.11%</w:t>
            </w:r>
          </w:p>
        </w:tc>
        <w:tc>
          <w:tcPr>
            <w:vAlign w:val="center"/>
          </w:tcPr>
          <w:p>
            <w:pPr>
              <w:jc w:val="center"/>
            </w:pPr>
            <w:r>
              <w:rPr>
                <w:color w:val="000000"/>
                <w:sz w:val="24"/>
              </w:rPr>
              <w:t>12.91%</w:t>
            </w:r>
          </w:p>
        </w:tc>
        <w:tc>
          <w:tcPr>
            <w:vAlign w:val="center"/>
          </w:tcPr>
          <w:p>
            <w:pPr>
              <w:jc w:val="center"/>
            </w:pPr>
            <w:r>
              <w:rPr>
                <w:color w:val="000000"/>
                <w:sz w:val="24"/>
              </w:rPr>
              <w:t>0.17%</w:t>
            </w:r>
          </w:p>
        </w:tc>
      </w:tr>
      <w:tr>
        <w:tc>
          <w:tcPr>
            <w:vAlign w:val="center"/>
          </w:tcPr>
          <w:p>
            <w:pPr>
              <w:jc w:val="left"/>
            </w:pPr>
            <w:r>
              <w:rPr>
                <w:color w:val="000000"/>
                <w:sz w:val="24"/>
              </w:rPr>
              <w:t>过去五年</w:t>
            </w:r>
          </w:p>
        </w:tc>
        <w:tc>
          <w:tcPr>
            <w:vAlign w:val="center"/>
          </w:tcPr>
          <w:p>
            <w:pPr>
              <w:jc w:val="center"/>
            </w:pPr>
            <w:r>
              <w:rPr>
                <w:color w:val="000000"/>
                <w:sz w:val="24"/>
              </w:rPr>
              <w:t>30.58%</w:t>
            </w:r>
          </w:p>
        </w:tc>
        <w:tc>
          <w:tcPr>
            <w:vAlign w:val="center"/>
          </w:tcPr>
          <w:p>
            <w:pPr>
              <w:jc w:val="center"/>
            </w:pPr>
            <w:r>
              <w:rPr>
                <w:color w:val="000000"/>
                <w:sz w:val="24"/>
              </w:rPr>
              <w:t>0.25%</w:t>
            </w:r>
          </w:p>
        </w:tc>
        <w:tc>
          <w:tcPr>
            <w:vAlign w:val="center"/>
          </w:tcPr>
          <w:p>
            <w:pPr>
              <w:jc w:val="center"/>
            </w:pPr>
            <w:r>
              <w:rPr>
                <w:color w:val="000000"/>
                <w:sz w:val="24"/>
              </w:rPr>
              <w:t>5.53%</w:t>
            </w:r>
          </w:p>
        </w:tc>
        <w:tc>
          <w:tcPr>
            <w:vAlign w:val="center"/>
          </w:tcPr>
          <w:p>
            <w:pPr>
              <w:jc w:val="center"/>
            </w:pPr>
            <w:r>
              <w:rPr>
                <w:color w:val="000000"/>
                <w:sz w:val="24"/>
              </w:rPr>
              <w:t>0.11%</w:t>
            </w:r>
          </w:p>
        </w:tc>
        <w:tc>
          <w:tcPr>
            <w:vAlign w:val="center"/>
          </w:tcPr>
          <w:p>
            <w:pPr>
              <w:jc w:val="center"/>
            </w:pPr>
            <w:r>
              <w:rPr>
                <w:color w:val="000000"/>
                <w:sz w:val="24"/>
              </w:rPr>
              <w:t>25.05%</w:t>
            </w:r>
          </w:p>
        </w:tc>
        <w:tc>
          <w:tcPr>
            <w:vAlign w:val="center"/>
          </w:tcPr>
          <w:p>
            <w:pPr>
              <w:jc w:val="center"/>
            </w:pPr>
            <w:r>
              <w:rPr>
                <w:color w:val="000000"/>
                <w:sz w:val="24"/>
              </w:rPr>
              <w:t>0.14%</w:t>
            </w:r>
          </w:p>
        </w:tc>
      </w:tr>
      <w:tr>
        <w:tc>
          <w:tcPr>
            <w:vAlign w:val="center"/>
          </w:tcPr>
          <w:p>
            <w:pPr>
              <w:jc w:val="left"/>
            </w:pPr>
            <w:r>
              <w:rPr>
                <w:color w:val="000000"/>
                <w:sz w:val="24"/>
              </w:rPr>
              <w:t>自基金合同生效起至今</w:t>
            </w:r>
          </w:p>
        </w:tc>
        <w:tc>
          <w:tcPr>
            <w:vAlign w:val="center"/>
          </w:tcPr>
          <w:p>
            <w:pPr>
              <w:jc w:val="center"/>
            </w:pPr>
            <w:r>
              <w:rPr>
                <w:color w:val="000000"/>
                <w:sz w:val="24"/>
              </w:rPr>
              <w:t>162.83%</w:t>
            </w:r>
          </w:p>
        </w:tc>
        <w:tc>
          <w:tcPr>
            <w:vAlign w:val="center"/>
          </w:tcPr>
          <w:p>
            <w:pPr>
              <w:jc w:val="center"/>
            </w:pPr>
            <w:r>
              <w:rPr>
                <w:color w:val="000000"/>
                <w:sz w:val="24"/>
              </w:rPr>
              <w:t>0.29%</w:t>
            </w:r>
          </w:p>
        </w:tc>
        <w:tc>
          <w:tcPr>
            <w:vAlign w:val="center"/>
          </w:tcPr>
          <w:p>
            <w:pPr>
              <w:jc w:val="center"/>
            </w:pPr>
            <w:r>
              <w:rPr>
                <w:color w:val="000000"/>
                <w:sz w:val="24"/>
              </w:rPr>
              <w:t>13.67%</w:t>
            </w:r>
          </w:p>
        </w:tc>
        <w:tc>
          <w:tcPr>
            <w:vAlign w:val="center"/>
          </w:tcPr>
          <w:p>
            <w:pPr>
              <w:jc w:val="center"/>
            </w:pPr>
            <w:r>
              <w:rPr>
                <w:color w:val="000000"/>
                <w:sz w:val="24"/>
              </w:rPr>
              <w:t>0.13%</w:t>
            </w:r>
          </w:p>
        </w:tc>
        <w:tc>
          <w:tcPr>
            <w:vAlign w:val="center"/>
          </w:tcPr>
          <w:p>
            <w:pPr>
              <w:jc w:val="center"/>
            </w:pPr>
            <w:r>
              <w:rPr>
                <w:color w:val="000000"/>
                <w:sz w:val="24"/>
              </w:rPr>
              <w:t>149.16%</w:t>
            </w:r>
          </w:p>
        </w:tc>
        <w:tc>
          <w:tcPr>
            <w:vAlign w:val="center"/>
          </w:tcPr>
          <w:p>
            <w:pPr>
              <w:jc w:val="center"/>
            </w:pPr>
            <w:r>
              <w:rPr>
                <w:color w:val="000000"/>
                <w:sz w:val="24"/>
              </w:rPr>
              <w:t>0.16%</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易方达增强回报债券型证券投资基金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（2008年3月19日至2020年6月30日）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易方达增强回报债券A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易方达增强回报债券B</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注：自基金合同生效至报告期末，A类基金份额净值增长率为176.92%，B类基金份额净值增长率为162.83%，同期业绩比较基准收益率为13.67%。</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投资级信用债债券型证券投资基金的基金经理、易方达中债新综合债券指数发起式证券投资基金（LOF）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1-3年国开行债券指数证券投资基金的基金经理、易方达中债3-5年国开行债券指数证券投资基金的基金经理、易方达恒兴3个月定期开放债券型发起式证券投资基金的基金经理、易方达中债1-3年政策性金融债指数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2011-08-15</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r>
        <w:tc>
          <w:tcPr>
            <w:vAlign w:val="center"/>
          </w:tcPr>
          <w:p>
            <w:pPr>
              <w:jc w:val="center"/>
            </w:pPr>
            <w:r>
              <w:rPr>
                <w:color w:val="000000"/>
                <w:sz w:val="24"/>
              </w:rPr>
              <w:t>张雅君</w:t>
            </w:r>
          </w:p>
        </w:tc>
        <w:tc>
          <w:tcPr>
            <w:vAlign w:val="center"/>
          </w:tcPr>
          <w:p>
            <w:pPr>
              <w:jc w:val="left"/>
            </w:pPr>
            <w:r>
              <w:rPr>
                <w:color w:val="000000"/>
                <w:sz w:val="24"/>
              </w:rPr>
              <w:t>本基金的基金经理、易方达纯债债券型证券投资基金的基金经理、易方达裕丰回报债券型证券投资基金的基金经理、易方达富财纯债债券型证券投资基金的基金经理、易方达恒兴3个月定期开放债券型发起式证券投资基金的基金经理、易方达裕富债券型证券投资基金的基金经理、易方达招易一年持有期混合型证券投资基金的基金经理、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易方达恒久添利1年定期开放债券型证券投资基金的基金经理助理（自2019年04月04日至2020年05月21日）、混合资产投资部总经理助理</w:t>
            </w:r>
          </w:p>
        </w:tc>
        <w:tc>
          <w:tcPr>
            <w:vAlign w:val="center"/>
          </w:tcPr>
          <w:p>
            <w:pPr>
              <w:jc w:val="center"/>
            </w:pPr>
            <w:r>
              <w:rPr>
                <w:color w:val="000000"/>
                <w:sz w:val="24"/>
              </w:rPr>
              <w:t>2014-07-19</w:t>
            </w:r>
          </w:p>
        </w:tc>
        <w:tc>
          <w:tcPr>
            <w:vAlign w:val="center"/>
          </w:tcPr>
          <w:p>
            <w:pPr>
              <w:jc w:val="center"/>
            </w:pPr>
            <w:r>
              <w:rPr>
                <w:color w:val="000000"/>
                <w:sz w:val="24"/>
              </w:rPr>
              <w:t>2020-05-27</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中债3-5年期国债指数证券投资基金基金经理、易方达中债7-10年期国开行债券指数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rPr>
      </w:pPr>
      <w:r>
        <w:rPr>
          <w:color w:val="000000"/>
          <w:sz w:val="24"/>
        </w:rPr>
        <w:t>2.证券从业的含义遵从《证券业从业人员资格管理办法》的相关规定。</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3.本基金基金经理王晓晨曾因休产假超过30日，在其休假期间，本基金由同为基金经理的张雅君继续进行管理。在本报告期内，基金经理王晓晨已结束休假恢复履职。</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rPr>
      </w:pPr>
      <w:r>
        <w:rPr>
          <w:color w:val="000000"/>
          <w:sz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上半年末，央行适时开启逆回购呵护半年末流动性，市场情绪有所恢复，长端收益率趋于稳定。信用债走势与利率债类似，全季来看收益率整体大幅上行。</w:t>
      </w:r>
    </w:p>
    <w:p>
      <w:pPr>
        <w:spacing w:line="360" w:lineRule="auto"/>
        <w:ind w:firstLine="480" w:firstLineChars="200"/>
        <w:rPr>
          <w:color w:val="000000"/>
          <w:sz w:val="24"/>
        </w:rPr>
      </w:pPr>
      <w:r>
        <w:rPr>
          <w:color w:val="000000"/>
          <w:sz w:val="24"/>
        </w:rPr>
        <w:t>股票市场方面，二季度整体上涨，创业板表现好于主板，医药和科技板块表现较好。全季看，上证指数上涨10.02%，上证50指数上涨11.92%，沪深300指数上涨15.24%，创业板指数上涨29.26%。</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本基金维持了中性偏高的杠杆水平，债券仓位方面主要以中短期限的中高等级信用债为主,积极根据市场情况进行利率债波段操作；股票仓位方面，保留的股票仓位旨在承受一定波动的前提下获得长期超过债券的回报；可转债仓位方面，主要持有流动性较好的大盘转债。从各类资产的贡献度来看，信用债和权益资产为组合贡献了较多的正收益。</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1.270元，本报告期份额净值增长率为2.21%，同期业绩比较基准收益率为-1.70%；B类基金份额净值为1.261元，本报告期份额净值增长率为2.06%，同期业绩比较基准收益率为-1.70%。</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1,120,983,013.47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13.18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1,120,983,013.47</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13.18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7,028,691,081.28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82.66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7,008,625,081.28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82.42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20,066,000.00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0.24</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78,454,776.92</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0.92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275,462,084.09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3.24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8,503,590,955.76</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165,822,241.20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2.72</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455,966,552.35</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7.47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18,540,000.00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0.30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2,825,000.00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0.05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184,864,260.44</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3.03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292,964,959.48</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4.80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1,120,983,013.47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18.36</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600690</w:t>
            </w:r>
          </w:p>
        </w:tc>
        <w:tc>
          <w:tcPr>
            <w:vAlign w:val="center"/>
          </w:tcPr>
          <w:p>
            <w:pPr>
              <w:jc w:val="center"/>
            </w:pPr>
            <w:r>
              <w:rPr>
                <w:color w:val="000000"/>
                <w:sz w:val="24"/>
              </w:rPr>
              <w:t>海尔智家</w:t>
            </w:r>
          </w:p>
        </w:tc>
        <w:tc>
          <w:tcPr>
            <w:vAlign w:val="center"/>
          </w:tcPr>
          <w:p>
            <w:pPr>
              <w:jc w:val="right"/>
            </w:pPr>
            <w:r>
              <w:rPr>
                <w:color w:val="000000"/>
                <w:sz w:val="24"/>
              </w:rPr>
              <w:t>10,316,619</w:t>
            </w:r>
          </w:p>
        </w:tc>
        <w:tc>
          <w:tcPr>
            <w:vAlign w:val="center"/>
          </w:tcPr>
          <w:p>
            <w:pPr>
              <w:jc w:val="right"/>
            </w:pPr>
            <w:r>
              <w:rPr>
                <w:color w:val="000000"/>
                <w:sz w:val="24"/>
              </w:rPr>
              <w:t>182,604,156.30</w:t>
            </w:r>
          </w:p>
        </w:tc>
        <w:tc>
          <w:tcPr>
            <w:vAlign w:val="center"/>
          </w:tcPr>
          <w:p>
            <w:pPr>
              <w:jc w:val="right"/>
            </w:pPr>
            <w:r>
              <w:rPr>
                <w:color w:val="000000"/>
                <w:sz w:val="24"/>
              </w:rPr>
              <w:t>2.99</w:t>
            </w:r>
          </w:p>
        </w:tc>
      </w:tr>
      <w:tr>
        <w:tc>
          <w:tcPr>
            <w:vAlign w:val="center"/>
          </w:tcPr>
          <w:p>
            <w:pPr>
              <w:jc w:val="center"/>
            </w:pPr>
            <w:r>
              <w:rPr>
                <w:color w:val="000000"/>
                <w:sz w:val="24"/>
              </w:rPr>
              <w:t>2</w:t>
            </w:r>
          </w:p>
        </w:tc>
        <w:tc>
          <w:tcPr>
            <w:vAlign w:val="center"/>
          </w:tcPr>
          <w:p>
            <w:pPr>
              <w:jc w:val="center"/>
            </w:pPr>
            <w:r>
              <w:rPr>
                <w:color w:val="000000"/>
                <w:sz w:val="24"/>
              </w:rPr>
              <w:t>601899</w:t>
            </w:r>
          </w:p>
        </w:tc>
        <w:tc>
          <w:tcPr>
            <w:vAlign w:val="center"/>
          </w:tcPr>
          <w:p>
            <w:pPr>
              <w:jc w:val="center"/>
            </w:pPr>
            <w:r>
              <w:rPr>
                <w:color w:val="000000"/>
                <w:sz w:val="24"/>
              </w:rPr>
              <w:t>紫金矿业</w:t>
            </w:r>
          </w:p>
        </w:tc>
        <w:tc>
          <w:tcPr>
            <w:vAlign w:val="center"/>
          </w:tcPr>
          <w:p>
            <w:pPr>
              <w:jc w:val="right"/>
            </w:pPr>
            <w:r>
              <w:rPr>
                <w:color w:val="000000"/>
                <w:sz w:val="24"/>
              </w:rPr>
              <w:t>37,686,873</w:t>
            </w:r>
          </w:p>
        </w:tc>
        <w:tc>
          <w:tcPr>
            <w:vAlign w:val="center"/>
          </w:tcPr>
          <w:p>
            <w:pPr>
              <w:jc w:val="right"/>
            </w:pPr>
            <w:r>
              <w:rPr>
                <w:color w:val="000000"/>
                <w:sz w:val="24"/>
              </w:rPr>
              <w:t>165,822,241.20</w:t>
            </w:r>
          </w:p>
        </w:tc>
        <w:tc>
          <w:tcPr>
            <w:vAlign w:val="center"/>
          </w:tcPr>
          <w:p>
            <w:pPr>
              <w:jc w:val="right"/>
            </w:pPr>
            <w:r>
              <w:rPr>
                <w:color w:val="000000"/>
                <w:sz w:val="24"/>
              </w:rPr>
              <w:t>2.72</w:t>
            </w:r>
          </w:p>
        </w:tc>
      </w:tr>
      <w:tr>
        <w:tc>
          <w:tcPr>
            <w:vAlign w:val="center"/>
          </w:tcPr>
          <w:p>
            <w:pPr>
              <w:jc w:val="center"/>
            </w:pPr>
            <w:r>
              <w:rPr>
                <w:color w:val="000000"/>
                <w:sz w:val="24"/>
              </w:rPr>
              <w:t>3</w:t>
            </w:r>
          </w:p>
        </w:tc>
        <w:tc>
          <w:tcPr>
            <w:vAlign w:val="center"/>
          </w:tcPr>
          <w:p>
            <w:pPr>
              <w:jc w:val="center"/>
            </w:pPr>
            <w:r>
              <w:rPr>
                <w:color w:val="000000"/>
                <w:sz w:val="24"/>
              </w:rPr>
              <w:t>000568</w:t>
            </w:r>
          </w:p>
        </w:tc>
        <w:tc>
          <w:tcPr>
            <w:vAlign w:val="center"/>
          </w:tcPr>
          <w:p>
            <w:pPr>
              <w:jc w:val="center"/>
            </w:pPr>
            <w:r>
              <w:rPr>
                <w:color w:val="000000"/>
                <w:sz w:val="24"/>
              </w:rPr>
              <w:t>泸州老窖</w:t>
            </w:r>
          </w:p>
        </w:tc>
        <w:tc>
          <w:tcPr>
            <w:vAlign w:val="center"/>
          </w:tcPr>
          <w:p>
            <w:pPr>
              <w:jc w:val="right"/>
            </w:pPr>
            <w:r>
              <w:rPr>
                <w:color w:val="000000"/>
                <w:sz w:val="24"/>
              </w:rPr>
              <w:t>1,237,273</w:t>
            </w:r>
          </w:p>
        </w:tc>
        <w:tc>
          <w:tcPr>
            <w:vAlign w:val="center"/>
          </w:tcPr>
          <w:p>
            <w:pPr>
              <w:jc w:val="right"/>
            </w:pPr>
            <w:r>
              <w:rPr>
                <w:color w:val="000000"/>
                <w:sz w:val="24"/>
              </w:rPr>
              <w:t>112,740,315.76</w:t>
            </w:r>
          </w:p>
        </w:tc>
        <w:tc>
          <w:tcPr>
            <w:vAlign w:val="center"/>
          </w:tcPr>
          <w:p>
            <w:pPr>
              <w:jc w:val="right"/>
            </w:pPr>
            <w:r>
              <w:rPr>
                <w:color w:val="000000"/>
                <w:sz w:val="24"/>
              </w:rPr>
              <w:t>1.85</w:t>
            </w:r>
          </w:p>
        </w:tc>
      </w:tr>
      <w:tr>
        <w:tc>
          <w:tcPr>
            <w:vAlign w:val="center"/>
          </w:tcPr>
          <w:p>
            <w:pPr>
              <w:jc w:val="center"/>
            </w:pPr>
            <w:r>
              <w:rPr>
                <w:color w:val="000000"/>
                <w:sz w:val="24"/>
              </w:rPr>
              <w:t>4</w:t>
            </w:r>
          </w:p>
        </w:tc>
        <w:tc>
          <w:tcPr>
            <w:vAlign w:val="center"/>
          </w:tcPr>
          <w:p>
            <w:pPr>
              <w:jc w:val="center"/>
            </w:pPr>
            <w:r>
              <w:rPr>
                <w:color w:val="000000"/>
                <w:sz w:val="24"/>
              </w:rPr>
              <w:t>000001</w:t>
            </w:r>
          </w:p>
        </w:tc>
        <w:tc>
          <w:tcPr>
            <w:vAlign w:val="center"/>
          </w:tcPr>
          <w:p>
            <w:pPr>
              <w:jc w:val="center"/>
            </w:pPr>
            <w:r>
              <w:rPr>
                <w:color w:val="000000"/>
                <w:sz w:val="24"/>
              </w:rPr>
              <w:t>平安银行</w:t>
            </w:r>
          </w:p>
        </w:tc>
        <w:tc>
          <w:tcPr>
            <w:vAlign w:val="center"/>
          </w:tcPr>
          <w:p>
            <w:pPr>
              <w:jc w:val="right"/>
            </w:pPr>
            <w:r>
              <w:rPr>
                <w:color w:val="000000"/>
                <w:sz w:val="24"/>
              </w:rPr>
              <w:t>7,448,030</w:t>
            </w:r>
          </w:p>
        </w:tc>
        <w:tc>
          <w:tcPr>
            <w:vAlign w:val="center"/>
          </w:tcPr>
          <w:p>
            <w:pPr>
              <w:jc w:val="right"/>
            </w:pPr>
            <w:r>
              <w:rPr>
                <w:color w:val="000000"/>
                <w:sz w:val="24"/>
              </w:rPr>
              <w:t>95,334,784.00</w:t>
            </w:r>
          </w:p>
        </w:tc>
        <w:tc>
          <w:tcPr>
            <w:vAlign w:val="center"/>
          </w:tcPr>
          <w:p>
            <w:pPr>
              <w:jc w:val="right"/>
            </w:pPr>
            <w:r>
              <w:rPr>
                <w:color w:val="000000"/>
                <w:sz w:val="24"/>
              </w:rPr>
              <w:t>1.56</w:t>
            </w:r>
          </w:p>
        </w:tc>
      </w:tr>
      <w:tr>
        <w:tc>
          <w:tcPr>
            <w:vAlign w:val="center"/>
          </w:tcPr>
          <w:p>
            <w:pPr>
              <w:jc w:val="center"/>
            </w:pPr>
            <w:r>
              <w:rPr>
                <w:color w:val="000000"/>
                <w:sz w:val="24"/>
              </w:rPr>
              <w:t>5</w:t>
            </w:r>
          </w:p>
        </w:tc>
        <w:tc>
          <w:tcPr>
            <w:vAlign w:val="center"/>
          </w:tcPr>
          <w:p>
            <w:pPr>
              <w:jc w:val="center"/>
            </w:pPr>
            <w:r>
              <w:rPr>
                <w:color w:val="000000"/>
                <w:sz w:val="24"/>
              </w:rPr>
              <w:t>600004</w:t>
            </w:r>
          </w:p>
        </w:tc>
        <w:tc>
          <w:tcPr>
            <w:vAlign w:val="center"/>
          </w:tcPr>
          <w:p>
            <w:pPr>
              <w:jc w:val="center"/>
            </w:pPr>
            <w:r>
              <w:rPr>
                <w:color w:val="000000"/>
                <w:sz w:val="24"/>
              </w:rPr>
              <w:t>白云机场</w:t>
            </w:r>
          </w:p>
        </w:tc>
        <w:tc>
          <w:tcPr>
            <w:vAlign w:val="center"/>
          </w:tcPr>
          <w:p>
            <w:pPr>
              <w:jc w:val="right"/>
            </w:pPr>
            <w:r>
              <w:rPr>
                <w:color w:val="000000"/>
                <w:sz w:val="24"/>
              </w:rPr>
              <w:t>4,993,955</w:t>
            </w:r>
          </w:p>
        </w:tc>
        <w:tc>
          <w:tcPr>
            <w:vAlign w:val="center"/>
          </w:tcPr>
          <w:p>
            <w:pPr>
              <w:jc w:val="right"/>
            </w:pPr>
            <w:r>
              <w:rPr>
                <w:color w:val="000000"/>
                <w:sz w:val="24"/>
              </w:rPr>
              <w:t>76,107,874.20</w:t>
            </w:r>
          </w:p>
        </w:tc>
        <w:tc>
          <w:tcPr>
            <w:vAlign w:val="center"/>
          </w:tcPr>
          <w:p>
            <w:pPr>
              <w:jc w:val="right"/>
            </w:pPr>
            <w:r>
              <w:rPr>
                <w:color w:val="000000"/>
                <w:sz w:val="24"/>
              </w:rPr>
              <w:t>1.25</w:t>
            </w:r>
          </w:p>
        </w:tc>
      </w:tr>
      <w:tr>
        <w:tc>
          <w:tcPr>
            <w:vAlign w:val="center"/>
          </w:tcPr>
          <w:p>
            <w:pPr>
              <w:jc w:val="center"/>
            </w:pPr>
            <w:r>
              <w:rPr>
                <w:color w:val="000000"/>
                <w:sz w:val="24"/>
              </w:rPr>
              <w:t>6</w:t>
            </w:r>
          </w:p>
        </w:tc>
        <w:tc>
          <w:tcPr>
            <w:vAlign w:val="center"/>
          </w:tcPr>
          <w:p>
            <w:pPr>
              <w:jc w:val="center"/>
            </w:pPr>
            <w:r>
              <w:rPr>
                <w:color w:val="000000"/>
                <w:sz w:val="24"/>
              </w:rPr>
              <w:t>002142</w:t>
            </w:r>
          </w:p>
        </w:tc>
        <w:tc>
          <w:tcPr>
            <w:vAlign w:val="center"/>
          </w:tcPr>
          <w:p>
            <w:pPr>
              <w:jc w:val="center"/>
            </w:pPr>
            <w:r>
              <w:rPr>
                <w:color w:val="000000"/>
                <w:sz w:val="24"/>
              </w:rPr>
              <w:t>宁波银行</w:t>
            </w:r>
          </w:p>
        </w:tc>
        <w:tc>
          <w:tcPr>
            <w:vAlign w:val="center"/>
          </w:tcPr>
          <w:p>
            <w:pPr>
              <w:jc w:val="right"/>
            </w:pPr>
            <w:r>
              <w:rPr>
                <w:color w:val="000000"/>
                <w:sz w:val="24"/>
              </w:rPr>
              <w:t>2,635,560</w:t>
            </w:r>
          </w:p>
        </w:tc>
        <w:tc>
          <w:tcPr>
            <w:vAlign w:val="center"/>
          </w:tcPr>
          <w:p>
            <w:pPr>
              <w:jc w:val="right"/>
            </w:pPr>
            <w:r>
              <w:rPr>
                <w:color w:val="000000"/>
                <w:sz w:val="24"/>
              </w:rPr>
              <w:t>69,236,161.20</w:t>
            </w:r>
          </w:p>
        </w:tc>
        <w:tc>
          <w:tcPr>
            <w:vAlign w:val="center"/>
          </w:tcPr>
          <w:p>
            <w:pPr>
              <w:jc w:val="right"/>
            </w:pPr>
            <w:r>
              <w:rPr>
                <w:color w:val="000000"/>
                <w:sz w:val="24"/>
              </w:rPr>
              <w:t>1.13</w:t>
            </w:r>
          </w:p>
        </w:tc>
      </w:tr>
      <w:tr>
        <w:tc>
          <w:tcPr>
            <w:vAlign w:val="center"/>
          </w:tcPr>
          <w:p>
            <w:pPr>
              <w:jc w:val="center"/>
            </w:pPr>
            <w:r>
              <w:rPr>
                <w:color w:val="000000"/>
                <w:sz w:val="24"/>
              </w:rPr>
              <w:t>7</w:t>
            </w:r>
          </w:p>
        </w:tc>
        <w:tc>
          <w:tcPr>
            <w:vAlign w:val="center"/>
          </w:tcPr>
          <w:p>
            <w:pPr>
              <w:jc w:val="center"/>
            </w:pPr>
            <w:r>
              <w:rPr>
                <w:color w:val="000000"/>
                <w:sz w:val="24"/>
              </w:rPr>
              <w:t>600031</w:t>
            </w:r>
          </w:p>
        </w:tc>
        <w:tc>
          <w:tcPr>
            <w:vAlign w:val="center"/>
          </w:tcPr>
          <w:p>
            <w:pPr>
              <w:jc w:val="center"/>
            </w:pPr>
            <w:r>
              <w:rPr>
                <w:color w:val="000000"/>
                <w:sz w:val="24"/>
              </w:rPr>
              <w:t>三一重工</w:t>
            </w:r>
          </w:p>
        </w:tc>
        <w:tc>
          <w:tcPr>
            <w:vAlign w:val="center"/>
          </w:tcPr>
          <w:p>
            <w:pPr>
              <w:jc w:val="right"/>
            </w:pPr>
            <w:r>
              <w:rPr>
                <w:color w:val="000000"/>
                <w:sz w:val="24"/>
              </w:rPr>
              <w:t>3,653,325</w:t>
            </w:r>
          </w:p>
        </w:tc>
        <w:tc>
          <w:tcPr>
            <w:vAlign w:val="center"/>
          </w:tcPr>
          <w:p>
            <w:pPr>
              <w:jc w:val="right"/>
            </w:pPr>
            <w:r>
              <w:rPr>
                <w:color w:val="000000"/>
                <w:sz w:val="24"/>
              </w:rPr>
              <w:t>68,536,377.00</w:t>
            </w:r>
          </w:p>
        </w:tc>
        <w:tc>
          <w:tcPr>
            <w:vAlign w:val="center"/>
          </w:tcPr>
          <w:p>
            <w:pPr>
              <w:jc w:val="right"/>
            </w:pPr>
            <w:r>
              <w:rPr>
                <w:color w:val="000000"/>
                <w:sz w:val="24"/>
              </w:rPr>
              <w:t>1.12</w:t>
            </w:r>
          </w:p>
        </w:tc>
      </w:tr>
      <w:tr>
        <w:tc>
          <w:tcPr>
            <w:vAlign w:val="center"/>
          </w:tcPr>
          <w:p>
            <w:pPr>
              <w:jc w:val="center"/>
            </w:pPr>
            <w:r>
              <w:rPr>
                <w:color w:val="000000"/>
                <w:sz w:val="24"/>
              </w:rPr>
              <w:t>8</w:t>
            </w:r>
          </w:p>
        </w:tc>
        <w:tc>
          <w:tcPr>
            <w:vAlign w:val="center"/>
          </w:tcPr>
          <w:p>
            <w:pPr>
              <w:jc w:val="center"/>
            </w:pPr>
            <w:r>
              <w:rPr>
                <w:color w:val="000000"/>
                <w:sz w:val="24"/>
              </w:rPr>
              <w:t>601318</w:t>
            </w:r>
          </w:p>
        </w:tc>
        <w:tc>
          <w:tcPr>
            <w:vAlign w:val="center"/>
          </w:tcPr>
          <w:p>
            <w:pPr>
              <w:jc w:val="center"/>
            </w:pPr>
            <w:r>
              <w:rPr>
                <w:color w:val="000000"/>
                <w:sz w:val="24"/>
              </w:rPr>
              <w:t>中国平安</w:t>
            </w:r>
          </w:p>
        </w:tc>
        <w:tc>
          <w:tcPr>
            <w:vAlign w:val="center"/>
          </w:tcPr>
          <w:p>
            <w:pPr>
              <w:jc w:val="right"/>
            </w:pPr>
            <w:r>
              <w:rPr>
                <w:color w:val="000000"/>
                <w:sz w:val="24"/>
              </w:rPr>
              <w:t>950,000</w:t>
            </w:r>
          </w:p>
        </w:tc>
        <w:tc>
          <w:tcPr>
            <w:vAlign w:val="center"/>
          </w:tcPr>
          <w:p>
            <w:pPr>
              <w:jc w:val="right"/>
            </w:pPr>
            <w:r>
              <w:rPr>
                <w:color w:val="000000"/>
                <w:sz w:val="24"/>
              </w:rPr>
              <w:t>67,830,000.00</w:t>
            </w:r>
          </w:p>
        </w:tc>
        <w:tc>
          <w:tcPr>
            <w:vAlign w:val="center"/>
          </w:tcPr>
          <w:p>
            <w:pPr>
              <w:jc w:val="right"/>
            </w:pPr>
            <w:r>
              <w:rPr>
                <w:color w:val="000000"/>
                <w:sz w:val="24"/>
              </w:rPr>
              <w:t>1.11</w:t>
            </w:r>
          </w:p>
        </w:tc>
      </w:tr>
      <w:tr>
        <w:tc>
          <w:tcPr>
            <w:vAlign w:val="center"/>
          </w:tcPr>
          <w:p>
            <w:pPr>
              <w:jc w:val="center"/>
            </w:pPr>
            <w:r>
              <w:rPr>
                <w:color w:val="000000"/>
                <w:sz w:val="24"/>
              </w:rPr>
              <w:t>9</w:t>
            </w:r>
          </w:p>
        </w:tc>
        <w:tc>
          <w:tcPr>
            <w:vAlign w:val="center"/>
          </w:tcPr>
          <w:p>
            <w:pPr>
              <w:jc w:val="center"/>
            </w:pPr>
            <w:r>
              <w:rPr>
                <w:color w:val="000000"/>
                <w:sz w:val="24"/>
              </w:rPr>
              <w:t>601336</w:t>
            </w:r>
          </w:p>
        </w:tc>
        <w:tc>
          <w:tcPr>
            <w:vAlign w:val="center"/>
          </w:tcPr>
          <w:p>
            <w:pPr>
              <w:jc w:val="center"/>
            </w:pPr>
            <w:r>
              <w:rPr>
                <w:color w:val="000000"/>
                <w:sz w:val="24"/>
              </w:rPr>
              <w:t>新华保险</w:t>
            </w:r>
          </w:p>
        </w:tc>
        <w:tc>
          <w:tcPr>
            <w:vAlign w:val="center"/>
          </w:tcPr>
          <w:p>
            <w:pPr>
              <w:jc w:val="right"/>
            </w:pPr>
            <w:r>
              <w:rPr>
                <w:color w:val="000000"/>
                <w:sz w:val="24"/>
              </w:rPr>
              <w:t>1,367,751</w:t>
            </w:r>
          </w:p>
        </w:tc>
        <w:tc>
          <w:tcPr>
            <w:vAlign w:val="center"/>
          </w:tcPr>
          <w:p>
            <w:pPr>
              <w:jc w:val="right"/>
            </w:pPr>
            <w:r>
              <w:rPr>
                <w:color w:val="000000"/>
                <w:sz w:val="24"/>
              </w:rPr>
              <w:t>60,564,014.28</w:t>
            </w:r>
          </w:p>
        </w:tc>
        <w:tc>
          <w:tcPr>
            <w:vAlign w:val="center"/>
          </w:tcPr>
          <w:p>
            <w:pPr>
              <w:jc w:val="right"/>
            </w:pPr>
            <w:r>
              <w:rPr>
                <w:color w:val="000000"/>
                <w:sz w:val="24"/>
              </w:rPr>
              <w:t>0.99</w:t>
            </w:r>
          </w:p>
        </w:tc>
      </w:tr>
      <w:tr>
        <w:tc>
          <w:tcPr>
            <w:vAlign w:val="center"/>
          </w:tcPr>
          <w:p>
            <w:pPr>
              <w:jc w:val="center"/>
            </w:pPr>
            <w:r>
              <w:rPr>
                <w:color w:val="000000"/>
                <w:sz w:val="24"/>
              </w:rPr>
              <w:t>10</w:t>
            </w:r>
          </w:p>
        </w:tc>
        <w:tc>
          <w:tcPr>
            <w:vAlign w:val="center"/>
          </w:tcPr>
          <w:p>
            <w:pPr>
              <w:jc w:val="center"/>
            </w:pPr>
            <w:r>
              <w:rPr>
                <w:color w:val="000000"/>
                <w:sz w:val="24"/>
              </w:rPr>
              <w:t>601111</w:t>
            </w:r>
          </w:p>
        </w:tc>
        <w:tc>
          <w:tcPr>
            <w:vAlign w:val="center"/>
          </w:tcPr>
          <w:p>
            <w:pPr>
              <w:jc w:val="center"/>
            </w:pPr>
            <w:r>
              <w:rPr>
                <w:color w:val="000000"/>
                <w:sz w:val="24"/>
              </w:rPr>
              <w:t>中国国航</w:t>
            </w:r>
          </w:p>
        </w:tc>
        <w:tc>
          <w:tcPr>
            <w:vAlign w:val="center"/>
          </w:tcPr>
          <w:p>
            <w:pPr>
              <w:jc w:val="right"/>
            </w:pPr>
            <w:r>
              <w:rPr>
                <w:color w:val="000000"/>
                <w:sz w:val="24"/>
              </w:rPr>
              <w:t>6,418,485</w:t>
            </w:r>
          </w:p>
        </w:tc>
        <w:tc>
          <w:tcPr>
            <w:vAlign w:val="center"/>
          </w:tcPr>
          <w:p>
            <w:pPr>
              <w:jc w:val="right"/>
            </w:pPr>
            <w:r>
              <w:rPr>
                <w:color w:val="000000"/>
                <w:sz w:val="24"/>
              </w:rPr>
              <w:t>42,426,185.85</w:t>
            </w:r>
          </w:p>
        </w:tc>
        <w:tc>
          <w:tcPr>
            <w:vAlign w:val="center"/>
          </w:tcPr>
          <w:p>
            <w:pPr>
              <w:jc w:val="right"/>
            </w:pPr>
            <w:r>
              <w:rPr>
                <w:color w:val="000000"/>
                <w:sz w:val="24"/>
              </w:rPr>
              <w:t>0.69</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122,439,000.00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2.01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1,324,917,541.00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21.70</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1,316,401,000.00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21.56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2,921,476,576.90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47.85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1,963,222,000.00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32.15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676,569,963.38</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11.08</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7,008,625,081.28</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114.78</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180210</w:t>
            </w:r>
          </w:p>
        </w:tc>
        <w:tc>
          <w:tcPr>
            <w:vAlign w:val="center"/>
          </w:tcPr>
          <w:p>
            <w:pPr>
              <w:jc w:val="center"/>
            </w:pPr>
            <w:r>
              <w:rPr>
                <w:color w:val="000000"/>
                <w:sz w:val="24"/>
              </w:rPr>
              <w:t>18国开10</w:t>
            </w:r>
          </w:p>
        </w:tc>
        <w:tc>
          <w:tcPr>
            <w:vAlign w:val="center"/>
          </w:tcPr>
          <w:p>
            <w:pPr>
              <w:jc w:val="right"/>
            </w:pPr>
            <w:r>
              <w:rPr>
                <w:color w:val="000000"/>
                <w:sz w:val="24"/>
              </w:rPr>
              <w:t>2,300,000</w:t>
            </w:r>
          </w:p>
        </w:tc>
        <w:tc>
          <w:tcPr>
            <w:vAlign w:val="center"/>
          </w:tcPr>
          <w:p>
            <w:pPr>
              <w:jc w:val="right"/>
            </w:pPr>
            <w:r>
              <w:rPr>
                <w:color w:val="000000"/>
                <w:sz w:val="24"/>
              </w:rPr>
              <w:t>240,833,000.00</w:t>
            </w:r>
          </w:p>
        </w:tc>
        <w:tc>
          <w:tcPr>
            <w:vAlign w:val="center"/>
          </w:tcPr>
          <w:p>
            <w:pPr>
              <w:jc w:val="right"/>
            </w:pPr>
            <w:r>
              <w:rPr>
                <w:color w:val="000000"/>
                <w:sz w:val="24"/>
              </w:rPr>
              <w:t>3.94</w:t>
            </w:r>
          </w:p>
        </w:tc>
      </w:tr>
      <w:tr>
        <w:tc>
          <w:tcPr>
            <w:vAlign w:val="center"/>
          </w:tcPr>
          <w:p>
            <w:pPr>
              <w:jc w:val="center"/>
            </w:pPr>
            <w:r>
              <w:rPr>
                <w:color w:val="000000"/>
                <w:sz w:val="24"/>
              </w:rPr>
              <w:t>2</w:t>
            </w:r>
          </w:p>
        </w:tc>
        <w:tc>
          <w:tcPr>
            <w:vAlign w:val="center"/>
          </w:tcPr>
          <w:p>
            <w:pPr>
              <w:jc w:val="center"/>
            </w:pPr>
            <w:r>
              <w:rPr>
                <w:color w:val="000000"/>
                <w:sz w:val="24"/>
              </w:rPr>
              <w:t>180205</w:t>
            </w:r>
          </w:p>
        </w:tc>
        <w:tc>
          <w:tcPr>
            <w:vAlign w:val="center"/>
          </w:tcPr>
          <w:p>
            <w:pPr>
              <w:jc w:val="center"/>
            </w:pPr>
            <w:r>
              <w:rPr>
                <w:color w:val="000000"/>
                <w:sz w:val="24"/>
              </w:rPr>
              <w:t>18国开05</w:t>
            </w:r>
          </w:p>
        </w:tc>
        <w:tc>
          <w:tcPr>
            <w:vAlign w:val="center"/>
          </w:tcPr>
          <w:p>
            <w:pPr>
              <w:jc w:val="right"/>
            </w:pPr>
            <w:r>
              <w:rPr>
                <w:color w:val="000000"/>
                <w:sz w:val="24"/>
              </w:rPr>
              <w:t>1,600,000</w:t>
            </w:r>
          </w:p>
        </w:tc>
        <w:tc>
          <w:tcPr>
            <w:vAlign w:val="center"/>
          </w:tcPr>
          <w:p>
            <w:pPr>
              <w:jc w:val="right"/>
            </w:pPr>
            <w:r>
              <w:rPr>
                <w:color w:val="000000"/>
                <w:sz w:val="24"/>
              </w:rPr>
              <w:t>176,176,000.00</w:t>
            </w:r>
          </w:p>
        </w:tc>
        <w:tc>
          <w:tcPr>
            <w:vAlign w:val="center"/>
          </w:tcPr>
          <w:p>
            <w:pPr>
              <w:jc w:val="right"/>
            </w:pPr>
            <w:r>
              <w:rPr>
                <w:color w:val="000000"/>
                <w:sz w:val="24"/>
              </w:rPr>
              <w:t>2.89</w:t>
            </w:r>
          </w:p>
        </w:tc>
      </w:tr>
      <w:tr>
        <w:tc>
          <w:tcPr>
            <w:vAlign w:val="center"/>
          </w:tcPr>
          <w:p>
            <w:pPr>
              <w:jc w:val="center"/>
            </w:pPr>
            <w:r>
              <w:rPr>
                <w:color w:val="000000"/>
                <w:sz w:val="24"/>
              </w:rPr>
              <w:t>3</w:t>
            </w:r>
          </w:p>
        </w:tc>
        <w:tc>
          <w:tcPr>
            <w:vAlign w:val="center"/>
          </w:tcPr>
          <w:p>
            <w:pPr>
              <w:jc w:val="center"/>
            </w:pPr>
            <w:r>
              <w:rPr>
                <w:color w:val="000000"/>
                <w:sz w:val="24"/>
              </w:rPr>
              <w:t>101900980</w:t>
            </w:r>
          </w:p>
        </w:tc>
        <w:tc>
          <w:tcPr>
            <w:vAlign w:val="center"/>
          </w:tcPr>
          <w:p>
            <w:pPr>
              <w:jc w:val="center"/>
            </w:pPr>
            <w:r>
              <w:rPr>
                <w:color w:val="000000"/>
                <w:sz w:val="24"/>
              </w:rPr>
              <w:t>19中煤能源MTN001</w:t>
            </w:r>
          </w:p>
        </w:tc>
        <w:tc>
          <w:tcPr>
            <w:vAlign w:val="center"/>
          </w:tcPr>
          <w:p>
            <w:pPr>
              <w:jc w:val="right"/>
            </w:pPr>
            <w:r>
              <w:rPr>
                <w:color w:val="000000"/>
                <w:sz w:val="24"/>
              </w:rPr>
              <w:t>1,700,000</w:t>
            </w:r>
          </w:p>
        </w:tc>
        <w:tc>
          <w:tcPr>
            <w:vAlign w:val="center"/>
          </w:tcPr>
          <w:p>
            <w:pPr>
              <w:jc w:val="right"/>
            </w:pPr>
            <w:r>
              <w:rPr>
                <w:color w:val="000000"/>
                <w:sz w:val="24"/>
              </w:rPr>
              <w:t>174,216,000.00</w:t>
            </w:r>
          </w:p>
        </w:tc>
        <w:tc>
          <w:tcPr>
            <w:vAlign w:val="center"/>
          </w:tcPr>
          <w:p>
            <w:pPr>
              <w:jc w:val="right"/>
            </w:pPr>
            <w:r>
              <w:rPr>
                <w:color w:val="000000"/>
                <w:sz w:val="24"/>
              </w:rPr>
              <w:t>2.85</w:t>
            </w:r>
          </w:p>
        </w:tc>
      </w:tr>
      <w:tr>
        <w:tc>
          <w:tcPr>
            <w:vAlign w:val="center"/>
          </w:tcPr>
          <w:p>
            <w:pPr>
              <w:jc w:val="center"/>
            </w:pPr>
            <w:r>
              <w:rPr>
                <w:color w:val="000000"/>
                <w:sz w:val="24"/>
              </w:rPr>
              <w:t>4</w:t>
            </w:r>
          </w:p>
        </w:tc>
        <w:tc>
          <w:tcPr>
            <w:vAlign w:val="center"/>
          </w:tcPr>
          <w:p>
            <w:pPr>
              <w:jc w:val="center"/>
            </w:pPr>
            <w:r>
              <w:rPr>
                <w:color w:val="000000"/>
                <w:sz w:val="24"/>
              </w:rPr>
              <w:t>160213</w:t>
            </w:r>
          </w:p>
        </w:tc>
        <w:tc>
          <w:tcPr>
            <w:vAlign w:val="center"/>
          </w:tcPr>
          <w:p>
            <w:pPr>
              <w:jc w:val="center"/>
            </w:pPr>
            <w:r>
              <w:rPr>
                <w:color w:val="000000"/>
                <w:sz w:val="24"/>
              </w:rPr>
              <w:t>16国开13</w:t>
            </w:r>
          </w:p>
        </w:tc>
        <w:tc>
          <w:tcPr>
            <w:vAlign w:val="center"/>
          </w:tcPr>
          <w:p>
            <w:pPr>
              <w:jc w:val="right"/>
            </w:pPr>
            <w:r>
              <w:rPr>
                <w:color w:val="000000"/>
                <w:sz w:val="24"/>
              </w:rPr>
              <w:t>1,700,000</w:t>
            </w:r>
          </w:p>
        </w:tc>
        <w:tc>
          <w:tcPr>
            <w:vAlign w:val="center"/>
          </w:tcPr>
          <w:p>
            <w:pPr>
              <w:jc w:val="right"/>
            </w:pPr>
            <w:r>
              <w:rPr>
                <w:color w:val="000000"/>
                <w:sz w:val="24"/>
              </w:rPr>
              <w:t>167,943,000.00</w:t>
            </w:r>
          </w:p>
        </w:tc>
        <w:tc>
          <w:tcPr>
            <w:vAlign w:val="center"/>
          </w:tcPr>
          <w:p>
            <w:pPr>
              <w:jc w:val="right"/>
            </w:pPr>
            <w:r>
              <w:rPr>
                <w:color w:val="000000"/>
                <w:sz w:val="24"/>
              </w:rPr>
              <w:t>2.75</w:t>
            </w:r>
          </w:p>
        </w:tc>
      </w:tr>
      <w:tr>
        <w:tc>
          <w:tcPr>
            <w:vAlign w:val="center"/>
          </w:tcPr>
          <w:p>
            <w:pPr>
              <w:jc w:val="center"/>
            </w:pPr>
            <w:r>
              <w:rPr>
                <w:color w:val="000000"/>
                <w:sz w:val="24"/>
              </w:rPr>
              <w:t>5</w:t>
            </w:r>
          </w:p>
        </w:tc>
        <w:tc>
          <w:tcPr>
            <w:vAlign w:val="center"/>
          </w:tcPr>
          <w:p>
            <w:pPr>
              <w:jc w:val="center"/>
            </w:pPr>
            <w:r>
              <w:rPr>
                <w:color w:val="000000"/>
                <w:sz w:val="24"/>
              </w:rPr>
              <w:t>132018</w:t>
            </w:r>
          </w:p>
        </w:tc>
        <w:tc>
          <w:tcPr>
            <w:vAlign w:val="center"/>
          </w:tcPr>
          <w:p>
            <w:pPr>
              <w:jc w:val="center"/>
            </w:pPr>
            <w:r>
              <w:rPr>
                <w:color w:val="000000"/>
                <w:sz w:val="24"/>
              </w:rPr>
              <w:t>G三峡EB1</w:t>
            </w:r>
          </w:p>
        </w:tc>
        <w:tc>
          <w:tcPr>
            <w:vAlign w:val="center"/>
          </w:tcPr>
          <w:p>
            <w:pPr>
              <w:jc w:val="right"/>
            </w:pPr>
            <w:r>
              <w:rPr>
                <w:color w:val="000000"/>
                <w:sz w:val="24"/>
              </w:rPr>
              <w:t>1,452,820</w:t>
            </w:r>
          </w:p>
        </w:tc>
        <w:tc>
          <w:tcPr>
            <w:vAlign w:val="center"/>
          </w:tcPr>
          <w:p>
            <w:pPr>
              <w:jc w:val="right"/>
            </w:pPr>
            <w:r>
              <w:rPr>
                <w:color w:val="000000"/>
                <w:sz w:val="24"/>
              </w:rPr>
              <w:t>161,204,907.20</w:t>
            </w:r>
          </w:p>
        </w:tc>
        <w:tc>
          <w:tcPr>
            <w:vAlign w:val="center"/>
          </w:tcPr>
          <w:p>
            <w:pPr>
              <w:jc w:val="right"/>
            </w:pPr>
            <w:r>
              <w:rPr>
                <w:color w:val="000000"/>
                <w:sz w:val="24"/>
              </w:rPr>
              <w:t>2.64</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165717</w:t>
            </w:r>
          </w:p>
        </w:tc>
        <w:tc>
          <w:tcPr>
            <w:vAlign w:val="center"/>
          </w:tcPr>
          <w:p>
            <w:pPr>
              <w:jc w:val="center"/>
            </w:pPr>
            <w:r>
              <w:rPr>
                <w:color w:val="000000"/>
                <w:sz w:val="24"/>
              </w:rPr>
              <w:t>20六局2A</w:t>
            </w:r>
          </w:p>
        </w:tc>
        <w:tc>
          <w:tcPr>
            <w:vAlign w:val="center"/>
          </w:tcPr>
          <w:p>
            <w:pPr>
              <w:jc w:val="right"/>
            </w:pPr>
            <w:r>
              <w:rPr>
                <w:color w:val="000000"/>
                <w:sz w:val="24"/>
              </w:rPr>
              <w:t>100,000</w:t>
            </w:r>
          </w:p>
        </w:tc>
        <w:tc>
          <w:tcPr>
            <w:vAlign w:val="center"/>
          </w:tcPr>
          <w:p>
            <w:pPr>
              <w:jc w:val="right"/>
            </w:pPr>
            <w:r>
              <w:rPr>
                <w:color w:val="000000"/>
                <w:sz w:val="24"/>
              </w:rPr>
              <w:t>10,050,000.00</w:t>
            </w:r>
          </w:p>
        </w:tc>
        <w:tc>
          <w:tcPr>
            <w:vAlign w:val="center"/>
          </w:tcPr>
          <w:p>
            <w:pPr>
              <w:jc w:val="right"/>
            </w:pPr>
            <w:r>
              <w:rPr>
                <w:color w:val="000000"/>
                <w:sz w:val="24"/>
              </w:rPr>
              <w:t>0.16</w:t>
            </w:r>
          </w:p>
        </w:tc>
      </w:tr>
      <w:tr>
        <w:tc>
          <w:tcPr>
            <w:vAlign w:val="center"/>
          </w:tcPr>
          <w:p>
            <w:pPr>
              <w:jc w:val="center"/>
            </w:pPr>
            <w:r>
              <w:rPr>
                <w:color w:val="000000"/>
                <w:sz w:val="24"/>
              </w:rPr>
              <w:t>2</w:t>
            </w:r>
          </w:p>
        </w:tc>
        <w:tc>
          <w:tcPr>
            <w:vAlign w:val="center"/>
          </w:tcPr>
          <w:p>
            <w:pPr>
              <w:jc w:val="center"/>
            </w:pPr>
            <w:r>
              <w:rPr>
                <w:color w:val="000000"/>
                <w:sz w:val="24"/>
              </w:rPr>
              <w:t>138470</w:t>
            </w:r>
          </w:p>
        </w:tc>
        <w:tc>
          <w:tcPr>
            <w:vAlign w:val="center"/>
          </w:tcPr>
          <w:p>
            <w:pPr>
              <w:jc w:val="center"/>
            </w:pPr>
            <w:r>
              <w:rPr>
                <w:color w:val="000000"/>
                <w:sz w:val="24"/>
              </w:rPr>
              <w:t>鹏举04优</w:t>
            </w:r>
          </w:p>
        </w:tc>
        <w:tc>
          <w:tcPr>
            <w:vAlign w:val="center"/>
          </w:tcPr>
          <w:p>
            <w:pPr>
              <w:jc w:val="right"/>
            </w:pPr>
            <w:r>
              <w:rPr>
                <w:color w:val="000000"/>
                <w:sz w:val="24"/>
              </w:rPr>
              <w:t>100,000</w:t>
            </w:r>
          </w:p>
        </w:tc>
        <w:tc>
          <w:tcPr>
            <w:vAlign w:val="center"/>
          </w:tcPr>
          <w:p>
            <w:pPr>
              <w:jc w:val="right"/>
            </w:pPr>
            <w:r>
              <w:rPr>
                <w:color w:val="000000"/>
                <w:sz w:val="24"/>
              </w:rPr>
              <w:t>10,016,000.00</w:t>
            </w:r>
          </w:p>
        </w:tc>
        <w:tc>
          <w:tcPr>
            <w:vAlign w:val="center"/>
          </w:tcPr>
          <w:p>
            <w:pPr>
              <w:jc w:val="right"/>
            </w:pPr>
            <w:r>
              <w:rPr>
                <w:color w:val="000000"/>
                <w:sz w:val="24"/>
              </w:rPr>
              <w:t>0.16</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87,253.89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108,772,347.21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138,151,294.10</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28,451,188.89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275,462,084.09</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132018</w:t>
            </w:r>
          </w:p>
        </w:tc>
        <w:tc>
          <w:tcPr>
            <w:vAlign w:val="center"/>
          </w:tcPr>
          <w:p>
            <w:pPr>
              <w:jc w:val="center"/>
            </w:pPr>
            <w:r>
              <w:rPr>
                <w:color w:val="000000"/>
                <w:sz w:val="24"/>
              </w:rPr>
              <w:t>G三峡EB1</w:t>
            </w:r>
          </w:p>
        </w:tc>
        <w:tc>
          <w:tcPr>
            <w:vAlign w:val="center"/>
          </w:tcPr>
          <w:p>
            <w:pPr>
              <w:jc w:val="right"/>
            </w:pPr>
            <w:r>
              <w:rPr>
                <w:color w:val="000000"/>
                <w:sz w:val="24"/>
              </w:rPr>
              <w:t>161,204,907.20</w:t>
            </w:r>
          </w:p>
        </w:tc>
        <w:tc>
          <w:tcPr>
            <w:vAlign w:val="center"/>
          </w:tcPr>
          <w:p>
            <w:pPr>
              <w:jc w:val="right"/>
            </w:pPr>
            <w:r>
              <w:rPr>
                <w:color w:val="000000"/>
                <w:sz w:val="24"/>
              </w:rPr>
              <w:t>2.64</w:t>
            </w:r>
          </w:p>
        </w:tc>
      </w:tr>
      <w:tr>
        <w:tc>
          <w:tcPr>
            <w:vAlign w:val="center"/>
          </w:tcPr>
          <w:p>
            <w:pPr>
              <w:jc w:val="center"/>
            </w:pPr>
            <w:r>
              <w:rPr>
                <w:color w:val="000000"/>
                <w:sz w:val="24"/>
              </w:rPr>
              <w:t>2</w:t>
            </w:r>
          </w:p>
        </w:tc>
        <w:tc>
          <w:tcPr>
            <w:vAlign w:val="center"/>
          </w:tcPr>
          <w:p>
            <w:pPr>
              <w:jc w:val="center"/>
            </w:pPr>
            <w:r>
              <w:rPr>
                <w:color w:val="000000"/>
                <w:sz w:val="24"/>
              </w:rPr>
              <w:t>128080</w:t>
            </w:r>
          </w:p>
        </w:tc>
        <w:tc>
          <w:tcPr>
            <w:vAlign w:val="center"/>
          </w:tcPr>
          <w:p>
            <w:pPr>
              <w:jc w:val="center"/>
            </w:pPr>
            <w:r>
              <w:rPr>
                <w:color w:val="000000"/>
                <w:sz w:val="24"/>
              </w:rPr>
              <w:t>顺丰转债</w:t>
            </w:r>
          </w:p>
        </w:tc>
        <w:tc>
          <w:tcPr>
            <w:vAlign w:val="center"/>
          </w:tcPr>
          <w:p>
            <w:pPr>
              <w:jc w:val="right"/>
            </w:pPr>
            <w:r>
              <w:rPr>
                <w:color w:val="000000"/>
                <w:sz w:val="24"/>
              </w:rPr>
              <w:t>82,160,383.50</w:t>
            </w:r>
          </w:p>
        </w:tc>
        <w:tc>
          <w:tcPr>
            <w:vAlign w:val="center"/>
          </w:tcPr>
          <w:p>
            <w:pPr>
              <w:jc w:val="right"/>
            </w:pPr>
            <w:r>
              <w:rPr>
                <w:color w:val="000000"/>
                <w:sz w:val="24"/>
              </w:rPr>
              <w:t>1.35</w:t>
            </w:r>
          </w:p>
        </w:tc>
      </w:tr>
      <w:tr>
        <w:tc>
          <w:tcPr>
            <w:vAlign w:val="center"/>
          </w:tcPr>
          <w:p>
            <w:pPr>
              <w:jc w:val="center"/>
            </w:pPr>
            <w:r>
              <w:rPr>
                <w:color w:val="000000"/>
                <w:sz w:val="24"/>
              </w:rPr>
              <w:t>3</w:t>
            </w:r>
          </w:p>
        </w:tc>
        <w:tc>
          <w:tcPr>
            <w:vAlign w:val="center"/>
          </w:tcPr>
          <w:p>
            <w:pPr>
              <w:jc w:val="center"/>
            </w:pPr>
            <w:r>
              <w:rPr>
                <w:color w:val="000000"/>
                <w:sz w:val="24"/>
              </w:rPr>
              <w:t>132009</w:t>
            </w:r>
          </w:p>
        </w:tc>
        <w:tc>
          <w:tcPr>
            <w:vAlign w:val="center"/>
          </w:tcPr>
          <w:p>
            <w:pPr>
              <w:jc w:val="center"/>
            </w:pPr>
            <w:r>
              <w:rPr>
                <w:color w:val="000000"/>
                <w:sz w:val="24"/>
              </w:rPr>
              <w:t>17中油EB</w:t>
            </w:r>
          </w:p>
        </w:tc>
        <w:tc>
          <w:tcPr>
            <w:vAlign w:val="center"/>
          </w:tcPr>
          <w:p>
            <w:pPr>
              <w:jc w:val="right"/>
            </w:pPr>
            <w:r>
              <w:rPr>
                <w:color w:val="000000"/>
                <w:sz w:val="24"/>
              </w:rPr>
              <w:t>54,659,922.10</w:t>
            </w:r>
          </w:p>
        </w:tc>
        <w:tc>
          <w:tcPr>
            <w:vAlign w:val="center"/>
          </w:tcPr>
          <w:p>
            <w:pPr>
              <w:jc w:val="right"/>
            </w:pPr>
            <w:r>
              <w:rPr>
                <w:color w:val="000000"/>
                <w:sz w:val="24"/>
              </w:rPr>
              <w:t>0.90</w:t>
            </w:r>
          </w:p>
        </w:tc>
      </w:tr>
      <w:tr>
        <w:tc>
          <w:tcPr>
            <w:vAlign w:val="center"/>
          </w:tcPr>
          <w:p>
            <w:pPr>
              <w:jc w:val="center"/>
            </w:pPr>
            <w:r>
              <w:rPr>
                <w:color w:val="000000"/>
                <w:sz w:val="24"/>
              </w:rPr>
              <w:t>4</w:t>
            </w:r>
          </w:p>
        </w:tc>
        <w:tc>
          <w:tcPr>
            <w:vAlign w:val="center"/>
          </w:tcPr>
          <w:p>
            <w:pPr>
              <w:jc w:val="center"/>
            </w:pPr>
            <w:r>
              <w:rPr>
                <w:color w:val="000000"/>
                <w:sz w:val="24"/>
              </w:rPr>
              <w:t>132014</w:t>
            </w:r>
          </w:p>
        </w:tc>
        <w:tc>
          <w:tcPr>
            <w:vAlign w:val="center"/>
          </w:tcPr>
          <w:p>
            <w:pPr>
              <w:jc w:val="center"/>
            </w:pPr>
            <w:r>
              <w:rPr>
                <w:color w:val="000000"/>
                <w:sz w:val="24"/>
              </w:rPr>
              <w:t>18中化EB</w:t>
            </w:r>
          </w:p>
        </w:tc>
        <w:tc>
          <w:tcPr>
            <w:vAlign w:val="center"/>
          </w:tcPr>
          <w:p>
            <w:pPr>
              <w:jc w:val="right"/>
            </w:pPr>
            <w:r>
              <w:rPr>
                <w:color w:val="000000"/>
                <w:sz w:val="24"/>
              </w:rPr>
              <w:t>33,282,492.00</w:t>
            </w:r>
          </w:p>
        </w:tc>
        <w:tc>
          <w:tcPr>
            <w:vAlign w:val="center"/>
          </w:tcPr>
          <w:p>
            <w:pPr>
              <w:jc w:val="right"/>
            </w:pPr>
            <w:r>
              <w:rPr>
                <w:color w:val="000000"/>
                <w:sz w:val="24"/>
              </w:rPr>
              <w:t>0.55</w:t>
            </w:r>
          </w:p>
        </w:tc>
      </w:tr>
      <w:tr>
        <w:tc>
          <w:tcPr>
            <w:vAlign w:val="center"/>
          </w:tcPr>
          <w:p>
            <w:pPr>
              <w:jc w:val="center"/>
            </w:pPr>
            <w:r>
              <w:rPr>
                <w:color w:val="000000"/>
                <w:sz w:val="24"/>
              </w:rPr>
              <w:t>5</w:t>
            </w:r>
          </w:p>
        </w:tc>
        <w:tc>
          <w:tcPr>
            <w:vAlign w:val="center"/>
          </w:tcPr>
          <w:p>
            <w:pPr>
              <w:jc w:val="center"/>
            </w:pPr>
            <w:r>
              <w:rPr>
                <w:color w:val="000000"/>
                <w:sz w:val="24"/>
              </w:rPr>
              <w:t>128019</w:t>
            </w:r>
          </w:p>
        </w:tc>
        <w:tc>
          <w:tcPr>
            <w:vAlign w:val="center"/>
          </w:tcPr>
          <w:p>
            <w:pPr>
              <w:jc w:val="center"/>
            </w:pPr>
            <w:r>
              <w:rPr>
                <w:color w:val="000000"/>
                <w:sz w:val="24"/>
              </w:rPr>
              <w:t>久立转2</w:t>
            </w:r>
          </w:p>
        </w:tc>
        <w:tc>
          <w:tcPr>
            <w:vAlign w:val="center"/>
          </w:tcPr>
          <w:p>
            <w:pPr>
              <w:jc w:val="right"/>
            </w:pPr>
            <w:r>
              <w:rPr>
                <w:color w:val="000000"/>
                <w:sz w:val="24"/>
              </w:rPr>
              <w:t>32,824,136.25</w:t>
            </w:r>
          </w:p>
        </w:tc>
        <w:tc>
          <w:tcPr>
            <w:vAlign w:val="center"/>
          </w:tcPr>
          <w:p>
            <w:pPr>
              <w:jc w:val="right"/>
            </w:pPr>
            <w:r>
              <w:rPr>
                <w:color w:val="000000"/>
                <w:sz w:val="24"/>
              </w:rPr>
              <w:t>0.54</w:t>
            </w:r>
          </w:p>
        </w:tc>
      </w:tr>
      <w:tr>
        <w:tc>
          <w:tcPr>
            <w:vAlign w:val="center"/>
          </w:tcPr>
          <w:p>
            <w:pPr>
              <w:jc w:val="center"/>
            </w:pPr>
            <w:r>
              <w:rPr>
                <w:color w:val="000000"/>
                <w:sz w:val="24"/>
              </w:rPr>
              <w:t>6</w:t>
            </w:r>
          </w:p>
        </w:tc>
        <w:tc>
          <w:tcPr>
            <w:vAlign w:val="center"/>
          </w:tcPr>
          <w:p>
            <w:pPr>
              <w:jc w:val="center"/>
            </w:pPr>
            <w:r>
              <w:rPr>
                <w:color w:val="000000"/>
                <w:sz w:val="24"/>
              </w:rPr>
              <w:t>132005</w:t>
            </w:r>
          </w:p>
        </w:tc>
        <w:tc>
          <w:tcPr>
            <w:vAlign w:val="center"/>
          </w:tcPr>
          <w:p>
            <w:pPr>
              <w:jc w:val="center"/>
            </w:pPr>
            <w:r>
              <w:rPr>
                <w:color w:val="000000"/>
                <w:sz w:val="24"/>
              </w:rPr>
              <w:t>15国资EB</w:t>
            </w:r>
          </w:p>
        </w:tc>
        <w:tc>
          <w:tcPr>
            <w:vAlign w:val="center"/>
          </w:tcPr>
          <w:p>
            <w:pPr>
              <w:jc w:val="right"/>
            </w:pPr>
            <w:r>
              <w:rPr>
                <w:color w:val="000000"/>
                <w:sz w:val="24"/>
              </w:rPr>
              <w:t>32,787,500.00</w:t>
            </w:r>
          </w:p>
        </w:tc>
        <w:tc>
          <w:tcPr>
            <w:vAlign w:val="center"/>
          </w:tcPr>
          <w:p>
            <w:pPr>
              <w:jc w:val="right"/>
            </w:pPr>
            <w:r>
              <w:rPr>
                <w:color w:val="000000"/>
                <w:sz w:val="24"/>
              </w:rPr>
              <w:t>0.54</w:t>
            </w:r>
          </w:p>
        </w:tc>
      </w:tr>
      <w:tr>
        <w:tc>
          <w:tcPr>
            <w:vAlign w:val="center"/>
          </w:tcPr>
          <w:p>
            <w:pPr>
              <w:jc w:val="center"/>
            </w:pPr>
            <w:r>
              <w:rPr>
                <w:color w:val="000000"/>
                <w:sz w:val="24"/>
              </w:rPr>
              <w:t>7</w:t>
            </w:r>
          </w:p>
        </w:tc>
        <w:tc>
          <w:tcPr>
            <w:vAlign w:val="center"/>
          </w:tcPr>
          <w:p>
            <w:pPr>
              <w:jc w:val="center"/>
            </w:pPr>
            <w:r>
              <w:rPr>
                <w:color w:val="000000"/>
                <w:sz w:val="24"/>
              </w:rPr>
              <w:t>110048</w:t>
            </w:r>
          </w:p>
        </w:tc>
        <w:tc>
          <w:tcPr>
            <w:vAlign w:val="center"/>
          </w:tcPr>
          <w:p>
            <w:pPr>
              <w:jc w:val="center"/>
            </w:pPr>
            <w:r>
              <w:rPr>
                <w:color w:val="000000"/>
                <w:sz w:val="24"/>
              </w:rPr>
              <w:t>福能转债</w:t>
            </w:r>
          </w:p>
        </w:tc>
        <w:tc>
          <w:tcPr>
            <w:vAlign w:val="center"/>
          </w:tcPr>
          <w:p>
            <w:pPr>
              <w:jc w:val="right"/>
            </w:pPr>
            <w:r>
              <w:rPr>
                <w:color w:val="000000"/>
                <w:sz w:val="24"/>
              </w:rPr>
              <w:t>32,590,876.50</w:t>
            </w:r>
          </w:p>
        </w:tc>
        <w:tc>
          <w:tcPr>
            <w:vAlign w:val="center"/>
          </w:tcPr>
          <w:p>
            <w:pPr>
              <w:jc w:val="right"/>
            </w:pPr>
            <w:r>
              <w:rPr>
                <w:color w:val="000000"/>
                <w:sz w:val="24"/>
              </w:rPr>
              <w:t>0.53</w:t>
            </w:r>
          </w:p>
        </w:tc>
      </w:tr>
      <w:tr>
        <w:tc>
          <w:tcPr>
            <w:vAlign w:val="center"/>
          </w:tcPr>
          <w:p>
            <w:pPr>
              <w:jc w:val="center"/>
            </w:pPr>
            <w:r>
              <w:rPr>
                <w:color w:val="000000"/>
                <w:sz w:val="24"/>
              </w:rPr>
              <w:t>8</w:t>
            </w:r>
          </w:p>
        </w:tc>
        <w:tc>
          <w:tcPr>
            <w:vAlign w:val="center"/>
          </w:tcPr>
          <w:p>
            <w:pPr>
              <w:jc w:val="center"/>
            </w:pPr>
            <w:r>
              <w:rPr>
                <w:color w:val="000000"/>
                <w:sz w:val="24"/>
              </w:rPr>
              <w:t>132015</w:t>
            </w:r>
          </w:p>
        </w:tc>
        <w:tc>
          <w:tcPr>
            <w:vAlign w:val="center"/>
          </w:tcPr>
          <w:p>
            <w:pPr>
              <w:jc w:val="center"/>
            </w:pPr>
            <w:r>
              <w:rPr>
                <w:color w:val="000000"/>
                <w:sz w:val="24"/>
              </w:rPr>
              <w:t>18中油EB</w:t>
            </w:r>
          </w:p>
        </w:tc>
        <w:tc>
          <w:tcPr>
            <w:vAlign w:val="center"/>
          </w:tcPr>
          <w:p>
            <w:pPr>
              <w:jc w:val="right"/>
            </w:pPr>
            <w:r>
              <w:rPr>
                <w:color w:val="000000"/>
                <w:sz w:val="24"/>
              </w:rPr>
              <w:t>24,427,000.00</w:t>
            </w:r>
          </w:p>
        </w:tc>
        <w:tc>
          <w:tcPr>
            <w:vAlign w:val="center"/>
          </w:tcPr>
          <w:p>
            <w:pPr>
              <w:jc w:val="right"/>
            </w:pPr>
            <w:r>
              <w:rPr>
                <w:color w:val="000000"/>
                <w:sz w:val="24"/>
              </w:rPr>
              <w:t>0.40</w:t>
            </w:r>
          </w:p>
        </w:tc>
      </w:tr>
      <w:tr>
        <w:tc>
          <w:tcPr>
            <w:vAlign w:val="center"/>
          </w:tcPr>
          <w:p>
            <w:pPr>
              <w:jc w:val="center"/>
            </w:pPr>
            <w:r>
              <w:rPr>
                <w:color w:val="000000"/>
                <w:sz w:val="24"/>
              </w:rPr>
              <w:t>9</w:t>
            </w:r>
          </w:p>
        </w:tc>
        <w:tc>
          <w:tcPr>
            <w:vAlign w:val="center"/>
          </w:tcPr>
          <w:p>
            <w:pPr>
              <w:jc w:val="center"/>
            </w:pPr>
            <w:r>
              <w:rPr>
                <w:color w:val="000000"/>
                <w:sz w:val="24"/>
              </w:rPr>
              <w:t>113020</w:t>
            </w:r>
          </w:p>
        </w:tc>
        <w:tc>
          <w:tcPr>
            <w:vAlign w:val="center"/>
          </w:tcPr>
          <w:p>
            <w:pPr>
              <w:jc w:val="center"/>
            </w:pPr>
            <w:r>
              <w:rPr>
                <w:color w:val="000000"/>
                <w:sz w:val="24"/>
              </w:rPr>
              <w:t>桐昆转债</w:t>
            </w:r>
          </w:p>
        </w:tc>
        <w:tc>
          <w:tcPr>
            <w:vAlign w:val="center"/>
          </w:tcPr>
          <w:p>
            <w:pPr>
              <w:jc w:val="right"/>
            </w:pPr>
            <w:r>
              <w:rPr>
                <w:color w:val="000000"/>
                <w:sz w:val="24"/>
              </w:rPr>
              <w:t>24,396,740.40</w:t>
            </w:r>
          </w:p>
        </w:tc>
        <w:tc>
          <w:tcPr>
            <w:vAlign w:val="center"/>
          </w:tcPr>
          <w:p>
            <w:pPr>
              <w:jc w:val="right"/>
            </w:pPr>
            <w:r>
              <w:rPr>
                <w:color w:val="000000"/>
                <w:sz w:val="24"/>
              </w:rPr>
              <w:t>0.40</w:t>
            </w:r>
          </w:p>
        </w:tc>
      </w:tr>
      <w:tr>
        <w:tc>
          <w:tcPr>
            <w:vAlign w:val="center"/>
          </w:tcPr>
          <w:p>
            <w:pPr>
              <w:jc w:val="center"/>
            </w:pPr>
            <w:r>
              <w:rPr>
                <w:color w:val="000000"/>
                <w:sz w:val="24"/>
              </w:rPr>
              <w:t>10</w:t>
            </w:r>
          </w:p>
        </w:tc>
        <w:tc>
          <w:tcPr>
            <w:vAlign w:val="center"/>
          </w:tcPr>
          <w:p>
            <w:pPr>
              <w:jc w:val="center"/>
            </w:pPr>
            <w:r>
              <w:rPr>
                <w:color w:val="000000"/>
                <w:sz w:val="24"/>
              </w:rPr>
              <w:t>128035</w:t>
            </w:r>
          </w:p>
        </w:tc>
        <w:tc>
          <w:tcPr>
            <w:vAlign w:val="center"/>
          </w:tcPr>
          <w:p>
            <w:pPr>
              <w:jc w:val="center"/>
            </w:pPr>
            <w:r>
              <w:rPr>
                <w:color w:val="000000"/>
                <w:sz w:val="24"/>
              </w:rPr>
              <w:t>大族转债</w:t>
            </w:r>
          </w:p>
        </w:tc>
        <w:tc>
          <w:tcPr>
            <w:vAlign w:val="center"/>
          </w:tcPr>
          <w:p>
            <w:pPr>
              <w:jc w:val="right"/>
            </w:pPr>
            <w:r>
              <w:rPr>
                <w:color w:val="000000"/>
                <w:sz w:val="24"/>
              </w:rPr>
              <w:t>20,516,978.40</w:t>
            </w:r>
          </w:p>
        </w:tc>
        <w:tc>
          <w:tcPr>
            <w:vAlign w:val="center"/>
          </w:tcPr>
          <w:p>
            <w:pPr>
              <w:jc w:val="right"/>
            </w:pPr>
            <w:r>
              <w:rPr>
                <w:color w:val="000000"/>
                <w:sz w:val="24"/>
              </w:rPr>
              <w:t>0.34</w:t>
            </w:r>
          </w:p>
        </w:tc>
      </w:tr>
      <w:tr>
        <w:tc>
          <w:tcPr>
            <w:vAlign w:val="center"/>
          </w:tcPr>
          <w:p>
            <w:pPr>
              <w:jc w:val="center"/>
            </w:pPr>
            <w:r>
              <w:rPr>
                <w:color w:val="000000"/>
                <w:sz w:val="24"/>
              </w:rPr>
              <w:t>11</w:t>
            </w:r>
          </w:p>
        </w:tc>
        <w:tc>
          <w:tcPr>
            <w:vAlign w:val="center"/>
          </w:tcPr>
          <w:p>
            <w:pPr>
              <w:jc w:val="center"/>
            </w:pPr>
            <w:r>
              <w:rPr>
                <w:color w:val="000000"/>
                <w:sz w:val="24"/>
              </w:rPr>
              <w:t>110047</w:t>
            </w:r>
          </w:p>
        </w:tc>
        <w:tc>
          <w:tcPr>
            <w:vAlign w:val="center"/>
          </w:tcPr>
          <w:p>
            <w:pPr>
              <w:jc w:val="center"/>
            </w:pPr>
            <w:r>
              <w:rPr>
                <w:color w:val="000000"/>
                <w:sz w:val="24"/>
              </w:rPr>
              <w:t>山鹰转债</w:t>
            </w:r>
          </w:p>
        </w:tc>
        <w:tc>
          <w:tcPr>
            <w:vAlign w:val="center"/>
          </w:tcPr>
          <w:p>
            <w:pPr>
              <w:jc w:val="right"/>
            </w:pPr>
            <w:r>
              <w:rPr>
                <w:color w:val="000000"/>
                <w:sz w:val="24"/>
              </w:rPr>
              <w:t>19,613,873.30</w:t>
            </w:r>
          </w:p>
        </w:tc>
        <w:tc>
          <w:tcPr>
            <w:vAlign w:val="center"/>
          </w:tcPr>
          <w:p>
            <w:pPr>
              <w:jc w:val="right"/>
            </w:pPr>
            <w:r>
              <w:rPr>
                <w:color w:val="000000"/>
                <w:sz w:val="24"/>
              </w:rPr>
              <w:t>0.32</w:t>
            </w:r>
          </w:p>
        </w:tc>
      </w:tr>
      <w:tr>
        <w:tc>
          <w:tcPr>
            <w:vAlign w:val="center"/>
          </w:tcPr>
          <w:p>
            <w:pPr>
              <w:jc w:val="center"/>
            </w:pPr>
            <w:r>
              <w:rPr>
                <w:color w:val="000000"/>
                <w:sz w:val="24"/>
              </w:rPr>
              <w:t>12</w:t>
            </w:r>
          </w:p>
        </w:tc>
        <w:tc>
          <w:tcPr>
            <w:vAlign w:val="center"/>
          </w:tcPr>
          <w:p>
            <w:pPr>
              <w:jc w:val="center"/>
            </w:pPr>
            <w:r>
              <w:rPr>
                <w:color w:val="000000"/>
                <w:sz w:val="24"/>
              </w:rPr>
              <w:t>113508</w:t>
            </w:r>
          </w:p>
        </w:tc>
        <w:tc>
          <w:tcPr>
            <w:vAlign w:val="center"/>
          </w:tcPr>
          <w:p>
            <w:pPr>
              <w:jc w:val="center"/>
            </w:pPr>
            <w:r>
              <w:rPr>
                <w:color w:val="000000"/>
                <w:sz w:val="24"/>
              </w:rPr>
              <w:t>新凤转债</w:t>
            </w:r>
          </w:p>
        </w:tc>
        <w:tc>
          <w:tcPr>
            <w:vAlign w:val="center"/>
          </w:tcPr>
          <w:p>
            <w:pPr>
              <w:jc w:val="right"/>
            </w:pPr>
            <w:r>
              <w:rPr>
                <w:color w:val="000000"/>
                <w:sz w:val="24"/>
              </w:rPr>
              <w:t>19,453,433.40</w:t>
            </w:r>
          </w:p>
        </w:tc>
        <w:tc>
          <w:tcPr>
            <w:vAlign w:val="center"/>
          </w:tcPr>
          <w:p>
            <w:pPr>
              <w:jc w:val="right"/>
            </w:pPr>
            <w:r>
              <w:rPr>
                <w:color w:val="000000"/>
                <w:sz w:val="24"/>
              </w:rPr>
              <w:t>0.32</w:t>
            </w:r>
          </w:p>
        </w:tc>
      </w:tr>
      <w:tr>
        <w:tc>
          <w:tcPr>
            <w:vAlign w:val="center"/>
          </w:tcPr>
          <w:p>
            <w:pPr>
              <w:jc w:val="center"/>
            </w:pPr>
            <w:r>
              <w:rPr>
                <w:color w:val="000000"/>
                <w:sz w:val="24"/>
              </w:rPr>
              <w:t>13</w:t>
            </w:r>
          </w:p>
        </w:tc>
        <w:tc>
          <w:tcPr>
            <w:vAlign w:val="center"/>
          </w:tcPr>
          <w:p>
            <w:pPr>
              <w:jc w:val="center"/>
            </w:pPr>
            <w:r>
              <w:rPr>
                <w:color w:val="000000"/>
                <w:sz w:val="24"/>
              </w:rPr>
              <w:t>110031</w:t>
            </w:r>
          </w:p>
        </w:tc>
        <w:tc>
          <w:tcPr>
            <w:vAlign w:val="center"/>
          </w:tcPr>
          <w:p>
            <w:pPr>
              <w:jc w:val="center"/>
            </w:pPr>
            <w:r>
              <w:rPr>
                <w:color w:val="000000"/>
                <w:sz w:val="24"/>
              </w:rPr>
              <w:t>航信转债</w:t>
            </w:r>
          </w:p>
        </w:tc>
        <w:tc>
          <w:tcPr>
            <w:vAlign w:val="center"/>
          </w:tcPr>
          <w:p>
            <w:pPr>
              <w:jc w:val="right"/>
            </w:pPr>
            <w:r>
              <w:rPr>
                <w:color w:val="000000"/>
                <w:sz w:val="24"/>
              </w:rPr>
              <w:t>14,263,650.10</w:t>
            </w:r>
          </w:p>
        </w:tc>
        <w:tc>
          <w:tcPr>
            <w:vAlign w:val="center"/>
          </w:tcPr>
          <w:p>
            <w:pPr>
              <w:jc w:val="right"/>
            </w:pPr>
            <w:r>
              <w:rPr>
                <w:color w:val="000000"/>
                <w:sz w:val="24"/>
              </w:rPr>
              <w:t>0.23</w:t>
            </w:r>
          </w:p>
        </w:tc>
      </w:tr>
      <w:tr>
        <w:tc>
          <w:tcPr>
            <w:vAlign w:val="center"/>
          </w:tcPr>
          <w:p>
            <w:pPr>
              <w:jc w:val="center"/>
            </w:pPr>
            <w:r>
              <w:rPr>
                <w:color w:val="000000"/>
                <w:sz w:val="24"/>
              </w:rPr>
              <w:t>14</w:t>
            </w:r>
          </w:p>
        </w:tc>
        <w:tc>
          <w:tcPr>
            <w:vAlign w:val="center"/>
          </w:tcPr>
          <w:p>
            <w:pPr>
              <w:jc w:val="center"/>
            </w:pPr>
            <w:r>
              <w:rPr>
                <w:color w:val="000000"/>
                <w:sz w:val="24"/>
              </w:rPr>
              <w:t>128083</w:t>
            </w:r>
          </w:p>
        </w:tc>
        <w:tc>
          <w:tcPr>
            <w:vAlign w:val="center"/>
          </w:tcPr>
          <w:p>
            <w:pPr>
              <w:jc w:val="center"/>
            </w:pPr>
            <w:r>
              <w:rPr>
                <w:color w:val="000000"/>
                <w:sz w:val="24"/>
              </w:rPr>
              <w:t>新北转债</w:t>
            </w:r>
          </w:p>
        </w:tc>
        <w:tc>
          <w:tcPr>
            <w:vAlign w:val="center"/>
          </w:tcPr>
          <w:p>
            <w:pPr>
              <w:jc w:val="right"/>
            </w:pPr>
            <w:r>
              <w:rPr>
                <w:color w:val="000000"/>
                <w:sz w:val="24"/>
              </w:rPr>
              <w:t>9,891,398.16</w:t>
            </w:r>
          </w:p>
        </w:tc>
        <w:tc>
          <w:tcPr>
            <w:vAlign w:val="center"/>
          </w:tcPr>
          <w:p>
            <w:pPr>
              <w:jc w:val="right"/>
            </w:pPr>
            <w:r>
              <w:rPr>
                <w:color w:val="000000"/>
                <w:sz w:val="24"/>
              </w:rPr>
              <w:t>0.16</w:t>
            </w:r>
          </w:p>
        </w:tc>
      </w:tr>
      <w:tr>
        <w:tc>
          <w:tcPr>
            <w:vAlign w:val="center"/>
          </w:tcPr>
          <w:p>
            <w:pPr>
              <w:jc w:val="center"/>
            </w:pPr>
            <w:r>
              <w:rPr>
                <w:color w:val="000000"/>
                <w:sz w:val="24"/>
              </w:rPr>
              <w:t>15</w:t>
            </w:r>
          </w:p>
        </w:tc>
        <w:tc>
          <w:tcPr>
            <w:vAlign w:val="center"/>
          </w:tcPr>
          <w:p>
            <w:pPr>
              <w:jc w:val="center"/>
            </w:pPr>
            <w:r>
              <w:rPr>
                <w:color w:val="000000"/>
                <w:sz w:val="24"/>
              </w:rPr>
              <w:t>113543</w:t>
            </w:r>
          </w:p>
        </w:tc>
        <w:tc>
          <w:tcPr>
            <w:vAlign w:val="center"/>
          </w:tcPr>
          <w:p>
            <w:pPr>
              <w:jc w:val="center"/>
            </w:pPr>
            <w:r>
              <w:rPr>
                <w:color w:val="000000"/>
                <w:sz w:val="24"/>
              </w:rPr>
              <w:t>欧派转债</w:t>
            </w:r>
          </w:p>
        </w:tc>
        <w:tc>
          <w:tcPr>
            <w:vAlign w:val="center"/>
          </w:tcPr>
          <w:p>
            <w:pPr>
              <w:jc w:val="right"/>
            </w:pPr>
            <w:r>
              <w:rPr>
                <w:color w:val="000000"/>
                <w:sz w:val="24"/>
              </w:rPr>
              <w:t>7,448,473.20</w:t>
            </w:r>
          </w:p>
        </w:tc>
        <w:tc>
          <w:tcPr>
            <w:vAlign w:val="center"/>
          </w:tcPr>
          <w:p>
            <w:pPr>
              <w:jc w:val="right"/>
            </w:pPr>
            <w:r>
              <w:rPr>
                <w:color w:val="000000"/>
                <w:sz w:val="24"/>
              </w:rPr>
              <w:t>0.12</w:t>
            </w:r>
          </w:p>
        </w:tc>
      </w:tr>
      <w:tr>
        <w:tc>
          <w:tcPr>
            <w:vAlign w:val="center"/>
          </w:tcPr>
          <w:p>
            <w:pPr>
              <w:jc w:val="center"/>
            </w:pPr>
            <w:r>
              <w:rPr>
                <w:color w:val="000000"/>
                <w:sz w:val="24"/>
              </w:rPr>
              <w:t>16</w:t>
            </w:r>
          </w:p>
        </w:tc>
        <w:tc>
          <w:tcPr>
            <w:vAlign w:val="center"/>
          </w:tcPr>
          <w:p>
            <w:pPr>
              <w:jc w:val="center"/>
            </w:pPr>
            <w:r>
              <w:rPr>
                <w:color w:val="000000"/>
                <w:sz w:val="24"/>
              </w:rPr>
              <w:t>128021</w:t>
            </w:r>
          </w:p>
        </w:tc>
        <w:tc>
          <w:tcPr>
            <w:vAlign w:val="center"/>
          </w:tcPr>
          <w:p>
            <w:pPr>
              <w:jc w:val="center"/>
            </w:pPr>
            <w:r>
              <w:rPr>
                <w:color w:val="000000"/>
                <w:sz w:val="24"/>
              </w:rPr>
              <w:t>兄弟转债</w:t>
            </w:r>
          </w:p>
        </w:tc>
        <w:tc>
          <w:tcPr>
            <w:vAlign w:val="center"/>
          </w:tcPr>
          <w:p>
            <w:pPr>
              <w:jc w:val="right"/>
            </w:pPr>
            <w:r>
              <w:rPr>
                <w:color w:val="000000"/>
                <w:sz w:val="24"/>
              </w:rPr>
              <w:t>5,785,819.20</w:t>
            </w:r>
          </w:p>
        </w:tc>
        <w:tc>
          <w:tcPr>
            <w:vAlign w:val="center"/>
          </w:tcPr>
          <w:p>
            <w:pPr>
              <w:jc w:val="right"/>
            </w:pPr>
            <w:r>
              <w:rPr>
                <w:color w:val="000000"/>
                <w:sz w:val="24"/>
              </w:rPr>
              <w:t>0.09</w:t>
            </w:r>
          </w:p>
        </w:tc>
      </w:tr>
      <w:tr>
        <w:tc>
          <w:tcPr>
            <w:vAlign w:val="center"/>
          </w:tcPr>
          <w:p>
            <w:pPr>
              <w:jc w:val="center"/>
            </w:pPr>
            <w:r>
              <w:rPr>
                <w:color w:val="000000"/>
                <w:sz w:val="24"/>
              </w:rPr>
              <w:t>17</w:t>
            </w:r>
          </w:p>
        </w:tc>
        <w:tc>
          <w:tcPr>
            <w:vAlign w:val="center"/>
          </w:tcPr>
          <w:p>
            <w:pPr>
              <w:jc w:val="center"/>
            </w:pPr>
            <w:r>
              <w:rPr>
                <w:color w:val="000000"/>
                <w:sz w:val="24"/>
              </w:rPr>
              <w:t>132017</w:t>
            </w:r>
          </w:p>
        </w:tc>
        <w:tc>
          <w:tcPr>
            <w:vAlign w:val="center"/>
          </w:tcPr>
          <w:p>
            <w:pPr>
              <w:jc w:val="center"/>
            </w:pPr>
            <w:r>
              <w:rPr>
                <w:color w:val="000000"/>
                <w:sz w:val="24"/>
              </w:rPr>
              <w:t>19新钢EB</w:t>
            </w:r>
          </w:p>
        </w:tc>
        <w:tc>
          <w:tcPr>
            <w:vAlign w:val="center"/>
          </w:tcPr>
          <w:p>
            <w:pPr>
              <w:jc w:val="right"/>
            </w:pPr>
            <w:r>
              <w:rPr>
                <w:color w:val="000000"/>
                <w:sz w:val="24"/>
              </w:rPr>
              <w:t>5,132,832.00</w:t>
            </w:r>
          </w:p>
        </w:tc>
        <w:tc>
          <w:tcPr>
            <w:vAlign w:val="center"/>
          </w:tcPr>
          <w:p>
            <w:pPr>
              <w:jc w:val="right"/>
            </w:pPr>
            <w:r>
              <w:rPr>
                <w:color w:val="000000"/>
                <w:sz w:val="24"/>
              </w:rPr>
              <w:t>0.08</w:t>
            </w:r>
          </w:p>
        </w:tc>
      </w:tr>
      <w:tr>
        <w:tc>
          <w:tcPr>
            <w:vAlign w:val="center"/>
          </w:tcPr>
          <w:p>
            <w:pPr>
              <w:jc w:val="center"/>
            </w:pPr>
            <w:r>
              <w:rPr>
                <w:color w:val="000000"/>
                <w:sz w:val="24"/>
              </w:rPr>
              <w:t>18</w:t>
            </w:r>
          </w:p>
        </w:tc>
        <w:tc>
          <w:tcPr>
            <w:vAlign w:val="center"/>
          </w:tcPr>
          <w:p>
            <w:pPr>
              <w:jc w:val="center"/>
            </w:pPr>
            <w:r>
              <w:rPr>
                <w:color w:val="000000"/>
                <w:sz w:val="24"/>
              </w:rPr>
              <w:t>128058</w:t>
            </w:r>
          </w:p>
        </w:tc>
        <w:tc>
          <w:tcPr>
            <w:vAlign w:val="center"/>
          </w:tcPr>
          <w:p>
            <w:pPr>
              <w:jc w:val="center"/>
            </w:pPr>
            <w:r>
              <w:rPr>
                <w:color w:val="000000"/>
                <w:sz w:val="24"/>
              </w:rPr>
              <w:t>拓邦转债</w:t>
            </w:r>
          </w:p>
        </w:tc>
        <w:tc>
          <w:tcPr>
            <w:vAlign w:val="center"/>
          </w:tcPr>
          <w:p>
            <w:pPr>
              <w:jc w:val="right"/>
            </w:pPr>
            <w:r>
              <w:rPr>
                <w:color w:val="000000"/>
                <w:sz w:val="24"/>
              </w:rPr>
              <w:t>4,412,853.03</w:t>
            </w:r>
          </w:p>
        </w:tc>
        <w:tc>
          <w:tcPr>
            <w:vAlign w:val="center"/>
          </w:tcPr>
          <w:p>
            <w:pPr>
              <w:jc w:val="right"/>
            </w:pPr>
            <w:r>
              <w:rPr>
                <w:color w:val="000000"/>
                <w:sz w:val="24"/>
              </w:rPr>
              <w:t>0.07</w:t>
            </w:r>
          </w:p>
        </w:tc>
      </w:tr>
      <w:tr>
        <w:tc>
          <w:tcPr>
            <w:vAlign w:val="center"/>
          </w:tcPr>
          <w:p>
            <w:pPr>
              <w:jc w:val="center"/>
            </w:pPr>
            <w:r>
              <w:rPr>
                <w:color w:val="000000"/>
                <w:sz w:val="24"/>
              </w:rPr>
              <w:t>19</w:t>
            </w:r>
          </w:p>
        </w:tc>
        <w:tc>
          <w:tcPr>
            <w:vAlign w:val="center"/>
          </w:tcPr>
          <w:p>
            <w:pPr>
              <w:jc w:val="center"/>
            </w:pPr>
            <w:r>
              <w:rPr>
                <w:color w:val="000000"/>
                <w:sz w:val="24"/>
              </w:rPr>
              <w:t>128037</w:t>
            </w:r>
          </w:p>
        </w:tc>
        <w:tc>
          <w:tcPr>
            <w:vAlign w:val="center"/>
          </w:tcPr>
          <w:p>
            <w:pPr>
              <w:jc w:val="center"/>
            </w:pPr>
            <w:r>
              <w:rPr>
                <w:color w:val="000000"/>
                <w:sz w:val="24"/>
              </w:rPr>
              <w:t>岩土转债</w:t>
            </w:r>
          </w:p>
        </w:tc>
        <w:tc>
          <w:tcPr>
            <w:vAlign w:val="center"/>
          </w:tcPr>
          <w:p>
            <w:pPr>
              <w:jc w:val="right"/>
            </w:pPr>
            <w:r>
              <w:rPr>
                <w:color w:val="000000"/>
                <w:sz w:val="24"/>
              </w:rPr>
              <w:t>3,842,580.84</w:t>
            </w:r>
          </w:p>
        </w:tc>
        <w:tc>
          <w:tcPr>
            <w:vAlign w:val="center"/>
          </w:tcPr>
          <w:p>
            <w:pPr>
              <w:jc w:val="right"/>
            </w:pPr>
            <w:r>
              <w:rPr>
                <w:color w:val="000000"/>
                <w:sz w:val="24"/>
              </w:rPr>
              <w:t>0.06</w:t>
            </w:r>
          </w:p>
        </w:tc>
      </w:tr>
      <w:tr>
        <w:tc>
          <w:tcPr>
            <w:vAlign w:val="center"/>
          </w:tcPr>
          <w:p>
            <w:pPr>
              <w:jc w:val="center"/>
            </w:pPr>
            <w:r>
              <w:rPr>
                <w:color w:val="000000"/>
                <w:sz w:val="24"/>
              </w:rPr>
              <w:t>20</w:t>
            </w:r>
          </w:p>
        </w:tc>
        <w:tc>
          <w:tcPr>
            <w:vAlign w:val="center"/>
          </w:tcPr>
          <w:p>
            <w:pPr>
              <w:jc w:val="center"/>
            </w:pPr>
            <w:r>
              <w:rPr>
                <w:color w:val="000000"/>
                <w:sz w:val="24"/>
              </w:rPr>
              <w:t>113029</w:t>
            </w:r>
          </w:p>
        </w:tc>
        <w:tc>
          <w:tcPr>
            <w:vAlign w:val="center"/>
          </w:tcPr>
          <w:p>
            <w:pPr>
              <w:jc w:val="center"/>
            </w:pPr>
            <w:r>
              <w:rPr>
                <w:color w:val="000000"/>
                <w:sz w:val="24"/>
              </w:rPr>
              <w:t>明阳转债</w:t>
            </w:r>
          </w:p>
        </w:tc>
        <w:tc>
          <w:tcPr>
            <w:vAlign w:val="center"/>
          </w:tcPr>
          <w:p>
            <w:pPr>
              <w:jc w:val="right"/>
            </w:pPr>
            <w:r>
              <w:rPr>
                <w:color w:val="000000"/>
                <w:sz w:val="24"/>
              </w:rPr>
              <w:t>3,761,484.20</w:t>
            </w:r>
          </w:p>
        </w:tc>
        <w:tc>
          <w:tcPr>
            <w:vAlign w:val="center"/>
          </w:tcPr>
          <w:p>
            <w:pPr>
              <w:jc w:val="right"/>
            </w:pPr>
            <w:r>
              <w:rPr>
                <w:color w:val="000000"/>
                <w:sz w:val="24"/>
              </w:rPr>
              <w:t>0.06</w:t>
            </w:r>
          </w:p>
        </w:tc>
      </w:tr>
      <w:tr>
        <w:tc>
          <w:tcPr>
            <w:vAlign w:val="center"/>
          </w:tcPr>
          <w:p>
            <w:pPr>
              <w:jc w:val="center"/>
            </w:pPr>
            <w:r>
              <w:rPr>
                <w:color w:val="000000"/>
                <w:sz w:val="24"/>
              </w:rPr>
              <w:t>21</w:t>
            </w:r>
          </w:p>
        </w:tc>
        <w:tc>
          <w:tcPr>
            <w:vAlign w:val="center"/>
          </w:tcPr>
          <w:p>
            <w:pPr>
              <w:jc w:val="center"/>
            </w:pPr>
            <w:r>
              <w:rPr>
                <w:color w:val="000000"/>
                <w:sz w:val="24"/>
              </w:rPr>
              <w:t>128022</w:t>
            </w:r>
          </w:p>
        </w:tc>
        <w:tc>
          <w:tcPr>
            <w:vAlign w:val="center"/>
          </w:tcPr>
          <w:p>
            <w:pPr>
              <w:jc w:val="center"/>
            </w:pPr>
            <w:r>
              <w:rPr>
                <w:color w:val="000000"/>
                <w:sz w:val="24"/>
              </w:rPr>
              <w:t>众信转债</w:t>
            </w:r>
          </w:p>
        </w:tc>
        <w:tc>
          <w:tcPr>
            <w:vAlign w:val="center"/>
          </w:tcPr>
          <w:p>
            <w:pPr>
              <w:jc w:val="right"/>
            </w:pPr>
            <w:r>
              <w:rPr>
                <w:color w:val="000000"/>
                <w:sz w:val="24"/>
              </w:rPr>
              <w:t>3,716,415.20</w:t>
            </w:r>
          </w:p>
        </w:tc>
        <w:tc>
          <w:tcPr>
            <w:vAlign w:val="center"/>
          </w:tcPr>
          <w:p>
            <w:pPr>
              <w:jc w:val="right"/>
            </w:pPr>
            <w:r>
              <w:rPr>
                <w:color w:val="000000"/>
                <w:sz w:val="24"/>
              </w:rPr>
              <w:t>0.06</w:t>
            </w:r>
          </w:p>
        </w:tc>
      </w:tr>
      <w:tr>
        <w:tc>
          <w:tcPr>
            <w:vAlign w:val="center"/>
          </w:tcPr>
          <w:p>
            <w:pPr>
              <w:jc w:val="center"/>
            </w:pPr>
            <w:r>
              <w:rPr>
                <w:color w:val="000000"/>
                <w:sz w:val="24"/>
              </w:rPr>
              <w:t>22</w:t>
            </w:r>
          </w:p>
        </w:tc>
        <w:tc>
          <w:tcPr>
            <w:vAlign w:val="center"/>
          </w:tcPr>
          <w:p>
            <w:pPr>
              <w:jc w:val="center"/>
            </w:pPr>
            <w:r>
              <w:rPr>
                <w:color w:val="000000"/>
                <w:sz w:val="24"/>
              </w:rPr>
              <w:t>113519</w:t>
            </w:r>
          </w:p>
        </w:tc>
        <w:tc>
          <w:tcPr>
            <w:vAlign w:val="center"/>
          </w:tcPr>
          <w:p>
            <w:pPr>
              <w:jc w:val="center"/>
            </w:pPr>
            <w:r>
              <w:rPr>
                <w:color w:val="000000"/>
                <w:sz w:val="24"/>
              </w:rPr>
              <w:t>长久转债</w:t>
            </w:r>
          </w:p>
        </w:tc>
        <w:tc>
          <w:tcPr>
            <w:vAlign w:val="center"/>
          </w:tcPr>
          <w:p>
            <w:pPr>
              <w:jc w:val="right"/>
            </w:pPr>
            <w:r>
              <w:rPr>
                <w:color w:val="000000"/>
                <w:sz w:val="24"/>
              </w:rPr>
              <w:t>2,301,925.80</w:t>
            </w:r>
          </w:p>
        </w:tc>
        <w:tc>
          <w:tcPr>
            <w:vAlign w:val="center"/>
          </w:tcPr>
          <w:p>
            <w:pPr>
              <w:jc w:val="right"/>
            </w:pPr>
            <w:r>
              <w:rPr>
                <w:color w:val="000000"/>
                <w:sz w:val="24"/>
              </w:rPr>
              <w:t>0.04</w:t>
            </w:r>
          </w:p>
        </w:tc>
      </w:tr>
      <w:tr>
        <w:tc>
          <w:tcPr>
            <w:vAlign w:val="center"/>
          </w:tcPr>
          <w:p>
            <w:pPr>
              <w:jc w:val="center"/>
            </w:pPr>
            <w:r>
              <w:rPr>
                <w:color w:val="000000"/>
                <w:sz w:val="24"/>
              </w:rPr>
              <w:t>23</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2,281,200.00</w:t>
            </w:r>
          </w:p>
        </w:tc>
        <w:tc>
          <w:tcPr>
            <w:vAlign w:val="center"/>
          </w:tcPr>
          <w:p>
            <w:pPr>
              <w:jc w:val="right"/>
            </w:pPr>
            <w:r>
              <w:rPr>
                <w:color w:val="000000"/>
                <w:sz w:val="24"/>
              </w:rPr>
              <w:t>0.04</w:t>
            </w:r>
          </w:p>
        </w:tc>
      </w:tr>
      <w:tr>
        <w:tc>
          <w:tcPr>
            <w:vAlign w:val="center"/>
          </w:tcPr>
          <w:p>
            <w:pPr>
              <w:jc w:val="center"/>
            </w:pPr>
            <w:r>
              <w:rPr>
                <w:color w:val="000000"/>
                <w:sz w:val="24"/>
              </w:rPr>
              <w:t>24</w:t>
            </w:r>
          </w:p>
        </w:tc>
        <w:tc>
          <w:tcPr>
            <w:vAlign w:val="center"/>
          </w:tcPr>
          <w:p>
            <w:pPr>
              <w:jc w:val="center"/>
            </w:pPr>
            <w:r>
              <w:rPr>
                <w:color w:val="000000"/>
                <w:sz w:val="24"/>
              </w:rPr>
              <w:t>110061</w:t>
            </w:r>
          </w:p>
        </w:tc>
        <w:tc>
          <w:tcPr>
            <w:vAlign w:val="center"/>
          </w:tcPr>
          <w:p>
            <w:pPr>
              <w:jc w:val="center"/>
            </w:pPr>
            <w:r>
              <w:rPr>
                <w:color w:val="000000"/>
                <w:sz w:val="24"/>
              </w:rPr>
              <w:t>川投转债</w:t>
            </w:r>
          </w:p>
        </w:tc>
        <w:tc>
          <w:tcPr>
            <w:vAlign w:val="center"/>
          </w:tcPr>
          <w:p>
            <w:pPr>
              <w:jc w:val="right"/>
            </w:pPr>
            <w:r>
              <w:rPr>
                <w:color w:val="000000"/>
                <w:sz w:val="24"/>
              </w:rPr>
              <w:t>2,169,320.00</w:t>
            </w:r>
          </w:p>
        </w:tc>
        <w:tc>
          <w:tcPr>
            <w:vAlign w:val="center"/>
          </w:tcPr>
          <w:p>
            <w:pPr>
              <w:jc w:val="right"/>
            </w:pPr>
            <w:r>
              <w:rPr>
                <w:color w:val="000000"/>
                <w:sz w:val="24"/>
              </w:rPr>
              <w:t>0.04</w:t>
            </w:r>
          </w:p>
        </w:tc>
      </w:tr>
      <w:tr>
        <w:tc>
          <w:tcPr>
            <w:vAlign w:val="center"/>
          </w:tcPr>
          <w:p>
            <w:pPr>
              <w:jc w:val="center"/>
            </w:pPr>
            <w:r>
              <w:rPr>
                <w:color w:val="000000"/>
                <w:sz w:val="24"/>
              </w:rPr>
              <w:t>25</w:t>
            </w:r>
          </w:p>
        </w:tc>
        <w:tc>
          <w:tcPr>
            <w:vAlign w:val="center"/>
          </w:tcPr>
          <w:p>
            <w:pPr>
              <w:jc w:val="center"/>
            </w:pPr>
            <w:r>
              <w:rPr>
                <w:color w:val="000000"/>
                <w:sz w:val="24"/>
              </w:rPr>
              <w:t>110053</w:t>
            </w:r>
          </w:p>
        </w:tc>
        <w:tc>
          <w:tcPr>
            <w:vAlign w:val="center"/>
          </w:tcPr>
          <w:p>
            <w:pPr>
              <w:jc w:val="center"/>
            </w:pPr>
            <w:r>
              <w:rPr>
                <w:color w:val="000000"/>
                <w:sz w:val="24"/>
              </w:rPr>
              <w:t>苏银转债</w:t>
            </w:r>
          </w:p>
        </w:tc>
        <w:tc>
          <w:tcPr>
            <w:vAlign w:val="center"/>
          </w:tcPr>
          <w:p>
            <w:pPr>
              <w:jc w:val="right"/>
            </w:pPr>
            <w:r>
              <w:rPr>
                <w:color w:val="000000"/>
                <w:sz w:val="24"/>
              </w:rPr>
              <w:t>2,123,696.00</w:t>
            </w:r>
          </w:p>
        </w:tc>
        <w:tc>
          <w:tcPr>
            <w:vAlign w:val="center"/>
          </w:tcPr>
          <w:p>
            <w:pPr>
              <w:jc w:val="right"/>
            </w:pPr>
            <w:r>
              <w:rPr>
                <w:color w:val="000000"/>
                <w:sz w:val="24"/>
              </w:rPr>
              <w:t>0.03</w:t>
            </w:r>
          </w:p>
        </w:tc>
      </w:tr>
      <w:tr>
        <w:tc>
          <w:tcPr>
            <w:vAlign w:val="center"/>
          </w:tcPr>
          <w:p>
            <w:pPr>
              <w:jc w:val="center"/>
            </w:pPr>
            <w:r>
              <w:rPr>
                <w:color w:val="000000"/>
                <w:sz w:val="24"/>
              </w:rPr>
              <w:t>26</w:t>
            </w:r>
          </w:p>
        </w:tc>
        <w:tc>
          <w:tcPr>
            <w:vAlign w:val="center"/>
          </w:tcPr>
          <w:p>
            <w:pPr>
              <w:jc w:val="center"/>
            </w:pPr>
            <w:r>
              <w:rPr>
                <w:color w:val="000000"/>
                <w:sz w:val="24"/>
              </w:rPr>
              <w:t>132013</w:t>
            </w:r>
          </w:p>
        </w:tc>
        <w:tc>
          <w:tcPr>
            <w:vAlign w:val="center"/>
          </w:tcPr>
          <w:p>
            <w:pPr>
              <w:jc w:val="center"/>
            </w:pPr>
            <w:r>
              <w:rPr>
                <w:color w:val="000000"/>
                <w:sz w:val="24"/>
              </w:rPr>
              <w:t>17宝武EB</w:t>
            </w:r>
          </w:p>
        </w:tc>
        <w:tc>
          <w:tcPr>
            <w:vAlign w:val="center"/>
          </w:tcPr>
          <w:p>
            <w:pPr>
              <w:jc w:val="right"/>
            </w:pPr>
            <w:r>
              <w:rPr>
                <w:color w:val="000000"/>
                <w:sz w:val="24"/>
              </w:rPr>
              <w:t>2,044,600.00</w:t>
            </w:r>
          </w:p>
        </w:tc>
        <w:tc>
          <w:tcPr>
            <w:vAlign w:val="center"/>
          </w:tcPr>
          <w:p>
            <w:pPr>
              <w:jc w:val="right"/>
            </w:pPr>
            <w:r>
              <w:rPr>
                <w:color w:val="000000"/>
                <w:sz w:val="24"/>
              </w:rPr>
              <w:t>0.03</w:t>
            </w:r>
          </w:p>
        </w:tc>
      </w:tr>
      <w:tr>
        <w:tc>
          <w:tcPr>
            <w:vAlign w:val="center"/>
          </w:tcPr>
          <w:p>
            <w:pPr>
              <w:jc w:val="center"/>
            </w:pPr>
            <w:r>
              <w:rPr>
                <w:color w:val="000000"/>
                <w:sz w:val="24"/>
              </w:rPr>
              <w:t>27</w:t>
            </w:r>
          </w:p>
        </w:tc>
        <w:tc>
          <w:tcPr>
            <w:vAlign w:val="center"/>
          </w:tcPr>
          <w:p>
            <w:pPr>
              <w:jc w:val="center"/>
            </w:pPr>
            <w:r>
              <w:rPr>
                <w:color w:val="000000"/>
                <w:sz w:val="24"/>
              </w:rPr>
              <w:t>110045</w:t>
            </w:r>
          </w:p>
        </w:tc>
        <w:tc>
          <w:tcPr>
            <w:vAlign w:val="center"/>
          </w:tcPr>
          <w:p>
            <w:pPr>
              <w:jc w:val="center"/>
            </w:pPr>
            <w:r>
              <w:rPr>
                <w:color w:val="000000"/>
                <w:sz w:val="24"/>
              </w:rPr>
              <w:t>海澜转债</w:t>
            </w:r>
          </w:p>
        </w:tc>
        <w:tc>
          <w:tcPr>
            <w:vAlign w:val="center"/>
          </w:tcPr>
          <w:p>
            <w:pPr>
              <w:jc w:val="right"/>
            </w:pPr>
            <w:r>
              <w:rPr>
                <w:color w:val="000000"/>
                <w:sz w:val="24"/>
              </w:rPr>
              <w:t>1,935,200.00</w:t>
            </w:r>
          </w:p>
        </w:tc>
        <w:tc>
          <w:tcPr>
            <w:vAlign w:val="center"/>
          </w:tcPr>
          <w:p>
            <w:pPr>
              <w:jc w:val="right"/>
            </w:pPr>
            <w:r>
              <w:rPr>
                <w:color w:val="000000"/>
                <w:sz w:val="24"/>
              </w:rPr>
              <w:t>0.03</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易方达增强回报债券A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易方达增强回报债券B</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3,999,688,835.63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1,713,947,755.39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436,439,153.42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325,528,038.30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870,731,110.61</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789,115,376.40</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3,565,396,878.44</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1,250,360,417.29</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1.中国证监会核准易方达增强回报债券型证券投资基金募集的文件；</w:t>
      </w:r>
    </w:p>
    <w:p>
      <w:pPr>
        <w:spacing w:line="360" w:lineRule="auto"/>
        <w:ind w:firstLine="480" w:firstLineChars="200"/>
        <w:rPr>
          <w:color w:val="000000"/>
          <w:sz w:val="24"/>
        </w:rPr>
      </w:pPr>
      <w:r>
        <w:rPr>
          <w:color w:val="000000"/>
          <w:sz w:val="24"/>
        </w:rPr>
        <w:t>2.《易方达增强回报债券型证券投资基金基金合同》；</w:t>
      </w:r>
    </w:p>
    <w:p>
      <w:pPr>
        <w:spacing w:line="360" w:lineRule="auto"/>
        <w:ind w:firstLine="480" w:firstLineChars="200"/>
        <w:rPr>
          <w:color w:val="000000"/>
          <w:sz w:val="24"/>
        </w:rPr>
      </w:pPr>
      <w:r>
        <w:rPr>
          <w:color w:val="000000"/>
          <w:sz w:val="24"/>
        </w:rPr>
        <w:t>3.《易方达增强回报债券型证券投资基金托管协议》；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5.基金管理人业务资格批件和营业执照。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易方达增强回报债券型证券投资基金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