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8C" w:rsidRPr="00501A61" w:rsidRDefault="0002608C" w:rsidP="00107648">
      <w:pPr>
        <w:snapToGrid w:val="0"/>
        <w:spacing w:line="360" w:lineRule="auto"/>
        <w:ind w:firstLine="879"/>
        <w:jc w:val="center"/>
        <w:rPr>
          <w:rFonts w:asciiTheme="minorEastAsia" w:eastAsiaTheme="minorEastAsia" w:hAnsiTheme="minorEastAsia"/>
          <w:b/>
          <w:sz w:val="44"/>
        </w:rPr>
      </w:pPr>
    </w:p>
    <w:p w:rsidR="0002608C" w:rsidRPr="00501A61" w:rsidRDefault="0002608C" w:rsidP="00107648">
      <w:pPr>
        <w:snapToGrid w:val="0"/>
        <w:spacing w:line="360" w:lineRule="auto"/>
        <w:ind w:firstLine="879"/>
        <w:jc w:val="center"/>
        <w:rPr>
          <w:rFonts w:asciiTheme="minorEastAsia" w:eastAsiaTheme="minorEastAsia" w:hAnsiTheme="minorEastAsia"/>
          <w:b/>
          <w:sz w:val="44"/>
        </w:rPr>
      </w:pPr>
    </w:p>
    <w:p w:rsidR="0002608C" w:rsidRPr="00501A61" w:rsidRDefault="0002608C" w:rsidP="00107648">
      <w:pPr>
        <w:snapToGrid w:val="0"/>
        <w:spacing w:line="360" w:lineRule="auto"/>
        <w:ind w:firstLine="879"/>
        <w:jc w:val="center"/>
        <w:rPr>
          <w:rFonts w:asciiTheme="minorEastAsia" w:eastAsiaTheme="minorEastAsia" w:hAnsiTheme="minorEastAsia"/>
          <w:b/>
          <w:sz w:val="44"/>
        </w:rPr>
      </w:pPr>
    </w:p>
    <w:p w:rsidR="0002608C" w:rsidRPr="00501A61" w:rsidRDefault="00906A80" w:rsidP="00107648">
      <w:pPr>
        <w:snapToGrid w:val="0"/>
        <w:spacing w:line="360" w:lineRule="auto"/>
        <w:ind w:firstLine="879"/>
        <w:jc w:val="center"/>
        <w:rPr>
          <w:rFonts w:asciiTheme="minorEastAsia" w:eastAsiaTheme="minorEastAsia" w:hAnsiTheme="minorEastAsia"/>
          <w:b/>
          <w:sz w:val="44"/>
        </w:rPr>
      </w:pPr>
      <w:r w:rsidRPr="00501A61">
        <w:rPr>
          <w:rFonts w:asciiTheme="minorEastAsia" w:eastAsiaTheme="minorEastAsia" w:hAnsiTheme="minorEastAsia" w:hint="eastAsia"/>
          <w:b/>
          <w:sz w:val="44"/>
        </w:rPr>
        <w:t>易方达价值精选混合型证券投资基金</w:t>
      </w:r>
    </w:p>
    <w:p w:rsidR="0002608C" w:rsidRPr="00501A61" w:rsidRDefault="0002608C" w:rsidP="00107648">
      <w:pPr>
        <w:snapToGrid w:val="0"/>
        <w:spacing w:line="360" w:lineRule="auto"/>
        <w:ind w:firstLine="879"/>
        <w:jc w:val="center"/>
        <w:rPr>
          <w:rFonts w:asciiTheme="minorEastAsia" w:eastAsiaTheme="minorEastAsia" w:hAnsiTheme="minorEastAsia"/>
          <w:b/>
          <w:sz w:val="44"/>
        </w:rPr>
      </w:pPr>
      <w:r w:rsidRPr="00501A61">
        <w:rPr>
          <w:rFonts w:asciiTheme="minorEastAsia" w:eastAsiaTheme="minorEastAsia" w:hAnsiTheme="minorEastAsia" w:hint="eastAsia"/>
          <w:b/>
          <w:bCs/>
          <w:sz w:val="44"/>
        </w:rPr>
        <w:t>更新的</w:t>
      </w:r>
      <w:r w:rsidRPr="00501A61">
        <w:rPr>
          <w:rFonts w:asciiTheme="minorEastAsia" w:eastAsiaTheme="minorEastAsia" w:hAnsiTheme="minorEastAsia" w:hint="eastAsia"/>
          <w:b/>
          <w:sz w:val="44"/>
        </w:rPr>
        <w:t>招募说明书</w:t>
      </w:r>
    </w:p>
    <w:p w:rsidR="0002608C" w:rsidRPr="00501A61" w:rsidRDefault="0002608C" w:rsidP="00107648">
      <w:pPr>
        <w:snapToGrid w:val="0"/>
        <w:spacing w:line="360" w:lineRule="auto"/>
        <w:ind w:firstLine="881"/>
        <w:jc w:val="center"/>
        <w:rPr>
          <w:rFonts w:asciiTheme="minorEastAsia" w:eastAsiaTheme="minorEastAsia" w:hAnsiTheme="minorEastAsia"/>
          <w:b/>
          <w:sz w:val="44"/>
        </w:rPr>
      </w:pPr>
    </w:p>
    <w:p w:rsidR="0002608C" w:rsidRPr="00501A61" w:rsidRDefault="0002608C" w:rsidP="00107648">
      <w:pPr>
        <w:snapToGrid w:val="0"/>
        <w:spacing w:line="360" w:lineRule="auto"/>
        <w:ind w:left="360" w:right="26"/>
        <w:jc w:val="center"/>
        <w:rPr>
          <w:rFonts w:asciiTheme="minorEastAsia" w:eastAsiaTheme="minorEastAsia" w:hAnsiTheme="minorEastAsia"/>
          <w:b/>
          <w:sz w:val="44"/>
        </w:rPr>
      </w:pPr>
    </w:p>
    <w:p w:rsidR="0002608C" w:rsidRPr="00501A61" w:rsidRDefault="0002608C" w:rsidP="00107648">
      <w:pPr>
        <w:snapToGrid w:val="0"/>
        <w:spacing w:line="360" w:lineRule="auto"/>
        <w:ind w:firstLine="600"/>
        <w:jc w:val="center"/>
        <w:rPr>
          <w:rFonts w:asciiTheme="minorEastAsia" w:eastAsiaTheme="minorEastAsia" w:hAnsiTheme="minorEastAsia"/>
          <w:sz w:val="24"/>
        </w:rPr>
      </w:pPr>
    </w:p>
    <w:p w:rsidR="0002608C" w:rsidRPr="00501A61" w:rsidRDefault="0002608C" w:rsidP="00107648">
      <w:pPr>
        <w:snapToGrid w:val="0"/>
        <w:spacing w:line="360" w:lineRule="auto"/>
        <w:ind w:leftChars="800" w:left="1680"/>
        <w:rPr>
          <w:rFonts w:asciiTheme="minorEastAsia" w:eastAsiaTheme="minorEastAsia" w:hAnsiTheme="minorEastAsia"/>
          <w:sz w:val="30"/>
          <w:szCs w:val="30"/>
        </w:rPr>
      </w:pPr>
    </w:p>
    <w:p w:rsidR="0002608C" w:rsidRPr="00501A61" w:rsidRDefault="0002608C" w:rsidP="00107648">
      <w:pPr>
        <w:snapToGrid w:val="0"/>
        <w:spacing w:line="360" w:lineRule="auto"/>
        <w:ind w:leftChars="800" w:left="1680"/>
        <w:rPr>
          <w:rFonts w:asciiTheme="minorEastAsia" w:eastAsiaTheme="minorEastAsia" w:hAnsiTheme="minorEastAsia"/>
          <w:sz w:val="30"/>
          <w:szCs w:val="30"/>
        </w:rPr>
      </w:pPr>
    </w:p>
    <w:p w:rsidR="0002608C" w:rsidRPr="00501A61" w:rsidRDefault="0002608C" w:rsidP="00107648">
      <w:pPr>
        <w:snapToGrid w:val="0"/>
        <w:spacing w:line="360" w:lineRule="auto"/>
        <w:ind w:leftChars="800" w:left="1680"/>
        <w:rPr>
          <w:rFonts w:asciiTheme="minorEastAsia" w:eastAsiaTheme="minorEastAsia" w:hAnsiTheme="minorEastAsia"/>
          <w:sz w:val="30"/>
          <w:szCs w:val="30"/>
        </w:rPr>
      </w:pPr>
    </w:p>
    <w:p w:rsidR="0002608C" w:rsidRPr="00501A61" w:rsidRDefault="0002608C" w:rsidP="00107648">
      <w:pPr>
        <w:snapToGrid w:val="0"/>
        <w:spacing w:line="360" w:lineRule="auto"/>
        <w:ind w:leftChars="800" w:left="1680"/>
        <w:rPr>
          <w:rFonts w:asciiTheme="minorEastAsia" w:eastAsiaTheme="minorEastAsia" w:hAnsiTheme="minorEastAsia"/>
          <w:sz w:val="30"/>
          <w:szCs w:val="30"/>
        </w:rPr>
      </w:pPr>
    </w:p>
    <w:p w:rsidR="00107648" w:rsidRPr="00501A61" w:rsidRDefault="00107648" w:rsidP="00107648">
      <w:pPr>
        <w:snapToGrid w:val="0"/>
        <w:spacing w:line="360" w:lineRule="auto"/>
        <w:ind w:leftChars="800" w:left="1680"/>
        <w:rPr>
          <w:rFonts w:asciiTheme="minorEastAsia" w:eastAsiaTheme="minorEastAsia" w:hAnsiTheme="minorEastAsia"/>
          <w:sz w:val="30"/>
          <w:szCs w:val="30"/>
        </w:rPr>
      </w:pPr>
    </w:p>
    <w:p w:rsidR="002A0070" w:rsidRPr="00501A61" w:rsidRDefault="002A0070" w:rsidP="00107648">
      <w:pPr>
        <w:snapToGrid w:val="0"/>
        <w:spacing w:line="360" w:lineRule="auto"/>
        <w:ind w:leftChars="800" w:left="1680"/>
        <w:rPr>
          <w:rFonts w:asciiTheme="minorEastAsia" w:eastAsiaTheme="minorEastAsia" w:hAnsiTheme="minorEastAsia"/>
          <w:sz w:val="30"/>
          <w:szCs w:val="30"/>
        </w:rPr>
      </w:pPr>
    </w:p>
    <w:p w:rsidR="0002608C" w:rsidRPr="00501A61" w:rsidRDefault="0002608C" w:rsidP="00107648">
      <w:pPr>
        <w:snapToGrid w:val="0"/>
        <w:spacing w:line="360" w:lineRule="auto"/>
        <w:ind w:leftChars="800" w:left="1680"/>
        <w:rPr>
          <w:rFonts w:asciiTheme="minorEastAsia" w:eastAsiaTheme="minorEastAsia" w:hAnsiTheme="minorEastAsia"/>
          <w:sz w:val="30"/>
          <w:szCs w:val="30"/>
        </w:rPr>
      </w:pPr>
      <w:r w:rsidRPr="00501A61">
        <w:rPr>
          <w:rFonts w:asciiTheme="minorEastAsia" w:eastAsiaTheme="minorEastAsia" w:hAnsiTheme="minorEastAsia" w:hint="eastAsia"/>
          <w:sz w:val="30"/>
          <w:szCs w:val="30"/>
        </w:rPr>
        <w:t>基金管理人：易方达基金管理有限公司</w:t>
      </w:r>
    </w:p>
    <w:p w:rsidR="0002608C" w:rsidRPr="00501A61" w:rsidRDefault="0002608C" w:rsidP="00107648">
      <w:pPr>
        <w:snapToGrid w:val="0"/>
        <w:spacing w:line="360" w:lineRule="auto"/>
        <w:ind w:leftChars="800" w:left="1680"/>
        <w:rPr>
          <w:rFonts w:asciiTheme="minorEastAsia" w:eastAsiaTheme="minorEastAsia" w:hAnsiTheme="minorEastAsia"/>
          <w:sz w:val="30"/>
          <w:szCs w:val="30"/>
        </w:rPr>
      </w:pPr>
      <w:r w:rsidRPr="00501A61">
        <w:rPr>
          <w:rFonts w:asciiTheme="minorEastAsia" w:eastAsiaTheme="minorEastAsia" w:hAnsiTheme="minorEastAsia" w:hint="eastAsia"/>
          <w:sz w:val="30"/>
          <w:szCs w:val="30"/>
        </w:rPr>
        <w:t>基金托管人：中国工商银行股份有限公司</w:t>
      </w:r>
    </w:p>
    <w:p w:rsidR="0002608C" w:rsidRPr="00501A61" w:rsidRDefault="0002608C" w:rsidP="00107648">
      <w:pPr>
        <w:snapToGrid w:val="0"/>
        <w:spacing w:line="360" w:lineRule="auto"/>
        <w:ind w:firstLine="561"/>
        <w:rPr>
          <w:rFonts w:asciiTheme="minorEastAsia" w:eastAsiaTheme="minorEastAsia" w:hAnsiTheme="minorEastAsia"/>
          <w:b/>
          <w:sz w:val="30"/>
          <w:szCs w:val="30"/>
        </w:rPr>
      </w:pPr>
    </w:p>
    <w:p w:rsidR="009B73E9" w:rsidRPr="00501A61" w:rsidRDefault="009B73E9" w:rsidP="00107648">
      <w:pPr>
        <w:snapToGrid w:val="0"/>
        <w:spacing w:line="360" w:lineRule="auto"/>
        <w:ind w:firstLine="561"/>
        <w:jc w:val="center"/>
        <w:rPr>
          <w:rFonts w:asciiTheme="minorEastAsia" w:eastAsiaTheme="minorEastAsia" w:hAnsiTheme="minorEastAsia"/>
          <w:bCs/>
          <w:sz w:val="32"/>
          <w:szCs w:val="32"/>
        </w:rPr>
      </w:pPr>
      <w:r w:rsidRPr="00501A61">
        <w:rPr>
          <w:rFonts w:asciiTheme="minorEastAsia" w:eastAsiaTheme="minorEastAsia" w:hAnsiTheme="minorEastAsia" w:hint="eastAsia"/>
          <w:bCs/>
          <w:sz w:val="32"/>
          <w:szCs w:val="32"/>
        </w:rPr>
        <w:t>二○二○年</w:t>
      </w:r>
      <w:r w:rsidR="00415605" w:rsidRPr="00501A61">
        <w:rPr>
          <w:rFonts w:asciiTheme="minorEastAsia" w:eastAsiaTheme="minorEastAsia" w:hAnsiTheme="minorEastAsia" w:hint="eastAsia"/>
          <w:bCs/>
          <w:sz w:val="32"/>
          <w:szCs w:val="32"/>
        </w:rPr>
        <w:t>七</w:t>
      </w:r>
      <w:r w:rsidRPr="00501A61">
        <w:rPr>
          <w:rFonts w:asciiTheme="minorEastAsia" w:eastAsiaTheme="minorEastAsia" w:hAnsiTheme="minorEastAsia" w:hint="eastAsia"/>
          <w:bCs/>
          <w:sz w:val="32"/>
          <w:szCs w:val="32"/>
        </w:rPr>
        <w:t>月</w:t>
      </w:r>
    </w:p>
    <w:p w:rsidR="00574E66" w:rsidRPr="00501A61" w:rsidRDefault="00574E66" w:rsidP="00107648">
      <w:pPr>
        <w:snapToGrid w:val="0"/>
        <w:spacing w:line="360" w:lineRule="auto"/>
        <w:ind w:firstLine="561"/>
        <w:jc w:val="center"/>
        <w:rPr>
          <w:rFonts w:asciiTheme="minorEastAsia" w:eastAsiaTheme="minorEastAsia" w:hAnsiTheme="minorEastAsia"/>
          <w:bCs/>
          <w:sz w:val="32"/>
          <w:szCs w:val="32"/>
        </w:rPr>
      </w:pPr>
    </w:p>
    <w:p w:rsidR="00574E66" w:rsidRPr="00501A61" w:rsidRDefault="00574E66" w:rsidP="00107648">
      <w:pPr>
        <w:snapToGrid w:val="0"/>
        <w:spacing w:line="360" w:lineRule="auto"/>
        <w:ind w:firstLine="561"/>
        <w:jc w:val="center"/>
        <w:rPr>
          <w:rFonts w:asciiTheme="minorEastAsia" w:eastAsiaTheme="minorEastAsia" w:hAnsiTheme="minorEastAsia"/>
          <w:bCs/>
          <w:sz w:val="32"/>
          <w:szCs w:val="32"/>
        </w:rPr>
      </w:pPr>
    </w:p>
    <w:p w:rsidR="0002608C" w:rsidRPr="00501A61" w:rsidRDefault="0002608C" w:rsidP="00107648">
      <w:pPr>
        <w:snapToGrid w:val="0"/>
        <w:spacing w:line="360" w:lineRule="auto"/>
        <w:ind w:firstLine="561"/>
        <w:jc w:val="center"/>
        <w:rPr>
          <w:rFonts w:asciiTheme="minorEastAsia" w:eastAsiaTheme="minorEastAsia" w:hAnsiTheme="minorEastAsia"/>
          <w:b/>
          <w:sz w:val="28"/>
          <w:szCs w:val="28"/>
        </w:rPr>
      </w:pPr>
      <w:r w:rsidRPr="00501A61">
        <w:rPr>
          <w:rFonts w:asciiTheme="minorEastAsia" w:eastAsiaTheme="minorEastAsia" w:hAnsiTheme="minorEastAsia" w:hint="eastAsia"/>
          <w:b/>
          <w:sz w:val="28"/>
          <w:szCs w:val="28"/>
        </w:rPr>
        <w:lastRenderedPageBreak/>
        <w:t>重要提示</w:t>
      </w:r>
    </w:p>
    <w:p w:rsidR="0002608C" w:rsidRPr="00501A61" w:rsidRDefault="0002608C" w:rsidP="00107648">
      <w:pPr>
        <w:adjustRightInd w:val="0"/>
        <w:snapToGrid w:val="0"/>
        <w:spacing w:line="360" w:lineRule="auto"/>
        <w:ind w:firstLine="480"/>
        <w:rPr>
          <w:rFonts w:asciiTheme="minorEastAsia" w:eastAsiaTheme="minorEastAsia" w:hAnsiTheme="minorEastAsia"/>
          <w:b/>
          <w:szCs w:val="21"/>
        </w:rPr>
      </w:pPr>
      <w:r w:rsidRPr="00501A61">
        <w:rPr>
          <w:rFonts w:asciiTheme="minorEastAsia" w:eastAsiaTheme="minorEastAsia" w:hAnsiTheme="minorEastAsia" w:hint="eastAsia"/>
          <w:b/>
          <w:szCs w:val="21"/>
        </w:rPr>
        <w:t>本基金根据2006年5月25日中国证券监督管理委员会《关于同意易方达价值精选股票型证券投资基金募集的批复》（证监基金字</w:t>
      </w:r>
      <w:r w:rsidRPr="00501A61">
        <w:rPr>
          <w:rFonts w:asciiTheme="minorEastAsia" w:eastAsiaTheme="minorEastAsia" w:hAnsiTheme="minorEastAsia"/>
          <w:b/>
          <w:szCs w:val="21"/>
        </w:rPr>
        <w:t>[</w:t>
      </w:r>
      <w:r w:rsidRPr="00501A61">
        <w:rPr>
          <w:rFonts w:asciiTheme="minorEastAsia" w:eastAsiaTheme="minorEastAsia" w:hAnsiTheme="minorEastAsia" w:hint="eastAsia"/>
          <w:b/>
          <w:szCs w:val="21"/>
        </w:rPr>
        <w:t>2006]97号）和2006年5月31日《关于同意易方达价值精选股票型证券投资基金募集时间安排的函》（基金部函</w:t>
      </w:r>
      <w:r w:rsidRPr="00501A61">
        <w:rPr>
          <w:rFonts w:asciiTheme="minorEastAsia" w:eastAsiaTheme="minorEastAsia" w:hAnsiTheme="minorEastAsia"/>
          <w:b/>
          <w:szCs w:val="21"/>
        </w:rPr>
        <w:t>[</w:t>
      </w:r>
      <w:r w:rsidRPr="00501A61">
        <w:rPr>
          <w:rFonts w:asciiTheme="minorEastAsia" w:eastAsiaTheme="minorEastAsia" w:hAnsiTheme="minorEastAsia" w:hint="eastAsia"/>
          <w:b/>
          <w:szCs w:val="21"/>
        </w:rPr>
        <w:t>2006]117号）的核准，进行募集。本基金的基金合同于2006年6月13日正式生效。</w:t>
      </w:r>
    </w:p>
    <w:p w:rsidR="0002608C" w:rsidRPr="00501A61" w:rsidRDefault="0002608C" w:rsidP="00107648">
      <w:pPr>
        <w:adjustRightInd w:val="0"/>
        <w:snapToGrid w:val="0"/>
        <w:spacing w:line="360" w:lineRule="auto"/>
        <w:ind w:firstLine="420"/>
        <w:rPr>
          <w:rFonts w:asciiTheme="minorEastAsia" w:eastAsiaTheme="minorEastAsia" w:hAnsiTheme="minorEastAsia"/>
          <w:b/>
          <w:szCs w:val="21"/>
        </w:rPr>
      </w:pPr>
      <w:r w:rsidRPr="00501A61">
        <w:rPr>
          <w:rFonts w:asciiTheme="minorEastAsia" w:eastAsiaTheme="minorEastAsia" w:hAnsiTheme="minorEastAsia" w:hint="eastAsia"/>
          <w:b/>
          <w:szCs w:val="21"/>
        </w:rPr>
        <w:t>基金管理人保证本招募说明书的内容真实、准确、完整。本招募说明书经中国证监会核准，但中国证监会对本基金募集的核准，并不表明其对本基金的价值和收益作出实质性判断或保证，也不表明投资于本基金没有风险。</w:t>
      </w:r>
    </w:p>
    <w:p w:rsidR="0002608C" w:rsidRPr="00501A61" w:rsidRDefault="0002608C" w:rsidP="00107648">
      <w:pPr>
        <w:adjustRightInd w:val="0"/>
        <w:snapToGrid w:val="0"/>
        <w:spacing w:line="360" w:lineRule="auto"/>
        <w:ind w:firstLine="480"/>
        <w:rPr>
          <w:rFonts w:asciiTheme="minorEastAsia" w:eastAsiaTheme="minorEastAsia" w:hAnsiTheme="minorEastAsia"/>
          <w:b/>
          <w:szCs w:val="21"/>
        </w:rPr>
      </w:pPr>
      <w:r w:rsidRPr="00501A61">
        <w:rPr>
          <w:rFonts w:asciiTheme="minorEastAsia" w:eastAsiaTheme="minorEastAsia" w:hAnsiTheme="minorEastAsia" w:hint="eastAsia"/>
          <w:b/>
          <w:szCs w:val="21"/>
        </w:rPr>
        <w:t>投资有风险，投资者投资于本基金前应认真阅读本</w:t>
      </w:r>
      <w:r w:rsidR="009F7BDB" w:rsidRPr="00501A61">
        <w:rPr>
          <w:rFonts w:asciiTheme="minorEastAsia" w:eastAsiaTheme="minorEastAsia" w:hAnsiTheme="minorEastAsia" w:hint="eastAsia"/>
          <w:b/>
          <w:szCs w:val="21"/>
        </w:rPr>
        <w:t>招募说明书、基金合同和基金产品资料概要等信息披露文件</w:t>
      </w:r>
      <w:r w:rsidRPr="00501A61">
        <w:rPr>
          <w:rFonts w:asciiTheme="minorEastAsia" w:eastAsiaTheme="minorEastAsia" w:hAnsiTheme="minorEastAsia" w:hint="eastAsia"/>
          <w:b/>
          <w:szCs w:val="21"/>
        </w:rPr>
        <w:t>。</w:t>
      </w:r>
    </w:p>
    <w:p w:rsidR="0002608C" w:rsidRPr="00501A61" w:rsidRDefault="0002608C" w:rsidP="00107648">
      <w:pPr>
        <w:adjustRightInd w:val="0"/>
        <w:snapToGrid w:val="0"/>
        <w:spacing w:line="360" w:lineRule="auto"/>
        <w:ind w:firstLine="480"/>
        <w:rPr>
          <w:rFonts w:asciiTheme="minorEastAsia" w:eastAsiaTheme="minorEastAsia" w:hAnsiTheme="minorEastAsia"/>
          <w:b/>
          <w:szCs w:val="21"/>
        </w:rPr>
      </w:pPr>
      <w:r w:rsidRPr="00501A61">
        <w:rPr>
          <w:rFonts w:asciiTheme="minorEastAsia" w:eastAsiaTheme="minorEastAsia" w:hAnsiTheme="minorEastAsia" w:hint="eastAsia"/>
          <w:b/>
          <w:szCs w:val="21"/>
        </w:rPr>
        <w:t>基金的过往业绩并不预示其未来表现。</w:t>
      </w:r>
    </w:p>
    <w:p w:rsidR="0002608C" w:rsidRPr="00501A61" w:rsidRDefault="0002608C" w:rsidP="00107648">
      <w:pPr>
        <w:adjustRightInd w:val="0"/>
        <w:snapToGrid w:val="0"/>
        <w:spacing w:line="360" w:lineRule="auto"/>
        <w:ind w:firstLine="480"/>
        <w:rPr>
          <w:rFonts w:asciiTheme="minorEastAsia" w:eastAsiaTheme="minorEastAsia" w:hAnsiTheme="minorEastAsia"/>
          <w:b/>
          <w:szCs w:val="21"/>
        </w:rPr>
      </w:pPr>
      <w:r w:rsidRPr="00501A61">
        <w:rPr>
          <w:rFonts w:asciiTheme="minorEastAsia" w:eastAsiaTheme="minorEastAsia" w:hAnsiTheme="minorEastAsia"/>
          <w:b/>
          <w:szCs w:val="21"/>
        </w:rPr>
        <w:t>基金管理人依照恪尽职守、诚实信用、谨慎勤勉的原则管理和运用基金</w:t>
      </w:r>
      <w:r w:rsidRPr="00501A61">
        <w:rPr>
          <w:rFonts w:asciiTheme="minorEastAsia" w:eastAsiaTheme="minorEastAsia" w:hAnsiTheme="minorEastAsia" w:hint="eastAsia"/>
          <w:b/>
          <w:szCs w:val="21"/>
        </w:rPr>
        <w:t>财产</w:t>
      </w:r>
      <w:r w:rsidRPr="00501A61">
        <w:rPr>
          <w:rFonts w:asciiTheme="minorEastAsia" w:eastAsiaTheme="minorEastAsia" w:hAnsiTheme="minorEastAsia"/>
          <w:b/>
          <w:szCs w:val="21"/>
        </w:rPr>
        <w:t>，</w:t>
      </w:r>
      <w:r w:rsidRPr="00501A61">
        <w:rPr>
          <w:rFonts w:asciiTheme="minorEastAsia" w:eastAsiaTheme="minorEastAsia" w:hAnsiTheme="minorEastAsia" w:hint="eastAsia"/>
          <w:b/>
          <w:szCs w:val="21"/>
        </w:rPr>
        <w:t>但</w:t>
      </w:r>
      <w:r w:rsidRPr="00501A61">
        <w:rPr>
          <w:rFonts w:asciiTheme="minorEastAsia" w:eastAsiaTheme="minorEastAsia" w:hAnsiTheme="minorEastAsia"/>
          <w:b/>
          <w:szCs w:val="21"/>
        </w:rPr>
        <w:t>不保证基金一定盈利，也不保证最低收益</w:t>
      </w:r>
      <w:r w:rsidRPr="00501A61">
        <w:rPr>
          <w:rFonts w:asciiTheme="minorEastAsia" w:eastAsiaTheme="minorEastAsia" w:hAnsiTheme="minorEastAsia" w:hint="eastAsia"/>
          <w:b/>
          <w:szCs w:val="21"/>
        </w:rPr>
        <w:t>。</w:t>
      </w:r>
    </w:p>
    <w:p w:rsidR="008E5383" w:rsidRPr="00501A61" w:rsidRDefault="008E5383" w:rsidP="00107648">
      <w:pPr>
        <w:adjustRightInd w:val="0"/>
        <w:snapToGrid w:val="0"/>
        <w:spacing w:line="360" w:lineRule="auto"/>
        <w:ind w:firstLine="480"/>
        <w:rPr>
          <w:rFonts w:asciiTheme="minorEastAsia" w:eastAsiaTheme="minorEastAsia" w:hAnsiTheme="minorEastAsia"/>
          <w:b/>
          <w:szCs w:val="21"/>
        </w:rPr>
      </w:pPr>
      <w:r w:rsidRPr="00501A61">
        <w:rPr>
          <w:rFonts w:asciiTheme="minorEastAsia" w:eastAsiaTheme="minorEastAsia" w:hAnsiTheme="minorEastAsia" w:hint="eastAsia"/>
          <w:b/>
          <w:szCs w:val="21"/>
        </w:rPr>
        <w:t>基金合同约定的基金产品资料概要编制、披露与更新要求，自《信息披露办法》实施之日起一年后开始执行。</w:t>
      </w:r>
    </w:p>
    <w:p w:rsidR="0002608C" w:rsidRPr="00501A61" w:rsidRDefault="004B3B1E" w:rsidP="00107648">
      <w:pPr>
        <w:adjustRightInd w:val="0"/>
        <w:snapToGrid w:val="0"/>
        <w:spacing w:line="360" w:lineRule="auto"/>
        <w:ind w:firstLine="480"/>
        <w:rPr>
          <w:rFonts w:asciiTheme="minorEastAsia" w:eastAsiaTheme="minorEastAsia" w:hAnsiTheme="minorEastAsia"/>
          <w:b/>
          <w:szCs w:val="21"/>
        </w:rPr>
      </w:pPr>
      <w:r w:rsidRPr="00501A61">
        <w:rPr>
          <w:rFonts w:asciiTheme="minorEastAsia" w:eastAsiaTheme="minorEastAsia" w:hAnsiTheme="minorEastAsia" w:hint="eastAsia"/>
          <w:b/>
          <w:bCs/>
        </w:rPr>
        <w:t>本基金本次更新招募说明书</w:t>
      </w:r>
      <w:r w:rsidR="009A5BC2" w:rsidRPr="00501A61">
        <w:rPr>
          <w:rFonts w:asciiTheme="minorEastAsia" w:eastAsiaTheme="minorEastAsia" w:hAnsiTheme="minorEastAsia" w:hint="eastAsia"/>
          <w:b/>
          <w:bCs/>
        </w:rPr>
        <w:t>对基金合同修订和董事、监事、高级管理人员相关信息进行更新，相关信息更新截止日为2020年7月11日。</w:t>
      </w:r>
      <w:r w:rsidR="00EC6E1F" w:rsidRPr="00501A61">
        <w:rPr>
          <w:rFonts w:asciiTheme="minorEastAsia" w:eastAsiaTheme="minorEastAsia" w:hAnsiTheme="minorEastAsia" w:hint="eastAsia"/>
          <w:b/>
          <w:szCs w:val="21"/>
        </w:rPr>
        <w:t>除非另有说明，</w:t>
      </w:r>
      <w:r w:rsidR="009B73E9" w:rsidRPr="00501A61">
        <w:rPr>
          <w:rFonts w:asciiTheme="minorEastAsia" w:eastAsiaTheme="minorEastAsia" w:hAnsiTheme="minorEastAsia" w:hint="eastAsia"/>
          <w:b/>
          <w:szCs w:val="21"/>
        </w:rPr>
        <w:t>本招募说明书</w:t>
      </w:r>
      <w:r w:rsidR="009A5BC2" w:rsidRPr="00501A61">
        <w:rPr>
          <w:rFonts w:asciiTheme="minorEastAsia" w:eastAsiaTheme="minorEastAsia" w:hAnsiTheme="minorEastAsia" w:hint="eastAsia"/>
          <w:b/>
          <w:szCs w:val="21"/>
        </w:rPr>
        <w:t>其他</w:t>
      </w:r>
      <w:r w:rsidR="009B73E9" w:rsidRPr="00501A61">
        <w:rPr>
          <w:rFonts w:asciiTheme="minorEastAsia" w:eastAsiaTheme="minorEastAsia" w:hAnsiTheme="minorEastAsia" w:hint="eastAsia"/>
          <w:b/>
          <w:szCs w:val="21"/>
        </w:rPr>
        <w:t>所载内容截止日为2020年4月16日</w:t>
      </w:r>
      <w:r w:rsidR="00EC6E1F" w:rsidRPr="00501A61">
        <w:rPr>
          <w:rFonts w:asciiTheme="minorEastAsia" w:eastAsiaTheme="minorEastAsia" w:hAnsiTheme="minorEastAsia" w:hint="eastAsia"/>
          <w:b/>
          <w:szCs w:val="21"/>
        </w:rPr>
        <w:t>，</w:t>
      </w:r>
      <w:r w:rsidR="009B73E9" w:rsidRPr="00501A61">
        <w:rPr>
          <w:rFonts w:asciiTheme="minorEastAsia" w:eastAsiaTheme="minorEastAsia" w:hAnsiTheme="minorEastAsia" w:hint="eastAsia"/>
          <w:b/>
          <w:szCs w:val="21"/>
        </w:rPr>
        <w:t>有关财务数据截止日为2020年3月31日</w:t>
      </w:r>
      <w:r w:rsidR="00EC6E1F" w:rsidRPr="00501A61">
        <w:rPr>
          <w:rFonts w:asciiTheme="minorEastAsia" w:eastAsiaTheme="minorEastAsia" w:hAnsiTheme="minorEastAsia" w:hint="eastAsia"/>
          <w:b/>
          <w:szCs w:val="21"/>
        </w:rPr>
        <w:t>，</w:t>
      </w:r>
      <w:r w:rsidR="009B73E9" w:rsidRPr="00501A61">
        <w:rPr>
          <w:rFonts w:asciiTheme="minorEastAsia" w:eastAsiaTheme="minorEastAsia" w:hAnsiTheme="minorEastAsia" w:hint="eastAsia"/>
          <w:b/>
          <w:szCs w:val="21"/>
        </w:rPr>
        <w:t>净值表现截止日为2019年12月31日</w:t>
      </w:r>
      <w:r w:rsidR="00EC6E1F" w:rsidRPr="00501A61">
        <w:rPr>
          <w:rFonts w:asciiTheme="minorEastAsia" w:eastAsiaTheme="minorEastAsia" w:hAnsiTheme="minorEastAsia" w:hint="eastAsia"/>
          <w:b/>
          <w:szCs w:val="21"/>
        </w:rPr>
        <w:t>。（本报告中财务数据未经审计）</w:t>
      </w:r>
    </w:p>
    <w:p w:rsidR="0002608C" w:rsidRPr="00501A61" w:rsidRDefault="0002608C" w:rsidP="00107648">
      <w:pPr>
        <w:adjustRightInd w:val="0"/>
        <w:snapToGrid w:val="0"/>
        <w:spacing w:line="360" w:lineRule="auto"/>
        <w:ind w:firstLine="480"/>
        <w:jc w:val="center"/>
        <w:rPr>
          <w:rFonts w:asciiTheme="minorEastAsia" w:eastAsiaTheme="minorEastAsia" w:hAnsiTheme="minorEastAsia"/>
          <w:b/>
          <w:szCs w:val="21"/>
        </w:rPr>
      </w:pPr>
    </w:p>
    <w:p w:rsidR="0002608C" w:rsidRPr="00501A61" w:rsidRDefault="0002608C" w:rsidP="00107648">
      <w:pPr>
        <w:adjustRightInd w:val="0"/>
        <w:snapToGrid w:val="0"/>
        <w:spacing w:line="360" w:lineRule="auto"/>
        <w:ind w:firstLine="480"/>
        <w:jc w:val="center"/>
        <w:rPr>
          <w:rFonts w:asciiTheme="minorEastAsia" w:eastAsiaTheme="minorEastAsia" w:hAnsiTheme="minorEastAsia"/>
          <w:b/>
          <w:sz w:val="28"/>
          <w:szCs w:val="28"/>
        </w:rPr>
        <w:sectPr w:rsidR="0002608C" w:rsidRPr="00501A61" w:rsidSect="0002608C">
          <w:headerReference w:type="even" r:id="rId9"/>
          <w:headerReference w:type="default" r:id="rId10"/>
          <w:footerReference w:type="even" r:id="rId11"/>
          <w:footerReference w:type="default" r:id="rId12"/>
          <w:headerReference w:type="first" r:id="rId13"/>
          <w:footerReference w:type="first" r:id="rId14"/>
          <w:pgSz w:w="11906" w:h="16838" w:code="9"/>
          <w:pgMar w:top="1701" w:right="1814" w:bottom="1701" w:left="1814" w:header="1134" w:footer="1247" w:gutter="0"/>
          <w:pgNumType w:fmt="upperRoman" w:start="1"/>
          <w:cols w:space="425"/>
          <w:docGrid w:type="lines" w:linePitch="447"/>
        </w:sectPr>
      </w:pPr>
    </w:p>
    <w:p w:rsidR="0002608C" w:rsidRPr="00501A61" w:rsidRDefault="0002608C" w:rsidP="00107648">
      <w:pPr>
        <w:adjustRightInd w:val="0"/>
        <w:snapToGrid w:val="0"/>
        <w:spacing w:line="360" w:lineRule="auto"/>
        <w:ind w:firstLine="480"/>
        <w:jc w:val="center"/>
        <w:rPr>
          <w:rFonts w:asciiTheme="minorEastAsia" w:eastAsiaTheme="minorEastAsia" w:hAnsiTheme="minorEastAsia"/>
          <w:b/>
          <w:sz w:val="28"/>
          <w:szCs w:val="28"/>
        </w:rPr>
      </w:pPr>
      <w:r w:rsidRPr="00501A61">
        <w:rPr>
          <w:rFonts w:asciiTheme="minorEastAsia" w:eastAsiaTheme="minorEastAsia" w:hAnsiTheme="minorEastAsia" w:hint="eastAsia"/>
          <w:b/>
          <w:sz w:val="28"/>
          <w:szCs w:val="28"/>
        </w:rPr>
        <w:lastRenderedPageBreak/>
        <w:t>目录</w:t>
      </w:r>
    </w:p>
    <w:p w:rsidR="00501A61" w:rsidRDefault="006C17F3">
      <w:pPr>
        <w:pStyle w:val="10"/>
        <w:rPr>
          <w:rFonts w:asciiTheme="minorHAnsi" w:eastAsiaTheme="minorEastAsia" w:hAnsiTheme="minorHAnsi" w:cstheme="minorBidi"/>
          <w:caps w:val="0"/>
          <w:sz w:val="21"/>
          <w:szCs w:val="22"/>
        </w:rPr>
      </w:pPr>
      <w:r w:rsidRPr="00501A61">
        <w:rPr>
          <w:rFonts w:asciiTheme="minorEastAsia" w:eastAsiaTheme="minorEastAsia" w:hAnsiTheme="minorEastAsia"/>
          <w:b/>
          <w:szCs w:val="21"/>
        </w:rPr>
        <w:fldChar w:fldCharType="begin"/>
      </w:r>
      <w:r w:rsidR="0002608C" w:rsidRPr="00501A61">
        <w:rPr>
          <w:rFonts w:asciiTheme="minorEastAsia" w:eastAsiaTheme="minorEastAsia" w:hAnsiTheme="minorEastAsia"/>
          <w:b/>
          <w:szCs w:val="21"/>
        </w:rPr>
        <w:instrText xml:space="preserve"> TOC \o "1-3" \h \z \u </w:instrText>
      </w:r>
      <w:r w:rsidRPr="00501A61">
        <w:rPr>
          <w:rFonts w:asciiTheme="minorEastAsia" w:eastAsiaTheme="minorEastAsia" w:hAnsiTheme="minorEastAsia"/>
          <w:b/>
          <w:szCs w:val="21"/>
        </w:rPr>
        <w:fldChar w:fldCharType="separate"/>
      </w:r>
      <w:hyperlink w:anchor="_Toc45632182" w:history="1">
        <w:r w:rsidR="00501A61" w:rsidRPr="00923B73">
          <w:rPr>
            <w:rStyle w:val="af"/>
            <w:rFonts w:asciiTheme="minorEastAsia" w:hAnsiTheme="minorEastAsia" w:hint="eastAsia"/>
          </w:rPr>
          <w:t>一、绪言</w:t>
        </w:r>
        <w:r w:rsidR="00501A61">
          <w:rPr>
            <w:webHidden/>
          </w:rPr>
          <w:tab/>
        </w:r>
        <w:r w:rsidR="00501A61">
          <w:rPr>
            <w:webHidden/>
          </w:rPr>
          <w:fldChar w:fldCharType="begin"/>
        </w:r>
        <w:r w:rsidR="00501A61">
          <w:rPr>
            <w:webHidden/>
          </w:rPr>
          <w:instrText xml:space="preserve"> PAGEREF _Toc45632182 \h </w:instrText>
        </w:r>
        <w:r w:rsidR="00501A61">
          <w:rPr>
            <w:webHidden/>
          </w:rPr>
        </w:r>
        <w:r w:rsidR="00501A61">
          <w:rPr>
            <w:webHidden/>
          </w:rPr>
          <w:fldChar w:fldCharType="separate"/>
        </w:r>
        <w:r w:rsidR="00501A61">
          <w:rPr>
            <w:webHidden/>
          </w:rPr>
          <w:t>1</w:t>
        </w:r>
        <w:r w:rsidR="00501A61">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183" w:history="1">
        <w:r w:rsidRPr="00923B73">
          <w:rPr>
            <w:rStyle w:val="af"/>
            <w:rFonts w:asciiTheme="minorEastAsia" w:hAnsiTheme="minorEastAsia" w:hint="eastAsia"/>
            <w:b/>
          </w:rPr>
          <w:t>二、释义</w:t>
        </w:r>
        <w:r>
          <w:rPr>
            <w:webHidden/>
          </w:rPr>
          <w:tab/>
        </w:r>
        <w:r>
          <w:rPr>
            <w:webHidden/>
          </w:rPr>
          <w:fldChar w:fldCharType="begin"/>
        </w:r>
        <w:r>
          <w:rPr>
            <w:webHidden/>
          </w:rPr>
          <w:instrText xml:space="preserve"> PAGEREF _Toc45632183 \h </w:instrText>
        </w:r>
        <w:r>
          <w:rPr>
            <w:webHidden/>
          </w:rPr>
        </w:r>
        <w:r>
          <w:rPr>
            <w:webHidden/>
          </w:rPr>
          <w:fldChar w:fldCharType="separate"/>
        </w:r>
        <w:r>
          <w:rPr>
            <w:webHidden/>
          </w:rPr>
          <w:t>2</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184" w:history="1">
        <w:r w:rsidRPr="00923B73">
          <w:rPr>
            <w:rStyle w:val="af"/>
            <w:rFonts w:asciiTheme="minorEastAsia" w:hAnsiTheme="minorEastAsia" w:hint="eastAsia"/>
            <w:b/>
            <w:bCs/>
          </w:rPr>
          <w:t>三、基金管理人</w:t>
        </w:r>
        <w:r>
          <w:rPr>
            <w:webHidden/>
          </w:rPr>
          <w:tab/>
        </w:r>
        <w:r>
          <w:rPr>
            <w:webHidden/>
          </w:rPr>
          <w:fldChar w:fldCharType="begin"/>
        </w:r>
        <w:r>
          <w:rPr>
            <w:webHidden/>
          </w:rPr>
          <w:instrText xml:space="preserve"> PAGEREF _Toc45632184 \h </w:instrText>
        </w:r>
        <w:r>
          <w:rPr>
            <w:webHidden/>
          </w:rPr>
        </w:r>
        <w:r>
          <w:rPr>
            <w:webHidden/>
          </w:rPr>
          <w:fldChar w:fldCharType="separate"/>
        </w:r>
        <w:r>
          <w:rPr>
            <w:webHidden/>
          </w:rPr>
          <w:t>5</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185" w:history="1">
        <w:r w:rsidRPr="00923B73">
          <w:rPr>
            <w:rStyle w:val="af"/>
            <w:rFonts w:asciiTheme="minorEastAsia" w:hAnsiTheme="minorEastAsia" w:cs="仿宋_GB2312" w:hint="eastAsia"/>
            <w:bCs/>
            <w:kern w:val="0"/>
          </w:rPr>
          <w:t>（一）基金管理人基本情况</w:t>
        </w:r>
        <w:r>
          <w:rPr>
            <w:webHidden/>
          </w:rPr>
          <w:tab/>
        </w:r>
        <w:r>
          <w:rPr>
            <w:webHidden/>
          </w:rPr>
          <w:fldChar w:fldCharType="begin"/>
        </w:r>
        <w:r>
          <w:rPr>
            <w:webHidden/>
          </w:rPr>
          <w:instrText xml:space="preserve"> PAGEREF _Toc45632185 \h </w:instrText>
        </w:r>
        <w:r>
          <w:rPr>
            <w:webHidden/>
          </w:rPr>
        </w:r>
        <w:r>
          <w:rPr>
            <w:webHidden/>
          </w:rPr>
          <w:fldChar w:fldCharType="separate"/>
        </w:r>
        <w:r>
          <w:rPr>
            <w:webHidden/>
          </w:rPr>
          <w:t>5</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186" w:history="1">
        <w:r w:rsidRPr="00923B73">
          <w:rPr>
            <w:rStyle w:val="af"/>
            <w:rFonts w:asciiTheme="minorEastAsia" w:hAnsiTheme="minorEastAsia" w:hint="eastAsia"/>
            <w:bCs/>
          </w:rPr>
          <w:t>（二）主要人员情况</w:t>
        </w:r>
        <w:r>
          <w:rPr>
            <w:webHidden/>
          </w:rPr>
          <w:tab/>
        </w:r>
        <w:r>
          <w:rPr>
            <w:webHidden/>
          </w:rPr>
          <w:fldChar w:fldCharType="begin"/>
        </w:r>
        <w:r>
          <w:rPr>
            <w:webHidden/>
          </w:rPr>
          <w:instrText xml:space="preserve"> PAGEREF _Toc45632186 \h </w:instrText>
        </w:r>
        <w:r>
          <w:rPr>
            <w:webHidden/>
          </w:rPr>
        </w:r>
        <w:r>
          <w:rPr>
            <w:webHidden/>
          </w:rPr>
          <w:fldChar w:fldCharType="separate"/>
        </w:r>
        <w:r>
          <w:rPr>
            <w:webHidden/>
          </w:rPr>
          <w:t>5</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187" w:history="1">
        <w:r w:rsidRPr="00923B73">
          <w:rPr>
            <w:rStyle w:val="af"/>
            <w:rFonts w:asciiTheme="minorEastAsia" w:hAnsiTheme="minorEastAsia" w:hint="eastAsia"/>
            <w:bCs/>
          </w:rPr>
          <w:t>（三）基金管理人的职责</w:t>
        </w:r>
        <w:r>
          <w:rPr>
            <w:webHidden/>
          </w:rPr>
          <w:tab/>
        </w:r>
        <w:r>
          <w:rPr>
            <w:webHidden/>
          </w:rPr>
          <w:fldChar w:fldCharType="begin"/>
        </w:r>
        <w:r>
          <w:rPr>
            <w:webHidden/>
          </w:rPr>
          <w:instrText xml:space="preserve"> PAGEREF _Toc45632187 \h </w:instrText>
        </w:r>
        <w:r>
          <w:rPr>
            <w:webHidden/>
          </w:rPr>
        </w:r>
        <w:r>
          <w:rPr>
            <w:webHidden/>
          </w:rPr>
          <w:fldChar w:fldCharType="separate"/>
        </w:r>
        <w:r>
          <w:rPr>
            <w:webHidden/>
          </w:rPr>
          <w:t>11</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188" w:history="1">
        <w:r w:rsidRPr="00923B73">
          <w:rPr>
            <w:rStyle w:val="af"/>
            <w:rFonts w:asciiTheme="minorEastAsia" w:hAnsiTheme="minorEastAsia" w:hint="eastAsia"/>
            <w:bCs/>
          </w:rPr>
          <w:t>（四）基金管理人的承诺</w:t>
        </w:r>
        <w:r>
          <w:rPr>
            <w:webHidden/>
          </w:rPr>
          <w:tab/>
        </w:r>
        <w:r>
          <w:rPr>
            <w:webHidden/>
          </w:rPr>
          <w:fldChar w:fldCharType="begin"/>
        </w:r>
        <w:r>
          <w:rPr>
            <w:webHidden/>
          </w:rPr>
          <w:instrText xml:space="preserve"> PAGEREF _Toc45632188 \h </w:instrText>
        </w:r>
        <w:r>
          <w:rPr>
            <w:webHidden/>
          </w:rPr>
        </w:r>
        <w:r>
          <w:rPr>
            <w:webHidden/>
          </w:rPr>
          <w:fldChar w:fldCharType="separate"/>
        </w:r>
        <w:r>
          <w:rPr>
            <w:webHidden/>
          </w:rPr>
          <w:t>11</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189" w:history="1">
        <w:r w:rsidRPr="00923B73">
          <w:rPr>
            <w:rStyle w:val="af"/>
            <w:rFonts w:asciiTheme="minorEastAsia" w:hAnsiTheme="minorEastAsia" w:hint="eastAsia"/>
            <w:bCs/>
          </w:rPr>
          <w:t>（五）基金管理人的内部控制制度</w:t>
        </w:r>
        <w:r>
          <w:rPr>
            <w:webHidden/>
          </w:rPr>
          <w:tab/>
        </w:r>
        <w:r>
          <w:rPr>
            <w:webHidden/>
          </w:rPr>
          <w:fldChar w:fldCharType="begin"/>
        </w:r>
        <w:r>
          <w:rPr>
            <w:webHidden/>
          </w:rPr>
          <w:instrText xml:space="preserve"> PAGEREF _Toc45632189 \h </w:instrText>
        </w:r>
        <w:r>
          <w:rPr>
            <w:webHidden/>
          </w:rPr>
        </w:r>
        <w:r>
          <w:rPr>
            <w:webHidden/>
          </w:rPr>
          <w:fldChar w:fldCharType="separate"/>
        </w:r>
        <w:r>
          <w:rPr>
            <w:webHidden/>
          </w:rPr>
          <w:t>13</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190" w:history="1">
        <w:r w:rsidRPr="00923B73">
          <w:rPr>
            <w:rStyle w:val="af"/>
            <w:rFonts w:asciiTheme="minorEastAsia" w:hAnsiTheme="minorEastAsia" w:hint="eastAsia"/>
            <w:b/>
            <w:bCs/>
          </w:rPr>
          <w:t>四、基金托管人</w:t>
        </w:r>
        <w:r>
          <w:rPr>
            <w:webHidden/>
          </w:rPr>
          <w:tab/>
        </w:r>
        <w:r>
          <w:rPr>
            <w:webHidden/>
          </w:rPr>
          <w:fldChar w:fldCharType="begin"/>
        </w:r>
        <w:r>
          <w:rPr>
            <w:webHidden/>
          </w:rPr>
          <w:instrText xml:space="preserve"> PAGEREF _Toc45632190 \h </w:instrText>
        </w:r>
        <w:r>
          <w:rPr>
            <w:webHidden/>
          </w:rPr>
        </w:r>
        <w:r>
          <w:rPr>
            <w:webHidden/>
          </w:rPr>
          <w:fldChar w:fldCharType="separate"/>
        </w:r>
        <w:r>
          <w:rPr>
            <w:webHidden/>
          </w:rPr>
          <w:t>16</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191" w:history="1">
        <w:r w:rsidRPr="00923B73">
          <w:rPr>
            <w:rStyle w:val="af"/>
            <w:rFonts w:asciiTheme="minorEastAsia" w:hAnsiTheme="minorEastAsia" w:hint="eastAsia"/>
            <w:b/>
          </w:rPr>
          <w:t>五、相关服务机构</w:t>
        </w:r>
        <w:r>
          <w:rPr>
            <w:webHidden/>
          </w:rPr>
          <w:tab/>
        </w:r>
        <w:r>
          <w:rPr>
            <w:webHidden/>
          </w:rPr>
          <w:fldChar w:fldCharType="begin"/>
        </w:r>
        <w:r>
          <w:rPr>
            <w:webHidden/>
          </w:rPr>
          <w:instrText xml:space="preserve"> PAGEREF _Toc45632191 \h </w:instrText>
        </w:r>
        <w:r>
          <w:rPr>
            <w:webHidden/>
          </w:rPr>
        </w:r>
        <w:r>
          <w:rPr>
            <w:webHidden/>
          </w:rPr>
          <w:fldChar w:fldCharType="separate"/>
        </w:r>
        <w:r>
          <w:rPr>
            <w:webHidden/>
          </w:rPr>
          <w:t>20</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192" w:history="1">
        <w:r w:rsidRPr="00923B73">
          <w:rPr>
            <w:rStyle w:val="af"/>
            <w:rFonts w:asciiTheme="minorEastAsia" w:hAnsiTheme="minorEastAsia" w:hint="eastAsia"/>
            <w:bCs/>
          </w:rPr>
          <w:t>（一）基金份额销售机构</w:t>
        </w:r>
        <w:r>
          <w:rPr>
            <w:webHidden/>
          </w:rPr>
          <w:tab/>
        </w:r>
        <w:r>
          <w:rPr>
            <w:webHidden/>
          </w:rPr>
          <w:fldChar w:fldCharType="begin"/>
        </w:r>
        <w:r>
          <w:rPr>
            <w:webHidden/>
          </w:rPr>
          <w:instrText xml:space="preserve"> PAGEREF _Toc45632192 \h </w:instrText>
        </w:r>
        <w:r>
          <w:rPr>
            <w:webHidden/>
          </w:rPr>
        </w:r>
        <w:r>
          <w:rPr>
            <w:webHidden/>
          </w:rPr>
          <w:fldChar w:fldCharType="separate"/>
        </w:r>
        <w:r>
          <w:rPr>
            <w:webHidden/>
          </w:rPr>
          <w:t>20</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193" w:history="1">
        <w:r w:rsidRPr="00923B73">
          <w:rPr>
            <w:rStyle w:val="af"/>
            <w:rFonts w:asciiTheme="minorEastAsia" w:hAnsiTheme="minorEastAsia" w:hint="eastAsia"/>
            <w:bCs/>
          </w:rPr>
          <w:t>（二）基金注册登记机构</w:t>
        </w:r>
        <w:r>
          <w:rPr>
            <w:webHidden/>
          </w:rPr>
          <w:tab/>
        </w:r>
        <w:r>
          <w:rPr>
            <w:webHidden/>
          </w:rPr>
          <w:fldChar w:fldCharType="begin"/>
        </w:r>
        <w:r>
          <w:rPr>
            <w:webHidden/>
          </w:rPr>
          <w:instrText xml:space="preserve"> PAGEREF _Toc45632193 \h </w:instrText>
        </w:r>
        <w:r>
          <w:rPr>
            <w:webHidden/>
          </w:rPr>
        </w:r>
        <w:r>
          <w:rPr>
            <w:webHidden/>
          </w:rPr>
          <w:fldChar w:fldCharType="separate"/>
        </w:r>
        <w:r>
          <w:rPr>
            <w:webHidden/>
          </w:rPr>
          <w:t>79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194" w:history="1">
        <w:r w:rsidRPr="00923B73">
          <w:rPr>
            <w:rStyle w:val="af"/>
            <w:rFonts w:asciiTheme="minorEastAsia" w:hAnsiTheme="minorEastAsia" w:hint="eastAsia"/>
            <w:bCs/>
          </w:rPr>
          <w:t>（三）律师事务所和经办律师</w:t>
        </w:r>
        <w:r>
          <w:rPr>
            <w:webHidden/>
          </w:rPr>
          <w:tab/>
        </w:r>
        <w:r>
          <w:rPr>
            <w:webHidden/>
          </w:rPr>
          <w:fldChar w:fldCharType="begin"/>
        </w:r>
        <w:r>
          <w:rPr>
            <w:webHidden/>
          </w:rPr>
          <w:instrText xml:space="preserve"> PAGEREF _Toc45632194 \h </w:instrText>
        </w:r>
        <w:r>
          <w:rPr>
            <w:webHidden/>
          </w:rPr>
        </w:r>
        <w:r>
          <w:rPr>
            <w:webHidden/>
          </w:rPr>
          <w:fldChar w:fldCharType="separate"/>
        </w:r>
        <w:r>
          <w:rPr>
            <w:webHidden/>
          </w:rPr>
          <w:t>79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195" w:history="1">
        <w:r w:rsidRPr="00923B73">
          <w:rPr>
            <w:rStyle w:val="af"/>
            <w:rFonts w:asciiTheme="minorEastAsia" w:hAnsiTheme="minorEastAsia" w:hint="eastAsia"/>
            <w:bCs/>
          </w:rPr>
          <w:t>（四）会计师事务所和经办注册会计师</w:t>
        </w:r>
        <w:r>
          <w:rPr>
            <w:webHidden/>
          </w:rPr>
          <w:tab/>
        </w:r>
        <w:r>
          <w:rPr>
            <w:webHidden/>
          </w:rPr>
          <w:fldChar w:fldCharType="begin"/>
        </w:r>
        <w:r>
          <w:rPr>
            <w:webHidden/>
          </w:rPr>
          <w:instrText xml:space="preserve"> PAGEREF _Toc45632195 \h </w:instrText>
        </w:r>
        <w:r>
          <w:rPr>
            <w:webHidden/>
          </w:rPr>
        </w:r>
        <w:r>
          <w:rPr>
            <w:webHidden/>
          </w:rPr>
          <w:fldChar w:fldCharType="separate"/>
        </w:r>
        <w:r>
          <w:rPr>
            <w:webHidden/>
          </w:rPr>
          <w:t>79</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196" w:history="1">
        <w:r w:rsidRPr="00923B73">
          <w:rPr>
            <w:rStyle w:val="af"/>
            <w:rFonts w:asciiTheme="minorEastAsia" w:hAnsiTheme="minorEastAsia" w:hint="eastAsia"/>
            <w:b/>
            <w:bCs/>
          </w:rPr>
          <w:t>六、基金的募集</w:t>
        </w:r>
        <w:r>
          <w:rPr>
            <w:webHidden/>
          </w:rPr>
          <w:tab/>
        </w:r>
        <w:r>
          <w:rPr>
            <w:webHidden/>
          </w:rPr>
          <w:fldChar w:fldCharType="begin"/>
        </w:r>
        <w:r>
          <w:rPr>
            <w:webHidden/>
          </w:rPr>
          <w:instrText xml:space="preserve"> PAGEREF _Toc45632196 \h </w:instrText>
        </w:r>
        <w:r>
          <w:rPr>
            <w:webHidden/>
          </w:rPr>
        </w:r>
        <w:r>
          <w:rPr>
            <w:webHidden/>
          </w:rPr>
          <w:fldChar w:fldCharType="separate"/>
        </w:r>
        <w:r>
          <w:rPr>
            <w:webHidden/>
          </w:rPr>
          <w:t>80</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197" w:history="1">
        <w:r w:rsidRPr="00923B73">
          <w:rPr>
            <w:rStyle w:val="af"/>
            <w:rFonts w:asciiTheme="minorEastAsia" w:hAnsiTheme="minorEastAsia" w:hint="eastAsia"/>
            <w:b/>
            <w:bCs/>
          </w:rPr>
          <w:t>七、基金合同的生效</w:t>
        </w:r>
        <w:r>
          <w:rPr>
            <w:webHidden/>
          </w:rPr>
          <w:tab/>
        </w:r>
        <w:r>
          <w:rPr>
            <w:webHidden/>
          </w:rPr>
          <w:fldChar w:fldCharType="begin"/>
        </w:r>
        <w:r>
          <w:rPr>
            <w:webHidden/>
          </w:rPr>
          <w:instrText xml:space="preserve"> PAGEREF _Toc45632197 \h </w:instrText>
        </w:r>
        <w:r>
          <w:rPr>
            <w:webHidden/>
          </w:rPr>
        </w:r>
        <w:r>
          <w:rPr>
            <w:webHidden/>
          </w:rPr>
          <w:fldChar w:fldCharType="separate"/>
        </w:r>
        <w:r>
          <w:rPr>
            <w:webHidden/>
          </w:rPr>
          <w:t>81</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198" w:history="1">
        <w:r w:rsidRPr="00923B73">
          <w:rPr>
            <w:rStyle w:val="af"/>
            <w:rFonts w:asciiTheme="minorEastAsia" w:hAnsiTheme="minorEastAsia" w:hint="eastAsia"/>
          </w:rPr>
          <w:t>（一）基金合同的生效</w:t>
        </w:r>
        <w:r>
          <w:rPr>
            <w:webHidden/>
          </w:rPr>
          <w:tab/>
        </w:r>
        <w:r>
          <w:rPr>
            <w:webHidden/>
          </w:rPr>
          <w:fldChar w:fldCharType="begin"/>
        </w:r>
        <w:r>
          <w:rPr>
            <w:webHidden/>
          </w:rPr>
          <w:instrText xml:space="preserve"> PAGEREF _Toc45632198 \h </w:instrText>
        </w:r>
        <w:r>
          <w:rPr>
            <w:webHidden/>
          </w:rPr>
        </w:r>
        <w:r>
          <w:rPr>
            <w:webHidden/>
          </w:rPr>
          <w:fldChar w:fldCharType="separate"/>
        </w:r>
        <w:r>
          <w:rPr>
            <w:webHidden/>
          </w:rPr>
          <w:t>81</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199" w:history="1">
        <w:r w:rsidRPr="00923B73">
          <w:rPr>
            <w:rStyle w:val="af"/>
            <w:rFonts w:asciiTheme="minorEastAsia" w:hAnsiTheme="minorEastAsia" w:hint="eastAsia"/>
          </w:rPr>
          <w:t>（二）基金存续期内的基金份额持有人数量和资金额</w:t>
        </w:r>
        <w:r>
          <w:rPr>
            <w:webHidden/>
          </w:rPr>
          <w:tab/>
        </w:r>
        <w:r>
          <w:rPr>
            <w:webHidden/>
          </w:rPr>
          <w:fldChar w:fldCharType="begin"/>
        </w:r>
        <w:r>
          <w:rPr>
            <w:webHidden/>
          </w:rPr>
          <w:instrText xml:space="preserve"> PAGEREF _Toc45632199 \h </w:instrText>
        </w:r>
        <w:r>
          <w:rPr>
            <w:webHidden/>
          </w:rPr>
        </w:r>
        <w:r>
          <w:rPr>
            <w:webHidden/>
          </w:rPr>
          <w:fldChar w:fldCharType="separate"/>
        </w:r>
        <w:r>
          <w:rPr>
            <w:webHidden/>
          </w:rPr>
          <w:t>81</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00" w:history="1">
        <w:r w:rsidRPr="00923B73">
          <w:rPr>
            <w:rStyle w:val="af"/>
            <w:rFonts w:asciiTheme="minorEastAsia" w:hAnsiTheme="minorEastAsia" w:hint="eastAsia"/>
            <w:b/>
            <w:bCs/>
          </w:rPr>
          <w:t>八、基金份额的申购、赎回</w:t>
        </w:r>
        <w:r>
          <w:rPr>
            <w:webHidden/>
          </w:rPr>
          <w:tab/>
        </w:r>
        <w:r>
          <w:rPr>
            <w:webHidden/>
          </w:rPr>
          <w:fldChar w:fldCharType="begin"/>
        </w:r>
        <w:r>
          <w:rPr>
            <w:webHidden/>
          </w:rPr>
          <w:instrText xml:space="preserve"> PAGEREF _Toc45632200 \h </w:instrText>
        </w:r>
        <w:r>
          <w:rPr>
            <w:webHidden/>
          </w:rPr>
        </w:r>
        <w:r>
          <w:rPr>
            <w:webHidden/>
          </w:rPr>
          <w:fldChar w:fldCharType="separate"/>
        </w:r>
        <w:r>
          <w:rPr>
            <w:webHidden/>
          </w:rPr>
          <w:t>82</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01" w:history="1">
        <w:r w:rsidRPr="00923B73">
          <w:rPr>
            <w:rStyle w:val="af"/>
            <w:rFonts w:asciiTheme="minorEastAsia" w:hAnsiTheme="minorEastAsia" w:hint="eastAsia"/>
          </w:rPr>
          <w:t>（一）基金投资者范围</w:t>
        </w:r>
        <w:r>
          <w:rPr>
            <w:webHidden/>
          </w:rPr>
          <w:tab/>
        </w:r>
        <w:r>
          <w:rPr>
            <w:webHidden/>
          </w:rPr>
          <w:fldChar w:fldCharType="begin"/>
        </w:r>
        <w:r>
          <w:rPr>
            <w:webHidden/>
          </w:rPr>
          <w:instrText xml:space="preserve"> PAGEREF _Toc45632201 \h </w:instrText>
        </w:r>
        <w:r>
          <w:rPr>
            <w:webHidden/>
          </w:rPr>
        </w:r>
        <w:r>
          <w:rPr>
            <w:webHidden/>
          </w:rPr>
          <w:fldChar w:fldCharType="separate"/>
        </w:r>
        <w:r>
          <w:rPr>
            <w:webHidden/>
          </w:rPr>
          <w:t>82</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02" w:history="1">
        <w:r w:rsidRPr="00923B73">
          <w:rPr>
            <w:rStyle w:val="af"/>
            <w:rFonts w:asciiTheme="minorEastAsia" w:hAnsiTheme="minorEastAsia" w:hint="eastAsia"/>
          </w:rPr>
          <w:t>（二）申购、赎回的场所</w:t>
        </w:r>
        <w:r>
          <w:rPr>
            <w:webHidden/>
          </w:rPr>
          <w:tab/>
        </w:r>
        <w:r>
          <w:rPr>
            <w:webHidden/>
          </w:rPr>
          <w:fldChar w:fldCharType="begin"/>
        </w:r>
        <w:r>
          <w:rPr>
            <w:webHidden/>
          </w:rPr>
          <w:instrText xml:space="preserve"> PAGEREF _Toc45632202 \h </w:instrText>
        </w:r>
        <w:r>
          <w:rPr>
            <w:webHidden/>
          </w:rPr>
        </w:r>
        <w:r>
          <w:rPr>
            <w:webHidden/>
          </w:rPr>
          <w:fldChar w:fldCharType="separate"/>
        </w:r>
        <w:r>
          <w:rPr>
            <w:webHidden/>
          </w:rPr>
          <w:t>82</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03" w:history="1">
        <w:r w:rsidRPr="00923B73">
          <w:rPr>
            <w:rStyle w:val="af"/>
            <w:rFonts w:asciiTheme="minorEastAsia" w:hAnsiTheme="minorEastAsia" w:hint="eastAsia"/>
          </w:rPr>
          <w:t>（三）申购、赎回的时间</w:t>
        </w:r>
        <w:r>
          <w:rPr>
            <w:webHidden/>
          </w:rPr>
          <w:tab/>
        </w:r>
        <w:r>
          <w:rPr>
            <w:webHidden/>
          </w:rPr>
          <w:fldChar w:fldCharType="begin"/>
        </w:r>
        <w:r>
          <w:rPr>
            <w:webHidden/>
          </w:rPr>
          <w:instrText xml:space="preserve"> PAGEREF _Toc45632203 \h </w:instrText>
        </w:r>
        <w:r>
          <w:rPr>
            <w:webHidden/>
          </w:rPr>
        </w:r>
        <w:r>
          <w:rPr>
            <w:webHidden/>
          </w:rPr>
          <w:fldChar w:fldCharType="separate"/>
        </w:r>
        <w:r>
          <w:rPr>
            <w:webHidden/>
          </w:rPr>
          <w:t>82</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04" w:history="1">
        <w:r w:rsidRPr="00923B73">
          <w:rPr>
            <w:rStyle w:val="af"/>
            <w:rFonts w:asciiTheme="minorEastAsia" w:hAnsiTheme="minorEastAsia" w:hint="eastAsia"/>
          </w:rPr>
          <w:t>（四）申购、赎回的原则</w:t>
        </w:r>
        <w:r>
          <w:rPr>
            <w:webHidden/>
          </w:rPr>
          <w:tab/>
        </w:r>
        <w:r>
          <w:rPr>
            <w:webHidden/>
          </w:rPr>
          <w:fldChar w:fldCharType="begin"/>
        </w:r>
        <w:r>
          <w:rPr>
            <w:webHidden/>
          </w:rPr>
          <w:instrText xml:space="preserve"> PAGEREF _Toc45632204 \h </w:instrText>
        </w:r>
        <w:r>
          <w:rPr>
            <w:webHidden/>
          </w:rPr>
        </w:r>
        <w:r>
          <w:rPr>
            <w:webHidden/>
          </w:rPr>
          <w:fldChar w:fldCharType="separate"/>
        </w:r>
        <w:r>
          <w:rPr>
            <w:webHidden/>
          </w:rPr>
          <w:t>82</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05" w:history="1">
        <w:r w:rsidRPr="00923B73">
          <w:rPr>
            <w:rStyle w:val="af"/>
            <w:rFonts w:asciiTheme="minorEastAsia" w:hAnsiTheme="minorEastAsia" w:hint="eastAsia"/>
          </w:rPr>
          <w:t>（五）申购、赎回的程序</w:t>
        </w:r>
        <w:r>
          <w:rPr>
            <w:webHidden/>
          </w:rPr>
          <w:tab/>
        </w:r>
        <w:r>
          <w:rPr>
            <w:webHidden/>
          </w:rPr>
          <w:fldChar w:fldCharType="begin"/>
        </w:r>
        <w:r>
          <w:rPr>
            <w:webHidden/>
          </w:rPr>
          <w:instrText xml:space="preserve"> PAGEREF _Toc45632205 \h </w:instrText>
        </w:r>
        <w:r>
          <w:rPr>
            <w:webHidden/>
          </w:rPr>
        </w:r>
        <w:r>
          <w:rPr>
            <w:webHidden/>
          </w:rPr>
          <w:fldChar w:fldCharType="separate"/>
        </w:r>
        <w:r>
          <w:rPr>
            <w:webHidden/>
          </w:rPr>
          <w:t>82</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06" w:history="1">
        <w:r w:rsidRPr="00923B73">
          <w:rPr>
            <w:rStyle w:val="af"/>
            <w:rFonts w:asciiTheme="minorEastAsia" w:hAnsiTheme="minorEastAsia" w:hint="eastAsia"/>
          </w:rPr>
          <w:t>（六）申购、赎回的数额限制</w:t>
        </w:r>
        <w:r>
          <w:rPr>
            <w:webHidden/>
          </w:rPr>
          <w:tab/>
        </w:r>
        <w:r>
          <w:rPr>
            <w:webHidden/>
          </w:rPr>
          <w:fldChar w:fldCharType="begin"/>
        </w:r>
        <w:r>
          <w:rPr>
            <w:webHidden/>
          </w:rPr>
          <w:instrText xml:space="preserve"> PAGEREF _Toc45632206 \h </w:instrText>
        </w:r>
        <w:r>
          <w:rPr>
            <w:webHidden/>
          </w:rPr>
        </w:r>
        <w:r>
          <w:rPr>
            <w:webHidden/>
          </w:rPr>
          <w:fldChar w:fldCharType="separate"/>
        </w:r>
        <w:r>
          <w:rPr>
            <w:webHidden/>
          </w:rPr>
          <w:t>83</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07" w:history="1">
        <w:r w:rsidRPr="00923B73">
          <w:rPr>
            <w:rStyle w:val="af"/>
            <w:rFonts w:asciiTheme="minorEastAsia" w:hAnsiTheme="minorEastAsia" w:hint="eastAsia"/>
          </w:rPr>
          <w:t>（七）申购、赎回的费率</w:t>
        </w:r>
        <w:r>
          <w:rPr>
            <w:webHidden/>
          </w:rPr>
          <w:tab/>
        </w:r>
        <w:r>
          <w:rPr>
            <w:webHidden/>
          </w:rPr>
          <w:fldChar w:fldCharType="begin"/>
        </w:r>
        <w:r>
          <w:rPr>
            <w:webHidden/>
          </w:rPr>
          <w:instrText xml:space="preserve"> PAGEREF _Toc45632207 \h </w:instrText>
        </w:r>
        <w:r>
          <w:rPr>
            <w:webHidden/>
          </w:rPr>
        </w:r>
        <w:r>
          <w:rPr>
            <w:webHidden/>
          </w:rPr>
          <w:fldChar w:fldCharType="separate"/>
        </w:r>
        <w:r>
          <w:rPr>
            <w:webHidden/>
          </w:rPr>
          <w:t>84</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08" w:history="1">
        <w:r w:rsidRPr="00923B73">
          <w:rPr>
            <w:rStyle w:val="af"/>
            <w:rFonts w:asciiTheme="minorEastAsia" w:hAnsiTheme="minorEastAsia" w:hint="eastAsia"/>
          </w:rPr>
          <w:t>（八）申购份额、赎回金额的计算方式</w:t>
        </w:r>
        <w:r>
          <w:rPr>
            <w:webHidden/>
          </w:rPr>
          <w:tab/>
        </w:r>
        <w:r>
          <w:rPr>
            <w:webHidden/>
          </w:rPr>
          <w:fldChar w:fldCharType="begin"/>
        </w:r>
        <w:r>
          <w:rPr>
            <w:webHidden/>
          </w:rPr>
          <w:instrText xml:space="preserve"> PAGEREF _Toc45632208 \h </w:instrText>
        </w:r>
        <w:r>
          <w:rPr>
            <w:webHidden/>
          </w:rPr>
        </w:r>
        <w:r>
          <w:rPr>
            <w:webHidden/>
          </w:rPr>
          <w:fldChar w:fldCharType="separate"/>
        </w:r>
        <w:r>
          <w:rPr>
            <w:webHidden/>
          </w:rPr>
          <w:t>85</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09" w:history="1">
        <w:r w:rsidRPr="00923B73">
          <w:rPr>
            <w:rStyle w:val="af"/>
            <w:rFonts w:asciiTheme="minorEastAsia" w:hAnsiTheme="minorEastAsia" w:hint="eastAsia"/>
          </w:rPr>
          <w:t>（九）申购、赎回的注册登记</w:t>
        </w:r>
        <w:r>
          <w:rPr>
            <w:webHidden/>
          </w:rPr>
          <w:tab/>
        </w:r>
        <w:r>
          <w:rPr>
            <w:webHidden/>
          </w:rPr>
          <w:fldChar w:fldCharType="begin"/>
        </w:r>
        <w:r>
          <w:rPr>
            <w:webHidden/>
          </w:rPr>
          <w:instrText xml:space="preserve"> PAGEREF _Toc45632209 \h </w:instrText>
        </w:r>
        <w:r>
          <w:rPr>
            <w:webHidden/>
          </w:rPr>
        </w:r>
        <w:r>
          <w:rPr>
            <w:webHidden/>
          </w:rPr>
          <w:fldChar w:fldCharType="separate"/>
        </w:r>
        <w:r>
          <w:rPr>
            <w:webHidden/>
          </w:rPr>
          <w:t>86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10" w:history="1">
        <w:r w:rsidRPr="00923B73">
          <w:rPr>
            <w:rStyle w:val="af"/>
            <w:rFonts w:asciiTheme="minorEastAsia" w:hAnsiTheme="minorEastAsia" w:hint="eastAsia"/>
          </w:rPr>
          <w:t>（十）巨额赎回的认定及处理方式</w:t>
        </w:r>
        <w:r>
          <w:rPr>
            <w:webHidden/>
          </w:rPr>
          <w:tab/>
        </w:r>
        <w:r>
          <w:rPr>
            <w:webHidden/>
          </w:rPr>
          <w:fldChar w:fldCharType="begin"/>
        </w:r>
        <w:r>
          <w:rPr>
            <w:webHidden/>
          </w:rPr>
          <w:instrText xml:space="preserve"> PAGEREF _Toc45632210 \h </w:instrText>
        </w:r>
        <w:r>
          <w:rPr>
            <w:webHidden/>
          </w:rPr>
        </w:r>
        <w:r>
          <w:rPr>
            <w:webHidden/>
          </w:rPr>
          <w:fldChar w:fldCharType="separate"/>
        </w:r>
        <w:r>
          <w:rPr>
            <w:webHidden/>
          </w:rPr>
          <w:t>86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11" w:history="1">
        <w:r w:rsidRPr="00923B73">
          <w:rPr>
            <w:rStyle w:val="af"/>
            <w:rFonts w:asciiTheme="minorEastAsia" w:hAnsiTheme="minorEastAsia" w:hint="eastAsia"/>
          </w:rPr>
          <w:t>（十一）拒绝或暂停申购、赎回的情形及处理方式</w:t>
        </w:r>
        <w:r>
          <w:rPr>
            <w:webHidden/>
          </w:rPr>
          <w:tab/>
        </w:r>
        <w:r>
          <w:rPr>
            <w:webHidden/>
          </w:rPr>
          <w:fldChar w:fldCharType="begin"/>
        </w:r>
        <w:r>
          <w:rPr>
            <w:webHidden/>
          </w:rPr>
          <w:instrText xml:space="preserve"> PAGEREF _Toc45632211 \h </w:instrText>
        </w:r>
        <w:r>
          <w:rPr>
            <w:webHidden/>
          </w:rPr>
        </w:r>
        <w:r>
          <w:rPr>
            <w:webHidden/>
          </w:rPr>
          <w:fldChar w:fldCharType="separate"/>
        </w:r>
        <w:r>
          <w:rPr>
            <w:webHidden/>
          </w:rPr>
          <w:t>87</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12" w:history="1">
        <w:r w:rsidRPr="00923B73">
          <w:rPr>
            <w:rStyle w:val="af"/>
            <w:rFonts w:asciiTheme="minorEastAsia" w:hAnsiTheme="minorEastAsia" w:hint="eastAsia"/>
            <w:b/>
            <w:bCs/>
          </w:rPr>
          <w:t>九、基金转换</w:t>
        </w:r>
        <w:r>
          <w:rPr>
            <w:webHidden/>
          </w:rPr>
          <w:tab/>
        </w:r>
        <w:r>
          <w:rPr>
            <w:webHidden/>
          </w:rPr>
          <w:fldChar w:fldCharType="begin"/>
        </w:r>
        <w:r>
          <w:rPr>
            <w:webHidden/>
          </w:rPr>
          <w:instrText xml:space="preserve"> PAGEREF _Toc45632212 \h </w:instrText>
        </w:r>
        <w:r>
          <w:rPr>
            <w:webHidden/>
          </w:rPr>
        </w:r>
        <w:r>
          <w:rPr>
            <w:webHidden/>
          </w:rPr>
          <w:fldChar w:fldCharType="separate"/>
        </w:r>
        <w:r>
          <w:rPr>
            <w:webHidden/>
          </w:rPr>
          <w:t>89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13" w:history="1">
        <w:r w:rsidRPr="00923B73">
          <w:rPr>
            <w:rStyle w:val="af"/>
            <w:rFonts w:asciiTheme="minorEastAsia" w:hAnsiTheme="minorEastAsia" w:hint="eastAsia"/>
          </w:rPr>
          <w:t>（一）基金转换开始日及时间</w:t>
        </w:r>
        <w:r>
          <w:rPr>
            <w:webHidden/>
          </w:rPr>
          <w:tab/>
        </w:r>
        <w:r>
          <w:rPr>
            <w:webHidden/>
          </w:rPr>
          <w:fldChar w:fldCharType="begin"/>
        </w:r>
        <w:r>
          <w:rPr>
            <w:webHidden/>
          </w:rPr>
          <w:instrText xml:space="preserve"> PAGEREF _Toc45632213 \h </w:instrText>
        </w:r>
        <w:r>
          <w:rPr>
            <w:webHidden/>
          </w:rPr>
        </w:r>
        <w:r>
          <w:rPr>
            <w:webHidden/>
          </w:rPr>
          <w:fldChar w:fldCharType="separate"/>
        </w:r>
        <w:r>
          <w:rPr>
            <w:webHidden/>
          </w:rPr>
          <w:t>89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14" w:history="1">
        <w:r w:rsidRPr="00923B73">
          <w:rPr>
            <w:rStyle w:val="af"/>
            <w:rFonts w:asciiTheme="minorEastAsia" w:hAnsiTheme="minorEastAsia" w:hint="eastAsia"/>
          </w:rPr>
          <w:t>（二）基金转换业务规则</w:t>
        </w:r>
        <w:r>
          <w:rPr>
            <w:webHidden/>
          </w:rPr>
          <w:tab/>
        </w:r>
        <w:r>
          <w:rPr>
            <w:webHidden/>
          </w:rPr>
          <w:fldChar w:fldCharType="begin"/>
        </w:r>
        <w:r>
          <w:rPr>
            <w:webHidden/>
          </w:rPr>
          <w:instrText xml:space="preserve"> PAGEREF _Toc45632214 \h </w:instrText>
        </w:r>
        <w:r>
          <w:rPr>
            <w:webHidden/>
          </w:rPr>
        </w:r>
        <w:r>
          <w:rPr>
            <w:webHidden/>
          </w:rPr>
          <w:fldChar w:fldCharType="separate"/>
        </w:r>
        <w:r>
          <w:rPr>
            <w:webHidden/>
          </w:rPr>
          <w:t>89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15" w:history="1">
        <w:r w:rsidRPr="00923B73">
          <w:rPr>
            <w:rStyle w:val="af"/>
            <w:rFonts w:asciiTheme="minorEastAsia" w:hAnsiTheme="minorEastAsia" w:hint="eastAsia"/>
          </w:rPr>
          <w:t>（三）基金转换的程序</w:t>
        </w:r>
        <w:r>
          <w:rPr>
            <w:webHidden/>
          </w:rPr>
          <w:tab/>
        </w:r>
        <w:r>
          <w:rPr>
            <w:webHidden/>
          </w:rPr>
          <w:fldChar w:fldCharType="begin"/>
        </w:r>
        <w:r>
          <w:rPr>
            <w:webHidden/>
          </w:rPr>
          <w:instrText xml:space="preserve"> PAGEREF _Toc45632215 \h </w:instrText>
        </w:r>
        <w:r>
          <w:rPr>
            <w:webHidden/>
          </w:rPr>
        </w:r>
        <w:r>
          <w:rPr>
            <w:webHidden/>
          </w:rPr>
          <w:fldChar w:fldCharType="separate"/>
        </w:r>
        <w:r>
          <w:rPr>
            <w:webHidden/>
          </w:rPr>
          <w:t>89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16" w:history="1">
        <w:r w:rsidRPr="00923B73">
          <w:rPr>
            <w:rStyle w:val="af"/>
            <w:rFonts w:asciiTheme="minorEastAsia" w:hAnsiTheme="minorEastAsia" w:hint="eastAsia"/>
          </w:rPr>
          <w:t>（四）基金转换的数额限制</w:t>
        </w:r>
        <w:r>
          <w:rPr>
            <w:webHidden/>
          </w:rPr>
          <w:tab/>
        </w:r>
        <w:r>
          <w:rPr>
            <w:webHidden/>
          </w:rPr>
          <w:fldChar w:fldCharType="begin"/>
        </w:r>
        <w:r>
          <w:rPr>
            <w:webHidden/>
          </w:rPr>
          <w:instrText xml:space="preserve"> PAGEREF _Toc45632216 \h </w:instrText>
        </w:r>
        <w:r>
          <w:rPr>
            <w:webHidden/>
          </w:rPr>
        </w:r>
        <w:r>
          <w:rPr>
            <w:webHidden/>
          </w:rPr>
          <w:fldChar w:fldCharType="separate"/>
        </w:r>
        <w:r>
          <w:rPr>
            <w:webHidden/>
          </w:rPr>
          <w:t>90</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17" w:history="1">
        <w:r w:rsidRPr="00923B73">
          <w:rPr>
            <w:rStyle w:val="af"/>
            <w:rFonts w:asciiTheme="minorEastAsia" w:hAnsiTheme="minorEastAsia" w:hint="eastAsia"/>
          </w:rPr>
          <w:t>（五）基金转换费率</w:t>
        </w:r>
        <w:r>
          <w:rPr>
            <w:webHidden/>
          </w:rPr>
          <w:tab/>
        </w:r>
        <w:r>
          <w:rPr>
            <w:webHidden/>
          </w:rPr>
          <w:fldChar w:fldCharType="begin"/>
        </w:r>
        <w:r>
          <w:rPr>
            <w:webHidden/>
          </w:rPr>
          <w:instrText xml:space="preserve"> PAGEREF _Toc45632217 \h </w:instrText>
        </w:r>
        <w:r>
          <w:rPr>
            <w:webHidden/>
          </w:rPr>
        </w:r>
        <w:r>
          <w:rPr>
            <w:webHidden/>
          </w:rPr>
          <w:fldChar w:fldCharType="separate"/>
        </w:r>
        <w:r>
          <w:rPr>
            <w:webHidden/>
          </w:rPr>
          <w:t>90</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18" w:history="1">
        <w:r w:rsidRPr="00923B73">
          <w:rPr>
            <w:rStyle w:val="af"/>
            <w:rFonts w:asciiTheme="minorEastAsia" w:hAnsiTheme="minorEastAsia" w:hint="eastAsia"/>
          </w:rPr>
          <w:t>（六）基金转换份额的计算方式</w:t>
        </w:r>
        <w:r>
          <w:rPr>
            <w:webHidden/>
          </w:rPr>
          <w:tab/>
        </w:r>
        <w:r>
          <w:rPr>
            <w:webHidden/>
          </w:rPr>
          <w:fldChar w:fldCharType="begin"/>
        </w:r>
        <w:r>
          <w:rPr>
            <w:webHidden/>
          </w:rPr>
          <w:instrText xml:space="preserve"> PAGEREF _Toc45632218 \h </w:instrText>
        </w:r>
        <w:r>
          <w:rPr>
            <w:webHidden/>
          </w:rPr>
        </w:r>
        <w:r>
          <w:rPr>
            <w:webHidden/>
          </w:rPr>
          <w:fldChar w:fldCharType="separate"/>
        </w:r>
        <w:r>
          <w:rPr>
            <w:webHidden/>
          </w:rPr>
          <w:t>90</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19" w:history="1">
        <w:r w:rsidRPr="00923B73">
          <w:rPr>
            <w:rStyle w:val="af"/>
            <w:rFonts w:asciiTheme="minorEastAsia" w:hAnsiTheme="minorEastAsia" w:hint="eastAsia"/>
          </w:rPr>
          <w:t>（七）基金转换的注册登记</w:t>
        </w:r>
        <w:r>
          <w:rPr>
            <w:webHidden/>
          </w:rPr>
          <w:tab/>
        </w:r>
        <w:r>
          <w:rPr>
            <w:webHidden/>
          </w:rPr>
          <w:fldChar w:fldCharType="begin"/>
        </w:r>
        <w:r>
          <w:rPr>
            <w:webHidden/>
          </w:rPr>
          <w:instrText xml:space="preserve"> PAGEREF _Toc45632219 \h </w:instrText>
        </w:r>
        <w:r>
          <w:rPr>
            <w:webHidden/>
          </w:rPr>
        </w:r>
        <w:r>
          <w:rPr>
            <w:webHidden/>
          </w:rPr>
          <w:fldChar w:fldCharType="separate"/>
        </w:r>
        <w:r>
          <w:rPr>
            <w:webHidden/>
          </w:rPr>
          <w:t>93</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20" w:history="1">
        <w:r w:rsidRPr="00923B73">
          <w:rPr>
            <w:rStyle w:val="af"/>
            <w:rFonts w:asciiTheme="minorEastAsia" w:hAnsiTheme="minorEastAsia" w:hint="eastAsia"/>
          </w:rPr>
          <w:t>（八）基金转换与巨额赎回</w:t>
        </w:r>
        <w:r>
          <w:rPr>
            <w:webHidden/>
          </w:rPr>
          <w:tab/>
        </w:r>
        <w:r>
          <w:rPr>
            <w:webHidden/>
          </w:rPr>
          <w:fldChar w:fldCharType="begin"/>
        </w:r>
        <w:r>
          <w:rPr>
            <w:webHidden/>
          </w:rPr>
          <w:instrText xml:space="preserve"> PAGEREF _Toc45632220 \h </w:instrText>
        </w:r>
        <w:r>
          <w:rPr>
            <w:webHidden/>
          </w:rPr>
        </w:r>
        <w:r>
          <w:rPr>
            <w:webHidden/>
          </w:rPr>
          <w:fldChar w:fldCharType="separate"/>
        </w:r>
        <w:r>
          <w:rPr>
            <w:webHidden/>
          </w:rPr>
          <w:t>93</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21" w:history="1">
        <w:r w:rsidRPr="00923B73">
          <w:rPr>
            <w:rStyle w:val="af"/>
            <w:rFonts w:asciiTheme="minorEastAsia" w:hAnsiTheme="minorEastAsia" w:hint="eastAsia"/>
          </w:rPr>
          <w:t>（九）暂停基金转换的情形</w:t>
        </w:r>
        <w:r>
          <w:rPr>
            <w:webHidden/>
          </w:rPr>
          <w:tab/>
        </w:r>
        <w:r>
          <w:rPr>
            <w:webHidden/>
          </w:rPr>
          <w:fldChar w:fldCharType="begin"/>
        </w:r>
        <w:r>
          <w:rPr>
            <w:webHidden/>
          </w:rPr>
          <w:instrText xml:space="preserve"> PAGEREF _Toc45632221 \h </w:instrText>
        </w:r>
        <w:r>
          <w:rPr>
            <w:webHidden/>
          </w:rPr>
        </w:r>
        <w:r>
          <w:rPr>
            <w:webHidden/>
          </w:rPr>
          <w:fldChar w:fldCharType="separate"/>
        </w:r>
        <w:r>
          <w:rPr>
            <w:webHidden/>
          </w:rPr>
          <w:t>93</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22" w:history="1">
        <w:r w:rsidRPr="00923B73">
          <w:rPr>
            <w:rStyle w:val="af"/>
            <w:rFonts w:asciiTheme="minorEastAsia" w:hAnsiTheme="minorEastAsia" w:hint="eastAsia"/>
            <w:b/>
            <w:bCs/>
          </w:rPr>
          <w:t>十、基金的非交易过户、转托管、冻结与质押</w:t>
        </w:r>
        <w:r>
          <w:rPr>
            <w:webHidden/>
          </w:rPr>
          <w:tab/>
        </w:r>
        <w:r>
          <w:rPr>
            <w:webHidden/>
          </w:rPr>
          <w:fldChar w:fldCharType="begin"/>
        </w:r>
        <w:r>
          <w:rPr>
            <w:webHidden/>
          </w:rPr>
          <w:instrText xml:space="preserve"> PAGEREF _Toc45632222 \h </w:instrText>
        </w:r>
        <w:r>
          <w:rPr>
            <w:webHidden/>
          </w:rPr>
        </w:r>
        <w:r>
          <w:rPr>
            <w:webHidden/>
          </w:rPr>
          <w:fldChar w:fldCharType="separate"/>
        </w:r>
        <w:r>
          <w:rPr>
            <w:webHidden/>
          </w:rPr>
          <w:t>95</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23" w:history="1">
        <w:r w:rsidRPr="00923B73">
          <w:rPr>
            <w:rStyle w:val="af"/>
            <w:rFonts w:asciiTheme="minorEastAsia" w:hAnsiTheme="minorEastAsia" w:hint="eastAsia"/>
            <w:b/>
            <w:bCs/>
          </w:rPr>
          <w:t>十一、基金的投资</w:t>
        </w:r>
        <w:r>
          <w:rPr>
            <w:webHidden/>
          </w:rPr>
          <w:tab/>
        </w:r>
        <w:r>
          <w:rPr>
            <w:webHidden/>
          </w:rPr>
          <w:fldChar w:fldCharType="begin"/>
        </w:r>
        <w:r>
          <w:rPr>
            <w:webHidden/>
          </w:rPr>
          <w:instrText xml:space="preserve"> PAGEREF _Toc45632223 \h </w:instrText>
        </w:r>
        <w:r>
          <w:rPr>
            <w:webHidden/>
          </w:rPr>
        </w:r>
        <w:r>
          <w:rPr>
            <w:webHidden/>
          </w:rPr>
          <w:fldChar w:fldCharType="separate"/>
        </w:r>
        <w:r>
          <w:rPr>
            <w:webHidden/>
          </w:rPr>
          <w:t>96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24" w:history="1">
        <w:r w:rsidRPr="00923B73">
          <w:rPr>
            <w:rStyle w:val="af"/>
            <w:rFonts w:asciiTheme="minorEastAsia" w:hAnsiTheme="minorEastAsia" w:hint="eastAsia"/>
          </w:rPr>
          <w:t>（一）投资目标</w:t>
        </w:r>
        <w:r>
          <w:rPr>
            <w:webHidden/>
          </w:rPr>
          <w:tab/>
        </w:r>
        <w:r>
          <w:rPr>
            <w:webHidden/>
          </w:rPr>
          <w:fldChar w:fldCharType="begin"/>
        </w:r>
        <w:r>
          <w:rPr>
            <w:webHidden/>
          </w:rPr>
          <w:instrText xml:space="preserve"> PAGEREF _Toc45632224 \h </w:instrText>
        </w:r>
        <w:r>
          <w:rPr>
            <w:webHidden/>
          </w:rPr>
        </w:r>
        <w:r>
          <w:rPr>
            <w:webHidden/>
          </w:rPr>
          <w:fldChar w:fldCharType="separate"/>
        </w:r>
        <w:r>
          <w:rPr>
            <w:webHidden/>
          </w:rPr>
          <w:t>96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25" w:history="1">
        <w:r w:rsidRPr="00923B73">
          <w:rPr>
            <w:rStyle w:val="af"/>
            <w:rFonts w:asciiTheme="minorEastAsia" w:hAnsiTheme="minorEastAsia" w:hint="eastAsia"/>
          </w:rPr>
          <w:t>（</w:t>
        </w:r>
        <w:r w:rsidRPr="00923B73">
          <w:rPr>
            <w:rStyle w:val="af"/>
            <w:rFonts w:asciiTheme="minorEastAsia" w:hAnsiTheme="minorEastAsia" w:hint="eastAsia"/>
            <w:bCs/>
          </w:rPr>
          <w:t>二</w:t>
        </w:r>
        <w:r w:rsidRPr="00923B73">
          <w:rPr>
            <w:rStyle w:val="af"/>
            <w:rFonts w:asciiTheme="minorEastAsia" w:hAnsiTheme="minorEastAsia" w:hint="eastAsia"/>
          </w:rPr>
          <w:t>）</w:t>
        </w:r>
        <w:r w:rsidRPr="00923B73">
          <w:rPr>
            <w:rStyle w:val="af"/>
            <w:rFonts w:asciiTheme="minorEastAsia" w:hAnsiTheme="minorEastAsia" w:hint="eastAsia"/>
            <w:bCs/>
          </w:rPr>
          <w:t>投资范围</w:t>
        </w:r>
        <w:r>
          <w:rPr>
            <w:webHidden/>
          </w:rPr>
          <w:tab/>
        </w:r>
        <w:r>
          <w:rPr>
            <w:webHidden/>
          </w:rPr>
          <w:fldChar w:fldCharType="begin"/>
        </w:r>
        <w:r>
          <w:rPr>
            <w:webHidden/>
          </w:rPr>
          <w:instrText xml:space="preserve"> PAGEREF _Toc45632225 \h </w:instrText>
        </w:r>
        <w:r>
          <w:rPr>
            <w:webHidden/>
          </w:rPr>
        </w:r>
        <w:r>
          <w:rPr>
            <w:webHidden/>
          </w:rPr>
          <w:fldChar w:fldCharType="separate"/>
        </w:r>
        <w:r>
          <w:rPr>
            <w:webHidden/>
          </w:rPr>
          <w:t>96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26" w:history="1">
        <w:r w:rsidRPr="00923B73">
          <w:rPr>
            <w:rStyle w:val="af"/>
            <w:rFonts w:asciiTheme="minorEastAsia" w:hAnsiTheme="minorEastAsia" w:hint="eastAsia"/>
            <w:bCs/>
          </w:rPr>
          <w:t>（三）投资理念</w:t>
        </w:r>
        <w:r>
          <w:rPr>
            <w:webHidden/>
          </w:rPr>
          <w:tab/>
        </w:r>
        <w:r>
          <w:rPr>
            <w:webHidden/>
          </w:rPr>
          <w:fldChar w:fldCharType="begin"/>
        </w:r>
        <w:r>
          <w:rPr>
            <w:webHidden/>
          </w:rPr>
          <w:instrText xml:space="preserve"> PAGEREF _Toc45632226 \h </w:instrText>
        </w:r>
        <w:r>
          <w:rPr>
            <w:webHidden/>
          </w:rPr>
        </w:r>
        <w:r>
          <w:rPr>
            <w:webHidden/>
          </w:rPr>
          <w:fldChar w:fldCharType="separate"/>
        </w:r>
        <w:r>
          <w:rPr>
            <w:webHidden/>
          </w:rPr>
          <w:t>96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27" w:history="1">
        <w:r w:rsidRPr="00923B73">
          <w:rPr>
            <w:rStyle w:val="af"/>
            <w:rFonts w:asciiTheme="minorEastAsia" w:hAnsiTheme="minorEastAsia" w:hint="eastAsia"/>
            <w:bCs/>
          </w:rPr>
          <w:t>（四）投资策略</w:t>
        </w:r>
        <w:r>
          <w:rPr>
            <w:webHidden/>
          </w:rPr>
          <w:tab/>
        </w:r>
        <w:r>
          <w:rPr>
            <w:webHidden/>
          </w:rPr>
          <w:fldChar w:fldCharType="begin"/>
        </w:r>
        <w:r>
          <w:rPr>
            <w:webHidden/>
          </w:rPr>
          <w:instrText xml:space="preserve"> PAGEREF _Toc45632227 \h </w:instrText>
        </w:r>
        <w:r>
          <w:rPr>
            <w:webHidden/>
          </w:rPr>
        </w:r>
        <w:r>
          <w:rPr>
            <w:webHidden/>
          </w:rPr>
          <w:fldChar w:fldCharType="separate"/>
        </w:r>
        <w:r>
          <w:rPr>
            <w:webHidden/>
          </w:rPr>
          <w:t>96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28" w:history="1">
        <w:r w:rsidRPr="00923B73">
          <w:rPr>
            <w:rStyle w:val="af"/>
            <w:rFonts w:asciiTheme="minorEastAsia" w:hAnsiTheme="minorEastAsia" w:hint="eastAsia"/>
            <w:bCs/>
          </w:rPr>
          <w:t>（五）业绩比较基准</w:t>
        </w:r>
        <w:r>
          <w:rPr>
            <w:webHidden/>
          </w:rPr>
          <w:tab/>
        </w:r>
        <w:r>
          <w:rPr>
            <w:webHidden/>
          </w:rPr>
          <w:fldChar w:fldCharType="begin"/>
        </w:r>
        <w:r>
          <w:rPr>
            <w:webHidden/>
          </w:rPr>
          <w:instrText xml:space="preserve"> PAGEREF _Toc45632228 \h </w:instrText>
        </w:r>
        <w:r>
          <w:rPr>
            <w:webHidden/>
          </w:rPr>
        </w:r>
        <w:r>
          <w:rPr>
            <w:webHidden/>
          </w:rPr>
          <w:fldChar w:fldCharType="separate"/>
        </w:r>
        <w:r>
          <w:rPr>
            <w:webHidden/>
          </w:rPr>
          <w:t>99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29" w:history="1">
        <w:r w:rsidRPr="00923B73">
          <w:rPr>
            <w:rStyle w:val="af"/>
            <w:rFonts w:asciiTheme="minorEastAsia" w:hAnsiTheme="minorEastAsia" w:hint="eastAsia"/>
            <w:bCs/>
          </w:rPr>
          <w:t>（六）风险收益特征</w:t>
        </w:r>
        <w:r>
          <w:rPr>
            <w:webHidden/>
          </w:rPr>
          <w:tab/>
        </w:r>
        <w:r>
          <w:rPr>
            <w:webHidden/>
          </w:rPr>
          <w:fldChar w:fldCharType="begin"/>
        </w:r>
        <w:r>
          <w:rPr>
            <w:webHidden/>
          </w:rPr>
          <w:instrText xml:space="preserve"> PAGEREF _Toc45632229 \h </w:instrText>
        </w:r>
        <w:r>
          <w:rPr>
            <w:webHidden/>
          </w:rPr>
        </w:r>
        <w:r>
          <w:rPr>
            <w:webHidden/>
          </w:rPr>
          <w:fldChar w:fldCharType="separate"/>
        </w:r>
        <w:r>
          <w:rPr>
            <w:webHidden/>
          </w:rPr>
          <w:t>99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30" w:history="1">
        <w:r w:rsidRPr="00923B73">
          <w:rPr>
            <w:rStyle w:val="af"/>
            <w:rFonts w:asciiTheme="minorEastAsia" w:hAnsiTheme="minorEastAsia" w:hint="eastAsia"/>
            <w:bCs/>
          </w:rPr>
          <w:t>（七）投资决策</w:t>
        </w:r>
        <w:r>
          <w:rPr>
            <w:webHidden/>
          </w:rPr>
          <w:tab/>
        </w:r>
        <w:r>
          <w:rPr>
            <w:webHidden/>
          </w:rPr>
          <w:fldChar w:fldCharType="begin"/>
        </w:r>
        <w:r>
          <w:rPr>
            <w:webHidden/>
          </w:rPr>
          <w:instrText xml:space="preserve"> PAGEREF _Toc45632230 \h </w:instrText>
        </w:r>
        <w:r>
          <w:rPr>
            <w:webHidden/>
          </w:rPr>
        </w:r>
        <w:r>
          <w:rPr>
            <w:webHidden/>
          </w:rPr>
          <w:fldChar w:fldCharType="separate"/>
        </w:r>
        <w:r>
          <w:rPr>
            <w:webHidden/>
          </w:rPr>
          <w:t>99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31" w:history="1">
        <w:r w:rsidRPr="00923B73">
          <w:rPr>
            <w:rStyle w:val="af"/>
            <w:rFonts w:asciiTheme="minorEastAsia" w:hAnsiTheme="minorEastAsia" w:hint="eastAsia"/>
            <w:bCs/>
          </w:rPr>
          <w:t>（八）投资组合限制</w:t>
        </w:r>
        <w:r>
          <w:rPr>
            <w:webHidden/>
          </w:rPr>
          <w:tab/>
        </w:r>
        <w:r>
          <w:rPr>
            <w:webHidden/>
          </w:rPr>
          <w:fldChar w:fldCharType="begin"/>
        </w:r>
        <w:r>
          <w:rPr>
            <w:webHidden/>
          </w:rPr>
          <w:instrText xml:space="preserve"> PAGEREF _Toc45632231 \h </w:instrText>
        </w:r>
        <w:r>
          <w:rPr>
            <w:webHidden/>
          </w:rPr>
        </w:r>
        <w:r>
          <w:rPr>
            <w:webHidden/>
          </w:rPr>
          <w:fldChar w:fldCharType="separate"/>
        </w:r>
        <w:r>
          <w:rPr>
            <w:webHidden/>
          </w:rPr>
          <w:t>99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32" w:history="1">
        <w:r w:rsidRPr="00923B73">
          <w:rPr>
            <w:rStyle w:val="af"/>
            <w:rFonts w:asciiTheme="minorEastAsia" w:hAnsiTheme="minorEastAsia" w:hint="eastAsia"/>
            <w:bCs/>
          </w:rPr>
          <w:t>（九）禁止行为</w:t>
        </w:r>
        <w:r>
          <w:rPr>
            <w:webHidden/>
          </w:rPr>
          <w:tab/>
        </w:r>
        <w:r>
          <w:rPr>
            <w:webHidden/>
          </w:rPr>
          <w:fldChar w:fldCharType="begin"/>
        </w:r>
        <w:r>
          <w:rPr>
            <w:webHidden/>
          </w:rPr>
          <w:instrText xml:space="preserve"> PAGEREF _Toc45632232 \h </w:instrText>
        </w:r>
        <w:r>
          <w:rPr>
            <w:webHidden/>
          </w:rPr>
        </w:r>
        <w:r>
          <w:rPr>
            <w:webHidden/>
          </w:rPr>
          <w:fldChar w:fldCharType="separate"/>
        </w:r>
        <w:r>
          <w:rPr>
            <w:webHidden/>
          </w:rPr>
          <w:t>100</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33" w:history="1">
        <w:r w:rsidRPr="00923B73">
          <w:rPr>
            <w:rStyle w:val="af"/>
            <w:rFonts w:asciiTheme="minorEastAsia" w:hAnsiTheme="minorEastAsia" w:hint="eastAsia"/>
            <w:bCs/>
          </w:rPr>
          <w:t>（十）基金管理人代表基金行使所投资证券产生权利的处理原则及方法</w:t>
        </w:r>
        <w:r>
          <w:rPr>
            <w:webHidden/>
          </w:rPr>
          <w:tab/>
        </w:r>
        <w:r>
          <w:rPr>
            <w:webHidden/>
          </w:rPr>
          <w:fldChar w:fldCharType="begin"/>
        </w:r>
        <w:r>
          <w:rPr>
            <w:webHidden/>
          </w:rPr>
          <w:instrText xml:space="preserve"> PAGEREF _Toc45632233 \h </w:instrText>
        </w:r>
        <w:r>
          <w:rPr>
            <w:webHidden/>
          </w:rPr>
        </w:r>
        <w:r>
          <w:rPr>
            <w:webHidden/>
          </w:rPr>
          <w:fldChar w:fldCharType="separate"/>
        </w:r>
        <w:r>
          <w:rPr>
            <w:webHidden/>
          </w:rPr>
          <w:t>101</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34" w:history="1">
        <w:r w:rsidRPr="00923B73">
          <w:rPr>
            <w:rStyle w:val="af"/>
            <w:rFonts w:asciiTheme="minorEastAsia" w:hAnsiTheme="minorEastAsia" w:hint="eastAsia"/>
            <w:bCs/>
          </w:rPr>
          <w:t>（十</w:t>
        </w:r>
        <w:r w:rsidRPr="00923B73">
          <w:rPr>
            <w:rStyle w:val="af"/>
            <w:rFonts w:asciiTheme="minorEastAsia" w:hAnsiTheme="minorEastAsia" w:hint="eastAsia"/>
          </w:rPr>
          <w:t>一</w:t>
        </w:r>
        <w:r w:rsidRPr="00923B73">
          <w:rPr>
            <w:rStyle w:val="af"/>
            <w:rFonts w:asciiTheme="minorEastAsia" w:hAnsiTheme="minorEastAsia" w:hint="eastAsia"/>
            <w:bCs/>
          </w:rPr>
          <w:t>）基金的融资</w:t>
        </w:r>
        <w:r>
          <w:rPr>
            <w:webHidden/>
          </w:rPr>
          <w:tab/>
        </w:r>
        <w:r>
          <w:rPr>
            <w:webHidden/>
          </w:rPr>
          <w:fldChar w:fldCharType="begin"/>
        </w:r>
        <w:r>
          <w:rPr>
            <w:webHidden/>
          </w:rPr>
          <w:instrText xml:space="preserve"> PAGEREF _Toc45632234 \h </w:instrText>
        </w:r>
        <w:r>
          <w:rPr>
            <w:webHidden/>
          </w:rPr>
        </w:r>
        <w:r>
          <w:rPr>
            <w:webHidden/>
          </w:rPr>
          <w:fldChar w:fldCharType="separate"/>
        </w:r>
        <w:r>
          <w:rPr>
            <w:webHidden/>
          </w:rPr>
          <w:t>101</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35" w:history="1">
        <w:r w:rsidRPr="00923B73">
          <w:rPr>
            <w:rStyle w:val="af"/>
            <w:rFonts w:asciiTheme="minorEastAsia" w:hAnsiTheme="minorEastAsia" w:hint="eastAsia"/>
            <w:bCs/>
          </w:rPr>
          <w:t>（十</w:t>
        </w:r>
        <w:r w:rsidRPr="00923B73">
          <w:rPr>
            <w:rStyle w:val="af"/>
            <w:rFonts w:asciiTheme="minorEastAsia" w:hAnsiTheme="minorEastAsia" w:hint="eastAsia"/>
          </w:rPr>
          <w:t>二</w:t>
        </w:r>
        <w:r w:rsidRPr="00923B73">
          <w:rPr>
            <w:rStyle w:val="af"/>
            <w:rFonts w:asciiTheme="minorEastAsia" w:hAnsiTheme="minorEastAsia" w:hint="eastAsia"/>
            <w:bCs/>
          </w:rPr>
          <w:t>）基金投资组合报告</w:t>
        </w:r>
        <w:r w:rsidRPr="00923B73">
          <w:rPr>
            <w:rStyle w:val="af"/>
            <w:rFonts w:asciiTheme="minorEastAsia" w:hAnsiTheme="minorEastAsia"/>
            <w:bCs/>
          </w:rPr>
          <w:t>(</w:t>
        </w:r>
        <w:r w:rsidRPr="00923B73">
          <w:rPr>
            <w:rStyle w:val="af"/>
            <w:rFonts w:asciiTheme="minorEastAsia" w:hAnsiTheme="minorEastAsia" w:hint="eastAsia"/>
            <w:bCs/>
          </w:rPr>
          <w:t>未经审计</w:t>
        </w:r>
        <w:r w:rsidRPr="00923B73">
          <w:rPr>
            <w:rStyle w:val="af"/>
            <w:rFonts w:asciiTheme="minorEastAsia" w:hAnsiTheme="minorEastAsia"/>
            <w:bCs/>
          </w:rPr>
          <w:t>)</w:t>
        </w:r>
        <w:r>
          <w:rPr>
            <w:webHidden/>
          </w:rPr>
          <w:tab/>
        </w:r>
        <w:r>
          <w:rPr>
            <w:webHidden/>
          </w:rPr>
          <w:fldChar w:fldCharType="begin"/>
        </w:r>
        <w:r>
          <w:rPr>
            <w:webHidden/>
          </w:rPr>
          <w:instrText xml:space="preserve"> PAGEREF _Toc45632235 \h </w:instrText>
        </w:r>
        <w:r>
          <w:rPr>
            <w:webHidden/>
          </w:rPr>
        </w:r>
        <w:r>
          <w:rPr>
            <w:webHidden/>
          </w:rPr>
          <w:fldChar w:fldCharType="separate"/>
        </w:r>
        <w:r>
          <w:rPr>
            <w:webHidden/>
          </w:rPr>
          <w:t>101</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36" w:history="1">
        <w:r w:rsidRPr="00923B73">
          <w:rPr>
            <w:rStyle w:val="af"/>
            <w:rFonts w:asciiTheme="minorEastAsia" w:hAnsiTheme="minorEastAsia" w:hint="eastAsia"/>
            <w:b/>
            <w:bCs/>
          </w:rPr>
          <w:t>十二、基金的业绩</w:t>
        </w:r>
        <w:r>
          <w:rPr>
            <w:webHidden/>
          </w:rPr>
          <w:tab/>
        </w:r>
        <w:r>
          <w:rPr>
            <w:webHidden/>
          </w:rPr>
          <w:fldChar w:fldCharType="begin"/>
        </w:r>
        <w:r>
          <w:rPr>
            <w:webHidden/>
          </w:rPr>
          <w:instrText xml:space="preserve"> PAGEREF _Toc45632236 \h </w:instrText>
        </w:r>
        <w:r>
          <w:rPr>
            <w:webHidden/>
          </w:rPr>
        </w:r>
        <w:r>
          <w:rPr>
            <w:webHidden/>
          </w:rPr>
          <w:fldChar w:fldCharType="separate"/>
        </w:r>
        <w:r>
          <w:rPr>
            <w:webHidden/>
          </w:rPr>
          <w:t>105</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37" w:history="1">
        <w:r w:rsidRPr="00923B73">
          <w:rPr>
            <w:rStyle w:val="af"/>
            <w:rFonts w:asciiTheme="minorEastAsia" w:hAnsiTheme="minorEastAsia" w:hint="eastAsia"/>
            <w:b/>
            <w:bCs/>
          </w:rPr>
          <w:t>十三、基金的财产</w:t>
        </w:r>
        <w:r>
          <w:rPr>
            <w:webHidden/>
          </w:rPr>
          <w:tab/>
        </w:r>
        <w:r>
          <w:rPr>
            <w:webHidden/>
          </w:rPr>
          <w:fldChar w:fldCharType="begin"/>
        </w:r>
        <w:r>
          <w:rPr>
            <w:webHidden/>
          </w:rPr>
          <w:instrText xml:space="preserve"> PAGEREF _Toc45632237 \h </w:instrText>
        </w:r>
        <w:r>
          <w:rPr>
            <w:webHidden/>
          </w:rPr>
        </w:r>
        <w:r>
          <w:rPr>
            <w:webHidden/>
          </w:rPr>
          <w:fldChar w:fldCharType="separate"/>
        </w:r>
        <w:r>
          <w:rPr>
            <w:webHidden/>
          </w:rPr>
          <w:t>106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38" w:history="1">
        <w:r w:rsidRPr="00923B73">
          <w:rPr>
            <w:rStyle w:val="af"/>
            <w:rFonts w:asciiTheme="minorEastAsia" w:hAnsiTheme="minorEastAsia" w:hint="eastAsia"/>
          </w:rPr>
          <w:t>（一）基金资产总值</w:t>
        </w:r>
        <w:r>
          <w:rPr>
            <w:webHidden/>
          </w:rPr>
          <w:tab/>
        </w:r>
        <w:r>
          <w:rPr>
            <w:webHidden/>
          </w:rPr>
          <w:fldChar w:fldCharType="begin"/>
        </w:r>
        <w:r>
          <w:rPr>
            <w:webHidden/>
          </w:rPr>
          <w:instrText xml:space="preserve"> PAGEREF _Toc45632238 \h </w:instrText>
        </w:r>
        <w:r>
          <w:rPr>
            <w:webHidden/>
          </w:rPr>
        </w:r>
        <w:r>
          <w:rPr>
            <w:webHidden/>
          </w:rPr>
          <w:fldChar w:fldCharType="separate"/>
        </w:r>
        <w:r>
          <w:rPr>
            <w:webHidden/>
          </w:rPr>
          <w:t>106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39" w:history="1">
        <w:r w:rsidRPr="00923B73">
          <w:rPr>
            <w:rStyle w:val="af"/>
            <w:rFonts w:asciiTheme="minorEastAsia" w:hAnsiTheme="minorEastAsia" w:hint="eastAsia"/>
          </w:rPr>
          <w:t>（二）基金资产净值</w:t>
        </w:r>
        <w:r>
          <w:rPr>
            <w:webHidden/>
          </w:rPr>
          <w:tab/>
        </w:r>
        <w:r>
          <w:rPr>
            <w:webHidden/>
          </w:rPr>
          <w:fldChar w:fldCharType="begin"/>
        </w:r>
        <w:r>
          <w:rPr>
            <w:webHidden/>
          </w:rPr>
          <w:instrText xml:space="preserve"> PAGEREF _Toc45632239 \h </w:instrText>
        </w:r>
        <w:r>
          <w:rPr>
            <w:webHidden/>
          </w:rPr>
        </w:r>
        <w:r>
          <w:rPr>
            <w:webHidden/>
          </w:rPr>
          <w:fldChar w:fldCharType="separate"/>
        </w:r>
        <w:r>
          <w:rPr>
            <w:webHidden/>
          </w:rPr>
          <w:t>106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40" w:history="1">
        <w:r w:rsidRPr="00923B73">
          <w:rPr>
            <w:rStyle w:val="af"/>
            <w:rFonts w:asciiTheme="minorEastAsia" w:hAnsiTheme="minorEastAsia" w:hint="eastAsia"/>
          </w:rPr>
          <w:t>（三）基金财产的帐户</w:t>
        </w:r>
        <w:r>
          <w:rPr>
            <w:webHidden/>
          </w:rPr>
          <w:tab/>
        </w:r>
        <w:r>
          <w:rPr>
            <w:webHidden/>
          </w:rPr>
          <w:fldChar w:fldCharType="begin"/>
        </w:r>
        <w:r>
          <w:rPr>
            <w:webHidden/>
          </w:rPr>
          <w:instrText xml:space="preserve"> PAGEREF _Toc45632240 \h </w:instrText>
        </w:r>
        <w:r>
          <w:rPr>
            <w:webHidden/>
          </w:rPr>
        </w:r>
        <w:r>
          <w:rPr>
            <w:webHidden/>
          </w:rPr>
          <w:fldChar w:fldCharType="separate"/>
        </w:r>
        <w:r>
          <w:rPr>
            <w:webHidden/>
          </w:rPr>
          <w:t>106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41" w:history="1">
        <w:r w:rsidRPr="00923B73">
          <w:rPr>
            <w:rStyle w:val="af"/>
            <w:rFonts w:asciiTheme="minorEastAsia" w:hAnsiTheme="minorEastAsia" w:hint="eastAsia"/>
          </w:rPr>
          <w:t>（四）基金财产的保管与处分</w:t>
        </w:r>
        <w:r>
          <w:rPr>
            <w:webHidden/>
          </w:rPr>
          <w:tab/>
        </w:r>
        <w:r>
          <w:rPr>
            <w:webHidden/>
          </w:rPr>
          <w:fldChar w:fldCharType="begin"/>
        </w:r>
        <w:r>
          <w:rPr>
            <w:webHidden/>
          </w:rPr>
          <w:instrText xml:space="preserve"> PAGEREF _Toc45632241 \h </w:instrText>
        </w:r>
        <w:r>
          <w:rPr>
            <w:webHidden/>
          </w:rPr>
        </w:r>
        <w:r>
          <w:rPr>
            <w:webHidden/>
          </w:rPr>
          <w:fldChar w:fldCharType="separate"/>
        </w:r>
        <w:r>
          <w:rPr>
            <w:webHidden/>
          </w:rPr>
          <w:t>106</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42" w:history="1">
        <w:r w:rsidRPr="00923B73">
          <w:rPr>
            <w:rStyle w:val="af"/>
            <w:rFonts w:asciiTheme="minorEastAsia" w:hAnsiTheme="minorEastAsia" w:hint="eastAsia"/>
            <w:b/>
            <w:bCs/>
          </w:rPr>
          <w:t>十四、基金资产估值</w:t>
        </w:r>
        <w:r>
          <w:rPr>
            <w:webHidden/>
          </w:rPr>
          <w:tab/>
        </w:r>
        <w:r>
          <w:rPr>
            <w:webHidden/>
          </w:rPr>
          <w:fldChar w:fldCharType="begin"/>
        </w:r>
        <w:r>
          <w:rPr>
            <w:webHidden/>
          </w:rPr>
          <w:instrText xml:space="preserve"> PAGEREF _Toc45632242 \h </w:instrText>
        </w:r>
        <w:r>
          <w:rPr>
            <w:webHidden/>
          </w:rPr>
        </w:r>
        <w:r>
          <w:rPr>
            <w:webHidden/>
          </w:rPr>
          <w:fldChar w:fldCharType="separate"/>
        </w:r>
        <w:r>
          <w:rPr>
            <w:webHidden/>
          </w:rPr>
          <w:t>107</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43" w:history="1">
        <w:r w:rsidRPr="00923B73">
          <w:rPr>
            <w:rStyle w:val="af"/>
            <w:rFonts w:asciiTheme="minorEastAsia" w:hAnsiTheme="minorEastAsia" w:hint="eastAsia"/>
          </w:rPr>
          <w:t>（一）估值目的</w:t>
        </w:r>
        <w:r>
          <w:rPr>
            <w:webHidden/>
          </w:rPr>
          <w:tab/>
        </w:r>
        <w:r>
          <w:rPr>
            <w:webHidden/>
          </w:rPr>
          <w:fldChar w:fldCharType="begin"/>
        </w:r>
        <w:r>
          <w:rPr>
            <w:webHidden/>
          </w:rPr>
          <w:instrText xml:space="preserve"> PAGEREF _Toc45632243 \h </w:instrText>
        </w:r>
        <w:r>
          <w:rPr>
            <w:webHidden/>
          </w:rPr>
        </w:r>
        <w:r>
          <w:rPr>
            <w:webHidden/>
          </w:rPr>
          <w:fldChar w:fldCharType="separate"/>
        </w:r>
        <w:r>
          <w:rPr>
            <w:webHidden/>
          </w:rPr>
          <w:t>107</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44" w:history="1">
        <w:r w:rsidRPr="00923B73">
          <w:rPr>
            <w:rStyle w:val="af"/>
            <w:rFonts w:asciiTheme="minorEastAsia" w:hAnsiTheme="minorEastAsia" w:hint="eastAsia"/>
          </w:rPr>
          <w:t>（二）估值日</w:t>
        </w:r>
        <w:r>
          <w:rPr>
            <w:webHidden/>
          </w:rPr>
          <w:tab/>
        </w:r>
        <w:r>
          <w:rPr>
            <w:webHidden/>
          </w:rPr>
          <w:fldChar w:fldCharType="begin"/>
        </w:r>
        <w:r>
          <w:rPr>
            <w:webHidden/>
          </w:rPr>
          <w:instrText xml:space="preserve"> PAGEREF _Toc45632244 \h </w:instrText>
        </w:r>
        <w:r>
          <w:rPr>
            <w:webHidden/>
          </w:rPr>
        </w:r>
        <w:r>
          <w:rPr>
            <w:webHidden/>
          </w:rPr>
          <w:fldChar w:fldCharType="separate"/>
        </w:r>
        <w:r>
          <w:rPr>
            <w:webHidden/>
          </w:rPr>
          <w:t>107</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45" w:history="1">
        <w:r w:rsidRPr="00923B73">
          <w:rPr>
            <w:rStyle w:val="af"/>
            <w:rFonts w:asciiTheme="minorEastAsia" w:hAnsiTheme="minorEastAsia" w:hint="eastAsia"/>
          </w:rPr>
          <w:t>（三）估值对象</w:t>
        </w:r>
        <w:r>
          <w:rPr>
            <w:webHidden/>
          </w:rPr>
          <w:tab/>
        </w:r>
        <w:r>
          <w:rPr>
            <w:webHidden/>
          </w:rPr>
          <w:fldChar w:fldCharType="begin"/>
        </w:r>
        <w:r>
          <w:rPr>
            <w:webHidden/>
          </w:rPr>
          <w:instrText xml:space="preserve"> PAGEREF _Toc45632245 \h </w:instrText>
        </w:r>
        <w:r>
          <w:rPr>
            <w:webHidden/>
          </w:rPr>
        </w:r>
        <w:r>
          <w:rPr>
            <w:webHidden/>
          </w:rPr>
          <w:fldChar w:fldCharType="separate"/>
        </w:r>
        <w:r>
          <w:rPr>
            <w:webHidden/>
          </w:rPr>
          <w:t>107</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46" w:history="1">
        <w:r w:rsidRPr="00923B73">
          <w:rPr>
            <w:rStyle w:val="af"/>
            <w:rFonts w:asciiTheme="minorEastAsia" w:hAnsiTheme="minorEastAsia" w:hint="eastAsia"/>
          </w:rPr>
          <w:t>（四）估值方法</w:t>
        </w:r>
        <w:r>
          <w:rPr>
            <w:webHidden/>
          </w:rPr>
          <w:tab/>
        </w:r>
        <w:r>
          <w:rPr>
            <w:webHidden/>
          </w:rPr>
          <w:fldChar w:fldCharType="begin"/>
        </w:r>
        <w:r>
          <w:rPr>
            <w:webHidden/>
          </w:rPr>
          <w:instrText xml:space="preserve"> PAGEREF _Toc45632246 \h </w:instrText>
        </w:r>
        <w:r>
          <w:rPr>
            <w:webHidden/>
          </w:rPr>
        </w:r>
        <w:r>
          <w:rPr>
            <w:webHidden/>
          </w:rPr>
          <w:fldChar w:fldCharType="separate"/>
        </w:r>
        <w:r>
          <w:rPr>
            <w:webHidden/>
          </w:rPr>
          <w:t>107</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47" w:history="1">
        <w:r w:rsidRPr="00923B73">
          <w:rPr>
            <w:rStyle w:val="af"/>
            <w:rFonts w:asciiTheme="minorEastAsia" w:hAnsiTheme="minorEastAsia" w:hint="eastAsia"/>
          </w:rPr>
          <w:t>（五）估值程序</w:t>
        </w:r>
        <w:r>
          <w:rPr>
            <w:webHidden/>
          </w:rPr>
          <w:tab/>
        </w:r>
        <w:r>
          <w:rPr>
            <w:webHidden/>
          </w:rPr>
          <w:fldChar w:fldCharType="begin"/>
        </w:r>
        <w:r>
          <w:rPr>
            <w:webHidden/>
          </w:rPr>
          <w:instrText xml:space="preserve"> PAGEREF _Toc45632247 \h </w:instrText>
        </w:r>
        <w:r>
          <w:rPr>
            <w:webHidden/>
          </w:rPr>
        </w:r>
        <w:r>
          <w:rPr>
            <w:webHidden/>
          </w:rPr>
          <w:fldChar w:fldCharType="separate"/>
        </w:r>
        <w:r>
          <w:rPr>
            <w:webHidden/>
          </w:rPr>
          <w:t>108</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48" w:history="1">
        <w:r w:rsidRPr="00923B73">
          <w:rPr>
            <w:rStyle w:val="af"/>
            <w:rFonts w:asciiTheme="minorEastAsia" w:hAnsiTheme="minorEastAsia" w:hint="eastAsia"/>
          </w:rPr>
          <w:t>（六）暂停估值的情形</w:t>
        </w:r>
        <w:r>
          <w:rPr>
            <w:webHidden/>
          </w:rPr>
          <w:tab/>
        </w:r>
        <w:r>
          <w:rPr>
            <w:webHidden/>
          </w:rPr>
          <w:fldChar w:fldCharType="begin"/>
        </w:r>
        <w:r>
          <w:rPr>
            <w:webHidden/>
          </w:rPr>
          <w:instrText xml:space="preserve"> PAGEREF _Toc45632248 \h </w:instrText>
        </w:r>
        <w:r>
          <w:rPr>
            <w:webHidden/>
          </w:rPr>
        </w:r>
        <w:r>
          <w:rPr>
            <w:webHidden/>
          </w:rPr>
          <w:fldChar w:fldCharType="separate"/>
        </w:r>
        <w:r>
          <w:rPr>
            <w:webHidden/>
          </w:rPr>
          <w:t>108</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49" w:history="1">
        <w:r w:rsidRPr="00923B73">
          <w:rPr>
            <w:rStyle w:val="af"/>
            <w:rFonts w:asciiTheme="minorEastAsia" w:hAnsiTheme="minorEastAsia" w:hint="eastAsia"/>
          </w:rPr>
          <w:t>（七）基金份额净值的确认和估值错误处理</w:t>
        </w:r>
        <w:r>
          <w:rPr>
            <w:webHidden/>
          </w:rPr>
          <w:tab/>
        </w:r>
        <w:r>
          <w:rPr>
            <w:webHidden/>
          </w:rPr>
          <w:fldChar w:fldCharType="begin"/>
        </w:r>
        <w:r>
          <w:rPr>
            <w:webHidden/>
          </w:rPr>
          <w:instrText xml:space="preserve"> PAGEREF _Toc45632249 \h </w:instrText>
        </w:r>
        <w:r>
          <w:rPr>
            <w:webHidden/>
          </w:rPr>
        </w:r>
        <w:r>
          <w:rPr>
            <w:webHidden/>
          </w:rPr>
          <w:fldChar w:fldCharType="separate"/>
        </w:r>
        <w:r>
          <w:rPr>
            <w:webHidden/>
          </w:rPr>
          <w:t>108</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50" w:history="1">
        <w:r w:rsidRPr="00923B73">
          <w:rPr>
            <w:rStyle w:val="af"/>
            <w:rFonts w:asciiTheme="minorEastAsia" w:hAnsiTheme="minorEastAsia" w:hint="eastAsia"/>
          </w:rPr>
          <w:t>（八）特殊情形的处理</w:t>
        </w:r>
        <w:r>
          <w:rPr>
            <w:webHidden/>
          </w:rPr>
          <w:tab/>
        </w:r>
        <w:r>
          <w:rPr>
            <w:webHidden/>
          </w:rPr>
          <w:fldChar w:fldCharType="begin"/>
        </w:r>
        <w:r>
          <w:rPr>
            <w:webHidden/>
          </w:rPr>
          <w:instrText xml:space="preserve"> PAGEREF _Toc45632250 \h </w:instrText>
        </w:r>
        <w:r>
          <w:rPr>
            <w:webHidden/>
          </w:rPr>
        </w:r>
        <w:r>
          <w:rPr>
            <w:webHidden/>
          </w:rPr>
          <w:fldChar w:fldCharType="separate"/>
        </w:r>
        <w:r>
          <w:rPr>
            <w:webHidden/>
          </w:rPr>
          <w:t>110</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51" w:history="1">
        <w:r w:rsidRPr="00923B73">
          <w:rPr>
            <w:rStyle w:val="af"/>
            <w:rFonts w:asciiTheme="minorEastAsia" w:hAnsiTheme="minorEastAsia" w:hint="eastAsia"/>
            <w:b/>
            <w:bCs/>
          </w:rPr>
          <w:t>十五、基金的收益与分配</w:t>
        </w:r>
        <w:r>
          <w:rPr>
            <w:webHidden/>
          </w:rPr>
          <w:tab/>
        </w:r>
        <w:r>
          <w:rPr>
            <w:webHidden/>
          </w:rPr>
          <w:fldChar w:fldCharType="begin"/>
        </w:r>
        <w:r>
          <w:rPr>
            <w:webHidden/>
          </w:rPr>
          <w:instrText xml:space="preserve"> PAGEREF _Toc45632251 \h </w:instrText>
        </w:r>
        <w:r>
          <w:rPr>
            <w:webHidden/>
          </w:rPr>
        </w:r>
        <w:r>
          <w:rPr>
            <w:webHidden/>
          </w:rPr>
          <w:fldChar w:fldCharType="separate"/>
        </w:r>
        <w:r>
          <w:rPr>
            <w:webHidden/>
          </w:rPr>
          <w:t>111</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52" w:history="1">
        <w:r w:rsidRPr="00923B73">
          <w:rPr>
            <w:rStyle w:val="af"/>
            <w:rFonts w:asciiTheme="minorEastAsia" w:hAnsiTheme="minorEastAsia" w:hint="eastAsia"/>
          </w:rPr>
          <w:t>（一）收益的构成</w:t>
        </w:r>
        <w:r>
          <w:rPr>
            <w:webHidden/>
          </w:rPr>
          <w:tab/>
        </w:r>
        <w:r>
          <w:rPr>
            <w:webHidden/>
          </w:rPr>
          <w:fldChar w:fldCharType="begin"/>
        </w:r>
        <w:r>
          <w:rPr>
            <w:webHidden/>
          </w:rPr>
          <w:instrText xml:space="preserve"> PAGEREF _Toc45632252 \h </w:instrText>
        </w:r>
        <w:r>
          <w:rPr>
            <w:webHidden/>
          </w:rPr>
        </w:r>
        <w:r>
          <w:rPr>
            <w:webHidden/>
          </w:rPr>
          <w:fldChar w:fldCharType="separate"/>
        </w:r>
        <w:r>
          <w:rPr>
            <w:webHidden/>
          </w:rPr>
          <w:t>111</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53" w:history="1">
        <w:r w:rsidRPr="00923B73">
          <w:rPr>
            <w:rStyle w:val="af"/>
            <w:rFonts w:asciiTheme="minorEastAsia" w:hAnsiTheme="minorEastAsia" w:hint="eastAsia"/>
          </w:rPr>
          <w:t>（二）收益分配原则</w:t>
        </w:r>
        <w:r>
          <w:rPr>
            <w:webHidden/>
          </w:rPr>
          <w:tab/>
        </w:r>
        <w:r>
          <w:rPr>
            <w:webHidden/>
          </w:rPr>
          <w:fldChar w:fldCharType="begin"/>
        </w:r>
        <w:r>
          <w:rPr>
            <w:webHidden/>
          </w:rPr>
          <w:instrText xml:space="preserve"> PAGEREF _Toc45632253 \h </w:instrText>
        </w:r>
        <w:r>
          <w:rPr>
            <w:webHidden/>
          </w:rPr>
        </w:r>
        <w:r>
          <w:rPr>
            <w:webHidden/>
          </w:rPr>
          <w:fldChar w:fldCharType="separate"/>
        </w:r>
        <w:r>
          <w:rPr>
            <w:webHidden/>
          </w:rPr>
          <w:t>111</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54" w:history="1">
        <w:r w:rsidRPr="00923B73">
          <w:rPr>
            <w:rStyle w:val="af"/>
            <w:rFonts w:asciiTheme="minorEastAsia" w:hAnsiTheme="minorEastAsia" w:hint="eastAsia"/>
          </w:rPr>
          <w:t>（三）收益分配方案的确定与公告</w:t>
        </w:r>
        <w:r>
          <w:rPr>
            <w:webHidden/>
          </w:rPr>
          <w:tab/>
        </w:r>
        <w:r>
          <w:rPr>
            <w:webHidden/>
          </w:rPr>
          <w:fldChar w:fldCharType="begin"/>
        </w:r>
        <w:r>
          <w:rPr>
            <w:webHidden/>
          </w:rPr>
          <w:instrText xml:space="preserve"> PAGEREF _Toc45632254 \h </w:instrText>
        </w:r>
        <w:r>
          <w:rPr>
            <w:webHidden/>
          </w:rPr>
        </w:r>
        <w:r>
          <w:rPr>
            <w:webHidden/>
          </w:rPr>
          <w:fldChar w:fldCharType="separate"/>
        </w:r>
        <w:r>
          <w:rPr>
            <w:webHidden/>
          </w:rPr>
          <w:t>111</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55" w:history="1">
        <w:r w:rsidRPr="00923B73">
          <w:rPr>
            <w:rStyle w:val="af"/>
            <w:rFonts w:asciiTheme="minorEastAsia" w:hAnsiTheme="minorEastAsia" w:hint="eastAsia"/>
          </w:rPr>
          <w:t>（四）收益分配中发生的费用</w:t>
        </w:r>
        <w:r>
          <w:rPr>
            <w:webHidden/>
          </w:rPr>
          <w:tab/>
        </w:r>
        <w:r>
          <w:rPr>
            <w:webHidden/>
          </w:rPr>
          <w:fldChar w:fldCharType="begin"/>
        </w:r>
        <w:r>
          <w:rPr>
            <w:webHidden/>
          </w:rPr>
          <w:instrText xml:space="preserve"> PAGEREF _Toc45632255 \h </w:instrText>
        </w:r>
        <w:r>
          <w:rPr>
            <w:webHidden/>
          </w:rPr>
        </w:r>
        <w:r>
          <w:rPr>
            <w:webHidden/>
          </w:rPr>
          <w:fldChar w:fldCharType="separate"/>
        </w:r>
        <w:r>
          <w:rPr>
            <w:webHidden/>
          </w:rPr>
          <w:t>111</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56" w:history="1">
        <w:r w:rsidRPr="00923B73">
          <w:rPr>
            <w:rStyle w:val="af"/>
            <w:rFonts w:asciiTheme="minorEastAsia" w:hAnsiTheme="minorEastAsia" w:hint="eastAsia"/>
            <w:b/>
            <w:bCs/>
          </w:rPr>
          <w:t>十六、基金的费用与税收</w:t>
        </w:r>
        <w:r>
          <w:rPr>
            <w:webHidden/>
          </w:rPr>
          <w:tab/>
        </w:r>
        <w:r>
          <w:rPr>
            <w:webHidden/>
          </w:rPr>
          <w:fldChar w:fldCharType="begin"/>
        </w:r>
        <w:r>
          <w:rPr>
            <w:webHidden/>
          </w:rPr>
          <w:instrText xml:space="preserve"> PAGEREF _Toc45632256 \h </w:instrText>
        </w:r>
        <w:r>
          <w:rPr>
            <w:webHidden/>
          </w:rPr>
        </w:r>
        <w:r>
          <w:rPr>
            <w:webHidden/>
          </w:rPr>
          <w:fldChar w:fldCharType="separate"/>
        </w:r>
        <w:r>
          <w:rPr>
            <w:webHidden/>
          </w:rPr>
          <w:t>112</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57" w:history="1">
        <w:r w:rsidRPr="00923B73">
          <w:rPr>
            <w:rStyle w:val="af"/>
            <w:rFonts w:asciiTheme="minorEastAsia" w:hAnsiTheme="minorEastAsia" w:hint="eastAsia"/>
          </w:rPr>
          <w:t>（一）与基金运作相关的费用</w:t>
        </w:r>
        <w:r>
          <w:rPr>
            <w:webHidden/>
          </w:rPr>
          <w:tab/>
        </w:r>
        <w:r>
          <w:rPr>
            <w:webHidden/>
          </w:rPr>
          <w:fldChar w:fldCharType="begin"/>
        </w:r>
        <w:r>
          <w:rPr>
            <w:webHidden/>
          </w:rPr>
          <w:instrText xml:space="preserve"> PAGEREF _Toc45632257 \h </w:instrText>
        </w:r>
        <w:r>
          <w:rPr>
            <w:webHidden/>
          </w:rPr>
        </w:r>
        <w:r>
          <w:rPr>
            <w:webHidden/>
          </w:rPr>
          <w:fldChar w:fldCharType="separate"/>
        </w:r>
        <w:r>
          <w:rPr>
            <w:webHidden/>
          </w:rPr>
          <w:t>112</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58" w:history="1">
        <w:r w:rsidRPr="00923B73">
          <w:rPr>
            <w:rStyle w:val="af"/>
            <w:rFonts w:asciiTheme="minorEastAsia" w:hAnsiTheme="minorEastAsia" w:hint="eastAsia"/>
          </w:rPr>
          <w:t>（二）与基金销售有关的费用</w:t>
        </w:r>
        <w:r>
          <w:rPr>
            <w:webHidden/>
          </w:rPr>
          <w:tab/>
        </w:r>
        <w:r>
          <w:rPr>
            <w:webHidden/>
          </w:rPr>
          <w:fldChar w:fldCharType="begin"/>
        </w:r>
        <w:r>
          <w:rPr>
            <w:webHidden/>
          </w:rPr>
          <w:instrText xml:space="preserve"> PAGEREF _Toc45632258 \h </w:instrText>
        </w:r>
        <w:r>
          <w:rPr>
            <w:webHidden/>
          </w:rPr>
        </w:r>
        <w:r>
          <w:rPr>
            <w:webHidden/>
          </w:rPr>
          <w:fldChar w:fldCharType="separate"/>
        </w:r>
        <w:r>
          <w:rPr>
            <w:webHidden/>
          </w:rPr>
          <w:t>113</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59" w:history="1">
        <w:r w:rsidRPr="00923B73">
          <w:rPr>
            <w:rStyle w:val="af"/>
            <w:rFonts w:asciiTheme="minorEastAsia" w:hAnsiTheme="minorEastAsia" w:hint="eastAsia"/>
          </w:rPr>
          <w:t>（三）基金税收</w:t>
        </w:r>
        <w:r>
          <w:rPr>
            <w:webHidden/>
          </w:rPr>
          <w:tab/>
        </w:r>
        <w:r>
          <w:rPr>
            <w:webHidden/>
          </w:rPr>
          <w:fldChar w:fldCharType="begin"/>
        </w:r>
        <w:r>
          <w:rPr>
            <w:webHidden/>
          </w:rPr>
          <w:instrText xml:space="preserve"> PAGEREF _Toc45632259 \h </w:instrText>
        </w:r>
        <w:r>
          <w:rPr>
            <w:webHidden/>
          </w:rPr>
        </w:r>
        <w:r>
          <w:rPr>
            <w:webHidden/>
          </w:rPr>
          <w:fldChar w:fldCharType="separate"/>
        </w:r>
        <w:r>
          <w:rPr>
            <w:webHidden/>
          </w:rPr>
          <w:t>113</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60" w:history="1">
        <w:r w:rsidRPr="00923B73">
          <w:rPr>
            <w:rStyle w:val="af"/>
            <w:rFonts w:asciiTheme="minorEastAsia" w:hAnsiTheme="minorEastAsia" w:hint="eastAsia"/>
            <w:b/>
            <w:bCs/>
          </w:rPr>
          <w:t>十七、基金的会计与审计</w:t>
        </w:r>
        <w:r>
          <w:rPr>
            <w:webHidden/>
          </w:rPr>
          <w:tab/>
        </w:r>
        <w:r>
          <w:rPr>
            <w:webHidden/>
          </w:rPr>
          <w:fldChar w:fldCharType="begin"/>
        </w:r>
        <w:r>
          <w:rPr>
            <w:webHidden/>
          </w:rPr>
          <w:instrText xml:space="preserve"> PAGEREF _Toc45632260 \h </w:instrText>
        </w:r>
        <w:r>
          <w:rPr>
            <w:webHidden/>
          </w:rPr>
        </w:r>
        <w:r>
          <w:rPr>
            <w:webHidden/>
          </w:rPr>
          <w:fldChar w:fldCharType="separate"/>
        </w:r>
        <w:r>
          <w:rPr>
            <w:webHidden/>
          </w:rPr>
          <w:t>114</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61" w:history="1">
        <w:r w:rsidRPr="00923B73">
          <w:rPr>
            <w:rStyle w:val="af"/>
            <w:rFonts w:asciiTheme="minorEastAsia" w:hAnsiTheme="minorEastAsia" w:hint="eastAsia"/>
          </w:rPr>
          <w:t>（一）基金会计政策</w:t>
        </w:r>
        <w:r>
          <w:rPr>
            <w:webHidden/>
          </w:rPr>
          <w:tab/>
        </w:r>
        <w:r>
          <w:rPr>
            <w:webHidden/>
          </w:rPr>
          <w:fldChar w:fldCharType="begin"/>
        </w:r>
        <w:r>
          <w:rPr>
            <w:webHidden/>
          </w:rPr>
          <w:instrText xml:space="preserve"> PAGEREF _Toc45632261 \h </w:instrText>
        </w:r>
        <w:r>
          <w:rPr>
            <w:webHidden/>
          </w:rPr>
        </w:r>
        <w:r>
          <w:rPr>
            <w:webHidden/>
          </w:rPr>
          <w:fldChar w:fldCharType="separate"/>
        </w:r>
        <w:r>
          <w:rPr>
            <w:webHidden/>
          </w:rPr>
          <w:t>114</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62" w:history="1">
        <w:r w:rsidRPr="00923B73">
          <w:rPr>
            <w:rStyle w:val="af"/>
            <w:rFonts w:asciiTheme="minorEastAsia" w:hAnsiTheme="minorEastAsia" w:hint="eastAsia"/>
          </w:rPr>
          <w:t>（二）基金年度审计</w:t>
        </w:r>
        <w:r>
          <w:rPr>
            <w:webHidden/>
          </w:rPr>
          <w:tab/>
        </w:r>
        <w:r>
          <w:rPr>
            <w:webHidden/>
          </w:rPr>
          <w:fldChar w:fldCharType="begin"/>
        </w:r>
        <w:r>
          <w:rPr>
            <w:webHidden/>
          </w:rPr>
          <w:instrText xml:space="preserve"> PAGEREF _Toc45632262 \h </w:instrText>
        </w:r>
        <w:r>
          <w:rPr>
            <w:webHidden/>
          </w:rPr>
        </w:r>
        <w:r>
          <w:rPr>
            <w:webHidden/>
          </w:rPr>
          <w:fldChar w:fldCharType="separate"/>
        </w:r>
        <w:r>
          <w:rPr>
            <w:webHidden/>
          </w:rPr>
          <w:t>114</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63" w:history="1">
        <w:r w:rsidRPr="00923B73">
          <w:rPr>
            <w:rStyle w:val="af"/>
            <w:rFonts w:asciiTheme="minorEastAsia" w:hAnsiTheme="minorEastAsia" w:hint="eastAsia"/>
            <w:b/>
            <w:bCs/>
          </w:rPr>
          <w:t>十八、基金的信息披露</w:t>
        </w:r>
        <w:r>
          <w:rPr>
            <w:webHidden/>
          </w:rPr>
          <w:tab/>
        </w:r>
        <w:r>
          <w:rPr>
            <w:webHidden/>
          </w:rPr>
          <w:fldChar w:fldCharType="begin"/>
        </w:r>
        <w:r>
          <w:rPr>
            <w:webHidden/>
          </w:rPr>
          <w:instrText xml:space="preserve"> PAGEREF _Toc45632263 \h </w:instrText>
        </w:r>
        <w:r>
          <w:rPr>
            <w:webHidden/>
          </w:rPr>
        </w:r>
        <w:r>
          <w:rPr>
            <w:webHidden/>
          </w:rPr>
          <w:fldChar w:fldCharType="separate"/>
        </w:r>
        <w:r>
          <w:rPr>
            <w:webHidden/>
          </w:rPr>
          <w:t>115</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64" w:history="1">
        <w:r w:rsidRPr="00923B73">
          <w:rPr>
            <w:rStyle w:val="af"/>
            <w:rFonts w:asciiTheme="minorEastAsia" w:hAnsiTheme="minorEastAsia" w:hint="eastAsia"/>
            <w:b/>
            <w:bCs/>
          </w:rPr>
          <w:t>十九、风险揭示</w:t>
        </w:r>
        <w:r>
          <w:rPr>
            <w:webHidden/>
          </w:rPr>
          <w:tab/>
        </w:r>
        <w:r>
          <w:rPr>
            <w:webHidden/>
          </w:rPr>
          <w:fldChar w:fldCharType="begin"/>
        </w:r>
        <w:r>
          <w:rPr>
            <w:webHidden/>
          </w:rPr>
          <w:instrText xml:space="preserve"> PAGEREF _Toc45632264 \h </w:instrText>
        </w:r>
        <w:r>
          <w:rPr>
            <w:webHidden/>
          </w:rPr>
        </w:r>
        <w:r>
          <w:rPr>
            <w:webHidden/>
          </w:rPr>
          <w:fldChar w:fldCharType="separate"/>
        </w:r>
        <w:r>
          <w:rPr>
            <w:webHidden/>
          </w:rPr>
          <w:t>120</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65" w:history="1">
        <w:r w:rsidRPr="00923B73">
          <w:rPr>
            <w:rStyle w:val="af"/>
            <w:rFonts w:asciiTheme="minorEastAsia" w:hAnsiTheme="minorEastAsia" w:hint="eastAsia"/>
          </w:rPr>
          <w:t>（一）市场风险</w:t>
        </w:r>
        <w:r>
          <w:rPr>
            <w:webHidden/>
          </w:rPr>
          <w:tab/>
        </w:r>
        <w:r>
          <w:rPr>
            <w:webHidden/>
          </w:rPr>
          <w:fldChar w:fldCharType="begin"/>
        </w:r>
        <w:r>
          <w:rPr>
            <w:webHidden/>
          </w:rPr>
          <w:instrText xml:space="preserve"> PAGEREF _Toc45632265 \h </w:instrText>
        </w:r>
        <w:r>
          <w:rPr>
            <w:webHidden/>
          </w:rPr>
        </w:r>
        <w:r>
          <w:rPr>
            <w:webHidden/>
          </w:rPr>
          <w:fldChar w:fldCharType="separate"/>
        </w:r>
        <w:r>
          <w:rPr>
            <w:webHidden/>
          </w:rPr>
          <w:t>120</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66" w:history="1">
        <w:r w:rsidRPr="00923B73">
          <w:rPr>
            <w:rStyle w:val="af"/>
            <w:rFonts w:asciiTheme="minorEastAsia" w:hAnsiTheme="minorEastAsia" w:hint="eastAsia"/>
          </w:rPr>
          <w:t>（二）管理风险</w:t>
        </w:r>
        <w:r>
          <w:rPr>
            <w:webHidden/>
          </w:rPr>
          <w:tab/>
        </w:r>
        <w:r>
          <w:rPr>
            <w:webHidden/>
          </w:rPr>
          <w:fldChar w:fldCharType="begin"/>
        </w:r>
        <w:r>
          <w:rPr>
            <w:webHidden/>
          </w:rPr>
          <w:instrText xml:space="preserve"> PAGEREF _Toc45632266 \h </w:instrText>
        </w:r>
        <w:r>
          <w:rPr>
            <w:webHidden/>
          </w:rPr>
        </w:r>
        <w:r>
          <w:rPr>
            <w:webHidden/>
          </w:rPr>
          <w:fldChar w:fldCharType="separate"/>
        </w:r>
        <w:r>
          <w:rPr>
            <w:webHidden/>
          </w:rPr>
          <w:t>120</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67" w:history="1">
        <w:r w:rsidRPr="00923B73">
          <w:rPr>
            <w:rStyle w:val="af"/>
            <w:rFonts w:asciiTheme="minorEastAsia" w:hAnsiTheme="minorEastAsia" w:hint="eastAsia"/>
          </w:rPr>
          <w:t>（三）流动性风险</w:t>
        </w:r>
        <w:r>
          <w:rPr>
            <w:webHidden/>
          </w:rPr>
          <w:tab/>
        </w:r>
        <w:r>
          <w:rPr>
            <w:webHidden/>
          </w:rPr>
          <w:fldChar w:fldCharType="begin"/>
        </w:r>
        <w:r>
          <w:rPr>
            <w:webHidden/>
          </w:rPr>
          <w:instrText xml:space="preserve"> PAGEREF _Toc45632267 \h </w:instrText>
        </w:r>
        <w:r>
          <w:rPr>
            <w:webHidden/>
          </w:rPr>
        </w:r>
        <w:r>
          <w:rPr>
            <w:webHidden/>
          </w:rPr>
          <w:fldChar w:fldCharType="separate"/>
        </w:r>
        <w:r>
          <w:rPr>
            <w:webHidden/>
          </w:rPr>
          <w:t>120</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68" w:history="1">
        <w:r w:rsidRPr="00923B73">
          <w:rPr>
            <w:rStyle w:val="af"/>
            <w:rFonts w:asciiTheme="minorEastAsia" w:hAnsiTheme="minorEastAsia" w:hint="eastAsia"/>
          </w:rPr>
          <w:t>（四）本基金法律文件中涉及基金风险特征的表述与销售机构对基金的风险评级可能不一致的风险</w:t>
        </w:r>
        <w:r>
          <w:rPr>
            <w:webHidden/>
          </w:rPr>
          <w:tab/>
        </w:r>
        <w:r>
          <w:rPr>
            <w:webHidden/>
          </w:rPr>
          <w:fldChar w:fldCharType="begin"/>
        </w:r>
        <w:r>
          <w:rPr>
            <w:webHidden/>
          </w:rPr>
          <w:instrText xml:space="preserve"> PAGEREF _Toc45632268 \h </w:instrText>
        </w:r>
        <w:r>
          <w:rPr>
            <w:webHidden/>
          </w:rPr>
        </w:r>
        <w:r>
          <w:rPr>
            <w:webHidden/>
          </w:rPr>
          <w:fldChar w:fldCharType="separate"/>
        </w:r>
        <w:r>
          <w:rPr>
            <w:webHidden/>
          </w:rPr>
          <w:t>122</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69" w:history="1">
        <w:r w:rsidRPr="00923B73">
          <w:rPr>
            <w:rStyle w:val="af"/>
            <w:rFonts w:asciiTheme="minorEastAsia" w:hAnsiTheme="minorEastAsia" w:hint="eastAsia"/>
          </w:rPr>
          <w:t>（五）本基金特有的风险</w:t>
        </w:r>
        <w:r>
          <w:rPr>
            <w:webHidden/>
          </w:rPr>
          <w:tab/>
        </w:r>
        <w:r>
          <w:rPr>
            <w:webHidden/>
          </w:rPr>
          <w:fldChar w:fldCharType="begin"/>
        </w:r>
        <w:r>
          <w:rPr>
            <w:webHidden/>
          </w:rPr>
          <w:instrText xml:space="preserve"> PAGEREF _Toc45632269 \h </w:instrText>
        </w:r>
        <w:r>
          <w:rPr>
            <w:webHidden/>
          </w:rPr>
        </w:r>
        <w:r>
          <w:rPr>
            <w:webHidden/>
          </w:rPr>
          <w:fldChar w:fldCharType="separate"/>
        </w:r>
        <w:r>
          <w:rPr>
            <w:webHidden/>
          </w:rPr>
          <w:t>122</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70" w:history="1">
        <w:r w:rsidRPr="00923B73">
          <w:rPr>
            <w:rStyle w:val="af"/>
            <w:rFonts w:asciiTheme="minorEastAsia" w:hAnsiTheme="minorEastAsia" w:hint="eastAsia"/>
          </w:rPr>
          <w:t>（六）其他风险</w:t>
        </w:r>
        <w:r>
          <w:rPr>
            <w:webHidden/>
          </w:rPr>
          <w:tab/>
        </w:r>
        <w:r>
          <w:rPr>
            <w:webHidden/>
          </w:rPr>
          <w:fldChar w:fldCharType="begin"/>
        </w:r>
        <w:r>
          <w:rPr>
            <w:webHidden/>
          </w:rPr>
          <w:instrText xml:space="preserve"> PAGEREF _Toc45632270 \h </w:instrText>
        </w:r>
        <w:r>
          <w:rPr>
            <w:webHidden/>
          </w:rPr>
        </w:r>
        <w:r>
          <w:rPr>
            <w:webHidden/>
          </w:rPr>
          <w:fldChar w:fldCharType="separate"/>
        </w:r>
        <w:r>
          <w:rPr>
            <w:webHidden/>
          </w:rPr>
          <w:t>123</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71" w:history="1">
        <w:r w:rsidRPr="00923B73">
          <w:rPr>
            <w:rStyle w:val="af"/>
            <w:rFonts w:asciiTheme="minorEastAsia" w:hAnsiTheme="minorEastAsia" w:hint="eastAsia"/>
            <w:b/>
            <w:bCs/>
          </w:rPr>
          <w:t>二十、基金合同的终止与基金财产的清算</w:t>
        </w:r>
        <w:r>
          <w:rPr>
            <w:webHidden/>
          </w:rPr>
          <w:tab/>
        </w:r>
        <w:r>
          <w:rPr>
            <w:webHidden/>
          </w:rPr>
          <w:fldChar w:fldCharType="begin"/>
        </w:r>
        <w:r>
          <w:rPr>
            <w:webHidden/>
          </w:rPr>
          <w:instrText xml:space="preserve"> PAGEREF _Toc45632271 \h </w:instrText>
        </w:r>
        <w:r>
          <w:rPr>
            <w:webHidden/>
          </w:rPr>
        </w:r>
        <w:r>
          <w:rPr>
            <w:webHidden/>
          </w:rPr>
          <w:fldChar w:fldCharType="separate"/>
        </w:r>
        <w:r>
          <w:rPr>
            <w:webHidden/>
          </w:rPr>
          <w:t>124</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72" w:history="1">
        <w:r w:rsidRPr="00923B73">
          <w:rPr>
            <w:rStyle w:val="af"/>
            <w:rFonts w:asciiTheme="minorEastAsia" w:hAnsiTheme="minorEastAsia" w:hint="eastAsia"/>
          </w:rPr>
          <w:t>（一）基金合同的终止</w:t>
        </w:r>
        <w:r>
          <w:rPr>
            <w:webHidden/>
          </w:rPr>
          <w:tab/>
        </w:r>
        <w:r>
          <w:rPr>
            <w:webHidden/>
          </w:rPr>
          <w:fldChar w:fldCharType="begin"/>
        </w:r>
        <w:r>
          <w:rPr>
            <w:webHidden/>
          </w:rPr>
          <w:instrText xml:space="preserve"> PAGEREF _Toc45632272 \h </w:instrText>
        </w:r>
        <w:r>
          <w:rPr>
            <w:webHidden/>
          </w:rPr>
        </w:r>
        <w:r>
          <w:rPr>
            <w:webHidden/>
          </w:rPr>
          <w:fldChar w:fldCharType="separate"/>
        </w:r>
        <w:r>
          <w:rPr>
            <w:webHidden/>
          </w:rPr>
          <w:t>124</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73" w:history="1">
        <w:r w:rsidRPr="00923B73">
          <w:rPr>
            <w:rStyle w:val="af"/>
            <w:rFonts w:asciiTheme="minorEastAsia" w:hAnsiTheme="minorEastAsia" w:hint="eastAsia"/>
          </w:rPr>
          <w:t>（二）基金财产的清算</w:t>
        </w:r>
        <w:r>
          <w:rPr>
            <w:webHidden/>
          </w:rPr>
          <w:tab/>
        </w:r>
        <w:r>
          <w:rPr>
            <w:webHidden/>
          </w:rPr>
          <w:fldChar w:fldCharType="begin"/>
        </w:r>
        <w:r>
          <w:rPr>
            <w:webHidden/>
          </w:rPr>
          <w:instrText xml:space="preserve"> PAGEREF _Toc45632273 \h </w:instrText>
        </w:r>
        <w:r>
          <w:rPr>
            <w:webHidden/>
          </w:rPr>
        </w:r>
        <w:r>
          <w:rPr>
            <w:webHidden/>
          </w:rPr>
          <w:fldChar w:fldCharType="separate"/>
        </w:r>
        <w:r>
          <w:rPr>
            <w:webHidden/>
          </w:rPr>
          <w:t>124</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74" w:history="1">
        <w:r w:rsidRPr="00923B73">
          <w:rPr>
            <w:rStyle w:val="af"/>
            <w:rFonts w:asciiTheme="minorEastAsia" w:hAnsiTheme="minorEastAsia" w:hint="eastAsia"/>
            <w:b/>
            <w:bCs/>
          </w:rPr>
          <w:t>二十一、基金合同内容摘要</w:t>
        </w:r>
        <w:r>
          <w:rPr>
            <w:webHidden/>
          </w:rPr>
          <w:tab/>
        </w:r>
        <w:r>
          <w:rPr>
            <w:webHidden/>
          </w:rPr>
          <w:fldChar w:fldCharType="begin"/>
        </w:r>
        <w:r>
          <w:rPr>
            <w:webHidden/>
          </w:rPr>
          <w:instrText xml:space="preserve"> PAGEREF _Toc45632274 \h </w:instrText>
        </w:r>
        <w:r>
          <w:rPr>
            <w:webHidden/>
          </w:rPr>
        </w:r>
        <w:r>
          <w:rPr>
            <w:webHidden/>
          </w:rPr>
          <w:fldChar w:fldCharType="separate"/>
        </w:r>
        <w:r>
          <w:rPr>
            <w:webHidden/>
          </w:rPr>
          <w:t>126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75" w:history="1">
        <w:r w:rsidRPr="00923B73">
          <w:rPr>
            <w:rStyle w:val="af"/>
            <w:rFonts w:asciiTheme="minorEastAsia" w:hAnsiTheme="minorEastAsia" w:hint="eastAsia"/>
            <w:bCs/>
          </w:rPr>
          <w:t>（一）前言</w:t>
        </w:r>
        <w:r>
          <w:rPr>
            <w:webHidden/>
          </w:rPr>
          <w:tab/>
        </w:r>
        <w:r>
          <w:rPr>
            <w:webHidden/>
          </w:rPr>
          <w:fldChar w:fldCharType="begin"/>
        </w:r>
        <w:r>
          <w:rPr>
            <w:webHidden/>
          </w:rPr>
          <w:instrText xml:space="preserve"> PAGEREF _Toc45632275 \h </w:instrText>
        </w:r>
        <w:r>
          <w:rPr>
            <w:webHidden/>
          </w:rPr>
        </w:r>
        <w:r>
          <w:rPr>
            <w:webHidden/>
          </w:rPr>
          <w:fldChar w:fldCharType="separate"/>
        </w:r>
        <w:r>
          <w:rPr>
            <w:webHidden/>
          </w:rPr>
          <w:t>126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76" w:history="1">
        <w:r w:rsidRPr="00923B73">
          <w:rPr>
            <w:rStyle w:val="af"/>
            <w:rFonts w:asciiTheme="minorEastAsia" w:hAnsiTheme="minorEastAsia" w:hint="eastAsia"/>
            <w:bCs/>
          </w:rPr>
          <w:t>（二）基金管理人的权利与义务</w:t>
        </w:r>
        <w:r>
          <w:rPr>
            <w:webHidden/>
          </w:rPr>
          <w:tab/>
        </w:r>
        <w:r>
          <w:rPr>
            <w:webHidden/>
          </w:rPr>
          <w:fldChar w:fldCharType="begin"/>
        </w:r>
        <w:r>
          <w:rPr>
            <w:webHidden/>
          </w:rPr>
          <w:instrText xml:space="preserve"> PAGEREF _Toc45632276 \h </w:instrText>
        </w:r>
        <w:r>
          <w:rPr>
            <w:webHidden/>
          </w:rPr>
        </w:r>
        <w:r>
          <w:rPr>
            <w:webHidden/>
          </w:rPr>
          <w:fldChar w:fldCharType="separate"/>
        </w:r>
        <w:r>
          <w:rPr>
            <w:webHidden/>
          </w:rPr>
          <w:t>126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77" w:history="1">
        <w:r w:rsidRPr="00923B73">
          <w:rPr>
            <w:rStyle w:val="af"/>
            <w:rFonts w:asciiTheme="minorEastAsia" w:hAnsiTheme="minorEastAsia" w:hint="eastAsia"/>
            <w:bCs/>
          </w:rPr>
          <w:t>（三）基金托管人的权利与义务</w:t>
        </w:r>
        <w:r>
          <w:rPr>
            <w:webHidden/>
          </w:rPr>
          <w:tab/>
        </w:r>
        <w:r>
          <w:rPr>
            <w:webHidden/>
          </w:rPr>
          <w:fldChar w:fldCharType="begin"/>
        </w:r>
        <w:r>
          <w:rPr>
            <w:webHidden/>
          </w:rPr>
          <w:instrText xml:space="preserve"> PAGEREF _Toc45632277 \h </w:instrText>
        </w:r>
        <w:r>
          <w:rPr>
            <w:webHidden/>
          </w:rPr>
        </w:r>
        <w:r>
          <w:rPr>
            <w:webHidden/>
          </w:rPr>
          <w:fldChar w:fldCharType="separate"/>
        </w:r>
        <w:r>
          <w:rPr>
            <w:webHidden/>
          </w:rPr>
          <w:t>128</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78" w:history="1">
        <w:r w:rsidRPr="00923B73">
          <w:rPr>
            <w:rStyle w:val="af"/>
            <w:rFonts w:asciiTheme="minorEastAsia" w:hAnsiTheme="minorEastAsia" w:hint="eastAsia"/>
            <w:bCs/>
          </w:rPr>
          <w:t>（四）基金份额持有人的权利与义务</w:t>
        </w:r>
        <w:r>
          <w:rPr>
            <w:webHidden/>
          </w:rPr>
          <w:tab/>
        </w:r>
        <w:r>
          <w:rPr>
            <w:webHidden/>
          </w:rPr>
          <w:fldChar w:fldCharType="begin"/>
        </w:r>
        <w:r>
          <w:rPr>
            <w:webHidden/>
          </w:rPr>
          <w:instrText xml:space="preserve"> PAGEREF _Toc45632278 \h </w:instrText>
        </w:r>
        <w:r>
          <w:rPr>
            <w:webHidden/>
          </w:rPr>
        </w:r>
        <w:r>
          <w:rPr>
            <w:webHidden/>
          </w:rPr>
          <w:fldChar w:fldCharType="separate"/>
        </w:r>
        <w:r>
          <w:rPr>
            <w:webHidden/>
          </w:rPr>
          <w:t>130</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79" w:history="1">
        <w:r w:rsidRPr="00923B73">
          <w:rPr>
            <w:rStyle w:val="af"/>
            <w:rFonts w:asciiTheme="minorEastAsia" w:hAnsiTheme="minorEastAsia" w:hint="eastAsia"/>
            <w:bCs/>
          </w:rPr>
          <w:t>（五）基金份额持有人大会</w:t>
        </w:r>
        <w:r>
          <w:rPr>
            <w:webHidden/>
          </w:rPr>
          <w:tab/>
        </w:r>
        <w:r>
          <w:rPr>
            <w:webHidden/>
          </w:rPr>
          <w:fldChar w:fldCharType="begin"/>
        </w:r>
        <w:r>
          <w:rPr>
            <w:webHidden/>
          </w:rPr>
          <w:instrText xml:space="preserve"> PAGEREF _Toc45632279 \h </w:instrText>
        </w:r>
        <w:r>
          <w:rPr>
            <w:webHidden/>
          </w:rPr>
        </w:r>
        <w:r>
          <w:rPr>
            <w:webHidden/>
          </w:rPr>
          <w:fldChar w:fldCharType="separate"/>
        </w:r>
        <w:r>
          <w:rPr>
            <w:webHidden/>
          </w:rPr>
          <w:t>131</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80" w:history="1">
        <w:r w:rsidRPr="00923B73">
          <w:rPr>
            <w:rStyle w:val="af"/>
            <w:rFonts w:asciiTheme="minorEastAsia" w:hAnsiTheme="minorEastAsia" w:hint="eastAsia"/>
            <w:bCs/>
          </w:rPr>
          <w:t>（六）基金合同的变更和终止</w:t>
        </w:r>
        <w:r>
          <w:rPr>
            <w:webHidden/>
          </w:rPr>
          <w:tab/>
        </w:r>
        <w:r>
          <w:rPr>
            <w:webHidden/>
          </w:rPr>
          <w:fldChar w:fldCharType="begin"/>
        </w:r>
        <w:r>
          <w:rPr>
            <w:webHidden/>
          </w:rPr>
          <w:instrText xml:space="preserve"> PAGEREF _Toc45632280 \h </w:instrText>
        </w:r>
        <w:r>
          <w:rPr>
            <w:webHidden/>
          </w:rPr>
        </w:r>
        <w:r>
          <w:rPr>
            <w:webHidden/>
          </w:rPr>
          <w:fldChar w:fldCharType="separate"/>
        </w:r>
        <w:r>
          <w:rPr>
            <w:webHidden/>
          </w:rPr>
          <w:t>136</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81" w:history="1">
        <w:r w:rsidRPr="00923B73">
          <w:rPr>
            <w:rStyle w:val="af"/>
            <w:rFonts w:asciiTheme="minorEastAsia" w:hAnsiTheme="minorEastAsia" w:hint="eastAsia"/>
            <w:bCs/>
          </w:rPr>
          <w:t>（七）争议的处理</w:t>
        </w:r>
        <w:r>
          <w:rPr>
            <w:webHidden/>
          </w:rPr>
          <w:tab/>
        </w:r>
        <w:r>
          <w:rPr>
            <w:webHidden/>
          </w:rPr>
          <w:fldChar w:fldCharType="begin"/>
        </w:r>
        <w:r>
          <w:rPr>
            <w:webHidden/>
          </w:rPr>
          <w:instrText xml:space="preserve"> PAGEREF _Toc45632281 \h </w:instrText>
        </w:r>
        <w:r>
          <w:rPr>
            <w:webHidden/>
          </w:rPr>
        </w:r>
        <w:r>
          <w:rPr>
            <w:webHidden/>
          </w:rPr>
          <w:fldChar w:fldCharType="separate"/>
        </w:r>
        <w:r>
          <w:rPr>
            <w:webHidden/>
          </w:rPr>
          <w:t>137</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82" w:history="1">
        <w:r w:rsidRPr="00923B73">
          <w:rPr>
            <w:rStyle w:val="af"/>
            <w:rFonts w:asciiTheme="minorEastAsia" w:hAnsiTheme="minorEastAsia" w:hint="eastAsia"/>
            <w:bCs/>
          </w:rPr>
          <w:t>（八）基金合同的存放及查阅方式</w:t>
        </w:r>
        <w:r>
          <w:rPr>
            <w:webHidden/>
          </w:rPr>
          <w:tab/>
        </w:r>
        <w:r>
          <w:rPr>
            <w:webHidden/>
          </w:rPr>
          <w:fldChar w:fldCharType="begin"/>
        </w:r>
        <w:r>
          <w:rPr>
            <w:webHidden/>
          </w:rPr>
          <w:instrText xml:space="preserve"> PAGEREF _Toc45632282 \h </w:instrText>
        </w:r>
        <w:r>
          <w:rPr>
            <w:webHidden/>
          </w:rPr>
        </w:r>
        <w:r>
          <w:rPr>
            <w:webHidden/>
          </w:rPr>
          <w:fldChar w:fldCharType="separate"/>
        </w:r>
        <w:r>
          <w:rPr>
            <w:webHidden/>
          </w:rPr>
          <w:t>137</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83" w:history="1">
        <w:r w:rsidRPr="00923B73">
          <w:rPr>
            <w:rStyle w:val="af"/>
            <w:rFonts w:asciiTheme="minorEastAsia" w:hAnsiTheme="minorEastAsia" w:hint="eastAsia"/>
            <w:b/>
            <w:bCs/>
          </w:rPr>
          <w:t>二十二、基金托管协议的内容摘要</w:t>
        </w:r>
        <w:r>
          <w:rPr>
            <w:webHidden/>
          </w:rPr>
          <w:tab/>
        </w:r>
        <w:r>
          <w:rPr>
            <w:webHidden/>
          </w:rPr>
          <w:fldChar w:fldCharType="begin"/>
        </w:r>
        <w:r>
          <w:rPr>
            <w:webHidden/>
          </w:rPr>
          <w:instrText xml:space="preserve"> PAGEREF _Toc45632283 \h </w:instrText>
        </w:r>
        <w:r>
          <w:rPr>
            <w:webHidden/>
          </w:rPr>
        </w:r>
        <w:r>
          <w:rPr>
            <w:webHidden/>
          </w:rPr>
          <w:fldChar w:fldCharType="separate"/>
        </w:r>
        <w:r>
          <w:rPr>
            <w:webHidden/>
          </w:rPr>
          <w:t>138</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84" w:history="1">
        <w:r w:rsidRPr="00923B73">
          <w:rPr>
            <w:rStyle w:val="af"/>
            <w:rFonts w:asciiTheme="minorEastAsia" w:hAnsiTheme="minorEastAsia" w:hint="eastAsia"/>
            <w:bCs/>
          </w:rPr>
          <w:t>（一）基金托管协议当事人</w:t>
        </w:r>
        <w:r>
          <w:rPr>
            <w:webHidden/>
          </w:rPr>
          <w:tab/>
        </w:r>
        <w:r>
          <w:rPr>
            <w:webHidden/>
          </w:rPr>
          <w:fldChar w:fldCharType="begin"/>
        </w:r>
        <w:r>
          <w:rPr>
            <w:webHidden/>
          </w:rPr>
          <w:instrText xml:space="preserve"> PAGEREF _Toc45632284 \h </w:instrText>
        </w:r>
        <w:r>
          <w:rPr>
            <w:webHidden/>
          </w:rPr>
        </w:r>
        <w:r>
          <w:rPr>
            <w:webHidden/>
          </w:rPr>
          <w:fldChar w:fldCharType="separate"/>
        </w:r>
        <w:r>
          <w:rPr>
            <w:webHidden/>
          </w:rPr>
          <w:t>138</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85" w:history="1">
        <w:r w:rsidRPr="00923B73">
          <w:rPr>
            <w:rStyle w:val="af"/>
            <w:rFonts w:asciiTheme="minorEastAsia" w:hAnsiTheme="minorEastAsia" w:hint="eastAsia"/>
            <w:bCs/>
          </w:rPr>
          <w:t>（二）基金托管人和基金管理人之间的业务监督、核查</w:t>
        </w:r>
        <w:r>
          <w:rPr>
            <w:webHidden/>
          </w:rPr>
          <w:tab/>
        </w:r>
        <w:r>
          <w:rPr>
            <w:webHidden/>
          </w:rPr>
          <w:fldChar w:fldCharType="begin"/>
        </w:r>
        <w:r>
          <w:rPr>
            <w:webHidden/>
          </w:rPr>
          <w:instrText xml:space="preserve"> PAGEREF _Toc45632285 \h </w:instrText>
        </w:r>
        <w:r>
          <w:rPr>
            <w:webHidden/>
          </w:rPr>
        </w:r>
        <w:r>
          <w:rPr>
            <w:webHidden/>
          </w:rPr>
          <w:fldChar w:fldCharType="separate"/>
        </w:r>
        <w:r>
          <w:rPr>
            <w:webHidden/>
          </w:rPr>
          <w:t>139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86" w:history="1">
        <w:r w:rsidRPr="00923B73">
          <w:rPr>
            <w:rStyle w:val="af"/>
            <w:rFonts w:asciiTheme="minorEastAsia" w:hAnsiTheme="minorEastAsia" w:hint="eastAsia"/>
            <w:bCs/>
          </w:rPr>
          <w:t>（三）基金财产保管</w:t>
        </w:r>
        <w:r>
          <w:rPr>
            <w:webHidden/>
          </w:rPr>
          <w:tab/>
        </w:r>
        <w:r>
          <w:rPr>
            <w:webHidden/>
          </w:rPr>
          <w:fldChar w:fldCharType="begin"/>
        </w:r>
        <w:r>
          <w:rPr>
            <w:webHidden/>
          </w:rPr>
          <w:instrText xml:space="preserve"> PAGEREF _Toc45632286 \h </w:instrText>
        </w:r>
        <w:r>
          <w:rPr>
            <w:webHidden/>
          </w:rPr>
        </w:r>
        <w:r>
          <w:rPr>
            <w:webHidden/>
          </w:rPr>
          <w:fldChar w:fldCharType="separate"/>
        </w:r>
        <w:r>
          <w:rPr>
            <w:webHidden/>
          </w:rPr>
          <w:t>142</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87" w:history="1">
        <w:r w:rsidRPr="00923B73">
          <w:rPr>
            <w:rStyle w:val="af"/>
            <w:rFonts w:asciiTheme="minorEastAsia" w:hAnsiTheme="minorEastAsia" w:hint="eastAsia"/>
            <w:bCs/>
          </w:rPr>
          <w:t>（四）基金资产净值计算与复核</w:t>
        </w:r>
        <w:r>
          <w:rPr>
            <w:webHidden/>
          </w:rPr>
          <w:tab/>
        </w:r>
        <w:r>
          <w:rPr>
            <w:webHidden/>
          </w:rPr>
          <w:fldChar w:fldCharType="begin"/>
        </w:r>
        <w:r>
          <w:rPr>
            <w:webHidden/>
          </w:rPr>
          <w:instrText xml:space="preserve"> PAGEREF _Toc45632287 \h </w:instrText>
        </w:r>
        <w:r>
          <w:rPr>
            <w:webHidden/>
          </w:rPr>
        </w:r>
        <w:r>
          <w:rPr>
            <w:webHidden/>
          </w:rPr>
          <w:fldChar w:fldCharType="separate"/>
        </w:r>
        <w:r>
          <w:rPr>
            <w:webHidden/>
          </w:rPr>
          <w:t>144</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88" w:history="1">
        <w:r w:rsidRPr="00923B73">
          <w:rPr>
            <w:rStyle w:val="af"/>
            <w:rFonts w:asciiTheme="minorEastAsia" w:hAnsiTheme="minorEastAsia" w:hint="eastAsia"/>
            <w:bCs/>
          </w:rPr>
          <w:t>（五）基金份额持有人名册的保管</w:t>
        </w:r>
        <w:r>
          <w:rPr>
            <w:webHidden/>
          </w:rPr>
          <w:tab/>
        </w:r>
        <w:r>
          <w:rPr>
            <w:webHidden/>
          </w:rPr>
          <w:fldChar w:fldCharType="begin"/>
        </w:r>
        <w:r>
          <w:rPr>
            <w:webHidden/>
          </w:rPr>
          <w:instrText xml:space="preserve"> PAGEREF _Toc45632288 \h </w:instrText>
        </w:r>
        <w:r>
          <w:rPr>
            <w:webHidden/>
          </w:rPr>
        </w:r>
        <w:r>
          <w:rPr>
            <w:webHidden/>
          </w:rPr>
          <w:fldChar w:fldCharType="separate"/>
        </w:r>
        <w:r>
          <w:rPr>
            <w:webHidden/>
          </w:rPr>
          <w:t>147</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89" w:history="1">
        <w:r w:rsidRPr="00923B73">
          <w:rPr>
            <w:rStyle w:val="af"/>
            <w:rFonts w:asciiTheme="minorEastAsia" w:hAnsiTheme="minorEastAsia" w:hint="eastAsia"/>
            <w:bCs/>
          </w:rPr>
          <w:t>（六）争议解决方式</w:t>
        </w:r>
        <w:r>
          <w:rPr>
            <w:webHidden/>
          </w:rPr>
          <w:tab/>
        </w:r>
        <w:r>
          <w:rPr>
            <w:webHidden/>
          </w:rPr>
          <w:fldChar w:fldCharType="begin"/>
        </w:r>
        <w:r>
          <w:rPr>
            <w:webHidden/>
          </w:rPr>
          <w:instrText xml:space="preserve"> PAGEREF _Toc45632289 \h </w:instrText>
        </w:r>
        <w:r>
          <w:rPr>
            <w:webHidden/>
          </w:rPr>
        </w:r>
        <w:r>
          <w:rPr>
            <w:webHidden/>
          </w:rPr>
          <w:fldChar w:fldCharType="separate"/>
        </w:r>
        <w:r>
          <w:rPr>
            <w:webHidden/>
          </w:rPr>
          <w:t>148</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90" w:history="1">
        <w:r w:rsidRPr="00923B73">
          <w:rPr>
            <w:rStyle w:val="af"/>
            <w:rFonts w:asciiTheme="minorEastAsia" w:hAnsiTheme="minorEastAsia" w:hint="eastAsia"/>
            <w:bCs/>
          </w:rPr>
          <w:t>（七）托管协议的修改与终止</w:t>
        </w:r>
        <w:r>
          <w:rPr>
            <w:webHidden/>
          </w:rPr>
          <w:tab/>
        </w:r>
        <w:r>
          <w:rPr>
            <w:webHidden/>
          </w:rPr>
          <w:fldChar w:fldCharType="begin"/>
        </w:r>
        <w:r>
          <w:rPr>
            <w:webHidden/>
          </w:rPr>
          <w:instrText xml:space="preserve"> PAGEREF _Toc45632290 \h </w:instrText>
        </w:r>
        <w:r>
          <w:rPr>
            <w:webHidden/>
          </w:rPr>
        </w:r>
        <w:r>
          <w:rPr>
            <w:webHidden/>
          </w:rPr>
          <w:fldChar w:fldCharType="separate"/>
        </w:r>
        <w:r>
          <w:rPr>
            <w:webHidden/>
          </w:rPr>
          <w:t>148</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91" w:history="1">
        <w:r w:rsidRPr="00923B73">
          <w:rPr>
            <w:rStyle w:val="af"/>
            <w:rFonts w:asciiTheme="minorEastAsia" w:hAnsiTheme="minorEastAsia" w:hint="eastAsia"/>
            <w:b/>
            <w:bCs/>
          </w:rPr>
          <w:t>二十三、对基金份额持有人的服务</w:t>
        </w:r>
        <w:r>
          <w:rPr>
            <w:webHidden/>
          </w:rPr>
          <w:tab/>
        </w:r>
        <w:r>
          <w:rPr>
            <w:webHidden/>
          </w:rPr>
          <w:fldChar w:fldCharType="begin"/>
        </w:r>
        <w:r>
          <w:rPr>
            <w:webHidden/>
          </w:rPr>
          <w:instrText xml:space="preserve"> PAGEREF _Toc45632291 \h </w:instrText>
        </w:r>
        <w:r>
          <w:rPr>
            <w:webHidden/>
          </w:rPr>
        </w:r>
        <w:r>
          <w:rPr>
            <w:webHidden/>
          </w:rPr>
          <w:fldChar w:fldCharType="separate"/>
        </w:r>
        <w:r>
          <w:rPr>
            <w:webHidden/>
          </w:rPr>
          <w:t>149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92" w:history="1">
        <w:r w:rsidRPr="00923B73">
          <w:rPr>
            <w:rStyle w:val="af"/>
            <w:rFonts w:asciiTheme="minorEastAsia" w:hAnsiTheme="minorEastAsia" w:hint="eastAsia"/>
            <w:bCs/>
          </w:rPr>
          <w:t>（一）基金份额持有人投资交易确认服务</w:t>
        </w:r>
        <w:r>
          <w:rPr>
            <w:webHidden/>
          </w:rPr>
          <w:tab/>
        </w:r>
        <w:r>
          <w:rPr>
            <w:webHidden/>
          </w:rPr>
          <w:fldChar w:fldCharType="begin"/>
        </w:r>
        <w:r>
          <w:rPr>
            <w:webHidden/>
          </w:rPr>
          <w:instrText xml:space="preserve"> PAGEREF _Toc45632292 \h </w:instrText>
        </w:r>
        <w:r>
          <w:rPr>
            <w:webHidden/>
          </w:rPr>
        </w:r>
        <w:r>
          <w:rPr>
            <w:webHidden/>
          </w:rPr>
          <w:fldChar w:fldCharType="separate"/>
        </w:r>
        <w:r>
          <w:rPr>
            <w:webHidden/>
          </w:rPr>
          <w:t>149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93" w:history="1">
        <w:r w:rsidRPr="00923B73">
          <w:rPr>
            <w:rStyle w:val="af"/>
            <w:rFonts w:asciiTheme="minorEastAsia" w:hAnsiTheme="minorEastAsia" w:hint="eastAsia"/>
            <w:bCs/>
          </w:rPr>
          <w:t>（二）基金份额持有人交易记录查询服务</w:t>
        </w:r>
        <w:r>
          <w:rPr>
            <w:webHidden/>
          </w:rPr>
          <w:tab/>
        </w:r>
        <w:r>
          <w:rPr>
            <w:webHidden/>
          </w:rPr>
          <w:fldChar w:fldCharType="begin"/>
        </w:r>
        <w:r>
          <w:rPr>
            <w:webHidden/>
          </w:rPr>
          <w:instrText xml:space="preserve"> PAGEREF _Toc45632293 \h </w:instrText>
        </w:r>
        <w:r>
          <w:rPr>
            <w:webHidden/>
          </w:rPr>
        </w:r>
        <w:r>
          <w:rPr>
            <w:webHidden/>
          </w:rPr>
          <w:fldChar w:fldCharType="separate"/>
        </w:r>
        <w:r>
          <w:rPr>
            <w:webHidden/>
          </w:rPr>
          <w:t>149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94" w:history="1">
        <w:r w:rsidRPr="00923B73">
          <w:rPr>
            <w:rStyle w:val="af"/>
            <w:rFonts w:asciiTheme="minorEastAsia" w:hAnsiTheme="minorEastAsia" w:hint="eastAsia"/>
            <w:bCs/>
          </w:rPr>
          <w:t>（三）基金份额持有人的对账单服务</w:t>
        </w:r>
        <w:r>
          <w:rPr>
            <w:webHidden/>
          </w:rPr>
          <w:tab/>
        </w:r>
        <w:r>
          <w:rPr>
            <w:webHidden/>
          </w:rPr>
          <w:fldChar w:fldCharType="begin"/>
        </w:r>
        <w:r>
          <w:rPr>
            <w:webHidden/>
          </w:rPr>
          <w:instrText xml:space="preserve"> PAGEREF _Toc45632294 \h </w:instrText>
        </w:r>
        <w:r>
          <w:rPr>
            <w:webHidden/>
          </w:rPr>
        </w:r>
        <w:r>
          <w:rPr>
            <w:webHidden/>
          </w:rPr>
          <w:fldChar w:fldCharType="separate"/>
        </w:r>
        <w:r>
          <w:rPr>
            <w:webHidden/>
          </w:rPr>
          <w:t>149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95" w:history="1">
        <w:r w:rsidRPr="00923B73">
          <w:rPr>
            <w:rStyle w:val="af"/>
            <w:rFonts w:asciiTheme="minorEastAsia" w:hAnsiTheme="minorEastAsia" w:hint="eastAsia"/>
            <w:bCs/>
          </w:rPr>
          <w:t>（四）定期定额投资计划</w:t>
        </w:r>
        <w:r>
          <w:rPr>
            <w:webHidden/>
          </w:rPr>
          <w:tab/>
        </w:r>
        <w:r>
          <w:rPr>
            <w:webHidden/>
          </w:rPr>
          <w:fldChar w:fldCharType="begin"/>
        </w:r>
        <w:r>
          <w:rPr>
            <w:webHidden/>
          </w:rPr>
          <w:instrText xml:space="preserve"> PAGEREF _Toc45632295 \h </w:instrText>
        </w:r>
        <w:r>
          <w:rPr>
            <w:webHidden/>
          </w:rPr>
        </w:r>
        <w:r>
          <w:rPr>
            <w:webHidden/>
          </w:rPr>
          <w:fldChar w:fldCharType="separate"/>
        </w:r>
        <w:r>
          <w:rPr>
            <w:webHidden/>
          </w:rPr>
          <w:t>149</w:t>
        </w:r>
        <w:r>
          <w:rPr>
            <w:webHidden/>
          </w:rPr>
          <w:fldChar w:fldCharType="end"/>
        </w:r>
      </w:hyperlink>
    </w:p>
    <w:p w:rsidR="00501A61" w:rsidRDefault="00501A61">
      <w:pPr>
        <w:pStyle w:val="21"/>
        <w:rPr>
          <w:rFonts w:asciiTheme="minorHAnsi" w:eastAsiaTheme="minorEastAsia" w:hAnsiTheme="minorHAnsi" w:cstheme="minorBidi"/>
          <w:smallCaps w:val="0"/>
          <w:szCs w:val="22"/>
        </w:rPr>
      </w:pPr>
      <w:hyperlink w:anchor="_Toc45632296" w:history="1">
        <w:r w:rsidRPr="00923B73">
          <w:rPr>
            <w:rStyle w:val="af"/>
            <w:rFonts w:asciiTheme="minorEastAsia" w:hAnsiTheme="minorEastAsia" w:hint="eastAsia"/>
            <w:bCs/>
          </w:rPr>
          <w:t>（五）资讯服务</w:t>
        </w:r>
        <w:r>
          <w:rPr>
            <w:webHidden/>
          </w:rPr>
          <w:tab/>
        </w:r>
        <w:r>
          <w:rPr>
            <w:webHidden/>
          </w:rPr>
          <w:fldChar w:fldCharType="begin"/>
        </w:r>
        <w:r>
          <w:rPr>
            <w:webHidden/>
          </w:rPr>
          <w:instrText xml:space="preserve"> PAGEREF _Toc45632296 \h </w:instrText>
        </w:r>
        <w:r>
          <w:rPr>
            <w:webHidden/>
          </w:rPr>
        </w:r>
        <w:r>
          <w:rPr>
            <w:webHidden/>
          </w:rPr>
          <w:fldChar w:fldCharType="separate"/>
        </w:r>
        <w:r>
          <w:rPr>
            <w:webHidden/>
          </w:rPr>
          <w:t>149</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97" w:history="1">
        <w:r w:rsidRPr="00923B73">
          <w:rPr>
            <w:rStyle w:val="af"/>
            <w:rFonts w:asciiTheme="minorEastAsia" w:hAnsiTheme="minorEastAsia" w:hint="eastAsia"/>
            <w:b/>
            <w:bCs/>
          </w:rPr>
          <w:t>二十四、其他应披露事项</w:t>
        </w:r>
        <w:r>
          <w:rPr>
            <w:webHidden/>
          </w:rPr>
          <w:tab/>
        </w:r>
        <w:r>
          <w:rPr>
            <w:webHidden/>
          </w:rPr>
          <w:fldChar w:fldCharType="begin"/>
        </w:r>
        <w:r>
          <w:rPr>
            <w:webHidden/>
          </w:rPr>
          <w:instrText xml:space="preserve"> PAGEREF _Toc45632297 \h </w:instrText>
        </w:r>
        <w:r>
          <w:rPr>
            <w:webHidden/>
          </w:rPr>
        </w:r>
        <w:r>
          <w:rPr>
            <w:webHidden/>
          </w:rPr>
          <w:fldChar w:fldCharType="separate"/>
        </w:r>
        <w:r>
          <w:rPr>
            <w:webHidden/>
          </w:rPr>
          <w:t>150</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98" w:history="1">
        <w:r w:rsidRPr="00923B73">
          <w:rPr>
            <w:rStyle w:val="af"/>
            <w:rFonts w:asciiTheme="minorEastAsia" w:hAnsiTheme="minorEastAsia" w:hint="eastAsia"/>
            <w:b/>
          </w:rPr>
          <w:t>二十五、</w:t>
        </w:r>
        <w:r w:rsidRPr="00923B73">
          <w:rPr>
            <w:rStyle w:val="af"/>
            <w:rFonts w:asciiTheme="minorEastAsia" w:hAnsiTheme="minorEastAsia" w:hint="eastAsia"/>
            <w:b/>
            <w:bCs/>
          </w:rPr>
          <w:t>招募说明书存放及查阅方式</w:t>
        </w:r>
        <w:r>
          <w:rPr>
            <w:webHidden/>
          </w:rPr>
          <w:tab/>
        </w:r>
        <w:r>
          <w:rPr>
            <w:webHidden/>
          </w:rPr>
          <w:fldChar w:fldCharType="begin"/>
        </w:r>
        <w:r>
          <w:rPr>
            <w:webHidden/>
          </w:rPr>
          <w:instrText xml:space="preserve"> PAGEREF _Toc45632298 \h </w:instrText>
        </w:r>
        <w:r>
          <w:rPr>
            <w:webHidden/>
          </w:rPr>
        </w:r>
        <w:r>
          <w:rPr>
            <w:webHidden/>
          </w:rPr>
          <w:fldChar w:fldCharType="separate"/>
        </w:r>
        <w:r>
          <w:rPr>
            <w:webHidden/>
          </w:rPr>
          <w:t>153</w:t>
        </w:r>
        <w:r>
          <w:rPr>
            <w:webHidden/>
          </w:rPr>
          <w:fldChar w:fldCharType="end"/>
        </w:r>
      </w:hyperlink>
    </w:p>
    <w:p w:rsidR="00501A61" w:rsidRDefault="00501A61">
      <w:pPr>
        <w:pStyle w:val="10"/>
        <w:rPr>
          <w:rFonts w:asciiTheme="minorHAnsi" w:eastAsiaTheme="minorEastAsia" w:hAnsiTheme="minorHAnsi" w:cstheme="minorBidi"/>
          <w:caps w:val="0"/>
          <w:sz w:val="21"/>
          <w:szCs w:val="22"/>
        </w:rPr>
      </w:pPr>
      <w:hyperlink w:anchor="_Toc45632299" w:history="1">
        <w:r w:rsidRPr="00923B73">
          <w:rPr>
            <w:rStyle w:val="af"/>
            <w:rFonts w:asciiTheme="minorEastAsia" w:hAnsiTheme="minorEastAsia" w:hint="eastAsia"/>
            <w:b/>
          </w:rPr>
          <w:t>二十六、备查文</w:t>
        </w:r>
        <w:r w:rsidRPr="00923B73">
          <w:rPr>
            <w:rStyle w:val="af"/>
            <w:rFonts w:asciiTheme="minorEastAsia" w:hAnsiTheme="minorEastAsia" w:hint="eastAsia"/>
            <w:b/>
          </w:rPr>
          <w:t>件</w:t>
        </w:r>
        <w:r>
          <w:rPr>
            <w:webHidden/>
          </w:rPr>
          <w:tab/>
        </w:r>
        <w:r>
          <w:rPr>
            <w:webHidden/>
          </w:rPr>
          <w:fldChar w:fldCharType="begin"/>
        </w:r>
        <w:r>
          <w:rPr>
            <w:webHidden/>
          </w:rPr>
          <w:instrText xml:space="preserve"> PAGEREF _Toc45632299 \h </w:instrText>
        </w:r>
        <w:r>
          <w:rPr>
            <w:webHidden/>
          </w:rPr>
        </w:r>
        <w:r>
          <w:rPr>
            <w:webHidden/>
          </w:rPr>
          <w:fldChar w:fldCharType="separate"/>
        </w:r>
        <w:r>
          <w:rPr>
            <w:webHidden/>
          </w:rPr>
          <w:t>154</w:t>
        </w:r>
        <w:r>
          <w:rPr>
            <w:webHidden/>
          </w:rPr>
          <w:fldChar w:fldCharType="end"/>
        </w:r>
      </w:hyperlink>
    </w:p>
    <w:p w:rsidR="0002608C" w:rsidRPr="00501A61" w:rsidRDefault="006C17F3" w:rsidP="00107648">
      <w:pPr>
        <w:snapToGrid w:val="0"/>
        <w:spacing w:line="360" w:lineRule="auto"/>
        <w:ind w:firstLine="560"/>
        <w:jc w:val="center"/>
        <w:rPr>
          <w:rFonts w:asciiTheme="minorEastAsia" w:eastAsiaTheme="minorEastAsia" w:hAnsiTheme="minorEastAsia"/>
          <w:szCs w:val="21"/>
        </w:rPr>
        <w:sectPr w:rsidR="0002608C" w:rsidRPr="00501A61" w:rsidSect="0002608C">
          <w:footerReference w:type="default" r:id="rId15"/>
          <w:pgSz w:w="11906" w:h="16838" w:code="9"/>
          <w:pgMar w:top="1701" w:right="1814" w:bottom="1701" w:left="1814" w:header="1134" w:footer="1247" w:gutter="0"/>
          <w:pgNumType w:fmt="upperRoman" w:start="1"/>
          <w:cols w:space="425"/>
          <w:docGrid w:type="lines" w:linePitch="447"/>
        </w:sectPr>
      </w:pPr>
      <w:r w:rsidRPr="00501A61">
        <w:rPr>
          <w:rFonts w:asciiTheme="minorEastAsia" w:eastAsiaTheme="minorEastAsia" w:hAnsiTheme="minorEastAsia"/>
          <w:b/>
          <w:caps/>
          <w:noProof/>
          <w:sz w:val="24"/>
          <w:szCs w:val="21"/>
        </w:rPr>
        <w:fldChar w:fldCharType="end"/>
      </w:r>
    </w:p>
    <w:p w:rsidR="0002608C" w:rsidRPr="00501A61" w:rsidRDefault="0002608C" w:rsidP="00107648">
      <w:pPr>
        <w:pStyle w:val="11"/>
        <w:snapToGrid w:val="0"/>
        <w:spacing w:beforeLines="0" w:afterLines="0" w:line="360" w:lineRule="auto"/>
        <w:ind w:firstLine="643"/>
        <w:rPr>
          <w:rFonts w:asciiTheme="minorEastAsia" w:eastAsiaTheme="minorEastAsia" w:hAnsiTheme="minorEastAsia"/>
        </w:rPr>
      </w:pPr>
      <w:bookmarkStart w:id="0" w:name="_Toc38432421"/>
      <w:bookmarkStart w:id="1" w:name="_Toc45632182"/>
      <w:r w:rsidRPr="00501A61">
        <w:rPr>
          <w:rFonts w:asciiTheme="minorEastAsia" w:eastAsiaTheme="minorEastAsia" w:hAnsiTheme="minorEastAsia" w:hint="eastAsia"/>
        </w:rPr>
        <w:lastRenderedPageBreak/>
        <w:t>一、绪言</w:t>
      </w:r>
      <w:bookmarkEnd w:id="0"/>
      <w:bookmarkEnd w:id="1"/>
    </w:p>
    <w:p w:rsidR="0002608C" w:rsidRPr="00501A61" w:rsidRDefault="0002608C" w:rsidP="00107648">
      <w:pPr>
        <w:snapToGrid w:val="0"/>
        <w:spacing w:line="360" w:lineRule="auto"/>
        <w:ind w:firstLine="482"/>
        <w:rPr>
          <w:rFonts w:asciiTheme="minorEastAsia" w:eastAsiaTheme="minorEastAsia" w:hAnsiTheme="minorEastAsia"/>
          <w:szCs w:val="21"/>
        </w:rPr>
      </w:pPr>
      <w:r w:rsidRPr="00501A61">
        <w:rPr>
          <w:rFonts w:asciiTheme="minorEastAsia" w:eastAsiaTheme="minorEastAsia" w:hAnsiTheme="minorEastAsia" w:hint="eastAsia"/>
          <w:szCs w:val="21"/>
        </w:rPr>
        <w:t>本《招募说明书》依据《中华人民共和国证券投资基金法》（以下简称《基金法</w:t>
      </w:r>
      <w:r w:rsidRPr="00501A61">
        <w:rPr>
          <w:rFonts w:asciiTheme="minorEastAsia" w:eastAsiaTheme="minorEastAsia" w:hAnsiTheme="minorEastAsia" w:hint="eastAsia"/>
        </w:rPr>
        <w:t>》）、《</w:t>
      </w:r>
      <w:r w:rsidR="00B148D8" w:rsidRPr="00501A61">
        <w:rPr>
          <w:rFonts w:asciiTheme="minorEastAsia" w:eastAsiaTheme="minorEastAsia" w:hAnsiTheme="minorEastAsia" w:hint="eastAsia"/>
        </w:rPr>
        <w:t>公开募集</w:t>
      </w:r>
      <w:r w:rsidRPr="00501A61">
        <w:rPr>
          <w:rFonts w:asciiTheme="minorEastAsia" w:eastAsiaTheme="minorEastAsia" w:hAnsiTheme="minorEastAsia" w:hint="eastAsia"/>
        </w:rPr>
        <w:t>证券投资基金运作管理办法》（以下简称《运作办法》）</w:t>
      </w:r>
      <w:r w:rsidR="001E476C" w:rsidRPr="00501A61">
        <w:rPr>
          <w:rFonts w:asciiTheme="minorEastAsia" w:eastAsiaTheme="minorEastAsia" w:hAnsiTheme="minorEastAsia" w:hint="eastAsia"/>
        </w:rPr>
        <w:t>、《公开募集开放式证券投资基金流动性风险管理规定》（以下简称“《管理规定》”）</w:t>
      </w:r>
      <w:r w:rsidRPr="00501A61">
        <w:rPr>
          <w:rFonts w:asciiTheme="minorEastAsia" w:eastAsiaTheme="minorEastAsia" w:hAnsiTheme="minorEastAsia" w:hint="eastAsia"/>
        </w:rPr>
        <w:t>、《证券投资基金销售管理办</w:t>
      </w:r>
      <w:r w:rsidRPr="00501A61">
        <w:rPr>
          <w:rFonts w:asciiTheme="minorEastAsia" w:eastAsiaTheme="minorEastAsia" w:hAnsiTheme="minorEastAsia" w:hint="eastAsia"/>
          <w:szCs w:val="21"/>
        </w:rPr>
        <w:t>法》（以下简称《销售办法》）、《</w:t>
      </w:r>
      <w:r w:rsidR="008E5383" w:rsidRPr="00501A61">
        <w:rPr>
          <w:rFonts w:asciiTheme="minorEastAsia" w:eastAsiaTheme="minorEastAsia" w:hAnsiTheme="minorEastAsia" w:hint="eastAsia"/>
          <w:szCs w:val="21"/>
        </w:rPr>
        <w:t>公开募集</w:t>
      </w:r>
      <w:r w:rsidRPr="00501A61">
        <w:rPr>
          <w:rFonts w:asciiTheme="minorEastAsia" w:eastAsiaTheme="minorEastAsia" w:hAnsiTheme="minorEastAsia" w:hint="eastAsia"/>
          <w:szCs w:val="21"/>
        </w:rPr>
        <w:t>证券投资基金信息披露管理办法》（以下简称《信息披露办法》）、</w:t>
      </w:r>
      <w:r w:rsidRPr="00501A61">
        <w:rPr>
          <w:rFonts w:asciiTheme="minorEastAsia" w:eastAsiaTheme="minorEastAsia" w:hAnsiTheme="minorEastAsia" w:hint="eastAsia"/>
        </w:rPr>
        <w:t>《证券投资基金信息披露内容与格式准则第</w:t>
      </w:r>
      <w:r w:rsidRPr="00501A61">
        <w:rPr>
          <w:rFonts w:asciiTheme="minorEastAsia" w:eastAsiaTheme="minorEastAsia" w:hAnsiTheme="minorEastAsia"/>
        </w:rPr>
        <w:t>5</w:t>
      </w:r>
      <w:r w:rsidRPr="00501A61">
        <w:rPr>
          <w:rFonts w:asciiTheme="minorEastAsia" w:eastAsiaTheme="minorEastAsia" w:hAnsiTheme="minorEastAsia" w:hint="eastAsia"/>
        </w:rPr>
        <w:t>号</w:t>
      </w:r>
      <w:r w:rsidRPr="00501A61">
        <w:rPr>
          <w:rFonts w:asciiTheme="minorEastAsia" w:eastAsiaTheme="minorEastAsia" w:hAnsiTheme="minorEastAsia"/>
        </w:rPr>
        <w:t>&lt;</w:t>
      </w:r>
      <w:r w:rsidRPr="00501A61">
        <w:rPr>
          <w:rFonts w:asciiTheme="minorEastAsia" w:eastAsiaTheme="minorEastAsia" w:hAnsiTheme="minorEastAsia" w:hint="eastAsia"/>
        </w:rPr>
        <w:t>招募说明书的内容与格式</w:t>
      </w:r>
      <w:r w:rsidRPr="00501A61">
        <w:rPr>
          <w:rFonts w:asciiTheme="minorEastAsia" w:eastAsiaTheme="minorEastAsia" w:hAnsiTheme="minorEastAsia"/>
        </w:rPr>
        <w:t>&gt;</w:t>
      </w:r>
      <w:r w:rsidRPr="00501A61">
        <w:rPr>
          <w:rFonts w:asciiTheme="minorEastAsia" w:eastAsiaTheme="minorEastAsia" w:hAnsiTheme="minorEastAsia" w:hint="eastAsia"/>
        </w:rPr>
        <w:t>》</w:t>
      </w:r>
      <w:r w:rsidRPr="00501A61">
        <w:rPr>
          <w:rFonts w:asciiTheme="minorEastAsia" w:eastAsiaTheme="minorEastAsia" w:hAnsiTheme="minorEastAsia" w:hint="eastAsia"/>
          <w:szCs w:val="21"/>
        </w:rPr>
        <w:t>等有关法律法规以及《</w:t>
      </w:r>
      <w:r w:rsidR="00906A80" w:rsidRPr="00501A61">
        <w:rPr>
          <w:rFonts w:asciiTheme="minorEastAsia" w:eastAsiaTheme="minorEastAsia" w:hAnsiTheme="minorEastAsia" w:hint="eastAsia"/>
          <w:szCs w:val="21"/>
        </w:rPr>
        <w:t>易方达价值精选混合型证券投资基金</w:t>
      </w:r>
      <w:r w:rsidRPr="00501A61">
        <w:rPr>
          <w:rFonts w:asciiTheme="minorEastAsia" w:eastAsiaTheme="minorEastAsia" w:hAnsiTheme="minorEastAsia" w:hint="eastAsia"/>
          <w:szCs w:val="21"/>
        </w:rPr>
        <w:t>基金合同》编写。</w:t>
      </w:r>
    </w:p>
    <w:p w:rsidR="0002608C" w:rsidRPr="00501A61" w:rsidRDefault="0002608C"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501A61">
        <w:rPr>
          <w:rStyle w:val="da"/>
          <w:rFonts w:asciiTheme="minorEastAsia" w:eastAsiaTheme="minorEastAsia" w:hAnsiTheme="minorEastAsia" w:hint="eastAsia"/>
        </w:rPr>
        <w:t>，</w:t>
      </w:r>
      <w:r w:rsidRPr="00501A61">
        <w:rPr>
          <w:rStyle w:val="da"/>
          <w:rFonts w:asciiTheme="minorEastAsia" w:eastAsiaTheme="minorEastAsia" w:hAnsiTheme="minorEastAsia"/>
        </w:rPr>
        <w:t>或对本招募说明书作任何解释或者说明。</w:t>
      </w:r>
    </w:p>
    <w:p w:rsidR="0002608C" w:rsidRPr="00501A61" w:rsidRDefault="0002608C"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rPr>
        <w:t>本招募说明书根据本基金的基金合同编写</w:t>
      </w:r>
      <w:r w:rsidRPr="00501A61">
        <w:rPr>
          <w:rStyle w:val="da"/>
          <w:rFonts w:asciiTheme="minorEastAsia" w:eastAsiaTheme="minorEastAsia" w:hAnsiTheme="minorEastAsia" w:hint="eastAsia"/>
        </w:rPr>
        <w:t>，</w:t>
      </w:r>
      <w:r w:rsidRPr="00501A61">
        <w:rPr>
          <w:rStyle w:val="da"/>
          <w:rFonts w:asciiTheme="minorEastAsia" w:eastAsiaTheme="minorEastAsia" w:hAnsiTheme="minorEastAsia"/>
        </w:rPr>
        <w:t>并经中国证监会核准。基金合同是约定基金当事人之间权利、义务的法律文件。基金投资人自依基金合同取得基金份额</w:t>
      </w:r>
      <w:r w:rsidRPr="00501A61">
        <w:rPr>
          <w:rStyle w:val="da"/>
          <w:rFonts w:asciiTheme="minorEastAsia" w:eastAsiaTheme="minorEastAsia" w:hAnsiTheme="minorEastAsia" w:hint="eastAsia"/>
        </w:rPr>
        <w:t>，</w:t>
      </w:r>
      <w:r w:rsidRPr="00501A61">
        <w:rPr>
          <w:rStyle w:val="da"/>
          <w:rFonts w:asciiTheme="minorEastAsia" w:eastAsiaTheme="minorEastAsia" w:hAnsiTheme="minorEastAsia"/>
        </w:rPr>
        <w:t>即成为基金份额持有人和本基金合同的当事人</w:t>
      </w:r>
      <w:r w:rsidRPr="00501A61">
        <w:rPr>
          <w:rStyle w:val="da"/>
          <w:rFonts w:asciiTheme="minorEastAsia" w:eastAsiaTheme="minorEastAsia" w:hAnsiTheme="minorEastAsia" w:hint="eastAsia"/>
        </w:rPr>
        <w:t>，</w:t>
      </w:r>
      <w:r w:rsidRPr="00501A61">
        <w:rPr>
          <w:rStyle w:val="da"/>
          <w:rFonts w:asciiTheme="minorEastAsia" w:eastAsiaTheme="minorEastAsia" w:hAnsiTheme="minorEastAsia"/>
        </w:rPr>
        <w:t>其持有基金份额的行为本身即表明其对基金合同的承认和接受</w:t>
      </w:r>
      <w:r w:rsidRPr="00501A61">
        <w:rPr>
          <w:rStyle w:val="da"/>
          <w:rFonts w:asciiTheme="minorEastAsia" w:eastAsiaTheme="minorEastAsia" w:hAnsiTheme="minorEastAsia" w:hint="eastAsia"/>
        </w:rPr>
        <w:t>，</w:t>
      </w:r>
      <w:r w:rsidRPr="00501A61">
        <w:rPr>
          <w:rStyle w:val="da"/>
          <w:rFonts w:asciiTheme="minorEastAsia" w:eastAsiaTheme="minorEastAsia" w:hAnsiTheme="minorEastAsia"/>
        </w:rPr>
        <w:t>并按照《基金法》、基金合同及其他有关规定享有权利、承担义务。基金投资人欲了解基金份额持有人的权利和义务</w:t>
      </w:r>
      <w:r w:rsidRPr="00501A61">
        <w:rPr>
          <w:rStyle w:val="da"/>
          <w:rFonts w:asciiTheme="minorEastAsia" w:eastAsiaTheme="minorEastAsia" w:hAnsiTheme="minorEastAsia" w:hint="eastAsia"/>
        </w:rPr>
        <w:t>，</w:t>
      </w:r>
      <w:r w:rsidRPr="00501A61">
        <w:rPr>
          <w:rStyle w:val="da"/>
          <w:rFonts w:asciiTheme="minorEastAsia" w:eastAsiaTheme="minorEastAsia" w:hAnsiTheme="minorEastAsia"/>
        </w:rPr>
        <w:t>应详细查阅基金合同</w:t>
      </w:r>
      <w:r w:rsidRPr="00501A61">
        <w:rPr>
          <w:rStyle w:val="da"/>
          <w:rFonts w:asciiTheme="minorEastAsia" w:eastAsiaTheme="minorEastAsia" w:hAnsiTheme="minorEastAsia" w:hint="eastAsia"/>
        </w:rPr>
        <w:t>。</w:t>
      </w:r>
    </w:p>
    <w:p w:rsidR="0002608C" w:rsidRPr="00501A61" w:rsidRDefault="0002608C" w:rsidP="00107648">
      <w:pPr>
        <w:snapToGrid w:val="0"/>
        <w:spacing w:line="360" w:lineRule="auto"/>
        <w:ind w:firstLine="482"/>
        <w:rPr>
          <w:rFonts w:asciiTheme="minorEastAsia" w:eastAsiaTheme="minorEastAsia" w:hAnsiTheme="minorEastAsia"/>
          <w:szCs w:val="21"/>
        </w:rPr>
      </w:pPr>
    </w:p>
    <w:p w:rsidR="0002608C" w:rsidRPr="00501A61" w:rsidRDefault="0002608C" w:rsidP="00107648">
      <w:pPr>
        <w:snapToGrid w:val="0"/>
        <w:spacing w:line="360" w:lineRule="auto"/>
        <w:ind w:firstLine="482"/>
        <w:rPr>
          <w:rFonts w:asciiTheme="minorEastAsia" w:eastAsiaTheme="minorEastAsia" w:hAnsiTheme="minorEastAsia"/>
          <w:szCs w:val="21"/>
        </w:rPr>
      </w:pPr>
    </w:p>
    <w:p w:rsidR="0002608C" w:rsidRPr="00501A61" w:rsidRDefault="0002608C" w:rsidP="00107648">
      <w:pPr>
        <w:snapToGrid w:val="0"/>
        <w:spacing w:line="360" w:lineRule="auto"/>
        <w:ind w:firstLine="482"/>
        <w:rPr>
          <w:rFonts w:asciiTheme="minorEastAsia" w:eastAsiaTheme="minorEastAsia" w:hAnsiTheme="minorEastAsia"/>
          <w:szCs w:val="21"/>
        </w:rPr>
      </w:pPr>
    </w:p>
    <w:p w:rsidR="0002608C" w:rsidRPr="00501A61" w:rsidRDefault="0002608C" w:rsidP="00107648">
      <w:pPr>
        <w:snapToGrid w:val="0"/>
        <w:spacing w:line="360" w:lineRule="auto"/>
        <w:ind w:firstLine="482"/>
        <w:rPr>
          <w:rFonts w:asciiTheme="minorEastAsia" w:eastAsiaTheme="minorEastAsia" w:hAnsiTheme="minorEastAsia"/>
          <w:szCs w:val="21"/>
        </w:rPr>
      </w:pPr>
    </w:p>
    <w:p w:rsidR="0002608C" w:rsidRPr="00501A61" w:rsidRDefault="0002608C" w:rsidP="00107648">
      <w:pPr>
        <w:snapToGrid w:val="0"/>
        <w:spacing w:line="360" w:lineRule="auto"/>
        <w:ind w:firstLine="482"/>
        <w:rPr>
          <w:rFonts w:asciiTheme="minorEastAsia" w:eastAsiaTheme="minorEastAsia" w:hAnsiTheme="minorEastAsia"/>
          <w:szCs w:val="21"/>
        </w:rPr>
      </w:pPr>
    </w:p>
    <w:p w:rsidR="0002608C" w:rsidRPr="00501A61" w:rsidRDefault="0002608C" w:rsidP="00107648">
      <w:pPr>
        <w:pStyle w:val="111"/>
        <w:snapToGrid w:val="0"/>
        <w:spacing w:beforeLines="0" w:afterLines="0" w:line="360" w:lineRule="auto"/>
        <w:ind w:firstLine="643"/>
        <w:rPr>
          <w:rFonts w:asciiTheme="minorEastAsia" w:eastAsiaTheme="minorEastAsia" w:hAnsiTheme="minorEastAsia"/>
          <w:b/>
          <w:szCs w:val="32"/>
        </w:rPr>
      </w:pPr>
      <w:bookmarkStart w:id="2" w:name="_Toc38432422"/>
      <w:bookmarkStart w:id="3" w:name="_Toc45632183"/>
      <w:r w:rsidRPr="00501A61">
        <w:rPr>
          <w:rFonts w:asciiTheme="minorEastAsia" w:eastAsiaTheme="minorEastAsia" w:hAnsiTheme="minorEastAsia" w:hint="eastAsia"/>
          <w:b/>
          <w:szCs w:val="32"/>
        </w:rPr>
        <w:lastRenderedPageBreak/>
        <w:t>二、释义</w:t>
      </w:r>
      <w:bookmarkEnd w:id="2"/>
      <w:bookmarkEnd w:id="3"/>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本《招募说明书》中除非文意另有所指</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下列词语有如下含义：</w:t>
      </w:r>
    </w:p>
    <w:tbl>
      <w:tblPr>
        <w:tblW w:w="0" w:type="auto"/>
        <w:tblInd w:w="250" w:type="dxa"/>
        <w:tblLayout w:type="fixed"/>
        <w:tblLook w:val="0000" w:firstRow="0" w:lastRow="0" w:firstColumn="0" w:lastColumn="0" w:noHBand="0" w:noVBand="0"/>
      </w:tblPr>
      <w:tblGrid>
        <w:gridCol w:w="2552"/>
        <w:gridCol w:w="5720"/>
      </w:tblGrid>
      <w:tr w:rsidR="00501A61" w:rsidRPr="00501A61" w:rsidTr="009520C1">
        <w:trPr>
          <w:trHeight w:val="762"/>
        </w:trPr>
        <w:tc>
          <w:tcPr>
            <w:tcW w:w="2552" w:type="dxa"/>
          </w:tcPr>
          <w:p w:rsidR="0002608C" w:rsidRPr="00501A61" w:rsidRDefault="0002608C" w:rsidP="00107648">
            <w:pPr>
              <w:snapToGrid w:val="0"/>
              <w:spacing w:line="360" w:lineRule="auto"/>
              <w:ind w:firstLineChars="100" w:firstLine="210"/>
              <w:rPr>
                <w:rFonts w:asciiTheme="minorEastAsia" w:eastAsiaTheme="minorEastAsia" w:hAnsiTheme="minorEastAsia"/>
                <w:szCs w:val="21"/>
              </w:rPr>
            </w:pPr>
            <w:r w:rsidRPr="00501A61">
              <w:rPr>
                <w:rFonts w:asciiTheme="minorEastAsia" w:eastAsiaTheme="minorEastAsia" w:hAnsiTheme="minorEastAsia" w:hint="eastAsia"/>
                <w:szCs w:val="21"/>
              </w:rPr>
              <w:t>基金合同：</w:t>
            </w:r>
          </w:p>
        </w:tc>
        <w:tc>
          <w:tcPr>
            <w:tcW w:w="5720" w:type="dxa"/>
          </w:tcPr>
          <w:p w:rsidR="0002608C" w:rsidRPr="00501A61" w:rsidRDefault="0002608C" w:rsidP="00107648">
            <w:p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w:t>
            </w:r>
            <w:r w:rsidR="00906A80" w:rsidRPr="00501A61">
              <w:rPr>
                <w:rFonts w:asciiTheme="minorEastAsia" w:eastAsiaTheme="minorEastAsia" w:hAnsiTheme="minorEastAsia" w:hint="eastAsia"/>
                <w:szCs w:val="21"/>
              </w:rPr>
              <w:t>易方达价值精选混合型证券投资基金</w:t>
            </w:r>
            <w:r w:rsidRPr="00501A61">
              <w:rPr>
                <w:rFonts w:asciiTheme="minorEastAsia" w:eastAsiaTheme="minorEastAsia" w:hAnsiTheme="minorEastAsia" w:hint="eastAsia"/>
                <w:szCs w:val="21"/>
              </w:rPr>
              <w:t>基金合同》及对该合同的任何修订和补充</w:t>
            </w:r>
          </w:p>
        </w:tc>
      </w:tr>
      <w:tr w:rsidR="00501A61" w:rsidRPr="00501A61" w:rsidTr="009520C1">
        <w:trPr>
          <w:trHeight w:val="770"/>
        </w:trPr>
        <w:tc>
          <w:tcPr>
            <w:tcW w:w="2552" w:type="dxa"/>
          </w:tcPr>
          <w:p w:rsidR="0002608C" w:rsidRPr="00501A61" w:rsidRDefault="0002608C" w:rsidP="00107648">
            <w:p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《托管协议》</w:t>
            </w:r>
          </w:p>
        </w:tc>
        <w:tc>
          <w:tcPr>
            <w:tcW w:w="5720" w:type="dxa"/>
          </w:tcPr>
          <w:p w:rsidR="0002608C" w:rsidRPr="00501A61" w:rsidRDefault="0002608C" w:rsidP="00107648">
            <w:p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w:t>
            </w:r>
            <w:r w:rsidR="00906A80" w:rsidRPr="00501A61">
              <w:rPr>
                <w:rFonts w:asciiTheme="minorEastAsia" w:eastAsiaTheme="minorEastAsia" w:hAnsiTheme="minorEastAsia" w:hint="eastAsia"/>
                <w:szCs w:val="21"/>
              </w:rPr>
              <w:t>易方达价值精选混合型证券投资基金</w:t>
            </w:r>
            <w:r w:rsidRPr="00501A61">
              <w:rPr>
                <w:rFonts w:asciiTheme="minorEastAsia" w:eastAsiaTheme="minorEastAsia" w:hAnsiTheme="minorEastAsia" w:hint="eastAsia"/>
                <w:szCs w:val="21"/>
              </w:rPr>
              <w:t>托管协议》及对该协议的任何修订和补充</w:t>
            </w:r>
          </w:p>
        </w:tc>
      </w:tr>
      <w:tr w:rsidR="00501A61" w:rsidRPr="00501A61" w:rsidTr="009520C1">
        <w:trPr>
          <w:trHeight w:val="425"/>
        </w:trPr>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《基金法》：</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w:t>
            </w:r>
            <w:bookmarkStart w:id="4" w:name="_Toc78339150"/>
            <w:r w:rsidRPr="00501A61">
              <w:rPr>
                <w:rFonts w:asciiTheme="minorEastAsia" w:eastAsiaTheme="minorEastAsia" w:hAnsiTheme="minorEastAsia"/>
                <w:szCs w:val="21"/>
              </w:rPr>
              <w:t>中华人民共和国证券投资基金法</w:t>
            </w:r>
            <w:bookmarkEnd w:id="4"/>
            <w:r w:rsidRPr="00501A61">
              <w:rPr>
                <w:rFonts w:asciiTheme="minorEastAsia" w:eastAsiaTheme="minorEastAsia" w:hAnsiTheme="minorEastAsia" w:hint="eastAsia"/>
                <w:szCs w:val="21"/>
              </w:rPr>
              <w:t>》</w:t>
            </w:r>
          </w:p>
        </w:tc>
      </w:tr>
      <w:tr w:rsidR="00501A61" w:rsidRPr="00501A61" w:rsidTr="009520C1">
        <w:trPr>
          <w:trHeight w:val="416"/>
        </w:trPr>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《运作办法》：</w:t>
            </w:r>
          </w:p>
          <w:p w:rsidR="001E476C" w:rsidRPr="00501A61" w:rsidRDefault="001E476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《管理规定》</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w:t>
            </w:r>
            <w:r w:rsidR="00B148D8" w:rsidRPr="00501A61">
              <w:rPr>
                <w:rFonts w:asciiTheme="minorEastAsia" w:eastAsiaTheme="minorEastAsia" w:hAnsiTheme="minorEastAsia" w:hint="eastAsia"/>
                <w:szCs w:val="21"/>
              </w:rPr>
              <w:t>公开募集</w:t>
            </w:r>
            <w:r w:rsidRPr="00501A61">
              <w:rPr>
                <w:rFonts w:asciiTheme="minorEastAsia" w:eastAsiaTheme="minorEastAsia" w:hAnsiTheme="minorEastAsia" w:hint="eastAsia"/>
                <w:szCs w:val="21"/>
              </w:rPr>
              <w:t>证券投资基金运作管理办法》</w:t>
            </w:r>
          </w:p>
          <w:p w:rsidR="001E476C" w:rsidRPr="00501A61" w:rsidRDefault="001E476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指中国证监会2017年8月31日颁布、同年10月1日实施的《公开募集开放式证券投资基金流动性风险管理规定》及颁布机关对其不时做出的修订</w:t>
            </w:r>
          </w:p>
        </w:tc>
      </w:tr>
      <w:tr w:rsidR="00501A61" w:rsidRPr="00501A61" w:rsidTr="009520C1">
        <w:trPr>
          <w:trHeight w:val="409"/>
        </w:trPr>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《销售办法》：</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指《证券投资基金销售管理办法》</w:t>
            </w:r>
          </w:p>
        </w:tc>
      </w:tr>
      <w:tr w:rsidR="00501A61" w:rsidRPr="00501A61" w:rsidTr="009520C1">
        <w:trPr>
          <w:trHeight w:val="287"/>
        </w:trPr>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《信息披露办法》：</w:t>
            </w:r>
          </w:p>
        </w:tc>
        <w:tc>
          <w:tcPr>
            <w:tcW w:w="5720" w:type="dxa"/>
          </w:tcPr>
          <w:p w:rsidR="0002608C" w:rsidRPr="00501A61" w:rsidRDefault="008E5383"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指中国证监会2019年7月26日颁布、同年9月1日实施的《公开募集证券投资基金信息披露管理办法》及颁布机关对其不时做出的修订</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元：</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指人民币元</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本基金、基金：</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指依据基金合同所募集的</w:t>
            </w:r>
            <w:r w:rsidR="00906A80" w:rsidRPr="00501A61">
              <w:rPr>
                <w:rFonts w:asciiTheme="minorEastAsia" w:eastAsiaTheme="minorEastAsia" w:hAnsiTheme="minorEastAsia" w:hint="eastAsia"/>
                <w:szCs w:val="21"/>
              </w:rPr>
              <w:t>易方达价值精选混合型证券投资基金</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中国证监会：</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指中国证券监督管理委员会</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基金管理人：</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指易方达基金管理有限公司</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基金托管人：</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指中国工商银行股份有限公司</w:t>
            </w:r>
          </w:p>
        </w:tc>
      </w:tr>
      <w:tr w:rsidR="00501A61" w:rsidRPr="00501A61" w:rsidTr="009520C1">
        <w:trPr>
          <w:trHeight w:val="754"/>
        </w:trPr>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基金注册登记机构：</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指基金管理人或接受基金管理人委托代为办理本基金注册与过户登记业务的机构</w:t>
            </w:r>
          </w:p>
        </w:tc>
      </w:tr>
      <w:tr w:rsidR="00501A61" w:rsidRPr="00501A61" w:rsidTr="009520C1">
        <w:trPr>
          <w:trHeight w:val="450"/>
        </w:trPr>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销售机构：</w:t>
            </w:r>
          </w:p>
        </w:tc>
        <w:tc>
          <w:tcPr>
            <w:tcW w:w="5720" w:type="dxa"/>
          </w:tcPr>
          <w:p w:rsidR="0002608C" w:rsidRPr="00501A61" w:rsidRDefault="00D109A3"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指直销机构和非直销销售机构</w:t>
            </w:r>
          </w:p>
        </w:tc>
      </w:tr>
      <w:tr w:rsidR="00501A61" w:rsidRPr="00501A61" w:rsidTr="009520C1">
        <w:trPr>
          <w:trHeight w:val="450"/>
        </w:trPr>
        <w:tc>
          <w:tcPr>
            <w:tcW w:w="2552" w:type="dxa"/>
          </w:tcPr>
          <w:p w:rsidR="00D109A3" w:rsidRPr="00501A61" w:rsidRDefault="00D109A3"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直销机构：</w:t>
            </w:r>
          </w:p>
        </w:tc>
        <w:tc>
          <w:tcPr>
            <w:tcW w:w="5720" w:type="dxa"/>
          </w:tcPr>
          <w:p w:rsidR="00D109A3" w:rsidRPr="00501A61" w:rsidRDefault="00D109A3"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指易方达基金管理有限公司</w:t>
            </w:r>
          </w:p>
        </w:tc>
      </w:tr>
      <w:tr w:rsidR="00501A61" w:rsidRPr="00501A61" w:rsidTr="009520C1">
        <w:trPr>
          <w:trHeight w:val="450"/>
        </w:trPr>
        <w:tc>
          <w:tcPr>
            <w:tcW w:w="2552" w:type="dxa"/>
          </w:tcPr>
          <w:p w:rsidR="00D109A3" w:rsidRPr="00501A61" w:rsidRDefault="00D109A3" w:rsidP="00E1094C">
            <w:pPr>
              <w:adjustRightInd w:val="0"/>
              <w:snapToGrid w:val="0"/>
              <w:spacing w:line="360" w:lineRule="auto"/>
              <w:rPr>
                <w:rFonts w:asciiTheme="minorEastAsia" w:eastAsiaTheme="minorEastAsia" w:hAnsiTheme="minorEastAsia"/>
                <w:szCs w:val="21"/>
              </w:rPr>
            </w:pPr>
            <w:r w:rsidRPr="00501A61">
              <w:rPr>
                <w:rStyle w:val="da"/>
                <w:rFonts w:asciiTheme="minorEastAsia" w:eastAsiaTheme="minorEastAsia" w:hAnsiTheme="minorEastAsia" w:hint="eastAsia"/>
                <w:szCs w:val="21"/>
              </w:rPr>
              <w:t>非直销销售机构：</w:t>
            </w:r>
          </w:p>
        </w:tc>
        <w:tc>
          <w:tcPr>
            <w:tcW w:w="5720" w:type="dxa"/>
          </w:tcPr>
          <w:p w:rsidR="00D109A3" w:rsidRPr="00501A61" w:rsidRDefault="00D109A3" w:rsidP="00E1094C">
            <w:pPr>
              <w:adjustRightInd w:val="0"/>
              <w:snapToGrid w:val="0"/>
              <w:spacing w:line="360" w:lineRule="auto"/>
              <w:rPr>
                <w:rFonts w:asciiTheme="minorEastAsia" w:eastAsiaTheme="minorEastAsia" w:hAnsiTheme="minorEastAsia"/>
                <w:szCs w:val="21"/>
              </w:rPr>
            </w:pPr>
            <w:r w:rsidRPr="00501A61">
              <w:rPr>
                <w:rStyle w:val="da"/>
                <w:rFonts w:asciiTheme="minorEastAsia" w:eastAsiaTheme="minorEastAsia" w:hAnsiTheme="minorEastAsia" w:hint="eastAsia"/>
                <w:szCs w:val="21"/>
              </w:rPr>
              <w:t>指符合《销售办法》和中国证监会规定的其他条件，取得基金销售业务资格并</w:t>
            </w:r>
            <w:r w:rsidR="00920EDD" w:rsidRPr="00501A61">
              <w:rPr>
                <w:rStyle w:val="da"/>
                <w:rFonts w:asciiTheme="minorEastAsia" w:eastAsiaTheme="minorEastAsia" w:hAnsiTheme="minorEastAsia" w:hint="eastAsia"/>
                <w:szCs w:val="21"/>
              </w:rPr>
              <w:t>与基金管理人签订了基金销售服务协议</w:t>
            </w:r>
            <w:r w:rsidRPr="00501A61">
              <w:rPr>
                <w:rStyle w:val="da"/>
                <w:rFonts w:asciiTheme="minorEastAsia" w:eastAsiaTheme="minorEastAsia" w:hAnsiTheme="minorEastAsia" w:hint="eastAsia"/>
                <w:szCs w:val="21"/>
              </w:rPr>
              <w:t>，办理基金销售业务的机构</w:t>
            </w:r>
          </w:p>
        </w:tc>
      </w:tr>
      <w:tr w:rsidR="00501A61" w:rsidRPr="00501A61" w:rsidTr="009520C1">
        <w:trPr>
          <w:trHeight w:val="328"/>
        </w:trPr>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基金销售网点：</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指基金管理人的直销网点及</w:t>
            </w:r>
            <w:r w:rsidR="00D109A3" w:rsidRPr="00501A61">
              <w:rPr>
                <w:rStyle w:val="da"/>
                <w:rFonts w:asciiTheme="minorEastAsia" w:eastAsiaTheme="minorEastAsia" w:hAnsiTheme="minorEastAsia" w:hint="eastAsia"/>
                <w:szCs w:val="21"/>
              </w:rPr>
              <w:t>非直销销售机构</w:t>
            </w:r>
            <w:r w:rsidR="00D109A3" w:rsidRPr="00501A61">
              <w:rPr>
                <w:rFonts w:asciiTheme="minorEastAsia" w:eastAsiaTheme="minorEastAsia" w:hAnsiTheme="minorEastAsia" w:hint="eastAsia"/>
                <w:szCs w:val="21"/>
              </w:rPr>
              <w:t>的销售网点</w:t>
            </w:r>
          </w:p>
        </w:tc>
      </w:tr>
      <w:tr w:rsidR="00501A61" w:rsidRPr="00501A61" w:rsidTr="009520C1">
        <w:trPr>
          <w:trHeight w:val="335"/>
        </w:trPr>
        <w:tc>
          <w:tcPr>
            <w:tcW w:w="2552" w:type="dxa"/>
          </w:tcPr>
          <w:p w:rsidR="0002608C" w:rsidRPr="00501A61" w:rsidRDefault="008E5383"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指定媒介</w:t>
            </w:r>
            <w:r w:rsidR="0002608C" w:rsidRPr="00501A61">
              <w:rPr>
                <w:rFonts w:asciiTheme="minorEastAsia" w:eastAsiaTheme="minorEastAsia" w:hAnsiTheme="minorEastAsia" w:hint="eastAsia"/>
                <w:szCs w:val="21"/>
              </w:rPr>
              <w:t>：</w:t>
            </w:r>
          </w:p>
        </w:tc>
        <w:tc>
          <w:tcPr>
            <w:tcW w:w="5720" w:type="dxa"/>
          </w:tcPr>
          <w:p w:rsidR="0002608C" w:rsidRPr="00501A61" w:rsidRDefault="008E5383"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指中国证监会指定的用以进行信息披露的全国性报刊及指定互联网网站（包括基金管理人网站、基金托管人网站、中国证监会基金电子披露网站）等媒介</w:t>
            </w:r>
          </w:p>
        </w:tc>
      </w:tr>
      <w:tr w:rsidR="00501A61" w:rsidRPr="00501A61" w:rsidTr="009520C1">
        <w:trPr>
          <w:trHeight w:val="480"/>
        </w:trPr>
        <w:tc>
          <w:tcPr>
            <w:tcW w:w="2552" w:type="dxa"/>
          </w:tcPr>
          <w:p w:rsidR="0002608C" w:rsidRPr="00501A61" w:rsidRDefault="008E5383"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招募说明书：</w:t>
            </w:r>
          </w:p>
        </w:tc>
        <w:tc>
          <w:tcPr>
            <w:tcW w:w="5720" w:type="dxa"/>
          </w:tcPr>
          <w:p w:rsidR="0002608C" w:rsidRPr="00501A61" w:rsidRDefault="008E5383" w:rsidP="008E5383">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指《易方达价值精选混合型证券投资基金招募说明书》及其</w:t>
            </w:r>
            <w:r w:rsidRPr="00501A61">
              <w:rPr>
                <w:rFonts w:asciiTheme="minorEastAsia" w:eastAsiaTheme="minorEastAsia" w:hAnsiTheme="minorEastAsia" w:hint="eastAsia"/>
                <w:szCs w:val="21"/>
              </w:rPr>
              <w:lastRenderedPageBreak/>
              <w:t>更新</w:t>
            </w:r>
          </w:p>
        </w:tc>
      </w:tr>
      <w:tr w:rsidR="00501A61" w:rsidRPr="00501A61" w:rsidTr="009520C1">
        <w:trPr>
          <w:trHeight w:val="480"/>
        </w:trPr>
        <w:tc>
          <w:tcPr>
            <w:tcW w:w="2552" w:type="dxa"/>
          </w:tcPr>
          <w:p w:rsidR="008E5383" w:rsidRPr="00501A61" w:rsidRDefault="008E5383"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基金产品资料概要：</w:t>
            </w:r>
          </w:p>
        </w:tc>
        <w:tc>
          <w:tcPr>
            <w:tcW w:w="5720" w:type="dxa"/>
          </w:tcPr>
          <w:p w:rsidR="008E5383" w:rsidRPr="00501A61" w:rsidRDefault="008E5383" w:rsidP="008E5383">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指《易方达价值精选混合型证券投资基金基金产品资料概要》及其更新</w:t>
            </w:r>
          </w:p>
        </w:tc>
      </w:tr>
      <w:tr w:rsidR="00501A61" w:rsidRPr="00501A61" w:rsidTr="009520C1">
        <w:trPr>
          <w:trHeight w:val="615"/>
        </w:trPr>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基金合同当事人：</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指受基金合同约束，根据基金合同享受权利并承担义务的法律主体，包括基金管理人、基金托管人、基金份额持有人</w:t>
            </w:r>
          </w:p>
        </w:tc>
      </w:tr>
      <w:tr w:rsidR="00501A61" w:rsidRPr="00501A61" w:rsidTr="009520C1">
        <w:trPr>
          <w:trHeight w:val="682"/>
        </w:trPr>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个人投资者：</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指符合法律法规规定的条件可以投资开放式证券投资基金的自然人</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机构投资者：</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指符合法律法规规定可以投资开放式证券投资基金的在中国注册登记或经政府有关部门批准设立的法人、社会团体和其他组织、机构</w:t>
            </w:r>
          </w:p>
        </w:tc>
      </w:tr>
      <w:tr w:rsidR="00501A61" w:rsidRPr="00501A61" w:rsidTr="009520C1">
        <w:trPr>
          <w:trHeight w:val="779"/>
        </w:trPr>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合格境外机构投资者:</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指符合法律法规规定的可投资于中国境内证券市场的中国境外机构投资者</w:t>
            </w:r>
          </w:p>
        </w:tc>
      </w:tr>
      <w:tr w:rsidR="00501A61" w:rsidRPr="00501A61" w:rsidTr="009520C1">
        <w:trPr>
          <w:trHeight w:val="447"/>
        </w:trPr>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投资者:</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指个人投资者、机构投资者和合格境外机构投资者的总称</w:t>
            </w:r>
          </w:p>
        </w:tc>
      </w:tr>
      <w:tr w:rsidR="00501A61" w:rsidRPr="00501A61" w:rsidTr="009520C1">
        <w:trPr>
          <w:trHeight w:val="453"/>
        </w:trPr>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募集期：</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指自基金份额发售之日起不超过3个月的期限</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本基金合同生效日：</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指本基金达到规定的条件后，并按规定办理了验资和备案手续、得到中国证监会书面确认之日</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存续期限：</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指基金合同生效后合法存续的不定期之期间</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工作日：</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指上海证券交易所和深圳证券交易所的正常交易日</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开放日：</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指为投资者办理基金申购、赎回等业务的工作日</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T日：</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指申购、赎回或其他交易的申请日</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认购：</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指在募集期内购买基金份额的行为</w:t>
            </w:r>
          </w:p>
        </w:tc>
      </w:tr>
      <w:tr w:rsidR="00501A61" w:rsidRPr="00501A61" w:rsidTr="009520C1">
        <w:tc>
          <w:tcPr>
            <w:tcW w:w="2552" w:type="dxa"/>
          </w:tcPr>
          <w:p w:rsidR="0002608C" w:rsidRPr="00501A61" w:rsidRDefault="0002608C" w:rsidP="00E1094C">
            <w:pPr>
              <w:autoSpaceDE w:val="0"/>
              <w:autoSpaceDN w:val="0"/>
              <w:adjustRightInd w:val="0"/>
              <w:snapToGrid w:val="0"/>
              <w:spacing w:line="360" w:lineRule="auto"/>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申购：</w:t>
            </w:r>
          </w:p>
        </w:tc>
        <w:tc>
          <w:tcPr>
            <w:tcW w:w="5720" w:type="dxa"/>
          </w:tcPr>
          <w:p w:rsidR="0002608C" w:rsidRPr="00501A61" w:rsidRDefault="0002608C" w:rsidP="00E1094C">
            <w:pPr>
              <w:autoSpaceDE w:val="0"/>
              <w:autoSpaceDN w:val="0"/>
              <w:adjustRightInd w:val="0"/>
              <w:snapToGrid w:val="0"/>
              <w:spacing w:line="360" w:lineRule="auto"/>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指本基金合同生效后，基金投资者购买基金份额的行为</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赎回：</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指本基金合同生效后，基金投资者卖出基金份额的行为</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转换：</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基金转换是指基金份额持有人按基金管理人规定的条件将其持有的某一基金的基金份额转为同一基金管理人管理的另一只基金的基金份额的行为</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基金收益：</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指基金投资所得股票红利、债券利息、票据投资收益、买卖证券差价、银行存款利息以及其他收益</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基金</w:t>
            </w:r>
            <w:r w:rsidRPr="00501A61">
              <w:rPr>
                <w:rFonts w:asciiTheme="minorEastAsia" w:eastAsiaTheme="minorEastAsia" w:hAnsiTheme="minorEastAsia"/>
                <w:szCs w:val="21"/>
              </w:rPr>
              <w:t>资</w:t>
            </w:r>
            <w:r w:rsidRPr="00501A61">
              <w:rPr>
                <w:rFonts w:asciiTheme="minorEastAsia" w:eastAsiaTheme="minorEastAsia" w:hAnsiTheme="minorEastAsia" w:hint="eastAsia"/>
                <w:szCs w:val="21"/>
              </w:rPr>
              <w:t>产总值：</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指基金所拥有的各类证券价值、银行存款本息和本基金应收的申购基金款以及其他投资所形成的价值总和</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基金</w:t>
            </w:r>
            <w:r w:rsidRPr="00501A61">
              <w:rPr>
                <w:rFonts w:asciiTheme="minorEastAsia" w:eastAsiaTheme="minorEastAsia" w:hAnsiTheme="minorEastAsia"/>
                <w:szCs w:val="21"/>
              </w:rPr>
              <w:t>资</w:t>
            </w:r>
            <w:r w:rsidRPr="00501A61">
              <w:rPr>
                <w:rFonts w:asciiTheme="minorEastAsia" w:eastAsiaTheme="minorEastAsia" w:hAnsiTheme="minorEastAsia" w:hint="eastAsia"/>
                <w:szCs w:val="21"/>
              </w:rPr>
              <w:t>产净值：</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指基金资产总值减去负债后的价值</w:t>
            </w:r>
          </w:p>
        </w:tc>
      </w:tr>
      <w:tr w:rsidR="00501A61" w:rsidRPr="00501A61" w:rsidTr="009520C1">
        <w:trPr>
          <w:trHeight w:val="765"/>
        </w:trPr>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基金资产估值：</w:t>
            </w:r>
          </w:p>
          <w:p w:rsidR="0002608C" w:rsidRPr="00501A61" w:rsidRDefault="0002608C" w:rsidP="00E1094C">
            <w:pPr>
              <w:autoSpaceDE w:val="0"/>
              <w:autoSpaceDN w:val="0"/>
              <w:adjustRightInd w:val="0"/>
              <w:snapToGrid w:val="0"/>
              <w:spacing w:line="360" w:lineRule="auto"/>
              <w:jc w:val="left"/>
              <w:rPr>
                <w:rFonts w:asciiTheme="minorEastAsia" w:eastAsiaTheme="minorEastAsia" w:hAnsiTheme="minorEastAsia"/>
                <w:szCs w:val="21"/>
              </w:rPr>
            </w:pP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指计算评估基金资产和负债的价值，以确定基金资产净值和基金资产份额净值的过程</w:t>
            </w:r>
          </w:p>
        </w:tc>
      </w:tr>
      <w:tr w:rsidR="00501A61" w:rsidRPr="00501A61" w:rsidTr="009520C1">
        <w:tc>
          <w:tcPr>
            <w:tcW w:w="2552"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基金份额持有人服务：</w:t>
            </w:r>
          </w:p>
          <w:p w:rsidR="001E476C" w:rsidRPr="00501A61" w:rsidRDefault="001E476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流动性受限资产:</w:t>
            </w:r>
          </w:p>
        </w:tc>
        <w:tc>
          <w:tcPr>
            <w:tcW w:w="5720" w:type="dxa"/>
          </w:tcPr>
          <w:p w:rsidR="0002608C" w:rsidRPr="00501A61" w:rsidRDefault="0002608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指基金管理人承诺为基金份额持有人提供的一系列服务</w:t>
            </w:r>
          </w:p>
          <w:p w:rsidR="001E476C" w:rsidRPr="00501A61" w:rsidRDefault="001E476C" w:rsidP="00E1094C">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tc>
      </w:tr>
    </w:tbl>
    <w:p w:rsidR="00E1094C" w:rsidRPr="00501A61" w:rsidRDefault="00E1094C" w:rsidP="00E1094C">
      <w:pPr>
        <w:adjustRightInd w:val="0"/>
        <w:snapToGrid w:val="0"/>
        <w:spacing w:line="360" w:lineRule="auto"/>
        <w:ind w:firstLine="480"/>
        <w:jc w:val="center"/>
        <w:rPr>
          <w:rFonts w:asciiTheme="minorEastAsia" w:eastAsiaTheme="minorEastAsia" w:hAnsiTheme="minorEastAsia"/>
          <w:szCs w:val="21"/>
        </w:rPr>
        <w:sectPr w:rsidR="00E1094C" w:rsidRPr="00501A61" w:rsidSect="0002608C">
          <w:pgSz w:w="11906" w:h="16838" w:code="9"/>
          <w:pgMar w:top="1440" w:right="1800" w:bottom="1440" w:left="1800" w:header="851" w:footer="992" w:gutter="0"/>
          <w:pgNumType w:start="1"/>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
          <w:bCs/>
          <w:kern w:val="44"/>
          <w:szCs w:val="44"/>
        </w:rPr>
      </w:pPr>
      <w:bookmarkStart w:id="5" w:name="_Toc45632184"/>
      <w:r w:rsidRPr="00501A61">
        <w:rPr>
          <w:rFonts w:asciiTheme="minorEastAsia" w:eastAsiaTheme="minorEastAsia" w:hAnsiTheme="minorEastAsia" w:hint="eastAsia"/>
          <w:b/>
          <w:bCs/>
        </w:rPr>
        <w:lastRenderedPageBreak/>
        <w:t>三、基金管理人</w:t>
      </w:r>
      <w:bookmarkEnd w:id="5"/>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sz w:val="21"/>
        </w:rPr>
      </w:pPr>
      <w:bookmarkStart w:id="6" w:name="_Toc45632185"/>
      <w:r w:rsidRPr="00501A61">
        <w:rPr>
          <w:rFonts w:asciiTheme="minorEastAsia" w:eastAsiaTheme="minorEastAsia" w:hAnsiTheme="minorEastAsia" w:cs="仿宋_GB2312" w:hint="eastAsia"/>
          <w:b w:val="0"/>
          <w:bCs/>
          <w:kern w:val="0"/>
          <w:szCs w:val="24"/>
        </w:rPr>
        <w:t>（一）</w:t>
      </w:r>
      <w:r w:rsidRPr="00501A61">
        <w:rPr>
          <w:rFonts w:asciiTheme="minorEastAsia" w:eastAsiaTheme="minorEastAsia" w:hAnsiTheme="minorEastAsia" w:cs="仿宋_GB2312"/>
          <w:b w:val="0"/>
          <w:bCs/>
          <w:kern w:val="0"/>
          <w:szCs w:val="24"/>
        </w:rPr>
        <w:t>基金管理人</w:t>
      </w:r>
      <w:r w:rsidRPr="00501A61">
        <w:rPr>
          <w:rFonts w:asciiTheme="minorEastAsia" w:eastAsiaTheme="minorEastAsia" w:hAnsiTheme="minorEastAsia" w:cs="仿宋_GB2312" w:hint="eastAsia"/>
          <w:b w:val="0"/>
          <w:bCs/>
          <w:kern w:val="0"/>
          <w:szCs w:val="24"/>
        </w:rPr>
        <w:t>基本情况</w:t>
      </w:r>
      <w:bookmarkEnd w:id="6"/>
    </w:p>
    <w:p w:rsidR="0002608C" w:rsidRPr="00501A61" w:rsidRDefault="00544AA9" w:rsidP="00107648">
      <w:pPr>
        <w:snapToGrid w:val="0"/>
        <w:spacing w:line="360" w:lineRule="auto"/>
        <w:ind w:firstLineChars="200" w:firstLine="420"/>
        <w:rPr>
          <w:rFonts w:asciiTheme="minorEastAsia" w:eastAsiaTheme="minorEastAsia" w:hAnsiTheme="minorEastAsia"/>
          <w:kern w:val="0"/>
        </w:rPr>
      </w:pPr>
      <w:r w:rsidRPr="00501A61">
        <w:rPr>
          <w:rFonts w:asciiTheme="minorEastAsia" w:eastAsiaTheme="minorEastAsia" w:hAnsiTheme="minorEastAsia" w:hint="eastAsia"/>
          <w:kern w:val="0"/>
        </w:rPr>
        <w:t>1</w:t>
      </w:r>
      <w:r w:rsidR="002A0070" w:rsidRPr="00501A61">
        <w:rPr>
          <w:rFonts w:asciiTheme="minorEastAsia" w:eastAsiaTheme="minorEastAsia" w:hAnsiTheme="minorEastAsia" w:hint="eastAsia"/>
          <w:kern w:val="0"/>
        </w:rPr>
        <w:t>、</w:t>
      </w:r>
      <w:r w:rsidR="0002608C" w:rsidRPr="00501A61">
        <w:rPr>
          <w:rFonts w:asciiTheme="minorEastAsia" w:eastAsiaTheme="minorEastAsia" w:hAnsiTheme="minorEastAsia"/>
          <w:kern w:val="0"/>
        </w:rPr>
        <w:t>基金管理人：易方达基金管理有限公司</w:t>
      </w:r>
    </w:p>
    <w:p w:rsidR="0002608C" w:rsidRPr="00501A61" w:rsidRDefault="0002608C" w:rsidP="00107648">
      <w:pPr>
        <w:snapToGrid w:val="0"/>
        <w:spacing w:line="360" w:lineRule="auto"/>
        <w:ind w:firstLineChars="200" w:firstLine="420"/>
        <w:rPr>
          <w:rFonts w:asciiTheme="minorEastAsia" w:eastAsiaTheme="minorEastAsia" w:hAnsiTheme="minorEastAsia"/>
          <w:kern w:val="0"/>
        </w:rPr>
      </w:pPr>
      <w:r w:rsidRPr="00501A61">
        <w:rPr>
          <w:rFonts w:asciiTheme="minorEastAsia" w:eastAsiaTheme="minorEastAsia" w:hAnsiTheme="minorEastAsia"/>
          <w:kern w:val="0"/>
        </w:rPr>
        <w:t>注册地址：</w:t>
      </w:r>
      <w:r w:rsidR="00EC6E1F" w:rsidRPr="00501A61">
        <w:rPr>
          <w:rFonts w:asciiTheme="minorEastAsia" w:eastAsiaTheme="minorEastAsia" w:hAnsiTheme="minorEastAsia" w:hint="eastAsia"/>
          <w:kern w:val="0"/>
        </w:rPr>
        <w:t>广东省珠海市横琴新区宝华路6号105室－42891（集中办公区）</w:t>
      </w:r>
    </w:p>
    <w:p w:rsidR="0002608C" w:rsidRPr="00501A61" w:rsidRDefault="0002608C" w:rsidP="00107648">
      <w:pPr>
        <w:snapToGrid w:val="0"/>
        <w:spacing w:line="360" w:lineRule="auto"/>
        <w:ind w:firstLineChars="200" w:firstLine="420"/>
        <w:rPr>
          <w:rFonts w:asciiTheme="minorEastAsia" w:eastAsiaTheme="minorEastAsia" w:hAnsiTheme="minorEastAsia"/>
          <w:kern w:val="0"/>
        </w:rPr>
      </w:pPr>
      <w:r w:rsidRPr="00501A61">
        <w:rPr>
          <w:rFonts w:asciiTheme="minorEastAsia" w:eastAsiaTheme="minorEastAsia" w:hAnsiTheme="minorEastAsia"/>
          <w:kern w:val="0"/>
        </w:rPr>
        <w:t>办公地址：广州市</w:t>
      </w:r>
      <w:r w:rsidR="00E335DA" w:rsidRPr="00501A61">
        <w:rPr>
          <w:rFonts w:asciiTheme="minorEastAsia" w:eastAsiaTheme="minorEastAsia" w:hAnsiTheme="minorEastAsia" w:hint="eastAsia"/>
          <w:kern w:val="0"/>
        </w:rPr>
        <w:t>天河区珠江新城珠江东路30号广州银行大厦40-43楼</w:t>
      </w:r>
    </w:p>
    <w:p w:rsidR="0002608C" w:rsidRPr="00501A61" w:rsidRDefault="0002608C" w:rsidP="00107648">
      <w:pPr>
        <w:snapToGrid w:val="0"/>
        <w:spacing w:line="360" w:lineRule="auto"/>
        <w:ind w:firstLineChars="200" w:firstLine="420"/>
        <w:rPr>
          <w:rFonts w:asciiTheme="minorEastAsia" w:eastAsiaTheme="minorEastAsia" w:hAnsiTheme="minorEastAsia"/>
          <w:kern w:val="0"/>
        </w:rPr>
      </w:pPr>
      <w:r w:rsidRPr="00501A61">
        <w:rPr>
          <w:rFonts w:asciiTheme="minorEastAsia" w:eastAsiaTheme="minorEastAsia" w:hAnsiTheme="minorEastAsia" w:hint="eastAsia"/>
          <w:kern w:val="0"/>
        </w:rPr>
        <w:t>设立日期：2001年4月17日</w:t>
      </w:r>
      <w:r w:rsidRPr="00501A61">
        <w:rPr>
          <w:rFonts w:asciiTheme="minorEastAsia" w:eastAsiaTheme="minorEastAsia" w:hAnsiTheme="minorEastAsia"/>
          <w:kern w:val="0"/>
        </w:rPr>
        <w:tab/>
      </w:r>
    </w:p>
    <w:p w:rsidR="0002608C" w:rsidRPr="00501A61" w:rsidRDefault="0002608C" w:rsidP="00107648">
      <w:pPr>
        <w:snapToGrid w:val="0"/>
        <w:spacing w:line="360" w:lineRule="auto"/>
        <w:ind w:firstLineChars="200" w:firstLine="420"/>
        <w:rPr>
          <w:rFonts w:asciiTheme="minorEastAsia" w:eastAsiaTheme="minorEastAsia" w:hAnsiTheme="minorEastAsia"/>
          <w:kern w:val="0"/>
        </w:rPr>
      </w:pPr>
      <w:r w:rsidRPr="00501A61">
        <w:rPr>
          <w:rFonts w:asciiTheme="minorEastAsia" w:eastAsiaTheme="minorEastAsia" w:hAnsiTheme="minorEastAsia"/>
          <w:kern w:val="0"/>
        </w:rPr>
        <w:t>法定代表人：</w:t>
      </w:r>
      <w:r w:rsidR="00404A63" w:rsidRPr="00501A61">
        <w:rPr>
          <w:rFonts w:asciiTheme="minorEastAsia" w:eastAsiaTheme="minorEastAsia" w:hAnsiTheme="minorEastAsia" w:hint="eastAsia"/>
          <w:kern w:val="0"/>
        </w:rPr>
        <w:t>刘晓艳</w:t>
      </w:r>
    </w:p>
    <w:p w:rsidR="0002608C" w:rsidRPr="00501A61" w:rsidRDefault="0002608C" w:rsidP="00107648">
      <w:pPr>
        <w:snapToGrid w:val="0"/>
        <w:spacing w:line="360" w:lineRule="auto"/>
        <w:ind w:firstLineChars="200" w:firstLine="420"/>
        <w:rPr>
          <w:rFonts w:asciiTheme="minorEastAsia" w:eastAsiaTheme="minorEastAsia" w:hAnsiTheme="minorEastAsia"/>
          <w:kern w:val="0"/>
        </w:rPr>
      </w:pPr>
      <w:r w:rsidRPr="00501A61">
        <w:rPr>
          <w:rFonts w:asciiTheme="minorEastAsia" w:eastAsiaTheme="minorEastAsia" w:hAnsiTheme="minorEastAsia" w:hint="eastAsia"/>
          <w:kern w:val="0"/>
        </w:rPr>
        <w:t>联系</w:t>
      </w:r>
      <w:r w:rsidRPr="00501A61">
        <w:rPr>
          <w:rFonts w:asciiTheme="minorEastAsia" w:eastAsiaTheme="minorEastAsia" w:hAnsiTheme="minorEastAsia"/>
          <w:kern w:val="0"/>
        </w:rPr>
        <w:t>电话：40088</w:t>
      </w:r>
      <w:r w:rsidRPr="00501A61">
        <w:rPr>
          <w:rFonts w:asciiTheme="minorEastAsia" w:eastAsiaTheme="minorEastAsia" w:hAnsiTheme="minorEastAsia" w:hint="eastAsia"/>
          <w:kern w:val="0"/>
        </w:rPr>
        <w:t>18088</w:t>
      </w:r>
    </w:p>
    <w:p w:rsidR="0002608C" w:rsidRPr="00501A61" w:rsidRDefault="00B2436B" w:rsidP="00107648">
      <w:pPr>
        <w:snapToGrid w:val="0"/>
        <w:spacing w:line="360" w:lineRule="auto"/>
        <w:ind w:firstLineChars="200" w:firstLine="420"/>
        <w:rPr>
          <w:rFonts w:asciiTheme="minorEastAsia" w:eastAsiaTheme="minorEastAsia" w:hAnsiTheme="minorEastAsia"/>
          <w:kern w:val="0"/>
        </w:rPr>
      </w:pPr>
      <w:r w:rsidRPr="00501A61">
        <w:rPr>
          <w:rFonts w:asciiTheme="minorEastAsia" w:eastAsiaTheme="minorEastAsia" w:hAnsiTheme="minorEastAsia" w:hint="eastAsia"/>
          <w:kern w:val="0"/>
        </w:rPr>
        <w:t>联系人：李红枫</w:t>
      </w:r>
    </w:p>
    <w:p w:rsidR="0002608C" w:rsidRPr="00501A61" w:rsidRDefault="00B33D9C" w:rsidP="00107648">
      <w:pPr>
        <w:snapToGrid w:val="0"/>
        <w:spacing w:line="360" w:lineRule="auto"/>
        <w:ind w:firstLineChars="200" w:firstLine="420"/>
        <w:rPr>
          <w:rFonts w:asciiTheme="minorEastAsia" w:eastAsiaTheme="minorEastAsia" w:hAnsiTheme="minorEastAsia"/>
          <w:kern w:val="0"/>
        </w:rPr>
      </w:pPr>
      <w:r w:rsidRPr="00501A61">
        <w:rPr>
          <w:rFonts w:asciiTheme="minorEastAsia" w:eastAsiaTheme="minorEastAsia" w:hAnsiTheme="minorEastAsia" w:hint="eastAsia"/>
          <w:kern w:val="0"/>
        </w:rPr>
        <w:t>注册资本：13,244.2万元人民币</w:t>
      </w:r>
    </w:p>
    <w:p w:rsidR="0002608C" w:rsidRPr="00501A61" w:rsidRDefault="002A0070" w:rsidP="00107648">
      <w:pPr>
        <w:snapToGrid w:val="0"/>
        <w:spacing w:line="360" w:lineRule="auto"/>
        <w:ind w:firstLineChars="200" w:firstLine="420"/>
        <w:rPr>
          <w:rFonts w:asciiTheme="minorEastAsia" w:eastAsiaTheme="minorEastAsia" w:hAnsiTheme="minorEastAsia"/>
          <w:kern w:val="0"/>
        </w:rPr>
      </w:pPr>
      <w:r w:rsidRPr="00501A61">
        <w:rPr>
          <w:rFonts w:asciiTheme="minorEastAsia" w:eastAsiaTheme="minorEastAsia" w:hAnsiTheme="minorEastAsia" w:hint="eastAsia"/>
          <w:kern w:val="0"/>
        </w:rPr>
        <w:t>2、</w:t>
      </w:r>
      <w:r w:rsidR="0002608C" w:rsidRPr="00501A61">
        <w:rPr>
          <w:rFonts w:asciiTheme="minorEastAsia" w:eastAsiaTheme="minorEastAsia" w:hAnsiTheme="minorEastAsia" w:hint="eastAsia"/>
          <w:kern w:val="0"/>
        </w:rPr>
        <w:t>股权结构：</w:t>
      </w:r>
    </w:p>
    <w:tbl>
      <w:tblPr>
        <w:tblW w:w="6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1837"/>
      </w:tblGrid>
      <w:tr w:rsidR="00501A61" w:rsidRPr="00501A61" w:rsidTr="0002608C">
        <w:trPr>
          <w:jc w:val="center"/>
        </w:trPr>
        <w:tc>
          <w:tcPr>
            <w:tcW w:w="4236" w:type="dxa"/>
          </w:tcPr>
          <w:p w:rsidR="0002608C" w:rsidRPr="00501A61" w:rsidRDefault="0002608C" w:rsidP="00E54FAA">
            <w:pPr>
              <w:snapToGrid w:val="0"/>
              <w:spacing w:line="360" w:lineRule="auto"/>
              <w:ind w:firstLine="52"/>
              <w:rPr>
                <w:rFonts w:asciiTheme="minorEastAsia" w:eastAsiaTheme="minorEastAsia" w:hAnsiTheme="minorEastAsia"/>
              </w:rPr>
            </w:pPr>
            <w:r w:rsidRPr="00501A61">
              <w:rPr>
                <w:rFonts w:asciiTheme="minorEastAsia" w:eastAsiaTheme="minorEastAsia" w:hAnsiTheme="minorEastAsia" w:hint="eastAsia"/>
              </w:rPr>
              <w:t>股东名称</w:t>
            </w:r>
          </w:p>
        </w:tc>
        <w:tc>
          <w:tcPr>
            <w:tcW w:w="1837" w:type="dxa"/>
          </w:tcPr>
          <w:p w:rsidR="0002608C" w:rsidRPr="00501A61" w:rsidRDefault="0002608C" w:rsidP="00107648">
            <w:pPr>
              <w:snapToGrid w:val="0"/>
              <w:spacing w:line="360" w:lineRule="auto"/>
              <w:ind w:firstLine="420"/>
              <w:jc w:val="center"/>
              <w:rPr>
                <w:rFonts w:asciiTheme="minorEastAsia" w:eastAsiaTheme="minorEastAsia" w:hAnsiTheme="minorEastAsia"/>
              </w:rPr>
            </w:pPr>
            <w:r w:rsidRPr="00501A61">
              <w:rPr>
                <w:rFonts w:asciiTheme="minorEastAsia" w:eastAsiaTheme="minorEastAsia" w:hAnsiTheme="minorEastAsia" w:hint="eastAsia"/>
              </w:rPr>
              <w:t>出资比例</w:t>
            </w:r>
          </w:p>
        </w:tc>
      </w:tr>
      <w:tr w:rsidR="00501A61" w:rsidRPr="00501A61" w:rsidTr="0002608C">
        <w:trPr>
          <w:jc w:val="center"/>
        </w:trPr>
        <w:tc>
          <w:tcPr>
            <w:tcW w:w="4236" w:type="dxa"/>
          </w:tcPr>
          <w:p w:rsidR="0002608C" w:rsidRPr="00501A61" w:rsidRDefault="00B33D9C" w:rsidP="00E54FAA">
            <w:pPr>
              <w:snapToGrid w:val="0"/>
              <w:spacing w:line="360" w:lineRule="auto"/>
              <w:ind w:firstLine="52"/>
              <w:rPr>
                <w:rFonts w:asciiTheme="minorEastAsia" w:eastAsiaTheme="minorEastAsia" w:hAnsiTheme="minorEastAsia"/>
              </w:rPr>
            </w:pPr>
            <w:r w:rsidRPr="00501A61">
              <w:rPr>
                <w:rFonts w:asciiTheme="minorEastAsia" w:eastAsiaTheme="minorEastAsia" w:hAnsiTheme="minorEastAsia" w:hint="eastAsia"/>
              </w:rPr>
              <w:t>广东粤财信托有限公司</w:t>
            </w:r>
          </w:p>
        </w:tc>
        <w:tc>
          <w:tcPr>
            <w:tcW w:w="1837" w:type="dxa"/>
          </w:tcPr>
          <w:p w:rsidR="0002608C" w:rsidRPr="00501A61" w:rsidRDefault="00B33D9C" w:rsidP="00107648">
            <w:pPr>
              <w:snapToGrid w:val="0"/>
              <w:spacing w:line="360" w:lineRule="auto"/>
              <w:ind w:firstLine="420"/>
              <w:jc w:val="center"/>
              <w:rPr>
                <w:rFonts w:asciiTheme="minorEastAsia" w:eastAsiaTheme="minorEastAsia" w:hAnsiTheme="minorEastAsia"/>
              </w:rPr>
            </w:pPr>
            <w:r w:rsidRPr="00501A61">
              <w:rPr>
                <w:rFonts w:asciiTheme="minorEastAsia" w:eastAsiaTheme="minorEastAsia" w:hAnsiTheme="minorEastAsia"/>
              </w:rPr>
              <w:t>22.6514％</w:t>
            </w:r>
          </w:p>
        </w:tc>
      </w:tr>
      <w:tr w:rsidR="00501A61" w:rsidRPr="00501A61" w:rsidTr="0002608C">
        <w:trPr>
          <w:jc w:val="center"/>
        </w:trPr>
        <w:tc>
          <w:tcPr>
            <w:tcW w:w="4236" w:type="dxa"/>
          </w:tcPr>
          <w:p w:rsidR="0002608C" w:rsidRPr="00501A61" w:rsidRDefault="00B33D9C" w:rsidP="00E54FAA">
            <w:pPr>
              <w:snapToGrid w:val="0"/>
              <w:spacing w:line="360" w:lineRule="auto"/>
              <w:ind w:firstLine="52"/>
              <w:rPr>
                <w:rFonts w:asciiTheme="minorEastAsia" w:eastAsiaTheme="minorEastAsia" w:hAnsiTheme="minorEastAsia"/>
              </w:rPr>
            </w:pPr>
            <w:r w:rsidRPr="00501A61">
              <w:rPr>
                <w:rFonts w:asciiTheme="minorEastAsia" w:eastAsiaTheme="minorEastAsia" w:hAnsiTheme="minorEastAsia" w:hint="eastAsia"/>
              </w:rPr>
              <w:t>广发证券股份有限公司</w:t>
            </w:r>
          </w:p>
        </w:tc>
        <w:tc>
          <w:tcPr>
            <w:tcW w:w="1837" w:type="dxa"/>
          </w:tcPr>
          <w:p w:rsidR="0002608C" w:rsidRPr="00501A61" w:rsidRDefault="00B33D9C" w:rsidP="00107648">
            <w:pPr>
              <w:snapToGrid w:val="0"/>
              <w:spacing w:line="360" w:lineRule="auto"/>
              <w:ind w:firstLine="420"/>
              <w:jc w:val="center"/>
              <w:rPr>
                <w:rFonts w:asciiTheme="minorEastAsia" w:eastAsiaTheme="minorEastAsia" w:hAnsiTheme="minorEastAsia"/>
              </w:rPr>
            </w:pPr>
            <w:r w:rsidRPr="00501A61">
              <w:rPr>
                <w:rFonts w:asciiTheme="minorEastAsia" w:eastAsiaTheme="minorEastAsia" w:hAnsiTheme="minorEastAsia"/>
              </w:rPr>
              <w:t>22.6514％</w:t>
            </w:r>
          </w:p>
        </w:tc>
      </w:tr>
      <w:tr w:rsidR="00501A61" w:rsidRPr="00501A61" w:rsidTr="0002608C">
        <w:trPr>
          <w:jc w:val="center"/>
        </w:trPr>
        <w:tc>
          <w:tcPr>
            <w:tcW w:w="4236" w:type="dxa"/>
          </w:tcPr>
          <w:p w:rsidR="0002608C" w:rsidRPr="00501A61" w:rsidRDefault="00B33D9C" w:rsidP="00E54FAA">
            <w:pPr>
              <w:snapToGrid w:val="0"/>
              <w:spacing w:line="360" w:lineRule="auto"/>
              <w:ind w:firstLine="52"/>
              <w:rPr>
                <w:rFonts w:asciiTheme="minorEastAsia" w:eastAsiaTheme="minorEastAsia" w:hAnsiTheme="minorEastAsia"/>
              </w:rPr>
            </w:pPr>
            <w:r w:rsidRPr="00501A61">
              <w:rPr>
                <w:rFonts w:asciiTheme="minorEastAsia" w:eastAsiaTheme="minorEastAsia" w:hAnsiTheme="minorEastAsia" w:hint="eastAsia"/>
              </w:rPr>
              <w:t>盈峰控股集团有限公司</w:t>
            </w:r>
          </w:p>
        </w:tc>
        <w:tc>
          <w:tcPr>
            <w:tcW w:w="1837" w:type="dxa"/>
          </w:tcPr>
          <w:p w:rsidR="0002608C" w:rsidRPr="00501A61" w:rsidRDefault="00B33D9C" w:rsidP="00107648">
            <w:pPr>
              <w:snapToGrid w:val="0"/>
              <w:spacing w:line="360" w:lineRule="auto"/>
              <w:ind w:firstLine="420"/>
              <w:jc w:val="center"/>
              <w:rPr>
                <w:rFonts w:asciiTheme="minorEastAsia" w:eastAsiaTheme="minorEastAsia" w:hAnsiTheme="minorEastAsia"/>
              </w:rPr>
            </w:pPr>
            <w:r w:rsidRPr="00501A61">
              <w:rPr>
                <w:rFonts w:asciiTheme="minorEastAsia" w:eastAsiaTheme="minorEastAsia" w:hAnsiTheme="minorEastAsia"/>
              </w:rPr>
              <w:t>22.6514％</w:t>
            </w:r>
          </w:p>
        </w:tc>
      </w:tr>
      <w:tr w:rsidR="00501A61" w:rsidRPr="00501A61" w:rsidTr="0002608C">
        <w:trPr>
          <w:jc w:val="center"/>
        </w:trPr>
        <w:tc>
          <w:tcPr>
            <w:tcW w:w="4236" w:type="dxa"/>
          </w:tcPr>
          <w:p w:rsidR="0002608C" w:rsidRPr="00501A61" w:rsidRDefault="00B33D9C" w:rsidP="00E54FAA">
            <w:pPr>
              <w:snapToGrid w:val="0"/>
              <w:spacing w:line="360" w:lineRule="auto"/>
              <w:ind w:firstLine="52"/>
              <w:rPr>
                <w:rFonts w:asciiTheme="minorEastAsia" w:eastAsiaTheme="minorEastAsia" w:hAnsiTheme="minorEastAsia"/>
              </w:rPr>
            </w:pPr>
            <w:r w:rsidRPr="00501A61">
              <w:rPr>
                <w:rFonts w:asciiTheme="minorEastAsia" w:eastAsiaTheme="minorEastAsia" w:hAnsiTheme="minorEastAsia" w:hint="eastAsia"/>
              </w:rPr>
              <w:t>广东省广晟资产经营有限公司</w:t>
            </w:r>
          </w:p>
        </w:tc>
        <w:tc>
          <w:tcPr>
            <w:tcW w:w="1837" w:type="dxa"/>
          </w:tcPr>
          <w:p w:rsidR="0002608C" w:rsidRPr="00501A61" w:rsidRDefault="00B33D9C" w:rsidP="00107648">
            <w:pPr>
              <w:snapToGrid w:val="0"/>
              <w:spacing w:line="360" w:lineRule="auto"/>
              <w:ind w:firstLine="420"/>
              <w:jc w:val="center"/>
              <w:rPr>
                <w:rFonts w:asciiTheme="minorEastAsia" w:eastAsiaTheme="minorEastAsia" w:hAnsiTheme="minorEastAsia"/>
              </w:rPr>
            </w:pPr>
            <w:r w:rsidRPr="00501A61">
              <w:rPr>
                <w:rFonts w:asciiTheme="minorEastAsia" w:eastAsiaTheme="minorEastAsia" w:hAnsiTheme="minorEastAsia"/>
              </w:rPr>
              <w:t>15.1010％</w:t>
            </w:r>
          </w:p>
        </w:tc>
      </w:tr>
      <w:tr w:rsidR="00501A61" w:rsidRPr="00501A61" w:rsidTr="0002608C">
        <w:trPr>
          <w:jc w:val="center"/>
        </w:trPr>
        <w:tc>
          <w:tcPr>
            <w:tcW w:w="4236" w:type="dxa"/>
          </w:tcPr>
          <w:p w:rsidR="0002608C" w:rsidRPr="00501A61" w:rsidRDefault="00B33D9C" w:rsidP="00E54FAA">
            <w:pPr>
              <w:snapToGrid w:val="0"/>
              <w:spacing w:line="360" w:lineRule="auto"/>
              <w:ind w:firstLine="52"/>
              <w:rPr>
                <w:rFonts w:asciiTheme="minorEastAsia" w:eastAsiaTheme="minorEastAsia" w:hAnsiTheme="minorEastAsia"/>
              </w:rPr>
            </w:pPr>
            <w:r w:rsidRPr="00501A61">
              <w:rPr>
                <w:rFonts w:asciiTheme="minorEastAsia" w:eastAsiaTheme="minorEastAsia" w:hAnsiTheme="minorEastAsia" w:hint="eastAsia"/>
              </w:rPr>
              <w:t>广州市广永国有资产经营有限公司</w:t>
            </w:r>
          </w:p>
        </w:tc>
        <w:tc>
          <w:tcPr>
            <w:tcW w:w="1837" w:type="dxa"/>
            <w:vAlign w:val="center"/>
          </w:tcPr>
          <w:p w:rsidR="0002608C" w:rsidRPr="00501A61" w:rsidRDefault="00B33D9C" w:rsidP="00107648">
            <w:pPr>
              <w:snapToGrid w:val="0"/>
              <w:spacing w:line="360" w:lineRule="auto"/>
              <w:ind w:firstLine="420"/>
              <w:jc w:val="center"/>
              <w:rPr>
                <w:rFonts w:asciiTheme="minorEastAsia" w:eastAsiaTheme="minorEastAsia" w:hAnsiTheme="minorEastAsia"/>
              </w:rPr>
            </w:pPr>
            <w:r w:rsidRPr="00501A61">
              <w:rPr>
                <w:rFonts w:asciiTheme="minorEastAsia" w:eastAsiaTheme="minorEastAsia" w:hAnsiTheme="minorEastAsia"/>
              </w:rPr>
              <w:t>7.5505％</w:t>
            </w:r>
          </w:p>
        </w:tc>
      </w:tr>
      <w:tr w:rsidR="00501A61" w:rsidRPr="00501A61" w:rsidTr="0002608C">
        <w:trPr>
          <w:jc w:val="center"/>
        </w:trPr>
        <w:tc>
          <w:tcPr>
            <w:tcW w:w="4236" w:type="dxa"/>
          </w:tcPr>
          <w:p w:rsidR="0002608C" w:rsidRPr="00501A61" w:rsidRDefault="00B33D9C" w:rsidP="00E54FAA">
            <w:pPr>
              <w:snapToGrid w:val="0"/>
              <w:spacing w:line="360" w:lineRule="auto"/>
              <w:ind w:firstLine="52"/>
              <w:rPr>
                <w:rFonts w:asciiTheme="minorEastAsia" w:eastAsiaTheme="minorEastAsia" w:hAnsiTheme="minorEastAsia"/>
              </w:rPr>
            </w:pPr>
            <w:r w:rsidRPr="00501A61">
              <w:rPr>
                <w:rFonts w:asciiTheme="minorEastAsia" w:eastAsiaTheme="minorEastAsia" w:hAnsiTheme="minorEastAsia" w:hint="eastAsia"/>
              </w:rPr>
              <w:t>珠海祺荣宝股权投资合伙企业（有限合伙）</w:t>
            </w:r>
          </w:p>
        </w:tc>
        <w:tc>
          <w:tcPr>
            <w:tcW w:w="1837" w:type="dxa"/>
          </w:tcPr>
          <w:p w:rsidR="0002608C" w:rsidRPr="00501A61" w:rsidRDefault="00B33D9C" w:rsidP="00107648">
            <w:pPr>
              <w:snapToGrid w:val="0"/>
              <w:spacing w:line="360" w:lineRule="auto"/>
              <w:ind w:firstLine="420"/>
              <w:jc w:val="center"/>
              <w:rPr>
                <w:rFonts w:asciiTheme="minorEastAsia" w:eastAsiaTheme="minorEastAsia" w:hAnsiTheme="minorEastAsia"/>
              </w:rPr>
            </w:pPr>
            <w:r w:rsidRPr="00501A61">
              <w:rPr>
                <w:rFonts w:asciiTheme="minorEastAsia" w:eastAsiaTheme="minorEastAsia" w:hAnsiTheme="minorEastAsia"/>
              </w:rPr>
              <w:t>1.5087％</w:t>
            </w:r>
          </w:p>
        </w:tc>
      </w:tr>
      <w:tr w:rsidR="00501A61" w:rsidRPr="00501A61" w:rsidTr="0002608C">
        <w:trPr>
          <w:jc w:val="center"/>
        </w:trPr>
        <w:tc>
          <w:tcPr>
            <w:tcW w:w="4236" w:type="dxa"/>
          </w:tcPr>
          <w:p w:rsidR="00B33D9C" w:rsidRPr="00501A61" w:rsidRDefault="00B33D9C" w:rsidP="00E54FAA">
            <w:pPr>
              <w:snapToGrid w:val="0"/>
              <w:spacing w:line="360" w:lineRule="auto"/>
              <w:ind w:firstLine="52"/>
              <w:rPr>
                <w:rFonts w:asciiTheme="minorEastAsia" w:eastAsiaTheme="minorEastAsia" w:hAnsiTheme="minorEastAsia"/>
              </w:rPr>
            </w:pPr>
            <w:r w:rsidRPr="00501A61">
              <w:rPr>
                <w:rFonts w:asciiTheme="minorEastAsia" w:eastAsiaTheme="minorEastAsia" w:hAnsiTheme="minorEastAsia" w:hint="eastAsia"/>
              </w:rPr>
              <w:t>珠海祺泰宝股权投资合伙企业（有限合伙）</w:t>
            </w:r>
          </w:p>
        </w:tc>
        <w:tc>
          <w:tcPr>
            <w:tcW w:w="1837" w:type="dxa"/>
          </w:tcPr>
          <w:p w:rsidR="00B33D9C" w:rsidRPr="00501A61" w:rsidRDefault="00B33D9C" w:rsidP="00107648">
            <w:pPr>
              <w:snapToGrid w:val="0"/>
              <w:spacing w:line="360" w:lineRule="auto"/>
              <w:ind w:firstLine="420"/>
              <w:jc w:val="center"/>
              <w:rPr>
                <w:rFonts w:asciiTheme="minorEastAsia" w:eastAsiaTheme="minorEastAsia" w:hAnsiTheme="minorEastAsia"/>
              </w:rPr>
            </w:pPr>
            <w:r w:rsidRPr="00501A61">
              <w:rPr>
                <w:rFonts w:asciiTheme="minorEastAsia" w:eastAsiaTheme="minorEastAsia" w:hAnsiTheme="minorEastAsia"/>
              </w:rPr>
              <w:t>1.6205％</w:t>
            </w:r>
          </w:p>
        </w:tc>
      </w:tr>
      <w:tr w:rsidR="00501A61" w:rsidRPr="00501A61" w:rsidTr="0002608C">
        <w:trPr>
          <w:jc w:val="center"/>
        </w:trPr>
        <w:tc>
          <w:tcPr>
            <w:tcW w:w="4236" w:type="dxa"/>
          </w:tcPr>
          <w:p w:rsidR="00B33D9C" w:rsidRPr="00501A61" w:rsidRDefault="00B33D9C" w:rsidP="00E54FAA">
            <w:pPr>
              <w:snapToGrid w:val="0"/>
              <w:spacing w:line="360" w:lineRule="auto"/>
              <w:ind w:firstLine="52"/>
              <w:rPr>
                <w:rFonts w:asciiTheme="minorEastAsia" w:eastAsiaTheme="minorEastAsia" w:hAnsiTheme="minorEastAsia"/>
              </w:rPr>
            </w:pPr>
            <w:r w:rsidRPr="00501A61">
              <w:rPr>
                <w:rFonts w:asciiTheme="minorEastAsia" w:eastAsiaTheme="minorEastAsia" w:hAnsiTheme="minorEastAsia" w:hint="eastAsia"/>
              </w:rPr>
              <w:t>珠海祺丰宝股权投资合伙企业（有限合伙）</w:t>
            </w:r>
          </w:p>
        </w:tc>
        <w:tc>
          <w:tcPr>
            <w:tcW w:w="1837" w:type="dxa"/>
          </w:tcPr>
          <w:p w:rsidR="00B33D9C" w:rsidRPr="00501A61" w:rsidRDefault="00B33D9C" w:rsidP="00107648">
            <w:pPr>
              <w:snapToGrid w:val="0"/>
              <w:spacing w:line="360" w:lineRule="auto"/>
              <w:ind w:firstLine="420"/>
              <w:jc w:val="center"/>
              <w:rPr>
                <w:rFonts w:asciiTheme="minorEastAsia" w:eastAsiaTheme="minorEastAsia" w:hAnsiTheme="minorEastAsia"/>
              </w:rPr>
            </w:pPr>
            <w:r w:rsidRPr="00501A61">
              <w:rPr>
                <w:rFonts w:asciiTheme="minorEastAsia" w:eastAsiaTheme="minorEastAsia" w:hAnsiTheme="minorEastAsia"/>
              </w:rPr>
              <w:t>1.5309％</w:t>
            </w:r>
          </w:p>
        </w:tc>
      </w:tr>
      <w:tr w:rsidR="00501A61" w:rsidRPr="00501A61" w:rsidTr="0002608C">
        <w:trPr>
          <w:jc w:val="center"/>
        </w:trPr>
        <w:tc>
          <w:tcPr>
            <w:tcW w:w="4236" w:type="dxa"/>
          </w:tcPr>
          <w:p w:rsidR="00B33D9C" w:rsidRPr="00501A61" w:rsidRDefault="00B33D9C" w:rsidP="00E54FAA">
            <w:pPr>
              <w:snapToGrid w:val="0"/>
              <w:spacing w:line="360" w:lineRule="auto"/>
              <w:ind w:firstLine="52"/>
              <w:rPr>
                <w:rFonts w:asciiTheme="minorEastAsia" w:eastAsiaTheme="minorEastAsia" w:hAnsiTheme="minorEastAsia"/>
              </w:rPr>
            </w:pPr>
            <w:r w:rsidRPr="00501A61">
              <w:rPr>
                <w:rFonts w:asciiTheme="minorEastAsia" w:eastAsiaTheme="minorEastAsia" w:hAnsiTheme="minorEastAsia" w:hint="eastAsia"/>
              </w:rPr>
              <w:t>珠海聚莱康股权投资合伙企业（有限合伙）</w:t>
            </w:r>
          </w:p>
        </w:tc>
        <w:tc>
          <w:tcPr>
            <w:tcW w:w="1837" w:type="dxa"/>
          </w:tcPr>
          <w:p w:rsidR="00B33D9C" w:rsidRPr="00501A61" w:rsidRDefault="00B33D9C" w:rsidP="00107648">
            <w:pPr>
              <w:snapToGrid w:val="0"/>
              <w:spacing w:line="360" w:lineRule="auto"/>
              <w:ind w:firstLine="420"/>
              <w:jc w:val="center"/>
              <w:rPr>
                <w:rFonts w:asciiTheme="minorEastAsia" w:eastAsiaTheme="minorEastAsia" w:hAnsiTheme="minorEastAsia"/>
              </w:rPr>
            </w:pPr>
            <w:r w:rsidRPr="00501A61">
              <w:rPr>
                <w:rFonts w:asciiTheme="minorEastAsia" w:eastAsiaTheme="minorEastAsia" w:hAnsiTheme="minorEastAsia"/>
              </w:rPr>
              <w:t>1.7558％</w:t>
            </w:r>
          </w:p>
        </w:tc>
      </w:tr>
      <w:tr w:rsidR="00501A61" w:rsidRPr="00501A61" w:rsidTr="0002608C">
        <w:trPr>
          <w:jc w:val="center"/>
        </w:trPr>
        <w:tc>
          <w:tcPr>
            <w:tcW w:w="4236" w:type="dxa"/>
          </w:tcPr>
          <w:p w:rsidR="00B33D9C" w:rsidRPr="00501A61" w:rsidRDefault="00B33D9C" w:rsidP="00E54FAA">
            <w:pPr>
              <w:snapToGrid w:val="0"/>
              <w:spacing w:line="360" w:lineRule="auto"/>
              <w:ind w:firstLine="52"/>
              <w:rPr>
                <w:rFonts w:asciiTheme="minorEastAsia" w:eastAsiaTheme="minorEastAsia" w:hAnsiTheme="minorEastAsia"/>
              </w:rPr>
            </w:pPr>
            <w:r w:rsidRPr="00501A61">
              <w:rPr>
                <w:rFonts w:asciiTheme="minorEastAsia" w:eastAsiaTheme="minorEastAsia" w:hAnsiTheme="minorEastAsia" w:hint="eastAsia"/>
              </w:rPr>
              <w:t>珠海聚宁康股权投资合伙企业（有限合伙）</w:t>
            </w:r>
          </w:p>
        </w:tc>
        <w:tc>
          <w:tcPr>
            <w:tcW w:w="1837" w:type="dxa"/>
          </w:tcPr>
          <w:p w:rsidR="00B33D9C" w:rsidRPr="00501A61" w:rsidRDefault="00B33D9C" w:rsidP="00107648">
            <w:pPr>
              <w:snapToGrid w:val="0"/>
              <w:spacing w:line="360" w:lineRule="auto"/>
              <w:ind w:firstLine="420"/>
              <w:jc w:val="center"/>
              <w:rPr>
                <w:rFonts w:asciiTheme="minorEastAsia" w:eastAsiaTheme="minorEastAsia" w:hAnsiTheme="minorEastAsia"/>
              </w:rPr>
            </w:pPr>
            <w:r w:rsidRPr="00501A61">
              <w:rPr>
                <w:rFonts w:asciiTheme="minorEastAsia" w:eastAsiaTheme="minorEastAsia" w:hAnsiTheme="minorEastAsia"/>
              </w:rPr>
              <w:t>1.4396％</w:t>
            </w:r>
          </w:p>
        </w:tc>
      </w:tr>
      <w:tr w:rsidR="00501A61" w:rsidRPr="00501A61" w:rsidTr="0002608C">
        <w:trPr>
          <w:jc w:val="center"/>
        </w:trPr>
        <w:tc>
          <w:tcPr>
            <w:tcW w:w="4236" w:type="dxa"/>
          </w:tcPr>
          <w:p w:rsidR="00B33D9C" w:rsidRPr="00501A61" w:rsidRDefault="00B33D9C" w:rsidP="00E54FAA">
            <w:pPr>
              <w:snapToGrid w:val="0"/>
              <w:spacing w:line="360" w:lineRule="auto"/>
              <w:ind w:firstLine="52"/>
              <w:rPr>
                <w:rFonts w:asciiTheme="minorEastAsia" w:eastAsiaTheme="minorEastAsia" w:hAnsiTheme="minorEastAsia"/>
              </w:rPr>
            </w:pPr>
            <w:r w:rsidRPr="00501A61">
              <w:rPr>
                <w:rFonts w:asciiTheme="minorEastAsia" w:eastAsiaTheme="minorEastAsia" w:hAnsiTheme="minorEastAsia" w:hint="eastAsia"/>
              </w:rPr>
              <w:t>珠海聚弘康股权投资合伙企业（有限合伙）</w:t>
            </w:r>
          </w:p>
        </w:tc>
        <w:tc>
          <w:tcPr>
            <w:tcW w:w="1837" w:type="dxa"/>
          </w:tcPr>
          <w:p w:rsidR="00B33D9C" w:rsidRPr="00501A61" w:rsidRDefault="00B33D9C" w:rsidP="00107648">
            <w:pPr>
              <w:snapToGrid w:val="0"/>
              <w:spacing w:line="360" w:lineRule="auto"/>
              <w:ind w:firstLine="420"/>
              <w:jc w:val="center"/>
              <w:rPr>
                <w:rFonts w:asciiTheme="minorEastAsia" w:eastAsiaTheme="minorEastAsia" w:hAnsiTheme="minorEastAsia"/>
              </w:rPr>
            </w:pPr>
            <w:r w:rsidRPr="00501A61">
              <w:rPr>
                <w:rFonts w:asciiTheme="minorEastAsia" w:eastAsiaTheme="minorEastAsia" w:hAnsiTheme="minorEastAsia"/>
              </w:rPr>
              <w:t>1.5388％</w:t>
            </w:r>
          </w:p>
        </w:tc>
      </w:tr>
      <w:tr w:rsidR="00501A61" w:rsidRPr="00501A61" w:rsidTr="0002608C">
        <w:trPr>
          <w:jc w:val="center"/>
        </w:trPr>
        <w:tc>
          <w:tcPr>
            <w:tcW w:w="4236" w:type="dxa"/>
          </w:tcPr>
          <w:p w:rsidR="00B33D9C" w:rsidRPr="00501A61" w:rsidRDefault="00B33D9C" w:rsidP="00E54FAA">
            <w:pPr>
              <w:snapToGrid w:val="0"/>
              <w:spacing w:line="360" w:lineRule="auto"/>
              <w:ind w:firstLine="52"/>
              <w:rPr>
                <w:rFonts w:asciiTheme="minorEastAsia" w:eastAsiaTheme="minorEastAsia" w:hAnsiTheme="minorEastAsia"/>
              </w:rPr>
            </w:pPr>
            <w:r w:rsidRPr="00501A61">
              <w:rPr>
                <w:rFonts w:asciiTheme="minorEastAsia" w:eastAsiaTheme="minorEastAsia" w:hAnsiTheme="minorEastAsia" w:hint="eastAsia"/>
              </w:rPr>
              <w:t>总</w:t>
            </w:r>
            <w:r w:rsidRPr="00501A61">
              <w:rPr>
                <w:rFonts w:asciiTheme="minorEastAsia" w:eastAsiaTheme="minorEastAsia" w:hAnsiTheme="minorEastAsia"/>
              </w:rPr>
              <w:t>计</w:t>
            </w:r>
          </w:p>
        </w:tc>
        <w:tc>
          <w:tcPr>
            <w:tcW w:w="1837" w:type="dxa"/>
          </w:tcPr>
          <w:p w:rsidR="00B33D9C" w:rsidRPr="00501A61" w:rsidRDefault="00B33D9C" w:rsidP="00107648">
            <w:pPr>
              <w:snapToGrid w:val="0"/>
              <w:spacing w:line="360" w:lineRule="auto"/>
              <w:ind w:firstLine="420"/>
              <w:jc w:val="center"/>
              <w:rPr>
                <w:rFonts w:asciiTheme="minorEastAsia" w:eastAsiaTheme="minorEastAsia" w:hAnsiTheme="minorEastAsia"/>
              </w:rPr>
            </w:pPr>
            <w:r w:rsidRPr="00501A61">
              <w:rPr>
                <w:rFonts w:asciiTheme="minorEastAsia" w:eastAsiaTheme="minorEastAsia" w:hAnsiTheme="minorEastAsia"/>
              </w:rPr>
              <w:t>100％</w:t>
            </w:r>
          </w:p>
        </w:tc>
      </w:tr>
    </w:tbl>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cs="仿宋_GB2312"/>
          <w:b w:val="0"/>
          <w:bCs/>
          <w:kern w:val="0"/>
          <w:szCs w:val="24"/>
        </w:rPr>
      </w:pPr>
      <w:bookmarkStart w:id="7" w:name="_Toc45632186"/>
      <w:r w:rsidRPr="00501A61">
        <w:rPr>
          <w:rFonts w:asciiTheme="minorEastAsia" w:eastAsiaTheme="minorEastAsia" w:hAnsiTheme="minorEastAsia" w:hint="eastAsia"/>
          <w:b w:val="0"/>
          <w:bCs/>
          <w:szCs w:val="21"/>
        </w:rPr>
        <w:t>（二）</w:t>
      </w:r>
      <w:r w:rsidRPr="00501A61">
        <w:rPr>
          <w:rFonts w:asciiTheme="minorEastAsia" w:eastAsiaTheme="minorEastAsia" w:hAnsiTheme="minorEastAsia"/>
          <w:b w:val="0"/>
          <w:bCs/>
          <w:szCs w:val="21"/>
        </w:rPr>
        <w:t>主要人员情况</w:t>
      </w:r>
      <w:bookmarkEnd w:id="7"/>
    </w:p>
    <w:p w:rsidR="0002608C" w:rsidRPr="00501A61" w:rsidRDefault="0002608C" w:rsidP="00B32CF0">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rPr>
        <w:t>1</w:t>
      </w:r>
      <w:r w:rsidR="002A0070" w:rsidRPr="00501A61">
        <w:rPr>
          <w:rFonts w:asciiTheme="minorEastAsia" w:eastAsiaTheme="minorEastAsia" w:hAnsiTheme="minorEastAsia" w:hint="eastAsia"/>
        </w:rPr>
        <w:t>、</w:t>
      </w:r>
      <w:r w:rsidRPr="00501A61">
        <w:rPr>
          <w:rFonts w:asciiTheme="minorEastAsia" w:eastAsiaTheme="minorEastAsia" w:hAnsiTheme="minorEastAsia" w:hint="eastAsia"/>
        </w:rPr>
        <w:t>董事、监事及高级管理人员</w:t>
      </w:r>
    </w:p>
    <w:p w:rsidR="009A5BC2" w:rsidRPr="00501A61" w:rsidRDefault="009A5BC2" w:rsidP="00501A61">
      <w:pPr>
        <w:spacing w:line="360" w:lineRule="auto"/>
        <w:ind w:firstLineChars="200" w:firstLine="420"/>
        <w:rPr>
          <w:rFonts w:asciiTheme="minorEastAsia" w:eastAsiaTheme="minorEastAsia" w:hAnsiTheme="minorEastAsia"/>
        </w:rPr>
      </w:pPr>
      <w:bookmarkStart w:id="8" w:name="OLE_LINK3"/>
      <w:r w:rsidRPr="00501A61">
        <w:rPr>
          <w:rFonts w:asciiTheme="minorEastAsia" w:eastAsiaTheme="minorEastAsia" w:hAnsiTheme="minorEastAsia" w:hint="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w:t>
      </w:r>
      <w:r w:rsidRPr="00501A61">
        <w:rPr>
          <w:rFonts w:asciiTheme="minorEastAsia" w:eastAsiaTheme="minorEastAsia" w:hAnsiTheme="minorEastAsia" w:hint="eastAsia"/>
        </w:rPr>
        <w:lastRenderedPageBreak/>
        <w:t>达国际控股有限公司董事长。</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w:t>
      </w:r>
      <w:r w:rsidRPr="00501A61">
        <w:rPr>
          <w:rFonts w:asciiTheme="minorEastAsia" w:eastAsiaTheme="minorEastAsia" w:hAnsiTheme="minorEastAsia" w:hint="eastAsia"/>
        </w:rPr>
        <w:lastRenderedPageBreak/>
        <w:t>中欧国际工商学院教授，复星旅游文化集团（开曼）有限公司独立董事，</w:t>
      </w:r>
      <w:hyperlink r:id="rId16" w:tgtFrame="_blank" w:history="1">
        <w:r w:rsidRPr="00501A61">
          <w:rPr>
            <w:rFonts w:asciiTheme="minorEastAsia" w:eastAsiaTheme="minorEastAsia" w:hAnsiTheme="minorEastAsia" w:hint="eastAsia"/>
          </w:rPr>
          <w:t>上海汇招信息技术有限公司</w:t>
        </w:r>
      </w:hyperlink>
      <w:r w:rsidRPr="00501A61">
        <w:rPr>
          <w:rFonts w:asciiTheme="minorEastAsia" w:eastAsiaTheme="minorEastAsia" w:hAnsiTheme="minorEastAsia" w:hint="eastAsia"/>
        </w:rPr>
        <w:t>董事。</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廖智先生，经济学硕士，监事。曾任广东证券股份有限公司基金部主管，易方达基金管</w:t>
      </w:r>
      <w:r w:rsidRPr="00501A61">
        <w:rPr>
          <w:rFonts w:asciiTheme="minorEastAsia" w:eastAsiaTheme="minorEastAsia" w:hAnsiTheme="minorEastAsia" w:hint="eastAsia"/>
        </w:rPr>
        <w:lastRenderedPageBreak/>
        <w:t>理有限公司综合管理部副总经理、人力资源部副总经理、市场部总经理、互联网金融部总经理。现任易方达基金管理有限公司监事、总裁助理、综合管理部总经理，广东粤财互联网金融股份有限公司董事。</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马骏先生，工商管理硕士（</w:t>
      </w:r>
      <w:r w:rsidRPr="00501A61">
        <w:rPr>
          <w:rFonts w:asciiTheme="minorEastAsia" w:eastAsiaTheme="minorEastAsia" w:hAnsiTheme="minorEastAsia"/>
        </w:rPr>
        <w:t>EMBA</w:t>
      </w:r>
      <w:r w:rsidRPr="00501A61">
        <w:rPr>
          <w:rFonts w:asciiTheme="minorEastAsia" w:eastAsiaTheme="minorEastAsia" w:hAnsiTheme="minorEastAsia" w:hint="eastAsia"/>
        </w:rPr>
        <w:t>），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501A61">
        <w:rPr>
          <w:rFonts w:asciiTheme="minorEastAsia" w:eastAsiaTheme="minorEastAsia" w:hAnsiTheme="minorEastAsia"/>
        </w:rPr>
        <w:t>RQFII</w:t>
      </w:r>
      <w:r w:rsidRPr="00501A61">
        <w:rPr>
          <w:rFonts w:asciiTheme="minorEastAsia" w:eastAsiaTheme="minorEastAsia" w:hAnsiTheme="minorEastAsia" w:hint="eastAsia"/>
        </w:rPr>
        <w:t>）业务负责人、证券交易负责人员（</w:t>
      </w:r>
      <w:r w:rsidRPr="00501A61">
        <w:rPr>
          <w:rFonts w:asciiTheme="minorEastAsia" w:eastAsiaTheme="minorEastAsia" w:hAnsiTheme="minorEastAsia"/>
        </w:rPr>
        <w:t>RO</w:t>
      </w:r>
      <w:r w:rsidRPr="00501A61">
        <w:rPr>
          <w:rFonts w:asciiTheme="minorEastAsia" w:eastAsiaTheme="minorEastAsia" w:hAnsiTheme="minorEastAsia" w:hint="eastAsia"/>
        </w:rPr>
        <w:t>）、就证券提供意见负责人员（</w:t>
      </w:r>
      <w:r w:rsidRPr="00501A61">
        <w:rPr>
          <w:rFonts w:asciiTheme="minorEastAsia" w:eastAsiaTheme="minorEastAsia" w:hAnsiTheme="minorEastAsia"/>
        </w:rPr>
        <w:t>RO</w:t>
      </w:r>
      <w:r w:rsidRPr="00501A61">
        <w:rPr>
          <w:rFonts w:asciiTheme="minorEastAsia" w:eastAsiaTheme="minorEastAsia" w:hAnsiTheme="minorEastAsia" w:hint="eastAsia"/>
        </w:rPr>
        <w:t>）、提供资产管理负责人员（</w:t>
      </w:r>
      <w:r w:rsidRPr="00501A61">
        <w:rPr>
          <w:rFonts w:asciiTheme="minorEastAsia" w:eastAsiaTheme="minorEastAsia" w:hAnsiTheme="minorEastAsia"/>
        </w:rPr>
        <w:t>RO</w:t>
      </w:r>
      <w:r w:rsidRPr="00501A61">
        <w:rPr>
          <w:rFonts w:asciiTheme="minorEastAsia" w:eastAsiaTheme="minorEastAsia" w:hAnsiTheme="minorEastAsia" w:hint="eastAsia"/>
        </w:rPr>
        <w:t>）、固定收益投资决策委员会委员、产品审批委员会委员。</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张南女士，经济学博士，督察长。曾任广东省经济贸易委员会主任科员、副处长，易方达基金管理有限公司市场拓展部副总经理、监察部总经理。现任易方达基金管理有限公司督</w:t>
      </w:r>
      <w:r w:rsidRPr="00501A61">
        <w:rPr>
          <w:rFonts w:asciiTheme="minorEastAsia" w:eastAsiaTheme="minorEastAsia" w:hAnsiTheme="minorEastAsia" w:hint="eastAsia"/>
        </w:rPr>
        <w:lastRenderedPageBreak/>
        <w:t>察长。</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高松凡先生，工商管理硕士（</w:t>
      </w:r>
      <w:r w:rsidRPr="00501A61">
        <w:rPr>
          <w:rFonts w:asciiTheme="minorEastAsia" w:eastAsiaTheme="minorEastAsia" w:hAnsiTheme="minorEastAsia"/>
        </w:rPr>
        <w:t>EMBA</w:t>
      </w:r>
      <w:r w:rsidRPr="00501A61">
        <w:rPr>
          <w:rFonts w:asciiTheme="minorEastAsia" w:eastAsiaTheme="minorEastAsia" w:hAnsiTheme="minorEastAsia" w:hint="eastAsia"/>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关秀霞女士，工商管理硕士、金融学硕士，副总经理级高级管理人员。曾任中国银行（香港）有限公司分析员，</w:t>
      </w:r>
      <w:r w:rsidRPr="00501A61">
        <w:rPr>
          <w:rFonts w:asciiTheme="minorEastAsia" w:eastAsiaTheme="minorEastAsia" w:hAnsiTheme="minorEastAsia"/>
        </w:rPr>
        <w:t>Daniel Dennis高级审计师，美国道富银行公司内部审计部高级审计师、美国共同基金业务风险经理、亚洲区（除日本外）机构服务主管、亚洲区（除日本外）副总裁、大中华地区</w:t>
      </w:r>
      <w:r w:rsidRPr="00501A61">
        <w:rPr>
          <w:rFonts w:asciiTheme="minorEastAsia" w:eastAsiaTheme="minorEastAsia" w:hAnsiTheme="minorEastAsia" w:hint="eastAsia"/>
        </w:rPr>
        <w:t>董事总经理、大中华地区高级副总裁、中国区行长。现任易方达基金管理有限公司副总经理级高级管理人员。</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9A5BC2" w:rsidRPr="00501A61" w:rsidRDefault="009A5BC2" w:rsidP="00501A6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陈丽园女士，管理学硕士、法律硕士，副总经理级高级管理人员。曾任易方达基金管理有限公司监察部监察员、监察部总经理助理、监察部副总经理、监察部总经理，监察与合规</w:t>
      </w:r>
      <w:r w:rsidRPr="00501A61">
        <w:rPr>
          <w:rFonts w:asciiTheme="minorEastAsia" w:eastAsiaTheme="minorEastAsia" w:hAnsiTheme="minorEastAsia" w:hint="eastAsia"/>
        </w:rPr>
        <w:lastRenderedPageBreak/>
        <w:t>管理总部总经理兼合规内审部总经理，易方达资产管理有限公司董事。现任易方达基金管理有限公司副总经理级高级管理人员，易方达资产管理（香港）有限公司董事。</w:t>
      </w:r>
    </w:p>
    <w:p w:rsidR="009B73E9" w:rsidRPr="00501A61" w:rsidRDefault="009B73E9" w:rsidP="00052F0E">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rPr>
        <w:t>2、基金经理</w:t>
      </w:r>
    </w:p>
    <w:p w:rsidR="009B73E9" w:rsidRPr="00501A61" w:rsidRDefault="009B73E9" w:rsidP="00052F0E">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葛秋石先生，工学硕士。曾任易方达基金管理有限公司行业研究员、易方达价值成长混合型证券投资基金基金经理助理。现任易方达基金管理有限公司易方达创新驱动灵活配置混合型证券投资基金基金经理（自</w:t>
      </w:r>
      <w:r w:rsidRPr="00501A61">
        <w:rPr>
          <w:rFonts w:asciiTheme="minorEastAsia" w:eastAsiaTheme="minorEastAsia" w:hAnsiTheme="minorEastAsia"/>
        </w:rPr>
        <w:t>2018年3月30日起任职）、易方达价值精选混合型证券投资基金基金经理（自2018年12月11日起任职）。</w:t>
      </w:r>
    </w:p>
    <w:p w:rsidR="009B73E9" w:rsidRPr="00501A61" w:rsidRDefault="009B73E9" w:rsidP="00052F0E">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本基金历任基金经理情况：吴欣荣先生，管理时间为</w:t>
      </w:r>
      <w:r w:rsidRPr="00501A61">
        <w:rPr>
          <w:rFonts w:asciiTheme="minorEastAsia" w:eastAsiaTheme="minorEastAsia" w:hAnsiTheme="minorEastAsia"/>
        </w:rPr>
        <w:t>2006年6月13日至2014年4月7日；陈皓先生，管理时间为2014年11月22日至2017年5月10日；郑希先生，管理时间为2014年1月2日至2018年12月10日。</w:t>
      </w:r>
    </w:p>
    <w:p w:rsidR="009B73E9" w:rsidRPr="00501A61" w:rsidRDefault="009B73E9" w:rsidP="00052F0E">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rPr>
        <w:t>3、权益投资决策委员会成员</w:t>
      </w:r>
    </w:p>
    <w:p w:rsidR="009B73E9" w:rsidRPr="00501A61" w:rsidRDefault="009B73E9" w:rsidP="00052F0E">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本公司权益投资决策委员会成员包括：吴欣荣先生、冯波先生、陈皓先生、张坤先生、孙松先生、付浩先生。</w:t>
      </w:r>
    </w:p>
    <w:p w:rsidR="009B73E9" w:rsidRPr="00501A61" w:rsidRDefault="009B73E9" w:rsidP="00052F0E">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吴欣荣先生，同上。</w:t>
      </w:r>
    </w:p>
    <w:p w:rsidR="009B73E9" w:rsidRPr="00501A61" w:rsidRDefault="009B73E9" w:rsidP="00052F0E">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rsidR="009B73E9" w:rsidRPr="00501A61" w:rsidRDefault="009B73E9" w:rsidP="00052F0E">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国防军工混合型证券投资基金基金经理、易方达科讯混合型证券投资基金基金经理、易方达科融混合型证券投资基金基金经理</w:t>
      </w:r>
      <w:r w:rsidR="005F1A1C" w:rsidRPr="00501A61">
        <w:rPr>
          <w:rFonts w:asciiTheme="minorEastAsia" w:eastAsiaTheme="minorEastAsia" w:hAnsiTheme="minorEastAsia" w:hint="eastAsia"/>
        </w:rPr>
        <w:t>、易方达均衡成长股票型证券投资基金基金经理</w:t>
      </w:r>
      <w:r w:rsidRPr="00501A61">
        <w:rPr>
          <w:rFonts w:asciiTheme="minorEastAsia" w:eastAsiaTheme="minorEastAsia" w:hAnsiTheme="minorEastAsia" w:hint="eastAsia"/>
        </w:rPr>
        <w:t>。</w:t>
      </w:r>
    </w:p>
    <w:p w:rsidR="009B73E9" w:rsidRPr="00501A61" w:rsidRDefault="009B73E9" w:rsidP="00052F0E">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张坤先生，</w:t>
      </w:r>
      <w:r w:rsidR="00501A61" w:rsidRPr="00501A61">
        <w:rPr>
          <w:rFonts w:asciiTheme="minorEastAsia" w:eastAsiaTheme="minorEastAsia" w:hAnsiTheme="minorEastAsia" w:hint="eastAsia"/>
        </w:rPr>
        <w:t>同上。</w:t>
      </w:r>
    </w:p>
    <w:p w:rsidR="009B73E9" w:rsidRPr="00501A61" w:rsidRDefault="009B73E9" w:rsidP="00052F0E">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孙松先生，经济学硕士。曾任易方达基金管理有限公司交易员、集中交易室主管、集中交易室经理、行业研究员、基金经理助理、机构理财部总经理助理、机构理财部副总经理、</w:t>
      </w:r>
      <w:r w:rsidRPr="00501A61">
        <w:rPr>
          <w:rFonts w:asciiTheme="minorEastAsia" w:eastAsiaTheme="minorEastAsia" w:hAnsiTheme="minorEastAsia" w:hint="eastAsia"/>
        </w:rPr>
        <w:lastRenderedPageBreak/>
        <w:t>权益投资总部副总经理、专户投资部总经理、养老金与专户权益投资部总经理。现任易方达基金管理有限公司投资二部总经理、投资经理、易方达新常态灵活配置混合型证券投资基金基金经理。</w:t>
      </w:r>
    </w:p>
    <w:p w:rsidR="00053B4F" w:rsidRPr="00501A61" w:rsidRDefault="009B73E9" w:rsidP="00052F0E">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投资经理、易方达</w:t>
      </w:r>
      <w:r w:rsidRPr="00501A61">
        <w:rPr>
          <w:rFonts w:asciiTheme="minorEastAsia" w:eastAsiaTheme="minorEastAsia" w:hAnsiTheme="minorEastAsia"/>
        </w:rPr>
        <w:t>3年封闭运作战略配售灵活配置混合型证券投资基金（LOF）基金经理。</w:t>
      </w:r>
    </w:p>
    <w:bookmarkEnd w:id="8"/>
    <w:p w:rsidR="0002608C" w:rsidRPr="00501A61" w:rsidRDefault="00107648" w:rsidP="00052F0E">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rPr>
        <w:t>4、</w:t>
      </w:r>
      <w:r w:rsidR="0002608C" w:rsidRPr="00501A61">
        <w:rPr>
          <w:rFonts w:asciiTheme="minorEastAsia" w:eastAsiaTheme="minorEastAsia" w:hAnsiTheme="minorEastAsia" w:hint="eastAsia"/>
        </w:rPr>
        <w:t>上述人员之间均不存在近亲属关系。</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cs="仿宋_GB2312"/>
          <w:b w:val="0"/>
          <w:bCs/>
        </w:rPr>
      </w:pPr>
      <w:bookmarkStart w:id="9" w:name="_Toc45632187"/>
      <w:r w:rsidRPr="00501A61">
        <w:rPr>
          <w:rFonts w:asciiTheme="minorEastAsia" w:eastAsiaTheme="minorEastAsia" w:hAnsiTheme="minorEastAsia" w:hint="eastAsia"/>
          <w:b w:val="0"/>
          <w:bCs/>
          <w:szCs w:val="21"/>
        </w:rPr>
        <w:t>（三）</w:t>
      </w:r>
      <w:r w:rsidRPr="00501A61">
        <w:rPr>
          <w:rFonts w:asciiTheme="minorEastAsia" w:eastAsiaTheme="minorEastAsia" w:hAnsiTheme="minorEastAsia"/>
          <w:b w:val="0"/>
          <w:bCs/>
          <w:szCs w:val="21"/>
        </w:rPr>
        <w:t>基金管理人的职责</w:t>
      </w:r>
      <w:bookmarkEnd w:id="9"/>
    </w:p>
    <w:p w:rsidR="0002608C" w:rsidRPr="00501A61" w:rsidRDefault="002A0070" w:rsidP="00107648">
      <w:pPr>
        <w:snapToGrid w:val="0"/>
        <w:spacing w:line="360" w:lineRule="auto"/>
        <w:ind w:firstLine="420"/>
        <w:rPr>
          <w:rFonts w:asciiTheme="minorEastAsia" w:eastAsiaTheme="minorEastAsia" w:hAnsiTheme="minorEastAsia" w:cs="仿宋_GB2312"/>
        </w:rPr>
      </w:pPr>
      <w:r w:rsidRPr="00501A61">
        <w:rPr>
          <w:rFonts w:asciiTheme="minorEastAsia" w:eastAsiaTheme="minorEastAsia" w:hAnsiTheme="minorEastAsia" w:cs="仿宋_GB2312" w:hint="eastAsia"/>
        </w:rPr>
        <w:t>1、</w:t>
      </w:r>
      <w:r w:rsidR="009D6797" w:rsidRPr="00501A61">
        <w:rPr>
          <w:rFonts w:asciiTheme="minorEastAsia" w:eastAsiaTheme="minorEastAsia" w:hAnsiTheme="minorEastAsia" w:cs="仿宋_GB2312" w:hint="eastAsia"/>
        </w:rPr>
        <w:t>依法募集资金，办理基金份额的发售和登记事宜</w:t>
      </w:r>
      <w:r w:rsidR="0002608C" w:rsidRPr="00501A61">
        <w:rPr>
          <w:rFonts w:asciiTheme="minorEastAsia" w:eastAsiaTheme="minorEastAsia" w:hAnsiTheme="minorEastAsia" w:cs="仿宋_GB2312"/>
        </w:rPr>
        <w:t>；</w:t>
      </w:r>
    </w:p>
    <w:p w:rsidR="0002608C" w:rsidRPr="00501A61" w:rsidRDefault="002A0070" w:rsidP="00107648">
      <w:pPr>
        <w:snapToGrid w:val="0"/>
        <w:spacing w:line="360" w:lineRule="auto"/>
        <w:ind w:firstLine="420"/>
        <w:rPr>
          <w:rFonts w:asciiTheme="minorEastAsia" w:eastAsiaTheme="minorEastAsia" w:hAnsiTheme="minorEastAsia" w:cs="仿宋_GB2312"/>
        </w:rPr>
      </w:pPr>
      <w:r w:rsidRPr="00501A61">
        <w:rPr>
          <w:rFonts w:asciiTheme="minorEastAsia" w:eastAsiaTheme="minorEastAsia" w:hAnsiTheme="minorEastAsia" w:cs="仿宋_GB2312" w:hint="eastAsia"/>
        </w:rPr>
        <w:t>2、</w:t>
      </w:r>
      <w:r w:rsidR="0002608C" w:rsidRPr="00501A61">
        <w:rPr>
          <w:rFonts w:asciiTheme="minorEastAsia" w:eastAsiaTheme="minorEastAsia" w:hAnsiTheme="minorEastAsia" w:cs="仿宋_GB2312"/>
        </w:rPr>
        <w:t>办理基金备案手续；</w:t>
      </w:r>
    </w:p>
    <w:p w:rsidR="0002608C" w:rsidRPr="00501A61" w:rsidRDefault="002A0070" w:rsidP="00107648">
      <w:pPr>
        <w:snapToGrid w:val="0"/>
        <w:spacing w:line="360" w:lineRule="auto"/>
        <w:ind w:firstLine="420"/>
        <w:rPr>
          <w:rFonts w:asciiTheme="minorEastAsia" w:eastAsiaTheme="minorEastAsia" w:hAnsiTheme="minorEastAsia" w:cs="仿宋_GB2312"/>
        </w:rPr>
      </w:pPr>
      <w:r w:rsidRPr="00501A61">
        <w:rPr>
          <w:rFonts w:asciiTheme="minorEastAsia" w:eastAsiaTheme="minorEastAsia" w:hAnsiTheme="minorEastAsia" w:cs="仿宋_GB2312" w:hint="eastAsia"/>
        </w:rPr>
        <w:t>3、</w:t>
      </w:r>
      <w:r w:rsidR="0002608C" w:rsidRPr="00501A61">
        <w:rPr>
          <w:rFonts w:asciiTheme="minorEastAsia" w:eastAsiaTheme="minorEastAsia" w:hAnsiTheme="minorEastAsia" w:cs="仿宋_GB2312"/>
        </w:rPr>
        <w:t>对所管理的不同基金财产分别管理、分别记账，进行证券投资；</w:t>
      </w:r>
    </w:p>
    <w:p w:rsidR="0002608C" w:rsidRPr="00501A61" w:rsidRDefault="002A0070" w:rsidP="00107648">
      <w:pPr>
        <w:snapToGrid w:val="0"/>
        <w:spacing w:line="360" w:lineRule="auto"/>
        <w:ind w:firstLine="420"/>
        <w:rPr>
          <w:rFonts w:asciiTheme="minorEastAsia" w:eastAsiaTheme="minorEastAsia" w:hAnsiTheme="minorEastAsia" w:cs="仿宋_GB2312"/>
        </w:rPr>
      </w:pPr>
      <w:r w:rsidRPr="00501A61">
        <w:rPr>
          <w:rFonts w:asciiTheme="minorEastAsia" w:eastAsiaTheme="minorEastAsia" w:hAnsiTheme="minorEastAsia" w:cs="仿宋_GB2312" w:hint="eastAsia"/>
        </w:rPr>
        <w:t>4、</w:t>
      </w:r>
      <w:r w:rsidR="0002608C" w:rsidRPr="00501A61">
        <w:rPr>
          <w:rFonts w:asciiTheme="minorEastAsia" w:eastAsiaTheme="minorEastAsia" w:hAnsiTheme="minorEastAsia" w:cs="仿宋_GB2312"/>
        </w:rPr>
        <w:t>按照基金合同的约定确定基金收益分配方案，及时向基金份额持有人分配收益；</w:t>
      </w:r>
    </w:p>
    <w:p w:rsidR="0002608C" w:rsidRPr="00501A61" w:rsidRDefault="002A0070" w:rsidP="00107648">
      <w:pPr>
        <w:snapToGrid w:val="0"/>
        <w:spacing w:line="360" w:lineRule="auto"/>
        <w:ind w:firstLine="420"/>
        <w:rPr>
          <w:rFonts w:asciiTheme="minorEastAsia" w:eastAsiaTheme="minorEastAsia" w:hAnsiTheme="minorEastAsia" w:cs="仿宋_GB2312"/>
        </w:rPr>
      </w:pPr>
      <w:r w:rsidRPr="00501A61">
        <w:rPr>
          <w:rFonts w:asciiTheme="minorEastAsia" w:eastAsiaTheme="minorEastAsia" w:hAnsiTheme="minorEastAsia" w:cs="仿宋_GB2312" w:hint="eastAsia"/>
        </w:rPr>
        <w:t>5、</w:t>
      </w:r>
      <w:r w:rsidR="0002608C" w:rsidRPr="00501A61">
        <w:rPr>
          <w:rFonts w:asciiTheme="minorEastAsia" w:eastAsiaTheme="minorEastAsia" w:hAnsiTheme="minorEastAsia" w:cs="仿宋_GB2312"/>
        </w:rPr>
        <w:t>进行基金会计核算并编制基金财务会计报告；</w:t>
      </w:r>
    </w:p>
    <w:p w:rsidR="0002608C" w:rsidRPr="00501A61" w:rsidRDefault="002A0070" w:rsidP="00107648">
      <w:pPr>
        <w:snapToGrid w:val="0"/>
        <w:spacing w:line="360" w:lineRule="auto"/>
        <w:ind w:firstLine="420"/>
        <w:rPr>
          <w:rFonts w:asciiTheme="minorEastAsia" w:eastAsiaTheme="minorEastAsia" w:hAnsiTheme="minorEastAsia" w:cs="仿宋_GB2312"/>
        </w:rPr>
      </w:pPr>
      <w:r w:rsidRPr="00501A61">
        <w:rPr>
          <w:rFonts w:asciiTheme="minorEastAsia" w:eastAsiaTheme="minorEastAsia" w:hAnsiTheme="minorEastAsia" w:cs="仿宋_GB2312" w:hint="eastAsia"/>
        </w:rPr>
        <w:t>6、</w:t>
      </w:r>
      <w:r w:rsidR="0002608C" w:rsidRPr="00501A61">
        <w:rPr>
          <w:rFonts w:asciiTheme="minorEastAsia" w:eastAsiaTheme="minorEastAsia" w:hAnsiTheme="minorEastAsia" w:cs="仿宋_GB2312"/>
        </w:rPr>
        <w:t>编制</w:t>
      </w:r>
      <w:r w:rsidR="008E5383" w:rsidRPr="00501A61">
        <w:rPr>
          <w:rFonts w:asciiTheme="minorEastAsia" w:eastAsiaTheme="minorEastAsia" w:hAnsiTheme="minorEastAsia" w:cs="仿宋_GB2312" w:hint="eastAsia"/>
        </w:rPr>
        <w:t>季度报告、中期报告和年度报告</w:t>
      </w:r>
      <w:r w:rsidR="0002608C" w:rsidRPr="00501A61">
        <w:rPr>
          <w:rFonts w:asciiTheme="minorEastAsia" w:eastAsiaTheme="minorEastAsia" w:hAnsiTheme="minorEastAsia" w:cs="仿宋_GB2312"/>
        </w:rPr>
        <w:t>；</w:t>
      </w:r>
    </w:p>
    <w:p w:rsidR="0002608C" w:rsidRPr="00501A61" w:rsidRDefault="002A0070" w:rsidP="00107648">
      <w:pPr>
        <w:snapToGrid w:val="0"/>
        <w:spacing w:line="360" w:lineRule="auto"/>
        <w:ind w:firstLine="420"/>
        <w:rPr>
          <w:rFonts w:asciiTheme="minorEastAsia" w:eastAsiaTheme="minorEastAsia" w:hAnsiTheme="minorEastAsia" w:cs="仿宋_GB2312"/>
        </w:rPr>
      </w:pPr>
      <w:r w:rsidRPr="00501A61">
        <w:rPr>
          <w:rFonts w:asciiTheme="minorEastAsia" w:eastAsiaTheme="minorEastAsia" w:hAnsiTheme="minorEastAsia" w:cs="仿宋_GB2312" w:hint="eastAsia"/>
        </w:rPr>
        <w:t>7、</w:t>
      </w:r>
      <w:r w:rsidR="0002608C" w:rsidRPr="00501A61">
        <w:rPr>
          <w:rFonts w:asciiTheme="minorEastAsia" w:eastAsiaTheme="minorEastAsia" w:hAnsiTheme="minorEastAsia" w:cs="仿宋_GB2312"/>
        </w:rPr>
        <w:t>计算并公告基金</w:t>
      </w:r>
      <w:r w:rsidR="008E5383" w:rsidRPr="00501A61">
        <w:rPr>
          <w:rFonts w:asciiTheme="minorEastAsia" w:eastAsiaTheme="minorEastAsia" w:hAnsiTheme="minorEastAsia" w:cs="仿宋_GB2312" w:hint="eastAsia"/>
        </w:rPr>
        <w:t>净值信息</w:t>
      </w:r>
      <w:r w:rsidR="0002608C" w:rsidRPr="00501A61">
        <w:rPr>
          <w:rFonts w:asciiTheme="minorEastAsia" w:eastAsiaTheme="minorEastAsia" w:hAnsiTheme="minorEastAsia" w:cs="仿宋_GB2312"/>
        </w:rPr>
        <w:t>，确定基金份额申购、赎回价格；</w:t>
      </w:r>
    </w:p>
    <w:p w:rsidR="0002608C" w:rsidRPr="00501A61" w:rsidRDefault="002A0070" w:rsidP="00107648">
      <w:pPr>
        <w:snapToGrid w:val="0"/>
        <w:spacing w:line="360" w:lineRule="auto"/>
        <w:ind w:firstLine="420"/>
        <w:rPr>
          <w:rFonts w:asciiTheme="minorEastAsia" w:eastAsiaTheme="minorEastAsia" w:hAnsiTheme="minorEastAsia" w:cs="仿宋_GB2312"/>
        </w:rPr>
      </w:pPr>
      <w:r w:rsidRPr="00501A61">
        <w:rPr>
          <w:rFonts w:asciiTheme="minorEastAsia" w:eastAsiaTheme="minorEastAsia" w:hAnsiTheme="minorEastAsia" w:cs="仿宋_GB2312" w:hint="eastAsia"/>
        </w:rPr>
        <w:t>8、</w:t>
      </w:r>
      <w:r w:rsidR="0002608C" w:rsidRPr="00501A61">
        <w:rPr>
          <w:rFonts w:asciiTheme="minorEastAsia" w:eastAsiaTheme="minorEastAsia" w:hAnsiTheme="minorEastAsia" w:cs="仿宋_GB2312"/>
        </w:rPr>
        <w:t>办理与基金财产管理业务活动有关的信息披露事项；</w:t>
      </w:r>
    </w:p>
    <w:p w:rsidR="0002608C" w:rsidRPr="00501A61" w:rsidRDefault="002A0070" w:rsidP="00107648">
      <w:pPr>
        <w:snapToGrid w:val="0"/>
        <w:spacing w:line="360" w:lineRule="auto"/>
        <w:ind w:firstLine="420"/>
        <w:rPr>
          <w:rFonts w:asciiTheme="minorEastAsia" w:eastAsiaTheme="minorEastAsia" w:hAnsiTheme="minorEastAsia" w:cs="仿宋_GB2312"/>
        </w:rPr>
      </w:pPr>
      <w:r w:rsidRPr="00501A61">
        <w:rPr>
          <w:rFonts w:asciiTheme="minorEastAsia" w:eastAsiaTheme="minorEastAsia" w:hAnsiTheme="minorEastAsia" w:cs="仿宋_GB2312" w:hint="eastAsia"/>
        </w:rPr>
        <w:t>9、</w:t>
      </w:r>
      <w:r w:rsidR="009D6797" w:rsidRPr="00501A61">
        <w:rPr>
          <w:rFonts w:asciiTheme="minorEastAsia" w:eastAsiaTheme="minorEastAsia" w:hAnsiTheme="minorEastAsia" w:cs="仿宋_GB2312" w:hint="eastAsia"/>
        </w:rPr>
        <w:t>按照规定</w:t>
      </w:r>
      <w:r w:rsidR="0002608C" w:rsidRPr="00501A61">
        <w:rPr>
          <w:rFonts w:asciiTheme="minorEastAsia" w:eastAsiaTheme="minorEastAsia" w:hAnsiTheme="minorEastAsia" w:cs="仿宋_GB2312"/>
        </w:rPr>
        <w:t>召集基金份额持有人大会；</w:t>
      </w:r>
    </w:p>
    <w:p w:rsidR="0002608C" w:rsidRPr="00501A61" w:rsidRDefault="002A0070" w:rsidP="00107648">
      <w:pPr>
        <w:snapToGrid w:val="0"/>
        <w:spacing w:line="360" w:lineRule="auto"/>
        <w:ind w:firstLine="420"/>
        <w:rPr>
          <w:rFonts w:asciiTheme="minorEastAsia" w:eastAsiaTheme="minorEastAsia" w:hAnsiTheme="minorEastAsia" w:cs="仿宋_GB2312"/>
        </w:rPr>
      </w:pPr>
      <w:r w:rsidRPr="00501A61">
        <w:rPr>
          <w:rFonts w:asciiTheme="minorEastAsia" w:eastAsiaTheme="minorEastAsia" w:hAnsiTheme="minorEastAsia" w:cs="仿宋_GB2312" w:hint="eastAsia"/>
        </w:rPr>
        <w:t>10、</w:t>
      </w:r>
      <w:r w:rsidR="00E1094C" w:rsidRPr="00501A61">
        <w:rPr>
          <w:rFonts w:asciiTheme="minorEastAsia" w:eastAsiaTheme="minorEastAsia" w:hAnsiTheme="minorEastAsia" w:cs="仿宋_GB2312" w:hint="eastAsia"/>
        </w:rPr>
        <w:t>保存</w:t>
      </w:r>
      <w:r w:rsidR="0002608C" w:rsidRPr="00501A61">
        <w:rPr>
          <w:rFonts w:asciiTheme="minorEastAsia" w:eastAsiaTheme="minorEastAsia" w:hAnsiTheme="minorEastAsia" w:cs="仿宋_GB2312" w:hint="eastAsia"/>
        </w:rPr>
        <w:t>基</w:t>
      </w:r>
      <w:r w:rsidR="0002608C" w:rsidRPr="00501A61">
        <w:rPr>
          <w:rFonts w:asciiTheme="minorEastAsia" w:eastAsiaTheme="minorEastAsia" w:hAnsiTheme="minorEastAsia" w:cs="仿宋_GB2312"/>
        </w:rPr>
        <w:t>金财产管理业务活动的记录、账册、报表和其他相关资料；</w:t>
      </w:r>
    </w:p>
    <w:p w:rsidR="0002608C" w:rsidRPr="00501A61" w:rsidRDefault="002A0070" w:rsidP="00107648">
      <w:pPr>
        <w:snapToGrid w:val="0"/>
        <w:spacing w:line="360" w:lineRule="auto"/>
        <w:ind w:firstLine="420"/>
        <w:rPr>
          <w:rFonts w:asciiTheme="minorEastAsia" w:eastAsiaTheme="minorEastAsia" w:hAnsiTheme="minorEastAsia" w:cs="仿宋_GB2312"/>
        </w:rPr>
      </w:pPr>
      <w:r w:rsidRPr="00501A61">
        <w:rPr>
          <w:rFonts w:asciiTheme="minorEastAsia" w:eastAsiaTheme="minorEastAsia" w:hAnsiTheme="minorEastAsia" w:cs="仿宋_GB2312" w:hint="eastAsia"/>
        </w:rPr>
        <w:t>11、</w:t>
      </w:r>
      <w:r w:rsidR="0002608C" w:rsidRPr="00501A61">
        <w:rPr>
          <w:rFonts w:asciiTheme="minorEastAsia" w:eastAsiaTheme="minorEastAsia" w:hAnsiTheme="minorEastAsia" w:cs="仿宋_GB2312"/>
        </w:rPr>
        <w:t>以基金管理人名义，代表基金份额持有人利益行使诉讼权利或者实施其他法律行为；</w:t>
      </w:r>
    </w:p>
    <w:p w:rsidR="0002608C" w:rsidRPr="00501A61" w:rsidRDefault="002A0070" w:rsidP="00107648">
      <w:pPr>
        <w:snapToGrid w:val="0"/>
        <w:spacing w:line="360" w:lineRule="auto"/>
        <w:ind w:firstLine="420"/>
        <w:rPr>
          <w:rFonts w:asciiTheme="minorEastAsia" w:eastAsiaTheme="minorEastAsia" w:hAnsiTheme="minorEastAsia" w:cs="仿宋_GB2312"/>
        </w:rPr>
      </w:pPr>
      <w:r w:rsidRPr="00501A61">
        <w:rPr>
          <w:rFonts w:asciiTheme="minorEastAsia" w:eastAsiaTheme="minorEastAsia" w:hAnsiTheme="minorEastAsia" w:cs="仿宋_GB2312" w:hint="eastAsia"/>
        </w:rPr>
        <w:t>12、</w:t>
      </w:r>
      <w:r w:rsidR="0002608C" w:rsidRPr="00501A61">
        <w:rPr>
          <w:rFonts w:asciiTheme="minorEastAsia" w:eastAsiaTheme="minorEastAsia" w:hAnsiTheme="minorEastAsia" w:cs="仿宋_GB2312"/>
        </w:rPr>
        <w:t>国务院证券监督管理机构规定的其他职责。</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sz w:val="21"/>
        </w:rPr>
      </w:pPr>
      <w:bookmarkStart w:id="10" w:name="_Toc45632188"/>
      <w:r w:rsidRPr="00501A61">
        <w:rPr>
          <w:rFonts w:asciiTheme="minorEastAsia" w:eastAsiaTheme="minorEastAsia" w:hAnsiTheme="minorEastAsia" w:hint="eastAsia"/>
          <w:b w:val="0"/>
          <w:bCs/>
          <w:szCs w:val="21"/>
        </w:rPr>
        <w:t>（四）</w:t>
      </w:r>
      <w:r w:rsidRPr="00501A61">
        <w:rPr>
          <w:rFonts w:asciiTheme="minorEastAsia" w:eastAsiaTheme="minorEastAsia" w:hAnsiTheme="minorEastAsia"/>
          <w:b w:val="0"/>
          <w:bCs/>
          <w:szCs w:val="21"/>
        </w:rPr>
        <w:t>基金管理人的承诺</w:t>
      </w:r>
      <w:bookmarkEnd w:id="10"/>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cs="Arial"/>
          <w:kern w:val="0"/>
          <w:szCs w:val="21"/>
        </w:rPr>
        <w:t>1</w:t>
      </w:r>
      <w:r w:rsidR="002A0070" w:rsidRPr="00501A61">
        <w:rPr>
          <w:rFonts w:asciiTheme="minorEastAsia" w:eastAsiaTheme="minorEastAsia" w:hAnsiTheme="minorEastAsia" w:hint="eastAsia"/>
          <w:kern w:val="0"/>
          <w:szCs w:val="21"/>
        </w:rPr>
        <w:t>、</w:t>
      </w:r>
      <w:r w:rsidRPr="00501A61">
        <w:rPr>
          <w:rFonts w:asciiTheme="minorEastAsia" w:eastAsiaTheme="minorEastAsia" w:hAnsiTheme="minorEastAsia"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rPr>
      </w:pPr>
      <w:r w:rsidRPr="00501A61">
        <w:rPr>
          <w:rFonts w:asciiTheme="minorEastAsia" w:eastAsiaTheme="minorEastAsia" w:hAnsiTheme="minorEastAsia" w:cs="Arial" w:hint="eastAsia"/>
          <w:kern w:val="0"/>
          <w:szCs w:val="21"/>
        </w:rPr>
        <w:t>2</w:t>
      </w:r>
      <w:r w:rsidR="002A0070" w:rsidRPr="00501A61">
        <w:rPr>
          <w:rFonts w:asciiTheme="minorEastAsia" w:eastAsiaTheme="minorEastAsia" w:hAnsiTheme="minorEastAsia" w:cs="Arial" w:hint="eastAsia"/>
          <w:kern w:val="0"/>
          <w:szCs w:val="21"/>
        </w:rPr>
        <w:t>、</w:t>
      </w:r>
      <w:r w:rsidRPr="00501A61">
        <w:rPr>
          <w:rFonts w:asciiTheme="minorEastAsia" w:eastAsiaTheme="minorEastAsia" w:hAnsiTheme="minorEastAsia" w:hint="eastAsia"/>
        </w:rPr>
        <w:t>本基金管理人承诺严格遵守《中华人民共和国证券法》、《基金法》及有关法律法规，建立健全的内部控制制度，采取有效措施，防止下列行为发生：</w:t>
      </w:r>
    </w:p>
    <w:p w:rsidR="0002608C" w:rsidRPr="00501A61" w:rsidRDefault="0002608C" w:rsidP="00107648">
      <w:pPr>
        <w:numPr>
          <w:ilvl w:val="1"/>
          <w:numId w:val="19"/>
        </w:numPr>
        <w:tabs>
          <w:tab w:val="left" w:pos="735"/>
          <w:tab w:val="num" w:pos="1320"/>
        </w:tabs>
        <w:snapToGrid w:val="0"/>
        <w:spacing w:line="360" w:lineRule="auto"/>
        <w:ind w:left="0" w:firstLineChars="200" w:firstLine="420"/>
        <w:rPr>
          <w:rFonts w:asciiTheme="minorEastAsia" w:eastAsiaTheme="minorEastAsia" w:hAnsiTheme="minorEastAsia"/>
        </w:rPr>
      </w:pPr>
      <w:r w:rsidRPr="00501A61">
        <w:rPr>
          <w:rFonts w:asciiTheme="minorEastAsia" w:eastAsiaTheme="minorEastAsia" w:hAnsiTheme="minorEastAsia" w:hint="eastAsia"/>
        </w:rPr>
        <w:t>将其固有财产或者他人财产混同于基金财产从事证券投资；</w:t>
      </w:r>
    </w:p>
    <w:p w:rsidR="0002608C" w:rsidRPr="00501A61" w:rsidRDefault="0002608C" w:rsidP="00107648">
      <w:pPr>
        <w:numPr>
          <w:ilvl w:val="1"/>
          <w:numId w:val="19"/>
        </w:numPr>
        <w:tabs>
          <w:tab w:val="left" w:pos="735"/>
          <w:tab w:val="num" w:pos="1320"/>
        </w:tabs>
        <w:snapToGrid w:val="0"/>
        <w:spacing w:line="360" w:lineRule="auto"/>
        <w:ind w:left="0" w:firstLineChars="200" w:firstLine="420"/>
        <w:rPr>
          <w:rFonts w:asciiTheme="minorEastAsia" w:eastAsiaTheme="minorEastAsia" w:hAnsiTheme="minorEastAsia"/>
        </w:rPr>
      </w:pPr>
      <w:r w:rsidRPr="00501A61">
        <w:rPr>
          <w:rFonts w:asciiTheme="minorEastAsia" w:eastAsiaTheme="minorEastAsia" w:hAnsiTheme="minorEastAsia" w:hint="eastAsia"/>
        </w:rPr>
        <w:lastRenderedPageBreak/>
        <w:t>不公平地对待其管理的不同基金财产；</w:t>
      </w:r>
    </w:p>
    <w:p w:rsidR="0002608C" w:rsidRPr="00501A61" w:rsidRDefault="0002608C" w:rsidP="00107648">
      <w:pPr>
        <w:numPr>
          <w:ilvl w:val="1"/>
          <w:numId w:val="19"/>
        </w:numPr>
        <w:tabs>
          <w:tab w:val="left" w:pos="735"/>
          <w:tab w:val="num" w:pos="1320"/>
        </w:tabs>
        <w:snapToGrid w:val="0"/>
        <w:spacing w:line="360" w:lineRule="auto"/>
        <w:ind w:left="0" w:firstLineChars="200" w:firstLine="420"/>
        <w:rPr>
          <w:rFonts w:asciiTheme="minorEastAsia" w:eastAsiaTheme="minorEastAsia" w:hAnsiTheme="minorEastAsia"/>
        </w:rPr>
      </w:pPr>
      <w:r w:rsidRPr="00501A61">
        <w:rPr>
          <w:rFonts w:asciiTheme="minorEastAsia" w:eastAsiaTheme="minorEastAsia" w:hAnsiTheme="minorEastAsia" w:hint="eastAsia"/>
        </w:rPr>
        <w:t>利用基金财产</w:t>
      </w:r>
      <w:r w:rsidR="009D6797" w:rsidRPr="00501A61">
        <w:rPr>
          <w:rStyle w:val="da"/>
          <w:rFonts w:asciiTheme="minorEastAsia" w:eastAsiaTheme="minorEastAsia" w:hAnsiTheme="minorEastAsia" w:hint="eastAsia"/>
        </w:rPr>
        <w:t>或者职务之便</w:t>
      </w:r>
      <w:r w:rsidRPr="00501A61">
        <w:rPr>
          <w:rFonts w:asciiTheme="minorEastAsia" w:eastAsiaTheme="minorEastAsia" w:hAnsiTheme="minorEastAsia" w:hint="eastAsia"/>
        </w:rPr>
        <w:t>为基金份额持有人以外的第三人谋取利益；</w:t>
      </w:r>
    </w:p>
    <w:p w:rsidR="0002608C" w:rsidRPr="00501A61" w:rsidRDefault="0002608C" w:rsidP="00107648">
      <w:pPr>
        <w:numPr>
          <w:ilvl w:val="1"/>
          <w:numId w:val="19"/>
        </w:numPr>
        <w:tabs>
          <w:tab w:val="left" w:pos="735"/>
          <w:tab w:val="num" w:pos="1320"/>
        </w:tabs>
        <w:snapToGrid w:val="0"/>
        <w:spacing w:line="360" w:lineRule="auto"/>
        <w:ind w:left="0" w:firstLineChars="200" w:firstLine="420"/>
        <w:rPr>
          <w:rFonts w:asciiTheme="minorEastAsia" w:eastAsiaTheme="minorEastAsia" w:hAnsiTheme="minorEastAsia"/>
        </w:rPr>
      </w:pPr>
      <w:r w:rsidRPr="00501A61">
        <w:rPr>
          <w:rFonts w:asciiTheme="minorEastAsia" w:eastAsiaTheme="minorEastAsia" w:hAnsiTheme="minorEastAsia" w:hint="eastAsia"/>
        </w:rPr>
        <w:t>向基金份额持有人违规承诺收益或者承担损失；</w:t>
      </w:r>
    </w:p>
    <w:p w:rsidR="009D6797" w:rsidRPr="00501A61" w:rsidRDefault="009D6797" w:rsidP="00107648">
      <w:pPr>
        <w:numPr>
          <w:ilvl w:val="1"/>
          <w:numId w:val="19"/>
        </w:numPr>
        <w:tabs>
          <w:tab w:val="left" w:pos="735"/>
          <w:tab w:val="num" w:pos="1320"/>
        </w:tabs>
        <w:snapToGrid w:val="0"/>
        <w:spacing w:line="360" w:lineRule="auto"/>
        <w:ind w:left="0" w:firstLineChars="200" w:firstLine="420"/>
        <w:rPr>
          <w:rFonts w:asciiTheme="minorEastAsia" w:eastAsiaTheme="minorEastAsia" w:hAnsiTheme="minorEastAsia"/>
        </w:rPr>
      </w:pPr>
      <w:r w:rsidRPr="00501A61">
        <w:rPr>
          <w:rFonts w:asciiTheme="minorEastAsia" w:eastAsiaTheme="minorEastAsia" w:hAnsiTheme="minorEastAsia" w:hint="eastAsia"/>
        </w:rPr>
        <w:t>侵占、挪用基金财产；</w:t>
      </w:r>
    </w:p>
    <w:p w:rsidR="009D6797" w:rsidRPr="00501A61" w:rsidRDefault="009D6797" w:rsidP="00107648">
      <w:pPr>
        <w:numPr>
          <w:ilvl w:val="1"/>
          <w:numId w:val="19"/>
        </w:numPr>
        <w:tabs>
          <w:tab w:val="left" w:pos="735"/>
          <w:tab w:val="num" w:pos="1320"/>
        </w:tabs>
        <w:snapToGrid w:val="0"/>
        <w:spacing w:line="360" w:lineRule="auto"/>
        <w:ind w:left="0" w:firstLineChars="200" w:firstLine="420"/>
        <w:rPr>
          <w:rFonts w:asciiTheme="minorEastAsia" w:eastAsiaTheme="minorEastAsia" w:hAnsiTheme="minorEastAsia"/>
        </w:rPr>
      </w:pPr>
      <w:r w:rsidRPr="00501A61">
        <w:rPr>
          <w:rFonts w:asciiTheme="minorEastAsia" w:eastAsiaTheme="minorEastAsia" w:hAnsiTheme="minorEastAsia" w:hint="eastAsia"/>
        </w:rPr>
        <w:t>泄露因职务便利获取的未公开信息、利用该信息从事或者明示、暗示他人从事相关的交易活动；</w:t>
      </w:r>
    </w:p>
    <w:p w:rsidR="009D6797" w:rsidRPr="00501A61" w:rsidRDefault="009D6797" w:rsidP="00107648">
      <w:pPr>
        <w:numPr>
          <w:ilvl w:val="1"/>
          <w:numId w:val="19"/>
        </w:numPr>
        <w:tabs>
          <w:tab w:val="left" w:pos="735"/>
          <w:tab w:val="num" w:pos="1320"/>
        </w:tabs>
        <w:snapToGrid w:val="0"/>
        <w:spacing w:line="360" w:lineRule="auto"/>
        <w:ind w:left="0" w:firstLineChars="200" w:firstLine="420"/>
        <w:rPr>
          <w:rFonts w:asciiTheme="minorEastAsia" w:eastAsiaTheme="minorEastAsia" w:hAnsiTheme="minorEastAsia"/>
        </w:rPr>
      </w:pPr>
      <w:r w:rsidRPr="00501A61">
        <w:rPr>
          <w:rFonts w:asciiTheme="minorEastAsia" w:eastAsiaTheme="minorEastAsia" w:hAnsiTheme="minorEastAsia" w:hint="eastAsia"/>
        </w:rPr>
        <w:t>玩忽职守，不按照规定履行职责；</w:t>
      </w:r>
    </w:p>
    <w:p w:rsidR="0002608C" w:rsidRPr="00501A61" w:rsidRDefault="009D6797" w:rsidP="00107648">
      <w:pPr>
        <w:numPr>
          <w:ilvl w:val="1"/>
          <w:numId w:val="19"/>
        </w:numPr>
        <w:tabs>
          <w:tab w:val="left" w:pos="735"/>
          <w:tab w:val="num" w:pos="1320"/>
        </w:tabs>
        <w:snapToGrid w:val="0"/>
        <w:spacing w:line="360" w:lineRule="auto"/>
        <w:ind w:left="0" w:firstLineChars="200" w:firstLine="420"/>
        <w:rPr>
          <w:rFonts w:asciiTheme="minorEastAsia" w:eastAsiaTheme="minorEastAsia" w:hAnsiTheme="minorEastAsia"/>
        </w:rPr>
      </w:pPr>
      <w:r w:rsidRPr="00501A61">
        <w:rPr>
          <w:rFonts w:asciiTheme="minorEastAsia" w:eastAsiaTheme="minorEastAsia" w:hAnsiTheme="minorEastAsia" w:hint="eastAsia"/>
        </w:rPr>
        <w:t>法律、行政法规和中国证监会规定禁止的其他行为。</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cs="Arial"/>
          <w:kern w:val="0"/>
          <w:szCs w:val="21"/>
        </w:rPr>
        <w:t>3</w:t>
      </w:r>
      <w:r w:rsidR="002A0070" w:rsidRPr="00501A61">
        <w:rPr>
          <w:rFonts w:asciiTheme="minorEastAsia" w:eastAsiaTheme="minorEastAsia" w:hAnsiTheme="minorEastAsia" w:hint="eastAsia"/>
          <w:kern w:val="0"/>
          <w:szCs w:val="21"/>
        </w:rPr>
        <w:t>、</w:t>
      </w:r>
      <w:r w:rsidRPr="00501A61">
        <w:rPr>
          <w:rFonts w:asciiTheme="minorEastAsia" w:eastAsiaTheme="minorEastAsia" w:hAnsiTheme="minorEastAsia" w:hint="eastAsia"/>
          <w:kern w:val="0"/>
          <w:szCs w:val="21"/>
        </w:rPr>
        <w:t>本基金管理人承诺加强人员管理，强化职业操守，督促和约束员工遵守国家有关法律、法规及行业规范，诚实信用、勤勉尽责，不从事以下活动：</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w:t>
      </w:r>
      <w:r w:rsidRPr="00501A61">
        <w:rPr>
          <w:rFonts w:asciiTheme="minorEastAsia" w:eastAsiaTheme="minorEastAsia" w:hAnsiTheme="minorEastAsia" w:cs="Arial"/>
          <w:kern w:val="0"/>
          <w:szCs w:val="21"/>
        </w:rPr>
        <w:t>1</w:t>
      </w:r>
      <w:r w:rsidRPr="00501A61">
        <w:rPr>
          <w:rFonts w:asciiTheme="minorEastAsia" w:eastAsiaTheme="minorEastAsia" w:hAnsiTheme="minorEastAsia" w:hint="eastAsia"/>
          <w:kern w:val="0"/>
          <w:szCs w:val="21"/>
        </w:rPr>
        <w:t>）越权或违规经营；</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w:t>
      </w:r>
      <w:r w:rsidRPr="00501A61">
        <w:rPr>
          <w:rFonts w:asciiTheme="minorEastAsia" w:eastAsiaTheme="minorEastAsia" w:hAnsiTheme="minorEastAsia" w:cs="Arial"/>
          <w:kern w:val="0"/>
          <w:szCs w:val="21"/>
        </w:rPr>
        <w:t>2</w:t>
      </w:r>
      <w:r w:rsidRPr="00501A61">
        <w:rPr>
          <w:rFonts w:asciiTheme="minorEastAsia" w:eastAsiaTheme="minorEastAsia" w:hAnsiTheme="minorEastAsia" w:hint="eastAsia"/>
          <w:kern w:val="0"/>
          <w:szCs w:val="21"/>
        </w:rPr>
        <w:t>）违反基金合同或托管协议；</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w:t>
      </w:r>
      <w:r w:rsidRPr="00501A61">
        <w:rPr>
          <w:rFonts w:asciiTheme="minorEastAsia" w:eastAsiaTheme="minorEastAsia" w:hAnsiTheme="minorEastAsia" w:cs="Arial"/>
          <w:kern w:val="0"/>
          <w:szCs w:val="21"/>
        </w:rPr>
        <w:t>3</w:t>
      </w:r>
      <w:r w:rsidRPr="00501A61">
        <w:rPr>
          <w:rFonts w:asciiTheme="minorEastAsia" w:eastAsiaTheme="minorEastAsia" w:hAnsiTheme="minorEastAsia" w:hint="eastAsia"/>
          <w:kern w:val="0"/>
          <w:szCs w:val="21"/>
        </w:rPr>
        <w:t>）故意损害基金份额持有人或其他基金相关机构的合法利益；</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w:t>
      </w:r>
      <w:r w:rsidRPr="00501A61">
        <w:rPr>
          <w:rFonts w:asciiTheme="minorEastAsia" w:eastAsiaTheme="minorEastAsia" w:hAnsiTheme="minorEastAsia" w:cs="Arial"/>
          <w:kern w:val="0"/>
          <w:szCs w:val="21"/>
        </w:rPr>
        <w:t>4</w:t>
      </w:r>
      <w:r w:rsidRPr="00501A61">
        <w:rPr>
          <w:rFonts w:asciiTheme="minorEastAsia" w:eastAsiaTheme="minorEastAsia" w:hAnsiTheme="minorEastAsia" w:hint="eastAsia"/>
          <w:kern w:val="0"/>
          <w:szCs w:val="21"/>
        </w:rPr>
        <w:t>）在向中国证监会报送的资料中弄虚作假；</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w:t>
      </w:r>
      <w:r w:rsidRPr="00501A61">
        <w:rPr>
          <w:rFonts w:asciiTheme="minorEastAsia" w:eastAsiaTheme="minorEastAsia" w:hAnsiTheme="minorEastAsia" w:cs="Arial"/>
          <w:kern w:val="0"/>
          <w:szCs w:val="21"/>
        </w:rPr>
        <w:t>5</w:t>
      </w:r>
      <w:r w:rsidRPr="00501A61">
        <w:rPr>
          <w:rFonts w:asciiTheme="minorEastAsia" w:eastAsiaTheme="minorEastAsia" w:hAnsiTheme="minorEastAsia" w:hint="eastAsia"/>
          <w:kern w:val="0"/>
          <w:szCs w:val="21"/>
        </w:rPr>
        <w:t>）拒绝、干扰、阻挠或严重影响中国证监会依法监管；</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w:t>
      </w:r>
      <w:r w:rsidRPr="00501A61">
        <w:rPr>
          <w:rFonts w:asciiTheme="minorEastAsia" w:eastAsiaTheme="minorEastAsia" w:hAnsiTheme="minorEastAsia" w:cs="Arial"/>
          <w:kern w:val="0"/>
          <w:szCs w:val="21"/>
        </w:rPr>
        <w:t>6</w:t>
      </w:r>
      <w:r w:rsidRPr="00501A61">
        <w:rPr>
          <w:rFonts w:asciiTheme="minorEastAsia" w:eastAsiaTheme="minorEastAsia" w:hAnsiTheme="minorEastAsia" w:hint="eastAsia"/>
          <w:kern w:val="0"/>
          <w:szCs w:val="21"/>
        </w:rPr>
        <w:t>）玩忽职守、滥用职权；</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w:t>
      </w:r>
      <w:r w:rsidRPr="00501A61">
        <w:rPr>
          <w:rFonts w:asciiTheme="minorEastAsia" w:eastAsiaTheme="minorEastAsia" w:hAnsiTheme="minorEastAsia" w:cs="Arial"/>
          <w:kern w:val="0"/>
          <w:szCs w:val="21"/>
        </w:rPr>
        <w:t>7</w:t>
      </w:r>
      <w:r w:rsidRPr="00501A61">
        <w:rPr>
          <w:rFonts w:asciiTheme="minorEastAsia" w:eastAsiaTheme="minorEastAsia" w:hAnsiTheme="minorEastAsia" w:hint="eastAsia"/>
          <w:kern w:val="0"/>
          <w:szCs w:val="21"/>
        </w:rPr>
        <w:t>）违反现行有效的有关法律、法规、规章、基金合同和中国证监会的有关规定，泄漏在任职期间知悉的有关证券、基金的商业秘密，尚未依法公开的基金投资内容、基金投资计划等信息；</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（8）违反证券交易场所业务规则，利用对敲、倒仓等手段操纵市场价格，扰乱市场秩序；</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（9）贬损同行，以抬高自己；</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w:t>
      </w:r>
      <w:r w:rsidRPr="00501A61">
        <w:rPr>
          <w:rFonts w:asciiTheme="minorEastAsia" w:eastAsiaTheme="minorEastAsia" w:hAnsiTheme="minorEastAsia"/>
          <w:kern w:val="0"/>
          <w:szCs w:val="21"/>
        </w:rPr>
        <w:t>1</w:t>
      </w:r>
      <w:r w:rsidRPr="00501A61">
        <w:rPr>
          <w:rFonts w:asciiTheme="minorEastAsia" w:eastAsiaTheme="minorEastAsia" w:hAnsiTheme="minorEastAsia" w:hint="eastAsia"/>
          <w:kern w:val="0"/>
          <w:szCs w:val="21"/>
        </w:rPr>
        <w:t>0）以不正当手段谋求业务发展；</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w:t>
      </w:r>
      <w:r w:rsidRPr="00501A61">
        <w:rPr>
          <w:rFonts w:asciiTheme="minorEastAsia" w:eastAsiaTheme="minorEastAsia" w:hAnsiTheme="minorEastAsia"/>
          <w:kern w:val="0"/>
          <w:szCs w:val="21"/>
        </w:rPr>
        <w:t>1</w:t>
      </w:r>
      <w:r w:rsidRPr="00501A61">
        <w:rPr>
          <w:rFonts w:asciiTheme="minorEastAsia" w:eastAsiaTheme="minorEastAsia" w:hAnsiTheme="minorEastAsia" w:hint="eastAsia"/>
          <w:kern w:val="0"/>
          <w:szCs w:val="21"/>
        </w:rPr>
        <w:t>1）有悖社会公德，损害证券投资基金人员形象；</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（12）在公开信息披露和广告中故意含有虚假、误导、欺诈成分；</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w:t>
      </w:r>
      <w:r w:rsidRPr="00501A61">
        <w:rPr>
          <w:rFonts w:asciiTheme="minorEastAsia" w:eastAsiaTheme="minorEastAsia" w:hAnsiTheme="minorEastAsia"/>
          <w:kern w:val="0"/>
          <w:szCs w:val="21"/>
        </w:rPr>
        <w:t>1</w:t>
      </w:r>
      <w:r w:rsidRPr="00501A61">
        <w:rPr>
          <w:rFonts w:asciiTheme="minorEastAsia" w:eastAsiaTheme="minorEastAsia" w:hAnsiTheme="minorEastAsia" w:hint="eastAsia"/>
          <w:kern w:val="0"/>
          <w:szCs w:val="21"/>
        </w:rPr>
        <w:t>3）其他法律、行政法规以及中国证监会禁止的行为。</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cs="Arial"/>
          <w:kern w:val="0"/>
          <w:szCs w:val="21"/>
        </w:rPr>
        <w:t>4</w:t>
      </w:r>
      <w:r w:rsidR="002A0070" w:rsidRPr="00501A61">
        <w:rPr>
          <w:rFonts w:asciiTheme="minorEastAsia" w:eastAsiaTheme="minorEastAsia" w:hAnsiTheme="minorEastAsia" w:hint="eastAsia"/>
          <w:kern w:val="0"/>
          <w:szCs w:val="21"/>
        </w:rPr>
        <w:t>、</w:t>
      </w:r>
      <w:r w:rsidRPr="00501A61">
        <w:rPr>
          <w:rFonts w:asciiTheme="minorEastAsia" w:eastAsiaTheme="minorEastAsia" w:hAnsiTheme="minorEastAsia" w:hint="eastAsia"/>
          <w:kern w:val="0"/>
          <w:szCs w:val="21"/>
        </w:rPr>
        <w:t>基金经理承诺</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w:t>
      </w:r>
      <w:r w:rsidRPr="00501A61">
        <w:rPr>
          <w:rFonts w:asciiTheme="minorEastAsia" w:eastAsiaTheme="minorEastAsia" w:hAnsiTheme="minorEastAsia" w:cs="Arial"/>
          <w:kern w:val="0"/>
          <w:szCs w:val="21"/>
        </w:rPr>
        <w:t>1</w:t>
      </w:r>
      <w:r w:rsidRPr="00501A61">
        <w:rPr>
          <w:rFonts w:asciiTheme="minorEastAsia" w:eastAsiaTheme="minorEastAsia" w:hAnsiTheme="minorEastAsia" w:hint="eastAsia"/>
          <w:kern w:val="0"/>
          <w:szCs w:val="21"/>
        </w:rPr>
        <w:t>）依照有关法律、法规和基金合同的规定，本着谨慎的原则为基金份额持有人谋取最大利益；</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w:t>
      </w:r>
      <w:r w:rsidRPr="00501A61">
        <w:rPr>
          <w:rFonts w:asciiTheme="minorEastAsia" w:eastAsiaTheme="minorEastAsia" w:hAnsiTheme="minorEastAsia" w:cs="Arial"/>
          <w:kern w:val="0"/>
          <w:szCs w:val="21"/>
        </w:rPr>
        <w:t>2</w:t>
      </w:r>
      <w:r w:rsidRPr="00501A61">
        <w:rPr>
          <w:rFonts w:asciiTheme="minorEastAsia" w:eastAsiaTheme="minorEastAsia" w:hAnsiTheme="minorEastAsia" w:hint="eastAsia"/>
          <w:kern w:val="0"/>
          <w:szCs w:val="21"/>
        </w:rPr>
        <w:t>）不利用职务之便为自己及其代理人、受雇人或任何第三人谋取利益；</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rPr>
      </w:pPr>
      <w:r w:rsidRPr="00501A61">
        <w:rPr>
          <w:rFonts w:asciiTheme="minorEastAsia" w:eastAsiaTheme="minorEastAsia" w:hAnsiTheme="minorEastAsia" w:hint="eastAsia"/>
          <w:kern w:val="0"/>
        </w:rPr>
        <w:t>（</w:t>
      </w:r>
      <w:r w:rsidRPr="00501A61">
        <w:rPr>
          <w:rFonts w:asciiTheme="minorEastAsia" w:eastAsiaTheme="minorEastAsia" w:hAnsiTheme="minorEastAsia" w:cs="Arial"/>
          <w:kern w:val="0"/>
        </w:rPr>
        <w:t>3</w:t>
      </w:r>
      <w:r w:rsidRPr="00501A61">
        <w:rPr>
          <w:rFonts w:asciiTheme="minorEastAsia" w:eastAsiaTheme="minorEastAsia" w:hAnsiTheme="minorEastAsia" w:hint="eastAsia"/>
          <w:kern w:val="0"/>
        </w:rPr>
        <w:t>）不</w:t>
      </w:r>
      <w:r w:rsidRPr="00501A61">
        <w:rPr>
          <w:rFonts w:asciiTheme="minorEastAsia" w:eastAsiaTheme="minorEastAsia" w:hAnsiTheme="minorEastAsia" w:hint="eastAsia"/>
          <w:kern w:val="0"/>
          <w:szCs w:val="21"/>
        </w:rPr>
        <w:t>违反现行有效的有关法律、法规、规章、基金合同和中国证监会的有关规定，</w:t>
      </w:r>
      <w:r w:rsidRPr="00501A61">
        <w:rPr>
          <w:rFonts w:asciiTheme="minorEastAsia" w:eastAsiaTheme="minorEastAsia" w:hAnsiTheme="minorEastAsia" w:hint="eastAsia"/>
          <w:kern w:val="0"/>
        </w:rPr>
        <w:t>泄漏在任职期间知悉的有关证券、基金的商业秘密、尚未依法公开的基金投资内容、基金投资计划等信息；</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kern w:val="0"/>
        </w:rPr>
      </w:pPr>
      <w:r w:rsidRPr="00501A61">
        <w:rPr>
          <w:rFonts w:asciiTheme="minorEastAsia" w:eastAsiaTheme="minorEastAsia" w:hAnsiTheme="minorEastAsia" w:hint="eastAsia"/>
          <w:kern w:val="0"/>
        </w:rPr>
        <w:t>（4）不</w:t>
      </w:r>
      <w:r w:rsidRPr="00501A61">
        <w:rPr>
          <w:rFonts w:asciiTheme="minorEastAsia" w:eastAsiaTheme="minorEastAsia" w:hAnsiTheme="minorEastAsia"/>
          <w:kern w:val="0"/>
        </w:rPr>
        <w:t>从事损害基金财产和基金份额持有人利益的证券交易及其他活动。</w:t>
      </w:r>
    </w:p>
    <w:p w:rsidR="0002608C" w:rsidRPr="00501A61" w:rsidRDefault="0002608C" w:rsidP="00107648">
      <w:pPr>
        <w:pStyle w:val="20"/>
        <w:snapToGrid w:val="0"/>
        <w:spacing w:beforeLines="0" w:afterLines="0" w:line="360" w:lineRule="auto"/>
        <w:ind w:firstLineChars="0" w:firstLine="0"/>
        <w:rPr>
          <w:rStyle w:val="da"/>
          <w:rFonts w:asciiTheme="minorEastAsia" w:eastAsiaTheme="minorEastAsia" w:hAnsiTheme="minorEastAsia"/>
          <w:sz w:val="21"/>
        </w:rPr>
      </w:pPr>
      <w:bookmarkStart w:id="11" w:name="_Toc45632189"/>
      <w:r w:rsidRPr="00501A61">
        <w:rPr>
          <w:rFonts w:asciiTheme="minorEastAsia" w:eastAsiaTheme="minorEastAsia" w:hAnsiTheme="minorEastAsia" w:hint="eastAsia"/>
          <w:b w:val="0"/>
          <w:bCs/>
          <w:szCs w:val="21"/>
        </w:rPr>
        <w:lastRenderedPageBreak/>
        <w:t>（五）</w:t>
      </w:r>
      <w:r w:rsidRPr="00501A61">
        <w:rPr>
          <w:rFonts w:asciiTheme="minorEastAsia" w:eastAsiaTheme="minorEastAsia" w:hAnsiTheme="minorEastAsia"/>
          <w:b w:val="0"/>
          <w:bCs/>
          <w:szCs w:val="21"/>
        </w:rPr>
        <w:t>基金管理人的内部控制制度</w:t>
      </w:r>
      <w:bookmarkEnd w:id="11"/>
    </w:p>
    <w:p w:rsidR="0002608C" w:rsidRPr="00501A61" w:rsidRDefault="0002608C" w:rsidP="00107648">
      <w:pPr>
        <w:pStyle w:val="ac"/>
        <w:autoSpaceDE w:val="0"/>
        <w:autoSpaceDN w:val="0"/>
        <w:adjustRightInd w:val="0"/>
        <w:snapToGrid w:val="0"/>
        <w:spacing w:line="360" w:lineRule="auto"/>
        <w:ind w:firstLineChars="200"/>
        <w:rPr>
          <w:rFonts w:asciiTheme="minorEastAsia" w:eastAsiaTheme="minorEastAsia" w:hAnsiTheme="minorEastAsia"/>
        </w:rPr>
      </w:pPr>
      <w:r w:rsidRPr="00501A61">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02608C" w:rsidRPr="00501A61" w:rsidRDefault="002A0070" w:rsidP="00107648">
      <w:pPr>
        <w:tabs>
          <w:tab w:val="left" w:pos="735"/>
        </w:tabs>
        <w:snapToGrid w:val="0"/>
        <w:spacing w:line="360" w:lineRule="auto"/>
        <w:ind w:left="420"/>
        <w:rPr>
          <w:rFonts w:asciiTheme="minorEastAsia" w:eastAsiaTheme="minorEastAsia" w:hAnsiTheme="minorEastAsia"/>
          <w:b/>
          <w:bCs/>
          <w:szCs w:val="21"/>
        </w:rPr>
      </w:pPr>
      <w:r w:rsidRPr="00501A61">
        <w:rPr>
          <w:rFonts w:asciiTheme="minorEastAsia" w:eastAsiaTheme="minorEastAsia" w:hAnsiTheme="minorEastAsia" w:hint="eastAsia"/>
          <w:b/>
          <w:bCs/>
        </w:rPr>
        <w:t>1、</w:t>
      </w:r>
      <w:r w:rsidR="0002608C" w:rsidRPr="00501A61">
        <w:rPr>
          <w:rFonts w:asciiTheme="minorEastAsia" w:eastAsiaTheme="minorEastAsia" w:hAnsiTheme="minorEastAsia" w:hint="eastAsia"/>
          <w:b/>
          <w:bCs/>
        </w:rPr>
        <w:t>公司内部控制的总体目标</w:t>
      </w:r>
    </w:p>
    <w:p w:rsidR="0002608C" w:rsidRPr="00501A61" w:rsidRDefault="002A0070" w:rsidP="00107648">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保证公司经营管理活动的合法合规性；</w:t>
      </w:r>
    </w:p>
    <w:p w:rsidR="0002608C" w:rsidRPr="00501A61" w:rsidRDefault="002A0070" w:rsidP="00107648">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保证基金份额持有人的合法权益不受侵犯；</w:t>
      </w:r>
    </w:p>
    <w:p w:rsidR="0002608C" w:rsidRPr="00501A61" w:rsidRDefault="002A0070" w:rsidP="00107648">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（3）</w:t>
      </w:r>
      <w:r w:rsidR="0002608C" w:rsidRPr="00501A61">
        <w:rPr>
          <w:rFonts w:asciiTheme="minorEastAsia" w:eastAsiaTheme="minorEastAsia" w:hAnsiTheme="minorEastAsia" w:hint="eastAsia"/>
          <w:szCs w:val="21"/>
        </w:rPr>
        <w:t>实现公司稳健、持续发展，维护股东权益；</w:t>
      </w:r>
    </w:p>
    <w:p w:rsidR="0002608C" w:rsidRPr="00501A61" w:rsidRDefault="002A0070" w:rsidP="00107648">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（4）</w:t>
      </w:r>
      <w:r w:rsidR="0002608C" w:rsidRPr="00501A61">
        <w:rPr>
          <w:rFonts w:asciiTheme="minorEastAsia" w:eastAsiaTheme="minorEastAsia" w:hAnsiTheme="minorEastAsia" w:hint="eastAsia"/>
          <w:szCs w:val="21"/>
        </w:rPr>
        <w:t>促进公司全体员工恪守职业操守，正直诚信，廉洁自律，勤勉尽责；</w:t>
      </w:r>
    </w:p>
    <w:p w:rsidR="0002608C" w:rsidRPr="00501A61" w:rsidRDefault="002A0070" w:rsidP="00107648">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（5）</w:t>
      </w:r>
      <w:r w:rsidR="0002608C" w:rsidRPr="00501A61">
        <w:rPr>
          <w:rFonts w:asciiTheme="minorEastAsia" w:eastAsiaTheme="minorEastAsia" w:hAnsiTheme="minorEastAsia" w:hint="eastAsia"/>
          <w:szCs w:val="21"/>
        </w:rPr>
        <w:t>保护公司最重要的资本：公司声誉。</w:t>
      </w:r>
    </w:p>
    <w:p w:rsidR="002A0070" w:rsidRPr="00501A61" w:rsidRDefault="002A0070" w:rsidP="00107648">
      <w:pPr>
        <w:tabs>
          <w:tab w:val="left" w:pos="735"/>
        </w:tabs>
        <w:snapToGrid w:val="0"/>
        <w:spacing w:line="360" w:lineRule="auto"/>
        <w:ind w:left="420"/>
        <w:rPr>
          <w:rFonts w:asciiTheme="minorEastAsia" w:eastAsiaTheme="minorEastAsia" w:hAnsiTheme="minorEastAsia"/>
          <w:b/>
          <w:bCs/>
        </w:rPr>
      </w:pPr>
      <w:r w:rsidRPr="00501A61">
        <w:rPr>
          <w:rFonts w:asciiTheme="minorEastAsia" w:eastAsiaTheme="minorEastAsia" w:hAnsiTheme="minorEastAsia" w:hint="eastAsia"/>
          <w:b/>
          <w:bCs/>
        </w:rPr>
        <w:t>2、</w:t>
      </w:r>
      <w:r w:rsidR="0002608C" w:rsidRPr="00501A61">
        <w:rPr>
          <w:rFonts w:asciiTheme="minorEastAsia" w:eastAsiaTheme="minorEastAsia" w:hAnsiTheme="minorEastAsia" w:hint="eastAsia"/>
          <w:b/>
          <w:bCs/>
        </w:rPr>
        <w:t>公司内部控制遵循的原则</w:t>
      </w:r>
    </w:p>
    <w:p w:rsidR="0002608C" w:rsidRPr="00501A61" w:rsidRDefault="002A0070" w:rsidP="00107648">
      <w:pPr>
        <w:tabs>
          <w:tab w:val="left" w:pos="735"/>
        </w:tabs>
        <w:snapToGrid w:val="0"/>
        <w:spacing w:line="360" w:lineRule="auto"/>
        <w:ind w:left="420"/>
        <w:rPr>
          <w:rFonts w:asciiTheme="minorEastAsia" w:eastAsiaTheme="minorEastAsia" w:hAnsiTheme="minorEastAsia"/>
          <w:b/>
          <w:bCs/>
        </w:rPr>
      </w:pPr>
      <w:r w:rsidRPr="00501A61">
        <w:rPr>
          <w:rFonts w:asciiTheme="minorEastAsia" w:eastAsiaTheme="minorEastAsia" w:hAnsiTheme="minorEastAsia" w:hint="eastAsia"/>
        </w:rPr>
        <w:t>（1）</w:t>
      </w:r>
      <w:r w:rsidR="0002608C" w:rsidRPr="00501A61">
        <w:rPr>
          <w:rFonts w:asciiTheme="minorEastAsia" w:eastAsiaTheme="minorEastAsia" w:hAnsiTheme="minorEastAsia" w:hint="eastAsia"/>
        </w:rPr>
        <w:t>全面性原则：内部控制必须覆盖公司的所有部门和岗位，渗透各项业务过程和业务环节，并普遍适用于公司每一位职员；</w:t>
      </w:r>
    </w:p>
    <w:p w:rsidR="0002608C" w:rsidRPr="00501A61" w:rsidRDefault="002A0070" w:rsidP="00107648">
      <w:pPr>
        <w:tabs>
          <w:tab w:val="left" w:pos="735"/>
        </w:tabs>
        <w:snapToGrid w:val="0"/>
        <w:spacing w:line="360" w:lineRule="auto"/>
        <w:ind w:left="420"/>
        <w:rPr>
          <w:rFonts w:asciiTheme="minorEastAsia" w:eastAsiaTheme="minorEastAsia" w:hAnsiTheme="minorEastAsia"/>
        </w:rPr>
      </w:pPr>
      <w:r w:rsidRPr="00501A61">
        <w:rPr>
          <w:rFonts w:asciiTheme="minorEastAsia" w:eastAsiaTheme="minorEastAsia" w:hAnsiTheme="minorEastAsia" w:hint="eastAsia"/>
        </w:rPr>
        <w:t>（2）</w:t>
      </w:r>
      <w:r w:rsidR="0002608C" w:rsidRPr="00501A61">
        <w:rPr>
          <w:rFonts w:asciiTheme="minorEastAsia" w:eastAsiaTheme="minorEastAsia" w:hAnsiTheme="minorEastAsia" w:hint="eastAsia"/>
        </w:rPr>
        <w:t>审慎性原则：内部控制的核心是有效防范各种风险，公司组织体系的构成、内部管理制度的建立都要以防范风险、审慎经营为出发点；</w:t>
      </w:r>
    </w:p>
    <w:p w:rsidR="0002608C" w:rsidRPr="00501A61" w:rsidRDefault="002A0070" w:rsidP="00107648">
      <w:pPr>
        <w:tabs>
          <w:tab w:val="left" w:pos="735"/>
        </w:tabs>
        <w:snapToGrid w:val="0"/>
        <w:spacing w:line="360" w:lineRule="auto"/>
        <w:ind w:left="420"/>
        <w:rPr>
          <w:rFonts w:asciiTheme="minorEastAsia" w:eastAsiaTheme="minorEastAsia" w:hAnsiTheme="minorEastAsia"/>
        </w:rPr>
      </w:pPr>
      <w:r w:rsidRPr="00501A61">
        <w:rPr>
          <w:rFonts w:asciiTheme="minorEastAsia" w:eastAsiaTheme="minorEastAsia" w:hAnsiTheme="minorEastAsia" w:hint="eastAsia"/>
        </w:rPr>
        <w:t>（3）</w:t>
      </w:r>
      <w:r w:rsidR="0002608C" w:rsidRPr="00501A61">
        <w:rPr>
          <w:rFonts w:asciiTheme="minorEastAsia" w:eastAsiaTheme="minorEastAsia" w:hAnsiTheme="minorEastAsia" w:hint="eastAsia"/>
        </w:rPr>
        <w:t>相互制约原则：公司设置的各部门、各岗位权责分明、相互制衡。</w:t>
      </w:r>
    </w:p>
    <w:p w:rsidR="0002608C" w:rsidRPr="00501A61" w:rsidRDefault="002A0070" w:rsidP="00107648">
      <w:pPr>
        <w:tabs>
          <w:tab w:val="left" w:pos="735"/>
        </w:tabs>
        <w:snapToGrid w:val="0"/>
        <w:spacing w:line="360" w:lineRule="auto"/>
        <w:ind w:left="420"/>
        <w:rPr>
          <w:rFonts w:asciiTheme="minorEastAsia" w:eastAsiaTheme="minorEastAsia" w:hAnsiTheme="minorEastAsia"/>
        </w:rPr>
      </w:pPr>
      <w:r w:rsidRPr="00501A61">
        <w:rPr>
          <w:rFonts w:asciiTheme="minorEastAsia" w:eastAsiaTheme="minorEastAsia" w:hAnsiTheme="minorEastAsia" w:hint="eastAsia"/>
        </w:rPr>
        <w:t>（4）</w:t>
      </w:r>
      <w:r w:rsidR="0002608C" w:rsidRPr="00501A61">
        <w:rPr>
          <w:rFonts w:asciiTheme="minorEastAsia" w:eastAsiaTheme="minorEastAsia" w:hAnsiTheme="minorEastAsia" w:hint="eastAsia"/>
        </w:rPr>
        <w:t>独立性原则：公司根据业务的需要设立相对独立的机构、部门和岗位；公司内部部门和岗位的设置必须权责分明；</w:t>
      </w:r>
    </w:p>
    <w:p w:rsidR="0002608C" w:rsidRPr="00501A61" w:rsidRDefault="002A0070" w:rsidP="00107648">
      <w:pPr>
        <w:tabs>
          <w:tab w:val="left" w:pos="735"/>
        </w:tabs>
        <w:snapToGrid w:val="0"/>
        <w:spacing w:line="360" w:lineRule="auto"/>
        <w:ind w:left="420"/>
        <w:rPr>
          <w:rFonts w:asciiTheme="minorEastAsia" w:eastAsiaTheme="minorEastAsia" w:hAnsiTheme="minorEastAsia"/>
        </w:rPr>
      </w:pPr>
      <w:r w:rsidRPr="00501A61">
        <w:rPr>
          <w:rFonts w:asciiTheme="minorEastAsia" w:eastAsiaTheme="minorEastAsia" w:hAnsiTheme="minorEastAsia" w:hint="eastAsia"/>
        </w:rPr>
        <w:t>（5）</w:t>
      </w:r>
      <w:r w:rsidR="0002608C" w:rsidRPr="00501A61">
        <w:rPr>
          <w:rFonts w:asciiTheme="minorEastAsia" w:eastAsiaTheme="minorEastAsia" w:hAnsiTheme="minorEastAsia" w:hint="eastAsia"/>
        </w:rPr>
        <w:t>有效性原则：各种内部管理制度具有高度的权威性，应是所有员工严格遵守的行动指南；执行内部管理制度不能有任何例外，任何人不得拥有超越制度或违反规章的权力；</w:t>
      </w:r>
    </w:p>
    <w:p w:rsidR="0002608C" w:rsidRPr="00501A61" w:rsidRDefault="002A0070" w:rsidP="00107648">
      <w:pPr>
        <w:tabs>
          <w:tab w:val="left" w:pos="735"/>
        </w:tabs>
        <w:snapToGrid w:val="0"/>
        <w:spacing w:line="360" w:lineRule="auto"/>
        <w:ind w:left="420"/>
        <w:rPr>
          <w:rFonts w:asciiTheme="minorEastAsia" w:eastAsiaTheme="minorEastAsia" w:hAnsiTheme="minorEastAsia"/>
        </w:rPr>
      </w:pPr>
      <w:r w:rsidRPr="00501A61">
        <w:rPr>
          <w:rFonts w:asciiTheme="minorEastAsia" w:eastAsiaTheme="minorEastAsia" w:hAnsiTheme="minorEastAsia" w:hint="eastAsia"/>
        </w:rPr>
        <w:t>（6）</w:t>
      </w:r>
      <w:r w:rsidR="0002608C" w:rsidRPr="00501A61">
        <w:rPr>
          <w:rFonts w:asciiTheme="minorEastAsia" w:eastAsiaTheme="minorEastAsia" w:hAnsiTheme="minorEastAsia" w:hint="eastAsia"/>
        </w:rPr>
        <w:t>适时性原则：内部控制应具有前瞻性，并且必须随着公司经营战略、经营方针、经营理念等内部环境的变化和国家法律、法规、政策制度等外部环境的改变及时进行相应的修改和完善；</w:t>
      </w:r>
    </w:p>
    <w:p w:rsidR="0002608C" w:rsidRPr="00501A61" w:rsidRDefault="002A0070" w:rsidP="00107648">
      <w:pPr>
        <w:tabs>
          <w:tab w:val="left" w:pos="735"/>
        </w:tabs>
        <w:snapToGrid w:val="0"/>
        <w:spacing w:line="360" w:lineRule="auto"/>
        <w:ind w:left="420"/>
        <w:rPr>
          <w:rFonts w:asciiTheme="minorEastAsia" w:eastAsiaTheme="minorEastAsia" w:hAnsiTheme="minorEastAsia"/>
        </w:rPr>
      </w:pPr>
      <w:r w:rsidRPr="00501A61">
        <w:rPr>
          <w:rFonts w:asciiTheme="minorEastAsia" w:eastAsiaTheme="minorEastAsia" w:hAnsiTheme="minorEastAsia" w:hint="eastAsia"/>
        </w:rPr>
        <w:t>（7）</w:t>
      </w:r>
      <w:r w:rsidR="0002608C" w:rsidRPr="00501A61">
        <w:rPr>
          <w:rFonts w:asciiTheme="minorEastAsia" w:eastAsiaTheme="minorEastAsia" w:hAnsiTheme="minorEastAsia" w:hint="eastAsia"/>
        </w:rPr>
        <w:t>成本效益原则：公司运用科学化的经营管理方法降低运作成本，提高经济效益，力争以合理的控制成本达到最佳的内部控制效果。</w:t>
      </w:r>
    </w:p>
    <w:p w:rsidR="0002608C" w:rsidRPr="00501A61" w:rsidRDefault="002A0070" w:rsidP="00107648">
      <w:pPr>
        <w:tabs>
          <w:tab w:val="left" w:pos="735"/>
        </w:tabs>
        <w:snapToGrid w:val="0"/>
        <w:spacing w:line="360" w:lineRule="auto"/>
        <w:ind w:left="420"/>
        <w:rPr>
          <w:rFonts w:asciiTheme="minorEastAsia" w:eastAsiaTheme="minorEastAsia" w:hAnsiTheme="minorEastAsia"/>
          <w:b/>
          <w:bCs/>
        </w:rPr>
      </w:pPr>
      <w:r w:rsidRPr="00501A61">
        <w:rPr>
          <w:rFonts w:asciiTheme="minorEastAsia" w:eastAsiaTheme="minorEastAsia" w:hAnsiTheme="minorEastAsia" w:hint="eastAsia"/>
          <w:b/>
          <w:bCs/>
        </w:rPr>
        <w:t>3、</w:t>
      </w:r>
      <w:r w:rsidR="0002608C" w:rsidRPr="00501A61">
        <w:rPr>
          <w:rFonts w:asciiTheme="minorEastAsia" w:eastAsiaTheme="minorEastAsia" w:hAnsiTheme="minorEastAsia" w:hint="eastAsia"/>
          <w:b/>
          <w:bCs/>
        </w:rPr>
        <w:t>内部控制的制度体系</w:t>
      </w:r>
    </w:p>
    <w:p w:rsidR="0002608C" w:rsidRPr="00501A61" w:rsidRDefault="0002608C" w:rsidP="00107648">
      <w:pPr>
        <w:pStyle w:val="ac"/>
        <w:autoSpaceDE w:val="0"/>
        <w:autoSpaceDN w:val="0"/>
        <w:adjustRightInd w:val="0"/>
        <w:snapToGrid w:val="0"/>
        <w:spacing w:line="360" w:lineRule="auto"/>
        <w:ind w:firstLineChars="200"/>
        <w:rPr>
          <w:rFonts w:asciiTheme="minorEastAsia" w:eastAsiaTheme="minorEastAsia" w:hAnsiTheme="minorEastAsia"/>
        </w:rPr>
      </w:pPr>
      <w:r w:rsidRPr="00501A61">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02608C" w:rsidRPr="00501A61" w:rsidRDefault="002A0070" w:rsidP="00107648">
      <w:pPr>
        <w:tabs>
          <w:tab w:val="left" w:pos="735"/>
        </w:tabs>
        <w:snapToGrid w:val="0"/>
        <w:spacing w:line="360" w:lineRule="auto"/>
        <w:ind w:left="420"/>
        <w:rPr>
          <w:rFonts w:asciiTheme="minorEastAsia" w:eastAsiaTheme="minorEastAsia" w:hAnsiTheme="minorEastAsia"/>
          <w:b/>
          <w:bCs/>
        </w:rPr>
      </w:pPr>
      <w:r w:rsidRPr="00501A61">
        <w:rPr>
          <w:rFonts w:asciiTheme="minorEastAsia" w:eastAsiaTheme="minorEastAsia" w:hAnsiTheme="minorEastAsia" w:hint="eastAsia"/>
          <w:b/>
          <w:bCs/>
        </w:rPr>
        <w:lastRenderedPageBreak/>
        <w:t>4、</w:t>
      </w:r>
      <w:r w:rsidR="0002608C" w:rsidRPr="00501A61">
        <w:rPr>
          <w:rFonts w:asciiTheme="minorEastAsia" w:eastAsiaTheme="minorEastAsia" w:hAnsiTheme="minorEastAsia" w:hint="eastAsia"/>
          <w:b/>
          <w:bCs/>
        </w:rPr>
        <w:t>关于授权、研究、投资、交易等方面的控制点</w:t>
      </w:r>
    </w:p>
    <w:p w:rsidR="0002608C" w:rsidRPr="00501A61" w:rsidRDefault="0002608C" w:rsidP="00107648">
      <w:pPr>
        <w:numPr>
          <w:ilvl w:val="1"/>
          <w:numId w:val="20"/>
        </w:numPr>
        <w:tabs>
          <w:tab w:val="left" w:pos="735"/>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rPr>
        <w:t>授权制度</w:t>
      </w:r>
    </w:p>
    <w:p w:rsidR="0002608C" w:rsidRPr="00501A61" w:rsidRDefault="0002608C" w:rsidP="00107648">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02608C" w:rsidRPr="00501A61" w:rsidRDefault="0002608C" w:rsidP="00107648">
      <w:pPr>
        <w:numPr>
          <w:ilvl w:val="1"/>
          <w:numId w:val="20"/>
        </w:numPr>
        <w:tabs>
          <w:tab w:val="left" w:pos="735"/>
        </w:tabs>
        <w:snapToGrid w:val="0"/>
        <w:spacing w:line="360" w:lineRule="auto"/>
        <w:rPr>
          <w:rFonts w:asciiTheme="minorEastAsia" w:eastAsiaTheme="minorEastAsia" w:hAnsiTheme="minorEastAsia"/>
        </w:rPr>
      </w:pPr>
      <w:r w:rsidRPr="00501A61">
        <w:rPr>
          <w:rFonts w:asciiTheme="minorEastAsia" w:eastAsiaTheme="minorEastAsia" w:hAnsiTheme="minorEastAsia" w:hint="eastAsia"/>
        </w:rPr>
        <w:t>公司研究业务</w:t>
      </w:r>
    </w:p>
    <w:p w:rsidR="0002608C" w:rsidRPr="00501A61" w:rsidRDefault="0002608C" w:rsidP="00107648">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02608C" w:rsidRPr="00501A61" w:rsidRDefault="0002608C" w:rsidP="00107648">
      <w:pPr>
        <w:numPr>
          <w:ilvl w:val="1"/>
          <w:numId w:val="20"/>
        </w:numPr>
        <w:tabs>
          <w:tab w:val="left" w:pos="735"/>
        </w:tabs>
        <w:snapToGrid w:val="0"/>
        <w:spacing w:line="360" w:lineRule="auto"/>
        <w:rPr>
          <w:rFonts w:asciiTheme="minorEastAsia" w:eastAsiaTheme="minorEastAsia" w:hAnsiTheme="minorEastAsia"/>
        </w:rPr>
      </w:pPr>
      <w:r w:rsidRPr="00501A61">
        <w:rPr>
          <w:rFonts w:asciiTheme="minorEastAsia" w:eastAsiaTheme="minorEastAsia" w:hAnsiTheme="minorEastAsia" w:hint="eastAsia"/>
        </w:rPr>
        <w:t>基金投资业务</w:t>
      </w:r>
    </w:p>
    <w:p w:rsidR="0002608C" w:rsidRPr="00501A61" w:rsidRDefault="0002608C" w:rsidP="00107648">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02608C" w:rsidRPr="00501A61" w:rsidRDefault="0002608C" w:rsidP="00107648">
      <w:pPr>
        <w:numPr>
          <w:ilvl w:val="1"/>
          <w:numId w:val="20"/>
        </w:numPr>
        <w:tabs>
          <w:tab w:val="left" w:pos="735"/>
        </w:tabs>
        <w:snapToGrid w:val="0"/>
        <w:spacing w:line="360" w:lineRule="auto"/>
        <w:rPr>
          <w:rFonts w:asciiTheme="minorEastAsia" w:eastAsiaTheme="minorEastAsia" w:hAnsiTheme="minorEastAsia"/>
        </w:rPr>
      </w:pPr>
      <w:r w:rsidRPr="00501A61">
        <w:rPr>
          <w:rFonts w:asciiTheme="minorEastAsia" w:eastAsiaTheme="minorEastAsia" w:hAnsiTheme="minorEastAsia" w:hint="eastAsia"/>
        </w:rPr>
        <w:t>交易业务</w:t>
      </w:r>
    </w:p>
    <w:p w:rsidR="0002608C" w:rsidRPr="00501A61" w:rsidRDefault="0002608C" w:rsidP="00107648">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02608C" w:rsidRPr="00501A61" w:rsidRDefault="0002608C" w:rsidP="00107648">
      <w:pPr>
        <w:numPr>
          <w:ilvl w:val="1"/>
          <w:numId w:val="20"/>
        </w:numPr>
        <w:tabs>
          <w:tab w:val="left" w:pos="735"/>
        </w:tabs>
        <w:snapToGrid w:val="0"/>
        <w:spacing w:line="360" w:lineRule="auto"/>
        <w:rPr>
          <w:rFonts w:asciiTheme="minorEastAsia" w:eastAsiaTheme="minorEastAsia" w:hAnsiTheme="minorEastAsia"/>
        </w:rPr>
      </w:pPr>
      <w:r w:rsidRPr="00501A61">
        <w:rPr>
          <w:rFonts w:asciiTheme="minorEastAsia" w:eastAsiaTheme="minorEastAsia" w:hAnsiTheme="minorEastAsia" w:hint="eastAsia"/>
        </w:rPr>
        <w:t>基金会计核算</w:t>
      </w:r>
    </w:p>
    <w:p w:rsidR="0002608C" w:rsidRPr="00501A61" w:rsidRDefault="0002608C" w:rsidP="00107648">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02608C" w:rsidRPr="00501A61" w:rsidRDefault="0002608C" w:rsidP="00107648">
      <w:pPr>
        <w:numPr>
          <w:ilvl w:val="1"/>
          <w:numId w:val="20"/>
        </w:numPr>
        <w:tabs>
          <w:tab w:val="left" w:pos="735"/>
        </w:tabs>
        <w:snapToGrid w:val="0"/>
        <w:spacing w:line="360" w:lineRule="auto"/>
        <w:rPr>
          <w:rFonts w:asciiTheme="minorEastAsia" w:eastAsiaTheme="minorEastAsia" w:hAnsiTheme="minorEastAsia"/>
        </w:rPr>
      </w:pPr>
      <w:r w:rsidRPr="00501A61">
        <w:rPr>
          <w:rFonts w:asciiTheme="minorEastAsia" w:eastAsiaTheme="minorEastAsia" w:hAnsiTheme="minorEastAsia" w:hint="eastAsia"/>
        </w:rPr>
        <w:t>信息披露</w:t>
      </w:r>
    </w:p>
    <w:p w:rsidR="0002608C" w:rsidRPr="00501A61" w:rsidRDefault="0002608C" w:rsidP="00107648">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7E28AE" w:rsidRPr="00501A61" w:rsidRDefault="00DB7EA4" w:rsidP="007E28AE">
      <w:pPr>
        <w:pStyle w:val="ac"/>
        <w:autoSpaceDE w:val="0"/>
        <w:autoSpaceDN w:val="0"/>
        <w:adjustRightInd w:val="0"/>
        <w:snapToGrid w:val="0"/>
        <w:spacing w:line="360" w:lineRule="auto"/>
        <w:ind w:firstLineChars="200"/>
        <w:rPr>
          <w:rFonts w:asciiTheme="minorEastAsia" w:eastAsiaTheme="minorEastAsia" w:hAnsiTheme="minorEastAsia"/>
          <w:szCs w:val="24"/>
        </w:rPr>
      </w:pPr>
      <w:r w:rsidRPr="00501A61">
        <w:rPr>
          <w:rFonts w:asciiTheme="minorEastAsia" w:eastAsiaTheme="minorEastAsia" w:hAnsiTheme="minorEastAsia" w:hint="eastAsia"/>
          <w:szCs w:val="24"/>
        </w:rPr>
        <w:lastRenderedPageBreak/>
        <w:t>（7）</w:t>
      </w:r>
      <w:r w:rsidR="007E28AE" w:rsidRPr="00501A61">
        <w:rPr>
          <w:rFonts w:asciiTheme="minorEastAsia" w:eastAsiaTheme="minorEastAsia" w:hAnsiTheme="minorEastAsia" w:hint="eastAsia"/>
          <w:szCs w:val="24"/>
        </w:rPr>
        <w:t>监察与合规管理</w:t>
      </w:r>
    </w:p>
    <w:p w:rsidR="00053B4F" w:rsidRPr="00501A61" w:rsidRDefault="00053B4F" w:rsidP="00053B4F">
      <w:pPr>
        <w:snapToGrid w:val="0"/>
        <w:spacing w:line="360" w:lineRule="auto"/>
        <w:ind w:firstLine="420"/>
        <w:rPr>
          <w:rFonts w:asciiTheme="minorEastAsia" w:eastAsiaTheme="minorEastAsia" w:hAnsiTheme="minorEastAsia"/>
          <w:kern w:val="0"/>
          <w:szCs w:val="21"/>
        </w:rPr>
      </w:pPr>
      <w:r w:rsidRPr="00501A61">
        <w:rPr>
          <w:rFonts w:asciiTheme="minorEastAsia" w:eastAsiaTheme="minorEastAsia" w:hAnsiTheme="minorEastAsia" w:hint="eastAsia"/>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053B4F" w:rsidRPr="00501A61" w:rsidRDefault="00053B4F" w:rsidP="00053B4F">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053B4F" w:rsidRPr="00501A61" w:rsidRDefault="00053B4F" w:rsidP="00053B4F">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监察合规管理部门强化内部检查制度，通过定期或不定期检查内部控制制度的执行情况，促使公司各项经营管理活动的规范运行。</w:t>
      </w:r>
    </w:p>
    <w:p w:rsidR="00053B4F" w:rsidRPr="00501A61" w:rsidRDefault="00053B4F" w:rsidP="00053B4F">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公司董事会和管理层充分重视和支持监察与合规管理工作，对违反法律、法规和公司内部控制制度的，追究有关部门和人员的责任。</w:t>
      </w:r>
    </w:p>
    <w:p w:rsidR="0002608C" w:rsidRPr="00501A61" w:rsidRDefault="00C15CD6" w:rsidP="00107648">
      <w:pPr>
        <w:tabs>
          <w:tab w:val="left" w:pos="735"/>
        </w:tabs>
        <w:snapToGrid w:val="0"/>
        <w:spacing w:line="360" w:lineRule="auto"/>
        <w:ind w:left="420"/>
        <w:rPr>
          <w:rFonts w:asciiTheme="minorEastAsia" w:eastAsiaTheme="minorEastAsia" w:hAnsiTheme="minorEastAsia"/>
          <w:b/>
          <w:bCs/>
        </w:rPr>
      </w:pPr>
      <w:r w:rsidRPr="00501A61">
        <w:rPr>
          <w:rFonts w:asciiTheme="minorEastAsia" w:eastAsiaTheme="minorEastAsia" w:hAnsiTheme="minorEastAsia" w:hint="eastAsia"/>
          <w:b/>
          <w:bCs/>
        </w:rPr>
        <w:t>5、</w:t>
      </w:r>
      <w:r w:rsidR="0002608C" w:rsidRPr="00501A61">
        <w:rPr>
          <w:rFonts w:asciiTheme="minorEastAsia" w:eastAsiaTheme="minorEastAsia" w:hAnsiTheme="minorEastAsia" w:hint="eastAsia"/>
          <w:b/>
          <w:bCs/>
        </w:rPr>
        <w:t>基金管理人关于内部控制制度声明书</w:t>
      </w:r>
    </w:p>
    <w:p w:rsidR="0002608C" w:rsidRPr="00501A61" w:rsidRDefault="00C15CD6" w:rsidP="00107648">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本公司承诺以上关于内部控制制度的披露真实、准确；</w:t>
      </w:r>
    </w:p>
    <w:p w:rsidR="0002608C" w:rsidRPr="00501A61" w:rsidRDefault="00C15CD6" w:rsidP="00107648">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本公司承诺根据市场变化和公司业务发展不断完善内部控制制度。</w:t>
      </w:r>
    </w:p>
    <w:p w:rsidR="00E1094C" w:rsidRPr="00501A61" w:rsidRDefault="00E1094C" w:rsidP="00E1094C">
      <w:pPr>
        <w:pStyle w:val="ad"/>
        <w:rPr>
          <w:rFonts w:asciiTheme="minorEastAsia" w:eastAsiaTheme="minorEastAsia" w:hAnsiTheme="minorEastAsia"/>
        </w:rPr>
        <w:sectPr w:rsidR="00E1094C" w:rsidRPr="00501A61" w:rsidSect="004763E4">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rPr>
      </w:pPr>
      <w:bookmarkStart w:id="12" w:name="_Toc45632190"/>
      <w:r w:rsidRPr="00501A61">
        <w:rPr>
          <w:rFonts w:asciiTheme="minorEastAsia" w:eastAsiaTheme="minorEastAsia" w:hAnsiTheme="minorEastAsia" w:hint="eastAsia"/>
          <w:b/>
          <w:bCs/>
        </w:rPr>
        <w:lastRenderedPageBreak/>
        <w:t>四、基金托管人</w:t>
      </w:r>
      <w:bookmarkEnd w:id="12"/>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 xml:space="preserve">（一）基金托管人基本情况 </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名称：中国工商银行股份有限公司</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注册地址：北京市西城区复兴门内大街55号</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成立时间：</w:t>
      </w:r>
      <w:r w:rsidRPr="00501A61">
        <w:rPr>
          <w:rFonts w:asciiTheme="minorEastAsia" w:eastAsiaTheme="minorEastAsia" w:hAnsiTheme="minorEastAsia" w:hint="eastAsia"/>
          <w:spacing w:val="6"/>
        </w:rPr>
        <w:t>1984年1月1日</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法定代表人：陈四清</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注册资本：人民币35,640,625.7089万元</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联系电话：010-66105799</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联系人：郭明</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（二）主要人员情况</w:t>
      </w:r>
    </w:p>
    <w:p w:rsidR="009B73E9" w:rsidRPr="00501A61" w:rsidRDefault="009B73E9" w:rsidP="009B73E9">
      <w:pPr>
        <w:pStyle w:val="ac"/>
        <w:autoSpaceDE w:val="0"/>
        <w:autoSpaceDN w:val="0"/>
        <w:adjustRightInd w:val="0"/>
        <w:snapToGrid w:val="0"/>
        <w:spacing w:line="360" w:lineRule="auto"/>
        <w:ind w:firstLineChars="200" w:firstLine="444"/>
        <w:rPr>
          <w:rFonts w:asciiTheme="minorEastAsia" w:eastAsiaTheme="minorEastAsia" w:hAnsiTheme="minorEastAsia"/>
          <w:szCs w:val="21"/>
        </w:rPr>
      </w:pPr>
      <w:r w:rsidRPr="00501A61">
        <w:rPr>
          <w:rFonts w:asciiTheme="minorEastAsia" w:eastAsiaTheme="minorEastAsia" w:hAnsiTheme="minorEastAsia" w:hint="eastAsia"/>
          <w:spacing w:val="6"/>
        </w:rPr>
        <w:t>截至2019年9月，中国工商银行资产托管部共有员工208人，平均年龄33岁，95%以上员工拥有大学本科以上学历，高管人员均拥有研究生以上学历或高级技术职称。</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（三）基金托管业务经营情况</w:t>
      </w:r>
    </w:p>
    <w:p w:rsidR="009B73E9" w:rsidRPr="00501A61" w:rsidRDefault="009B73E9" w:rsidP="009B73E9">
      <w:pPr>
        <w:pStyle w:val="ac"/>
        <w:autoSpaceDE w:val="0"/>
        <w:autoSpaceDN w:val="0"/>
        <w:adjustRightInd w:val="0"/>
        <w:snapToGrid w:val="0"/>
        <w:spacing w:line="360" w:lineRule="auto"/>
        <w:ind w:firstLineChars="200" w:firstLine="444"/>
        <w:rPr>
          <w:rFonts w:asciiTheme="minorEastAsia" w:eastAsiaTheme="minorEastAsia" w:hAnsiTheme="minorEastAsia"/>
          <w:szCs w:val="21"/>
        </w:rPr>
      </w:pPr>
      <w:r w:rsidRPr="00501A61">
        <w:rPr>
          <w:rFonts w:asciiTheme="minorEastAsia" w:eastAsiaTheme="minorEastAsia" w:hAnsiTheme="minorEastAsia" w:hint="eastAsia"/>
          <w:spacing w:val="6"/>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（四）基金托管人的内部控制制度</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二次顺利通过评估组织内部控制</w:t>
      </w:r>
      <w:r w:rsidRPr="00501A61">
        <w:rPr>
          <w:rFonts w:asciiTheme="minorEastAsia" w:eastAsiaTheme="minorEastAsia" w:hAnsiTheme="minorEastAsia" w:hint="eastAsia"/>
          <w:szCs w:val="21"/>
        </w:rPr>
        <w:lastRenderedPageBreak/>
        <w:t>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1、内部风险控制目标</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2、内部风险控制组织结构</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3、内部风险控制原则</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（1）合法性原则。内控制度应当符合国家法律法规及监管机构的监管要求，并贯穿于托管业务经营管理活动的始终。</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（2）完整性原则。托管业务的各项经营管理活动都必须有相应的规范程序和监督制约；监督制约应渗透到托管业务的全过程和各个操作环节，覆盖所有的部门、岗位和人员。</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（3）及时性原则。托管业务经营活动必须在发生时能准确及时地记录；按照“内控优先”的原则，新设机构或新增业务品种时，必须做到已建立相关的规章制度。</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（4）审慎性原则。各项业务经营活动必须防范风险，审慎经营，保证基金资产和其他委托资产的安全与完整。</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（5）有效性原则。内控制度应根据国家政策、法律及经营管理的需要适时修改完善，并保证得到全面落实执行，不得有任何空间、时限及人员的例外。</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（6）独立性原则。设立专门履行托管人职责的管理部门；直接操作人员和控制人员必须相对独立，适当分离；内控制度的检查、评价部门必须独立于内控制度的制定和执行部门。</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4、内部风险控制措施实施</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（4）经营控制。资产托管部通过制定计划、编制预算等方法开展各种业务营销活动、处理各项事务，从而有效地控制和配置组织资源，达到资源利用和效益最大化目的。</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（6）数据安全控制。我们通过业务操作区相对独立、数据和传真加密、数据传输线路的冗余备份、监控设施的运用和保障等措施来保障数据安全。</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5、资产托管部内部风险控制情况</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（1）资产托管部内部设置专职稽核监察部门，配备专职稽核监察人员，在总经理的直接领导下，依照有关法律规章，全面贯彻落实全程监控思想，确保资产托管业务健康、稳定地发展。</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（4）内部风险控制始终是托管部工作重点之一，保持与业务发展同等地位。资产托管业务是商业银行新兴的中间业务，资产托管部从成立之日起就特别强调规范运作，一直将建</w:t>
      </w:r>
      <w:r w:rsidRPr="00501A61">
        <w:rPr>
          <w:rFonts w:asciiTheme="minorEastAsia" w:eastAsiaTheme="minorEastAsia" w:hAnsiTheme="minorEastAsia" w:hint="eastAsia"/>
          <w:szCs w:val="21"/>
        </w:rPr>
        <w:lastRenderedPageBreak/>
        <w:t xml:space="preserve">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 </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（五）基金托管人对基金管理人运作基金进行监督的方法和程序</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基金托管人发现基金管理人有重大违规行为，应立即报告中国证监会，同时通知基金管理人限期纠正。</w:t>
      </w:r>
    </w:p>
    <w:p w:rsidR="009B73E9" w:rsidRPr="00501A61" w:rsidRDefault="009B73E9" w:rsidP="009B73E9">
      <w:pPr>
        <w:pStyle w:val="ac"/>
        <w:autoSpaceDE w:val="0"/>
        <w:autoSpaceDN w:val="0"/>
        <w:adjustRightInd w:val="0"/>
        <w:snapToGrid w:val="0"/>
        <w:spacing w:line="360" w:lineRule="auto"/>
        <w:ind w:firstLineChars="200"/>
        <w:rPr>
          <w:rFonts w:asciiTheme="minorEastAsia" w:eastAsiaTheme="minorEastAsia" w:hAnsiTheme="minorEastAsia"/>
          <w:szCs w:val="21"/>
        </w:rPr>
      </w:pPr>
    </w:p>
    <w:p w:rsidR="0002608C" w:rsidRPr="00501A61" w:rsidRDefault="0002608C" w:rsidP="00107648">
      <w:pPr>
        <w:pStyle w:val="111"/>
        <w:snapToGrid w:val="0"/>
        <w:spacing w:beforeLines="0" w:afterLines="0" w:line="360" w:lineRule="auto"/>
        <w:ind w:firstLine="643"/>
        <w:rPr>
          <w:rFonts w:asciiTheme="minorEastAsia" w:eastAsiaTheme="minorEastAsia" w:hAnsiTheme="minorEastAsia"/>
          <w:b/>
          <w:szCs w:val="32"/>
        </w:rPr>
      </w:pPr>
      <w:bookmarkStart w:id="13" w:name="_Toc45632191"/>
      <w:r w:rsidRPr="00501A61">
        <w:rPr>
          <w:rFonts w:asciiTheme="minorEastAsia" w:eastAsiaTheme="minorEastAsia" w:hAnsiTheme="minorEastAsia" w:hint="eastAsia"/>
          <w:b/>
          <w:szCs w:val="21"/>
        </w:rPr>
        <w:lastRenderedPageBreak/>
        <w:t>五、相关服务机构</w:t>
      </w:r>
      <w:bookmarkEnd w:id="13"/>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szCs w:val="21"/>
        </w:rPr>
      </w:pPr>
      <w:bookmarkStart w:id="14" w:name="_Toc45632192"/>
      <w:r w:rsidRPr="00501A61">
        <w:rPr>
          <w:rFonts w:asciiTheme="minorEastAsia" w:eastAsiaTheme="minorEastAsia" w:hAnsiTheme="minorEastAsia" w:hint="eastAsia"/>
          <w:b w:val="0"/>
          <w:bCs/>
          <w:szCs w:val="21"/>
        </w:rPr>
        <w:t>（一）基金份额</w:t>
      </w:r>
      <w:r w:rsidR="00640238" w:rsidRPr="00501A61">
        <w:rPr>
          <w:rFonts w:asciiTheme="minorEastAsia" w:eastAsiaTheme="minorEastAsia" w:hAnsiTheme="minorEastAsia" w:hint="eastAsia"/>
          <w:b w:val="0"/>
          <w:bCs/>
          <w:szCs w:val="21"/>
        </w:rPr>
        <w:t>销售</w:t>
      </w:r>
      <w:r w:rsidRPr="00501A61">
        <w:rPr>
          <w:rFonts w:asciiTheme="minorEastAsia" w:eastAsiaTheme="minorEastAsia" w:hAnsiTheme="minorEastAsia" w:hint="eastAsia"/>
          <w:b w:val="0"/>
          <w:bCs/>
          <w:szCs w:val="21"/>
        </w:rPr>
        <w:t>机构</w:t>
      </w:r>
      <w:bookmarkEnd w:id="14"/>
    </w:p>
    <w:p w:rsidR="0002608C" w:rsidRPr="00501A61" w:rsidRDefault="00C15CD6"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直销机构：易方达基金管理有限公司</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w:t>
      </w:r>
      <w:r w:rsidR="00EC6E1F" w:rsidRPr="00501A61">
        <w:rPr>
          <w:rFonts w:asciiTheme="minorEastAsia" w:eastAsiaTheme="minorEastAsia" w:hAnsiTheme="minorEastAsia" w:cs="仿宋_GB2312" w:hint="eastAsia"/>
          <w:kern w:val="0"/>
        </w:rPr>
        <w:t>广东省珠海市横琴新区宝华路6号105室－42891（集中办公区）</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w:t>
      </w:r>
      <w:r w:rsidR="006741E8" w:rsidRPr="00501A61">
        <w:rPr>
          <w:rFonts w:asciiTheme="minorEastAsia" w:eastAsiaTheme="minorEastAsia" w:hAnsiTheme="minorEastAsia" w:hint="eastAsia"/>
          <w:szCs w:val="21"/>
        </w:rPr>
        <w:t>广州市天河区珠江新城珠江东路30号广州银行大厦40-43</w:t>
      </w:r>
      <w:r w:rsidR="00C64F4D" w:rsidRPr="00501A61">
        <w:rPr>
          <w:rFonts w:asciiTheme="minorEastAsia" w:eastAsiaTheme="minorEastAsia" w:hAnsiTheme="minorEastAsia" w:hint="eastAsia"/>
          <w:szCs w:val="21"/>
        </w:rPr>
        <w:t>楼</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w:t>
      </w:r>
      <w:r w:rsidR="0054506C" w:rsidRPr="00501A61">
        <w:rPr>
          <w:rFonts w:asciiTheme="minorEastAsia" w:eastAsiaTheme="minorEastAsia" w:hAnsiTheme="minorEastAsia" w:hint="eastAsia"/>
          <w:szCs w:val="21"/>
        </w:rPr>
        <w:t>刘晓艳</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电话：020-85102506</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传真：4008818099</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w:t>
      </w:r>
      <w:r w:rsidR="00053B4F" w:rsidRPr="00501A61">
        <w:rPr>
          <w:rFonts w:asciiTheme="minorEastAsia" w:eastAsiaTheme="minorEastAsia" w:hAnsiTheme="minorEastAsia" w:hint="eastAsia"/>
        </w:rPr>
        <w:t>王峰</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网址：www.efunds.com.cn</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直销机构网点信息：</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C15CD6"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易方达基金管理有限公司广州直销中心</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w:t>
      </w:r>
      <w:r w:rsidR="006741E8" w:rsidRPr="00501A61">
        <w:rPr>
          <w:rFonts w:asciiTheme="minorEastAsia" w:eastAsiaTheme="minorEastAsia" w:hAnsiTheme="minorEastAsia" w:hint="eastAsia"/>
          <w:szCs w:val="21"/>
        </w:rPr>
        <w:t>广州市天河区珠江新城珠江东路30号广州银行大厦40</w:t>
      </w:r>
      <w:r w:rsidR="00C64F4D" w:rsidRPr="00501A61">
        <w:rPr>
          <w:rFonts w:asciiTheme="minorEastAsia" w:eastAsiaTheme="minorEastAsia" w:hAnsiTheme="minorEastAsia" w:hint="eastAsia"/>
          <w:szCs w:val="21"/>
        </w:rPr>
        <w:t>楼</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电话：020-85102506</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传真：4008818099</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w:t>
      </w:r>
      <w:r w:rsidR="00053B4F" w:rsidRPr="00501A61">
        <w:rPr>
          <w:rFonts w:asciiTheme="minorEastAsia" w:eastAsiaTheme="minorEastAsia" w:hAnsiTheme="minorEastAsia" w:hint="eastAsia"/>
        </w:rPr>
        <w:t>王峰</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（2）易方达基金管理有限公司北京直销中心</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w:t>
      </w:r>
      <w:r w:rsidR="00B2436B" w:rsidRPr="00501A61">
        <w:rPr>
          <w:rFonts w:asciiTheme="minorEastAsia" w:eastAsiaTheme="minorEastAsia" w:hAnsiTheme="minorEastAsia" w:hint="eastAsia"/>
        </w:rPr>
        <w:t>北京市西城区武定侯街2号泰康国际大厦18层</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电话：010-63213377</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传真：4008818099</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w:t>
      </w:r>
      <w:r w:rsidR="00477C22" w:rsidRPr="00501A61">
        <w:rPr>
          <w:rFonts w:asciiTheme="minorEastAsia" w:eastAsiaTheme="minorEastAsia" w:hAnsiTheme="minorEastAsia" w:hint="eastAsia"/>
          <w:szCs w:val="21"/>
        </w:rPr>
        <w:t>刘蕾</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（3）易方达基金管理有限公司上海直销中心</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w:t>
      </w:r>
      <w:r w:rsidR="007A542B" w:rsidRPr="00501A61">
        <w:rPr>
          <w:rFonts w:asciiTheme="minorEastAsia" w:eastAsiaTheme="minorEastAsia" w:hAnsiTheme="minorEastAsia" w:hint="eastAsia"/>
        </w:rPr>
        <w:t>上海市浦东新区世纪大道88号金茂大厦46楼</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电话：021-50476668</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传真：4008818099</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w:t>
      </w:r>
      <w:r w:rsidR="007742D1" w:rsidRPr="00501A61">
        <w:rPr>
          <w:rFonts w:asciiTheme="minorEastAsia" w:eastAsiaTheme="minorEastAsia" w:hAnsiTheme="minorEastAsia" w:hint="eastAsia"/>
          <w:szCs w:val="21"/>
        </w:rPr>
        <w:t>于楠</w:t>
      </w:r>
    </w:p>
    <w:p w:rsidR="0002608C" w:rsidRPr="00501A61" w:rsidRDefault="0002608C" w:rsidP="00107648">
      <w:pPr>
        <w:tabs>
          <w:tab w:val="num" w:pos="840"/>
        </w:tabs>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（4）易方达基金管理有限公司网上交易系统</w:t>
      </w:r>
    </w:p>
    <w:p w:rsidR="0002608C" w:rsidRPr="00501A61" w:rsidRDefault="0002608C" w:rsidP="0010764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t>
      </w:r>
      <w:hyperlink r:id="rId17" w:history="1">
        <w:r w:rsidR="007B29B3" w:rsidRPr="00501A61">
          <w:rPr>
            <w:rStyle w:val="af"/>
            <w:rFonts w:asciiTheme="minorEastAsia" w:eastAsiaTheme="minorEastAsia" w:hAnsiTheme="minorEastAsia" w:hint="eastAsia"/>
            <w:color w:val="auto"/>
            <w:szCs w:val="21"/>
            <w:u w:val="none"/>
          </w:rPr>
          <w:t>www.efunds.com.cn</w:t>
        </w:r>
      </w:hyperlink>
    </w:p>
    <w:p w:rsidR="00A554B4" w:rsidRPr="00501A61" w:rsidRDefault="00C15CD6" w:rsidP="0010764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D109A3" w:rsidRPr="00501A61">
        <w:rPr>
          <w:rFonts w:asciiTheme="minorEastAsia" w:eastAsiaTheme="minorEastAsia" w:hAnsiTheme="minorEastAsia" w:hint="eastAsia"/>
          <w:szCs w:val="21"/>
        </w:rPr>
        <w:t>非直销销售机构</w:t>
      </w:r>
      <w:r w:rsidR="0002608C" w:rsidRPr="00501A61">
        <w:rPr>
          <w:rFonts w:asciiTheme="minorEastAsia" w:eastAsiaTheme="minorEastAsia" w:hAnsiTheme="minorEastAsia" w:hint="eastAsia"/>
          <w:szCs w:val="21"/>
        </w:rPr>
        <w:t>（以下排序不分先后）</w:t>
      </w:r>
      <w:bookmarkStart w:id="15" w:name="_Toc38432429"/>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 中国工商银行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注册地址：北京西城区复兴门内大街55号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办公地址：北京西城区复兴门内大街55号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法定代表人：陈四清</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联系人：杨菲</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网址：www.icbc.com.cn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 渤海银行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注册地址：天津市河东区海河东路218号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办公地址：天津市河东区海河东路218号渤海银行大厦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法定代表人：李伏安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联系人：王宏</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联系电话：022-58316666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客户服务电话：95541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传真：022-58316569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网址：www.cbhb.com.cn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(3) 广发银行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注册地址：广东省广州市越秀区东风东路713号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办公地址：广东省广州市越秀区东风东路713号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法定代表人：王滨</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客户服务电话：400-830-8003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网址：www.cgbchina.com.cn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(4) 恒丰银行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注册地址：济南市历下区泺源大街8号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办公地址：山东省烟台市莱山区港城东大街289号南山世纪大厦A座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法定代表人：陈颖</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联系人：李胜贤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电话：021-63890179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客户服务电话：95395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传真：021-63890196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网址：www.hfbank.com.cn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(5) 华夏银行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注册地址：北京市东城区建国门内大街22号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办公地址：北京市东城区建国门内大街22号华夏银行大厦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法定代表人：李民吉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联系人：王者凡</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客户服务电话：95577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传真：010-85238680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网址：www.hxb.com.cn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(6) 交通银行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注册地址：中国（上海）自由贸易试验区银城中路188号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办公地址：中国（上海）自由贸易试验区银城中路188号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法定代表人：任德奇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联系人：王菁</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联系电话：021-58781234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客户服务电话：95559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网址：www.bankcomm.com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(7) 平安银行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注册地址：广东省深圳市罗湖区深南东路5047号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办公地址：广东省深圳市罗湖区深南东路5047号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法定代表人：谢永林</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联系人：赵杨</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联系电话：0755-22166574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客户服务电话：95511-3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传真：021-50979507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网址：bank.pingan.com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(8) 浦发银行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注册地址：上海市中山东一路12号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办公地址：上海市中山东一路12号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法定代表人：郑杨</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联系人：赵守良</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联系电话：021-61618888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客户服务电话：95528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传真：021-63604196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网址：www.spdb.com.cn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(9) 兴业银行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注册地址：福州市湖东路154号中山大厦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办公地址：上海市银城路167号兴业银行大厦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法定代表人：陶以平（代为履行法定代表人职权）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联系人：孙琪虹</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客户服务电话：95561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网址：www.cib.com.cn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(10) 招商银行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注册地址：深圳市福田区深南大道7088号招商银行大厦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办公地址：深圳市福田区深南大道7088号招商银行大厦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法定代表人：李建红</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联系人：季平伟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客户服务电话：95555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网址：www.cmbchina.com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(11) 浙商银行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注册地址：浙江省杭州市萧山区鸿宁路1788号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办公地址：浙江杭州市庆春路288号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法定代表人：沈仁康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联系人：沈崟杰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联系电话：0571- 88261822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客户服务电话：95527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传真：0571-87659954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网址：www.czbank.com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(12) 中国光大银行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注册地址：北京市西城区太平桥大街25号、甲25号中国光大中心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办公地址：北京市西城区太平桥大街25号金融街F3大厦（中国光大中心）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法定代表人：刘秋明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联系人：朱红</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联系电话：010-63636153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客户服务电话：95595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传真：010-63639709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网址：www.cebbank.com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(13) 中国建设银行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注册地址：北京市西城区金融大街25号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办公地址：北京市西城区闹市口大街1号院1号楼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法定代表人：田国立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联系人：王未雨</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客户服务电话：95533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网址：www.ccb.com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(14) 中国民生银行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注册地址：北京市西城区复兴门内大街2号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办公地址：北京市西城区复兴门内大街2号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法定代表人：洪崎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联系人：徐野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客户服务电话：95568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网址：www.cmbc.com.cn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(15) 中国农业银行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注册地址：北京市东城区建国门内大街69号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办公地址：北京市东城区建国门内大街69号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法定代表人：周慕冰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联系人：李紫钰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传真：010-85109219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网址：www.abchina.com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(16) 中国银行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注册地址：北京市西城区复兴门内大街1号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办公地址：北京市西城区复兴门内大街1号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法定代表人：刘连舸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网址：www.boc.cn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(17) 中国邮政储蓄银行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注册地址：北京市西城区金融大街3号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办公地址：北京市西城区金融大街3号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法定代表人：张金良</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联系人：王硕</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客户服务电话：95580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传真：010-68858057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网址：www.psbc.com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(18) 中信银行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注册地址：北京市东城区朝阳门北大街9号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办公地址：北京市东城区朝阳门北大街9号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法定代表人：李庆萍</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联系人：王晓琳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客户服务电话：95558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传真：010-85230049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网址：bank.ecitic.com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(19) 包商银行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注册地址：内蒙古自治区包头市青山区钢铁大街6号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办公地址：内蒙古自治区包头市青山区钢铁大街6号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法定代表人：周学东</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联系人：张晶</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联系电话：0472-5189165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客户服务电话：95352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传真：010-84596546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网址：www.bsb.com.cn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(20) 北京银行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注册地址：北京市西城区金融大街甲17号首层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办公地址：北京市西城区金融大街丙17号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法定代表人：张东宁</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联系人：周黎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客户服务电话：95526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网址：www.bankofbeijing.com.cn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(21) 长安银行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注册地址：西安市高新技术产业开发区高新四路13号1幢1单元10101室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办公地址：西安市高新技术产业开发区高新四路13号朗臣大厦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法定代表人：赵永军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联系人：闫石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客户服务电话：400-05-96669；（029）96669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传真：029-88609566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网址：http://www.ccabchina.com/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(22) 长沙银行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注册地址：长沙市岳麓区滨江路53号楷林商务中心B座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办公地址：长沙市岳麓区滨江路长沙银行大厦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法定代表人：朱玉国</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联系人：于立娜</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联系电话：0731-89736250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客户服务电话：0731-96511（湖南省内）、40067-96511（全国）</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网址：www.bankofchangsha.com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(23) 大连银行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注册地址：辽宁省大连市中山区中山路88号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办公地址：大连市中山区中山路88号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法定代表人：崔磊</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联系人：卜书慧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联系电话：0411-82311936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客户服务电话：400-664-0099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网址：www.bankofdl.com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(24) 德州银行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注册地址：山东省德州市三八东路1266号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办公地址：山东省德州市三八东路1266号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法定代表人：董合平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联系人：王方震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电话：0534-2297326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客户服务电话：400-01-96588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网址：www.dzbchina.com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(25) 东莞农村商业银行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注册地址：广东省东莞市东城区鸿福东路2号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办公地址：广东省东莞市东城区鸿福东路2号东莞农商银行大厦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法定代表人：王耀球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联系人：钟燕珊</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客户服务电话：0769-961122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网址：www.drcbank.com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(26) 东莞银行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注册地址：东莞市莞城区体育路21号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办公地址：东莞市莞城区体育路21号东莞银行大厦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法定代表人：卢国锋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联系人：朱杰霞</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联系电话：0769-22865177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客户服务电话：956033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网址：www.dongguanbank.cn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(27) 佛山农商银行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注册地址：佛山市禅城区华远东路5号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办公地址：佛山市禅城区华远东路5号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法定代表人：李川</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联系人：陈棠熙</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客户服务电话：96138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网址：www.foshanbank.cn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(28) 福建海峡银行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注册地址：福建省福州市台江区江滨中大道358号海峡银行大厦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办公地址：福建省福州市台江区江滨中大道358号福建海峡银行8楼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法定代表人：俞敏</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联系人：黄钰雯</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联系电话：0591-87332762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客户服务电话：400-893-9999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传真：0591-87330926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网址：www.fjhxbank.com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(29) 富阳农商银行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注册地址：杭州市富阳区鹿山街道依江路501号第1幢</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办公地址：杭州市富阳区鹿山街道依江路501号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法定代表人：丁松茂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联系人：陈硕</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联系电话：0571-63280253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客户服务电话：96596、4008896596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网址：www.fyrcbk.com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(30) 广东华兴银行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注册地址：广东省汕头市龙湖区黄山路28号四层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办公地址：广州市天河区天河路533号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法定代表人：周泽荣</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联系人：许悦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联系电话：020-38173552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客户服务电话：4008308001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传真：020-38173857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网址：www.ghbank.com.cn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(31) 广东南粤银行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注册地址：广东省湛江市经济技术开发区乐山大道60号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办公地址：广东省湛江市经济技术开发区乐山大道60号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法定代表人：蒋丹</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联系人：陈静</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联系电话：020-28308757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客户服务电话：4000-961818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网址：www.gdnybank.com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(32) 广州农商银行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注册地址：广州市黄埔区映日路9号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办公地址：广州市天河区珠江新城华夏路1号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法定代表人：王继康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联系人：刘强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联系电话：020-22389067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客户服务电话：95313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传真：020-22389031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网址：www.grcbank.com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(33) 广州银行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注册地址：广州市天河区珠江东路30号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办公地址：广州市天河区珠江东路30号广州银行大厦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法定代表人：黄子励</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联系人：唐荟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客户服务电话：96699（广东）400-83-96699（全国）</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网址：www.gzcb.com.cn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(34) 哈尔滨银行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注册地址：哈尔滨市道里区尚志大街160号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办公地址：哈尔滨市道里区上江街888号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法定代表人：郭志文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联系人：何岩岩</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电话：0451-87792450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客户服务电话：95537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传真：0451-87792682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网址：www.hrbb.com.cn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(35) 汉口银行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注册地址：武汉市江汉区建设大道933号武汉商业银行大厦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办公地址：武汉市江汉区建设大道933号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法定代表人：陈新民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联系人：周田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联系电话：027-82656785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客户服务电话：4006096558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传真：027-82656213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网址：http://www.hkbchina.com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(36) 杭州联合银行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注册地址：浙江省杭州市上城区建国中路99号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办公地址：杭州市建国中路99号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法定代表人：张海林</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联系人：吴徐立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联系电话：0571-87923324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客户服务电话：96596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传真：0571-87923214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网址：www.urcb.com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(37) 杭州银行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注册地址：浙江省杭州市下城区庆春路46号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办公地址：杭州市下城区庆春路46号杭州银行大厦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法定代表人：陈震山</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联系人：董猛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联系电话：0571-85872972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客户服务电话：95398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传真：0571-85106576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网址：www.hzbank.com.cn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(38) 河北银行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注册地址：石家庄市平安北大街28号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办公地址：石家庄市平安北大街28号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法定代表人：乔志强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联系人：李博</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联系电话：0311-88627587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客户服务电话：400-612-9999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传真：0311-67806407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网址：www.hebbank.com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(39) 华融湘江银行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注册地址：长沙市天心区芙蓉南路一段828号杰座大厦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办公地址：湖南省长沙市湘府东路二段208号万境财智中心南栋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法定代表人：张永宏</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联系人：闾娇蓉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联系电话：0731-89828182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客户服务电话：0731-96599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传真：0731-89828806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网址：www.hrxjbank.com.cn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(40) 吉林银行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注册地址：吉林省长春市经济技术开发区东南湖大路1817号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办公地址：吉林省长春市经济技术开发区东南湖大路1817号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法定代表人：陈宇龙</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联系人：孟明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联系电话：0431-84992680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客户服务电话：400-88-96666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传真：0431-84992649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网址：www.jlbank.com.cn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(41) 嘉兴银行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注册地址：浙江省嘉兴市昌盛南路1001号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办公地址：浙江省嘉兴市昌盛南路1001号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法定代表人：夏林生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联系人：余舟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联系电话：0573-82080201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客户服务电话：0573-96528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网址：http://www.bojx.com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(42) 江南农村商业银行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注册地址：常州市和平中路413号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办公地址：常州市和平中路413号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法定代表人：陆向阳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联系人：李仙</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电话：0519-80585939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客户服务电话：0519-96005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传真：0519-89995170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网址：http://www.jnbank.com.cn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(43) 江苏银行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注册地址：南京市中华路26号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办公地址：南京市中华路26号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法定代表人：夏平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联系人：展海军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联系电话：025-58587039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客户服务电话：95319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传真：025-58587820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网址：www.jsbchina.cn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(44) 江西银行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注册地址：江西省南昌市红谷滩新区金融大街699号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办公地址：江西省南昌市红谷滩新区金融大街699号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法定代表人：陈晓明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联系人：陈云波</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联系电话：0791-86796029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客户服务电话：956055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传真：0791-86790795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网址：www.jx-bank.com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(45) 金华银行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注册地址：浙江省金华市丹溪路1388号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办公地址：浙江省金华市金东区光南路668号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法定代表人：徐雅清</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联系人：何赛丽、陈霞</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联系电话：0579-82178270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客户服务电话：400-711-6668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传真：0579-82178321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网址：www.jhccb.com.cn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(46) 锦州银行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注册地址：辽宁省锦州市科技路68号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办公地址：辽宁省锦州市科技路68号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法定代表人：魏学坤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联系人：庞璐璐</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客户服务电话：400-66-96178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网址：www.jinzhoubank.com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(47) 九台农商银行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注册地址：吉林省长春市九台区新华大街504号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办公地址：吉林省长春市高新开发区蔚山路2559号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法定代表人：高兵</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联系人：曲凌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客户服务电话：0431-96888-0-2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网址：http://www.jtnsh.com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(48) 昆仑银行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注册地址：新疆克拉玛依市世纪大道7号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办公地址：北京市西城区金融大街1号B座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法定代表人：蒋尚军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联系人：张碧华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联系电话：010-89026813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客户服务电话：95379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传真：010-89025421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网址：www.klb.cn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(49) 昆山农村商业银行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注册地址：江苏省昆山市前进东路828号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办公地址：江苏省昆山市前进东路828号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法定代表人：张哲清</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联系人：黄怡</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客户服务电话：0512-96079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网址：www.ksrcb.com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(50) 乐清农商银行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注册地址：浙江省乐清市城南街道伯乐西路99号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办公地址：浙江省乐清市城南街道伯乐西路99号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法定代表人：高剑飞</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联系人：金晓娇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联系电话：0577-61566028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客户服务电话：4008896596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传真：0577-61566063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网址：www.yqbank.com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(51) 龙江银行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注册地址：黑龙江省哈尔滨市道里区友谊路436号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办公地址：黑龙江省哈尔滨市道里区友谊路436号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法定代表人：张建辉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联系人：闫勇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联系电话：0451-85706107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客户服务电话：400-645-8888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传真：0451-85706036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网址：http://www.lj-bank.com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(52) 龙湾农商银行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注册地址：浙江省温州市龙湾区永中街道永宁西路555号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办公地址：浙江省温州市龙湾区永中街道永宁西路555号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法定代表人：朱朋远</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联系人：胡俊杰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联系电话：0577-86923223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客户服务电话：4008296596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传真：0577-86921250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网址：www.lwrcb.com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(53) 鹿城农商银行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注册地址：浙江省温州市鹿城区会展路1500号富银大厦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办公地址：温州市车站大道547号信合大厦A幢</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法定代表人：陈宏强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联系人：董雷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联系电话：0577-88077675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客户服务电话：96526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网址：http://www.lcrcbank.com/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(54) 洛阳银行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注册地址：洛阳市洛阳新区开元大道与通济街交叉口</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办公地址：河南省洛阳市开元大道256号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法定代表人：王建甫</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联系人：郭文博</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联系电话：0379-65921977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客户服务电话：0379-96699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传真：0379-65938595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网址：www.bankofluoyang.com.cn/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(55) 宁波银行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注册地址：浙江省宁波市鄞州区宁东路345号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办公地址：浙江省宁波市鄞州区宁东路345号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法定代表人：陆华裕</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联系人：夏禾</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客户服务电话：95574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网址：www.nbcb.com.cn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(56) 齐商银行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注册地址：淄博市张店区中心路105号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办公地址：山东省淄博市张店区金晶大道105号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法定代表人：杲传勇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联系人：焦浦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联系电话：0533-2178888-9907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客户服务电话：400-86-96588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传真：0533-2180303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网址：www.qsbank.cc</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(57) 青岛农商银行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注册地址：山东省青岛市崂山区秦岭路6号1号楼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办公地址：山东省青岛市崂山区秦岭路6号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法定代表人：刘仲生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联系人：严菲</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联系电话：0532-66957360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客户服务电话：0532-96668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传真：0532-66957229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网址：www.qrcb.com.cn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(58) 青岛银行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注册地址：山东省青岛市崂山区秦岭路6号3号楼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办公地址：山东省青岛市崂山区秦岭路6号3号楼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法定代表人：郭少泉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联系人：陈界交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联系电话：0532-68629925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客户服务电话：96588（青岛）400-66-96588（全国）</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网址：http://www.qdccb.com/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(59) 泉州银行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注册地址：泉州市丰泽区云鹿路3号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办公地址：泉州市丰泽区云鹿路3号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法定代表人：傅子能</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联系人：董培姗</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联系电话：0595-22551071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客户服务电话：400-88-96312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传真：0595-22578871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网址：http://www.qzccbank.com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(60) 日照银行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注册地址：山东省日照市烟台路197号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办公地址：山东省日照市烟台路197号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法定代表人：王森</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联系人：孔颖</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联系电话：0633-8081590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客户服务电话：400-68-96588（全国）、0633-96588（日照）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传真：0633-8081276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网址：http://www.bankofrizhao.com.cn/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(61) 瑞安农商银行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注册地址：瑞安市安阳街道万松东路148号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办公地址：瑞安市安阳街道万松东路148号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法定代表人：王光领</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联系人：吴清萍</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联系电话：0577-66816501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客户服务电话：4008057702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网址：https://www.rarcbank.com/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(62) 瑞丰银行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注册地址：浙江省绍兴市柯桥区笛扬路1363号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办公地址：浙江省绍兴市柯桥区笛扬路1363号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法定代表人：章伟东</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联系人：孟建潮</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联系电话：0575-81105323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客户服务电话：400-88-96596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传真：0575-84788134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网址：www.borf.cn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(63) 上海农村商业银行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注册地址：上海市黄浦区中山东二路70号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办公地址：上海市黄浦区中山东二路70号上海农商银行大厦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法定代表人：徐力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联系人：施传荣</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联系电话：021-61899999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客户服务电话：021-962999、4006962999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开放式基金业务传真：021-50105124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网址：www.srcb.com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(64) 上海银行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注册地址：中国（上海）自由贸易试验区银城中路168号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办公地址：上海市浦东新区银城中路168号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法定代表人：金煜</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联系电话：021-68475732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客户服务电话：95594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网址：http://www.bosc.cn/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(65) 顺德农村商业银行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注册地址：广东佛山市顺德区大良德和居委会拥翠路2号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办公地址：广东佛山市顺德区大良德和居委会拥翠路2号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法定代表人：姚真勇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联系人：杨素苗、区敏欣</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联系电话：0757-22382524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客户服务电话：0757-22223388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传真：0757-22388235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网址：www.sdebank.com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(66) 苏州银行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注册地址：江苏省苏州市工业园区钟园路728号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办公地址：江苏省苏州市工业园区钟园路728号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法定代表人：王兰凤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联系人：吴骏</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联系电话：0512-69868373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客户服务电话：96067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传真：0512-69868373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网址：www.suzhoubank.com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(67) 天津农商银行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注册地址：天津市河西区马场道59号国际经济贸易中心A座1-6层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办公地址：天津市河西区马场道59号国际经济贸易中心A座1-6层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法定代表人：徐庆宏</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联系人：满与谦、梁冯雷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联系电话：022-83872155，022-83872800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客户服务电话：022-96155，400-80-96155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传真：022-83872156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网址：www.trcbank.com.cn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(68) 天津银行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注册地址：天津市河西区友谊路15号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办公地址：天津市河西区友谊路15号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法定代表人：李宗唐</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联系人：李岩</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联系电话：022-28405684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客户服务电话：956056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传真：022-28405631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网址：www.bank-of-tianjin.com.cn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(69) 威海市商业银行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注册地址：威海市宝泉路9号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办公地址：威海市宝泉路9号财政大厦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法定代表人：谭先国</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联系人：冯十卉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联系电话：0531-68978175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客户服务电话：山东省内96636、中国境内40000-96636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传真：0531-68978176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网址：www.whccb.com，www.whccb.com.cn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(70) 潍坊银行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注册地址：山东省潍坊市奎文区胜利东街5139号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办公地址：山东省潍坊市奎文区胜利东街5139号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法定代表人：郭虎英</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联系人：井靖</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联系电话：0536-8051904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客户服务电话：400-61-96588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传真：0536-8056061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网址：www.wfccb.com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(71) 萧山农商银行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注册地址：萧山区人民路258号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办公地址：浙江省杭州市萧山区人民路258号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法定代表人：王云龙</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联系人：朱光锋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联系电话：0571-82739513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客户服务电话：96596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网址：http://www.zjxsbank.com/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(72) 烟台银行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注册地址：山东省烟台市芝罘区海港路25号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办公地址：山东省烟台市芝罘区海港路25号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法定代表人：吴明理</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联系人：张卓智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联系电话：0535-6699671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客户服务电话：4008-311-777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传真：0535-6699884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网址：www.yantaibank.net</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(73) 余杭农村商业银行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注册地址：杭州市余杭区南苑街道南大街72号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办公地址：杭州市余杭区南苑街道南大街72号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法定代表人：来煜标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联系人：蔡亮</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联系电话：0571-86209980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客户服务电话：96596，4008896596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网址：www.yhrcb.com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(74) 云南红塔银行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注册地址：云南省玉溪市东风南路2号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办公地址：云南省昆明市盘龙区世博路低碳中心A座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法定代表人：李光林</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联系人：马杰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联系电话：0871-65236624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客户服务电话：0877-96522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网址：www.ynhtbank.com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(75) 浙江稠州商业银行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注册地址：浙江省义乌市江滨路义乌乐园东侧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办公地址：杭州市上城区望潮路158号稠银大厦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法定代表人：金子军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联系人：谢圆圆</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联系电话：0571-87117661/13777805250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客户服务电话：0571-96527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传真：0571-87117607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网址：http://www.czcb.com.cn/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(76) 浙江泰隆商业银行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注册地址：浙江省台州市路桥区南官大道188号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办公地址：浙江省台州市路桥区南官大道188号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联系人：陈妍宇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联系电话：0571-87219677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客户服务电话：95347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网址：www.zjtlcb.com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(77) 中原银行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注册地址：河南省郑州市郑东新区CBD商务外环路23号中科金座大厦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办公地址：河南省郑州市郑东新区CBD商务外环路23号中科金座大厦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法定代表人：窦荣兴</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联系人：张星强  联系电话：0371-85517713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客户服务电话：95186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网址：www.zybank.com.cn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(78) 重庆农村商业银行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注册地址：重庆市江北区金沙门路36号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办公地址：重庆市江北区金沙门路36号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法定代表人：刘建忠</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联系人：范亮</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联系电话：023-61110146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客户服务电话：95389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传真：023-61110146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网址：www.cqrcb.com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(79) 珠海华润银行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注册地址：广东省珠海市吉大九洲大道东1346号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办公地址：广东省珠海市吉大九洲大道东1346号珠海华润银行大厦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法定代表人：刘晓勇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联系电话：4008800338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客户服务电话：96588（广东省外请加拨0756），400-8800-338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网址：www.crbank.com.cn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(80) 安信证券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注册地址：深圳市福田区金田路4018号安联大厦35层、28层A02单元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办公地址：深圳市福田区金田路4018号安联大厦35层、28层A02单元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          深圳市福田区深南大道2008号中国凤凰大厦1栋9层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法定代表人：王连志</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联系人：陈剑虹</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联系电话：0755-82825551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客户服务电话：95517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传真：0755-82558355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网址：www.essence.com.cn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(81) 渤海证券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注册地址：天津市经济技术开发区第二大街42号写字楼101室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办公地址：天津市南开区宾水西道8号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法定代表人：安志勇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联系电话：022-28451922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客户服务电话：400-651-5988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传真：022-28451892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网址：www.ewww.com.cn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(82) 财达证券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注册地址：河北省石家庄市桥西区自强路35号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办公地址：河北省石家庄市桥西区自强路35号庄家金融大厦23-26层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法定代表人：翟建强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联系人：李卓颖</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联系电话：0311-66008561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客户服务电话：95363（河北省内）；0311-95363（河北省外）</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传真：0311-66006414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网址：www.s10000.com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(83) 财通证券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注册地址：浙江省杭州市杭大路15号嘉华国际商务中心201，501，502，1103，1601-1615，1701-1716室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办公地址：浙江省杭州市杭大路15号嘉华国际商务中心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法定代表人：陆建强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联系人：陶志华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联系电话：0571－87789160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客户服务电话：95336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网址：www.ctsec.com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(84) 财信证券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注册地址：长沙市芙蓉中路二段80号顺天国际财富中心26层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办公地址：长沙市芙蓉中路二段80号顺天国际财富中心26-28层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法定代表人：刘宛晨</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联系人：郭静</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联系电话：0731-84403347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客户服务电话：95317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传真：0731-84403439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网址：www.cfzq.com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(85) 长城国瑞证券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注册地址：厦门市思明区莲前西路2号莲富大厦17楼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办公地址：厦门市思明区深田路46号深田国际大厦20楼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联系人：邱震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联系电话：0592-2079259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客户服务电话：400-0099-886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传真：0592-2079602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网址：www.gwgsc.com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(86) 长城证券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注册地址：深圳市福田区福田街道金田路2026号能源大厦南塔楼10-19层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办公地址：深圳市福田区福田街道金田路2026号能源大厦南塔楼10-19层长城证券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法定代表人：曹宏</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联系人：梁浩</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联系电话：0755-83530715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客户服务电话：400-6666-888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传真：0755-83516199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网址：www.cgws.com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(87) 长江证券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注册地址：湖北省武汉市新华路特8号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办公地址：湖北省武汉市新华路特8号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法定代表人：李新华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联系人：奚博宇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联系电话：027-65799999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客户服务电话：95579或4008-888-999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传真：027-85481900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网址：www.95579.com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(88) 川财证券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注册地址：中国（四川）自由贸易试验区成都高新区交子大道177号中海国际中心B座17楼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办公地址：四川省成都高新区交子大道177号中海国际中心B座17楼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法定代表人：孟建军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联系人：匡婷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联系电话：028-86583053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客户服务电话：028-962708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网址：www.cczq.com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(89) 大通证券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注册地址：辽宁省大连市沙河口区会展路129号大连国际金融中心A座-大连期货大厦38、39层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办公地址：辽宁省大连市沙河口区会展路129号大连国际金融中心A座-大连期货大厦38、39层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法定代表人：赵玺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联系人：谢立军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联系电话：0411-39991807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客户服务电话：4008-169-169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传真：0411-39673214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网址：www.daton.com.cn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(90) 大同证券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注册地址：山西省大同市城区迎宾街15号桐城中央21层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办公地址：山西省太原市小店区长治路111号山西世贸中心A座F12、F13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法定代表人：董祥</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联系人：薛津</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联系电话：0351-4130322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客户服务电话：4007121212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传真：0351-7219891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网址：www.dtsbc.com.cn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(91) 德邦证券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注册地址：上海市普陀区曹杨路510号南半幢9楼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办公地址：上海市福山路500号城建国际中心29楼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法定代表人：武晓春</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联系人：刘熠</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联系电话：021-68761616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客户服务电话：400-8888-128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传真：021-68767880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网址：http://www.tebon.com.cn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(92) 第一创业证券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注册地址：深圳市福田区福华一路115号投行大厦20楼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办公地址：深圳市福田区福华一路115号投行大厦20楼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法定代表人：刘学民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联系人：单晶</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联系电话：0755-23838750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客户服务电话：95358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网址：www.firstcapital.com.cn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(93) 东北证券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注册地址：长春市生态大街6666号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办公地址：长春市生态大街6666号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法定代表人：李福春</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联系人：安岩岩</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联系电话：0431-85096517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客户服务电话：95360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传真：0431-85096795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网址：www.nesc.cn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(94) 东方证券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注册地址：上海市中山南路318号2号楼22层、23层、25层-29层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办公地址：上海市中山南路318号2号楼13层、21层-23层、25-29层、32 层、36 层、</w:t>
      </w:r>
      <w:r w:rsidRPr="00501A61">
        <w:rPr>
          <w:rFonts w:asciiTheme="minorEastAsia" w:eastAsiaTheme="minorEastAsia" w:hAnsiTheme="minorEastAsia" w:hint="eastAsia"/>
          <w:szCs w:val="21"/>
        </w:rPr>
        <w:lastRenderedPageBreak/>
        <w:t>39 层、40 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法定代表人：潘鑫军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联系人：朱琼玉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联系电话：021-63325888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客户服务电话：95503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传真：021-63326729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网址：http://www.dfzq.com.cn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(95) 东莞证券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注册地址：东莞市莞城区可园南路一号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办公地址：东莞市莞城区可园南路1号金源中心30楼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法定代表人：陈照星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联系人：李荣</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联系电话：0769-22115712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客户服务电话：95328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传真：0769-22115712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网址：www.dgzq.com.cn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(96) 东海证券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注册地址：江苏省常州市延陵西路23号投资广场18层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办公地址：上海市浦东新区东方路1928号东海证券大厦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法定代表人：钱俊文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联系人：王一彦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联系电话：021-20333333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客户服务电话：95531、400-8888-588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传真：021-50498825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网址：www.longone.com.cn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(97) 东吴证券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注册地址：苏州工业园区星阳街5号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办公地址：苏州工业园区星阳街5号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法定代表人：范力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联系人：陆晓</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联系电话：0512-62938521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客户服务电话：95330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传真：0512-65588021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网址：www.dwzq.com.cn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(98) 东兴证券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注册地址：北京市西城区金融大街5号（新盛大厦）12、15层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办公地址：北京市西城区金融大街5号新盛大厦B座10层、12层、15层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法定代表人：魏庆华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联系人：夏锐</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联系电话：010-66559079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客户服务电话：95309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传真：010-66555133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网址：www.dxzq.net</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(99) 方正证券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注册地址：长沙市天心区湘江中路二段36号华远华中心4、5号楼3701-3717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办公地址：北京市朝阳区北四环中路27号盘古大观A座40F</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法定代表人：施华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联系人：程博怡</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联系电话：010-56437060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客户服务电话：95571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传真：010-56437013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网址：www.foundersc.com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(100) 光大证券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注册地址：上海市静安区新闸路1508号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办公地址：上海市静安区新闸路1508号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法定代表人：刘秋明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联系人：龚俊涛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联系电话：021-22169999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客户服务电话：95525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传真：021-22169134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网址：www.ebscn.com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(101) 广发证券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注册地址：广东省广州市黄埔区中新广州知识城腾飞一街2号618室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办公地址：广州市天河区马场路26号广发证券大厦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法定代表人：孙树明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联系人：黄岚</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客户服务电话：95575或02095575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网址：www.gf.com.cn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(102) 国都证券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注册地址：北京市东城区东直门南大街3号国华投资大厦9层10层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办公地址：北京市东城区东直门南大街3号国华投资大厦9层10层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法定代表人：王少华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联系人：黄静</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联系电话：010-84183389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客户服务电话：400-818-8118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传真：010-84183311-3122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网址：www.guodu.com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(103) 国海证券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注册地址：广西桂林市辅星路13号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办公地址：深圳市福田区竹子林四路光大银行大厦3楼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法定代表人：何春梅</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联系人：田密</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联系电话：0755-83716916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客户服务电话：95563或0771-95563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网址：www.ghzq.com.cn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(104) 国金证券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注册地址：成都市青羊区东城根上街95号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办公地址：成都市青羊区东城根上街95号成证大厦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法定代表人：冉云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联系人：杜晶、黎建平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联系电话：028-86690057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客户服务电话：95310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传真：028-86690126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网址：www.gjzq.com.cn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(105) 国联证券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注册地址：江苏省无锡市太湖新城金融一街8号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办公地址：江苏省无锡市太湖新城金融一街8号国联金融大厦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法定代表人：姚志勇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联系人：祁昊</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联系电话：0510-82831662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客户服务电话：95570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传真：0510-82830162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网址：www.glsc.com.cn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(106) 国融证券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注册地址：内蒙古自治区呼和浩特市武川县腾飞大道1号4楼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办公地址：北京市西城区宣武门西大街甲129号金隅大厦16层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法定代表人：张智河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联系人：李思萱</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联系电话：010-83991848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客户服务电话：95385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传真：010-66412537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网址：www.grzq.com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(107) 国盛证券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注册地址：江西省南昌市新建区子实路1589号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办公地址：江西省南昌市红谷滩新区凤凰中大道1115号北京银行大厦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法定代表人：徐丽峰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联系人：占文驰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联系电话：0791-88250812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客户服务电话：956080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传真：0791-86281305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网址：www.gszq.com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(108) 国泰君安证券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注册地址：中国（上海）自由贸易试验区商城路618号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办公地址：上海市静安区南京西路768号国泰君安大厦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法定代表人：贺青</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联系人：芮敏祺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客户服务电话：95521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传真：021-38670666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网址：www.gtja.com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(109) 国信证券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注册地址：深圳市罗湖区红岭中路1012号国信证券大厦十六层至二十六层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办公地址：深圳市罗湖区红岭中路1012号国信证券大厦十六层至二十六层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法定代表人：何如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联系人：李颖</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联系电话：0755-82130833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客户服务电话：95536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传真：0755-82133952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网址：www.guosen.com.cn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(110) 国元证券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注册地址：安徽省合肥市梅山路18号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办公地址：安徽省合肥市梅山路18号安徽国际金融中心A座国元证券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法定代表人：俞仕新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联系人：李蔡</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客户服务电话：95578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传真：0551-2272100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网址：www.gyzq.com.cn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(111) 海通证券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注册地址：上海市广东路689号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办公地址：上海市广东路689号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法定代表人：周杰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联系人：金芸、李笑鸣</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联系电话：021-23219000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客户服务电话：95553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传真：021-23219100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网址：www.htsec.com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(112) 恒泰证券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注册地址：内蒙古自治区呼和浩特市新城区海拉尔东街满世尚都办公商业综合楼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办公地址：呼和浩特市新城区海拉尔东街满世书香苑办公楼7楼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法定代表人：庞介民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联系人：熊丽</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联系电话：0471-4972675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客户服务电话：4001966188,956088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网址：www.cnht.com.cn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(113) 红塔证券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注册地址：云南省昆明市北京路155号附1号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办公地址：云南省昆明市北京路155号附1号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法定代表人：李素明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联系人：罗德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联系电话：0871-63582843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客户服务电话：956060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传真：0871-63578827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网址：http://www.hongtastock.com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(114) 华安证券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注册地址：安徽省合肥市政务文化新区天鹅湖路198号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办公地址：安徽省合肥市政务文化新区天鹅湖路198号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法定代表人：章宏韬</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联系人：范超</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联系电话：0551-65161821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客户服务电话：95318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传真：0551-65161825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网址：www.hazq.com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(115) 华宝证券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注册地址：中国（上海）自由贸易试验区世纪大道100号57层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办公地址：中国（上海）自由贸易试验区世纪大道100号57层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法定代表人：刘加海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联系人：刘闻川</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联系电话：021-20657517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客户服务电话：400-820-9898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传真：021-20515593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网址：www.cnhbstock.com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(116) 华福证券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注册地址：福建省福州市鼓楼区鼓屏路27号1#楼3层、4层、5层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办公地址：上海市浦东新区陆家嘴环路1088号招商银行大厦18-19楼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法定代表人：黄金琳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联系人：王虹</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联系电话：021-20655183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客户服务电话：95547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传真：021-20655196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网址：www.hfzq.com.cn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(117) 华林证券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注册地址：拉萨市柳梧新区国际总部城3幢1单元5-5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办公地址：深圳市福田区民田路178号华融大厦6楼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法定代表人：林立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联系人：胡倩</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联系电话：0755-83255199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客户服务电话：400-188-3888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网址：www.chinalin.com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(118) 华龙证券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注册地址：兰州市城关区东岗西路638号兰州财富中心21楼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办公地址：兰州市城关区东岗西路638号兰州财富中心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法定代表人：陈牧原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联系人：范坤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联系电话：0931-4890208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客户服务电话：95368、400-689-8888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传真：0931-4890628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网址：www.hlzq.com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(119) 华融证券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注册地址：北京市西城区金融大街8号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办公地址：北京市朝阳区朝阳门北大街18号中国人保寿险大厦11至18层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法定代表人：张海文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联系人：孙燕波</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联系电话：010-85556048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客户服务电话：95390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传真：010-85556088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网址：www.hrsec.com.cn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(120) 华泰证券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注册地址：南京市江东中路228号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办公地址：南京市建邺区江东中路228号华泰证券广场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法定代表人：张伟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联系人：庞晓芸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联系电话：0755-82492193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客户服务电话：95597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传真：025-83387523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网址：www.htsc.com.cn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(121) 华西证券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注册地址：四川省成都市高新区天府二街198号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办公地址：四川省成都市高新区天府二街198号华西证券大厦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法定代表人：杨炯洋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联系人：张彬</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联系电话：010-58124967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客户服务电话：95584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传真：028-86150040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网址：www.hx168.com.cn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(122) 华鑫证券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注册地址：深圳市福田区莲花街道福中社区深南大道2008号中国凤凰大厦1栋20C-1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办公地址：上海市徐汇区宛平南路8号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法定代表人：俞洋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联系人：杨莉娟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联系电话：021-54967552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客户服务电话：95323（全国）、400-109-9918（全国）、029-68918888（西安）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传真：021-54967293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网址：www.cfsc.com.cn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(123) 华信证券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注册地址：上海浦东新区世纪大道100号环球金融中心9楼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办公地址：上海市黄浦区南京西路399号明天广场23楼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法定代表人：陈灿辉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联系人：徐璐</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联系电话：021-63898952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客户服务电话：400-820-5999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传真：021-68776977转8952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网址：www.shhxzq.com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(124) 江海证券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注册地址：黑龙江省哈尔滨市香坊区赣水路56号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办公地址：黑龙江省哈尔滨市松北区创新三路833号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法定代表人：赵洪波</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联系人：姜志伟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联系电话：0451-87765732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客户服务电话：956007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传真：0451-82337279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网址：www.jhzq.com.cn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(125) 金元证券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注册地址：海口市南宝路36号证券大厦4楼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办公地址：深圳市深南大道4001号时代金融中心大厦17楼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法定代表人：王作义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联系人：刘萍</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联系电话：0755-83025693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客户服务电话：95372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传真：0755-83025625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网址：www.jyzq.cn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(126) 九州证券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注册地址：青海省西宁市南川工业园区创业路108号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办公地址：北京市朝阳区安立路30号仰山公园东一门2号楼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法定代表人：魏先锋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联系人：张思思</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联系电话：010-57672272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客户服务电话：95305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传真：010-57672296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网址：www.jzsec.com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(127) 开源证券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注册地址：陕西省西安市高新区锦业路1号都市之门B座5层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办公地址：陕西省西安市高新区锦业路1号都市之门B座5层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法定代表人：李刚</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联系人：张蕊</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联系电话：029-88365809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客户服务电话：95325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网址：www.kysec.cn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(128) 联储证券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注册地址：广东省深圳市福田区福田街道岗厦社区深南大道南侧金地中心大厦9楼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办公地址：上海市浦东新区陆家嘴环路333号金砖大厦8楼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法定代表人：吕春卫</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联系人：张婉婷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联系电话：010-86499765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客户服务电话：400-620-6868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网址：www.lczq.com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(129) 南京证券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注册地址：南京市江东中路389号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办公地址：南京市江东中路389号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法定代表人：李剑锋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联系人：王万君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联系电话：025-58519523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客户服务电话：95386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传真：025-83369725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网址：www.njzq.com.cn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(130) 平安证券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注册地址：深圳市福田区福田街道益田路5023号平安金融中心B座第22-25层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办公地址：深圳市福田区金田路4036号荣超大厦16-20层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法定代表人：何之江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联系人：周驰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联系电话：021-38643230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客户服务电话：95511-8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传真：021-58991896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网址：stock.pingan.com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(131) 瑞银证券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注册地址：北京市西城区金融大街7号英蓝国际金融中心12层、15层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办公地址：北京市西城区金融大街7号英蓝国际金融中心12层、15层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法定代表人：钱于军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联系人：谢丹</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联系电话：0755-22158878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客户服务电话：400-887-8827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传真：010-58328170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网址：https://www.ubs.com/ubssecurities</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(132) 山西证券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注册地址：太原市府西街69号山西国际贸易中心东塔楼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办公地址：太原市府西街69号山西国际贸易中心东塔楼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法定代表人：侯巍</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联系人：谢武兵</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联系电话：0351-8686721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客户服务电话：95573或400-666-1618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传真：0351-8686619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网址：www.i618.com.cn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(133) 上海证券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注册地址：上海市黄浦区四川中路213号7楼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办公地址：上海市四川中路213号久事商务大厦7楼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法定代表人：李俊杰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联系人：邵珍珍</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联系电话：021-53686888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客户服务电话：4008-918-918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传真：021-53686100、021-53686200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网址：https://www.shzq.com/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(134) 申万宏源西部证券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注册地址：新疆乌鲁木齐市高新区（新市区）北京南路358号大成国际大厦20楼2005室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办公地址：新疆乌鲁木齐市高新区（新市区）北京南路358号大成国际大厦20楼2005室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联系人：王怀春</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联系电话：0991-2307105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客户服务电话：4008-000-562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传真：010-88085195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网址：www.hysec.com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(135) 申万宏源证券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注册地址：上海市徐汇区长乐路989号45层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办公地址：上海市徐汇区长乐路989号世纪商贸广场45层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法定代表人：杨玉成</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联系人：余敏</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联系电话：021-33388252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客户服务电话：95523、4008895523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传真：021-33388224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网址：www.swhysc.com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(136) 世纪证券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注册地址：深圳市前海深港合作区南山街道桂湾五路128号前海深港基金小镇对冲基金中心406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办公地址：深圳市福田区深南大道招商银行大厦40-42层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联系人：王雯</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联系电话：0755-83199511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客户服务电话：4008323000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网址：www.csco.com.cn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(137) 首创证券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注册地址：北京市西城区德胜门外大街115号德胜尚城E座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办公地址：北京市西城区德胜门外大街115号德胜尚城E座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法定代表人：毕劲松</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联系人：刘宇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联系电话：010-59366070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客户服务电话：400-620-0620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传真：010-59366055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网址：http://www.sczq.com.cn/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(138) 天风证券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注册地址：湖北省武汉市东湖新技术开发区关东园路2号高科大厦四楼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办公地址：湖北省武汉市武昌区中南路99号保利广场A座37楼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法定代表人：余磊</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联系人：王雅薇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联系电话：027-87617017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客户服务电话：4008005000、95391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传真：027-87618863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网址：http://www.tfzq.com/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(139) 万联证券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注册地址：广州市天河区珠江东路11号18、19楼全层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办公地址：广州市天河区珠江东路13号高德置地广场E栋12层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法定代表人：罗钦城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联系人：甘蕾</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联系电话：020-38286026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客户服务电话：95322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传真：020-38286588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网址：www.wlzq.cn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(140) 西部证券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注册地址：陕西省西安市新城区东新街319号8幢10000室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办公地址：陕西省西安市新城区东新街319号8幢10000室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法定代表人：徐朝晖</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联系人：梁承华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联系电话：029-87211526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客户服务电话：95582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传真：029-87211478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网址：www.westsecu.com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(141) 西南证券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注册地址：重庆市江北区桥北苑8号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办公地址：重庆市江北区桥北苑8号西南证券大厦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法定代表人：廖庆轩</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联系人：周青</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联系电话：023-63786633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客户服务电话：4008096096或95355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传真：023-63786212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网址：www.swsc.com.cn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(142) 湘财证券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注册地址：湖南省长沙市天心区湘府中路198号新南城商务中心A栋11楼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办公地址：湖南省长沙市天心区湘府中路198号新南城商务中心A栋11楼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法定代表人：孙永祥</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联系人：江恩前</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联系电话：021-38784580-8920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客户服务电话：95351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传真：021-68865680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网址：www.xcsc.com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(143) 新时代证券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注册地址：北京市海淀区北三环西路99号院1号楼15层1501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办公地址：北京市海淀区北三环西路99号院1号楼15层1501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法定代表人：叶顺德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联系人：马文玺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联系电话：010-83561072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网址：www.xsdzq.cn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(144) 信达证券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注册地址：北京市西城区闹市口大街9号院1号楼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办公地址：北京市西城区闹市口大街9号院1号楼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法定代表人：肖林</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联系人：尹旭航</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联系电话：010-63081000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客户服务电话：95321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传真：010-63080978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网址：www.cindasc.com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(145) 兴业证券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注册地址：福州市湖东路268号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办公地址：上海浦东新区长柳路36号兴业证券大厦20楼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法定代表人：杨华辉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联系人：乔琳雪</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联系电话：021-38565547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客户服务电话：95562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网址：www.xyzq.com.cn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(146) 银河证券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注册地址：北京市西城区金融大街35号2-6层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办公地址：北京市西城区金融大街35号国际企业大厦C座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法定代表人：陈共炎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联系人：辛国政</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联系电话：010-83574507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客户服务电话：4008-888-888或95551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网址：www.chinastock.com.cn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(147) 粤开证券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注册地址：惠州市江北东江三路55号广播电视新闻中心西面一层大堂和三、四层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办公地址：深圳市福田区深南中路2002号中广核大厦北楼10层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法定代表人：严亦斌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联系人：彭莲</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联系电话：0755-83331195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客户服务电话：95564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公司网址：http://www.ykzq.com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(148) 招商证券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注册地址：深圳市福田区福田街道福华一路111号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办公地址：深圳市福田区福田街道福华一路111号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法定代表人：霍达</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联系人：黄婵君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联系电话：0755-82943666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客户服务电话：95565、400-8888-111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传真：0755-82943636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网址：www.newone.com.cn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(149) 浙商证券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注册地址：浙江省杭州市江干区五星路201号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办公地址：浙江省杭州市江干区五星路201号浙商证券大楼8楼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法定代表人：吴承根</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联系人：高扬</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联系电话：0571-87902974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客户服务电话：95345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传真：0571-87901913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网址：www.stocke.com.cn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(150) 中航证券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注册地址：江西省南昌市红谷滩新区红谷中大道1619号南昌国际金融大厦A栋41层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办公地址：江西省南昌市红谷滩新区红谷中大道1619号南昌国际金融大厦A栋41层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法定代表人：王晓峰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联系人：王紫雯</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联系电话：15611538682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客户服务电话：95335或400-88-95335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传真：010-59562637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网址：www.avicsec.com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(151) 中金财富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注册地址：深圳市福田区益田路与福中路交界处荣超商务中心A栋第18-21层及第04层01.02.03.05.11.12.13.15.16.18.19.20.21.22.23单元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办公地址：深圳福田区益田路6003号荣超商务中心A座4层、18-21层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法定代表人：高涛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联系人：万玉琳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联系电话：0755-82026907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客户服务电话：95532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网址：https://www.ciccwm.com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(152) 中金公司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注册地址：北京市朝阳区建国门外大街1号国贸大厦2座27层及28层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办公地址：北京市朝阳区建国门外大街甲6号SK大厦38层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法定代表人：沈如军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联系人：杨涵宇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联系电话：010-65051166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客户服务电话：4009101166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网址：www.cicc.com.cn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(153) 中山证券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注册地址：深圳市南山区粤海街道蔚蓝海岸社区创业路1777号海信南方大厦21、22层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办公地址：深圳市南山区创业路1777号海信南方大厦21、22层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法定代表人：林炳城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联系人：罗艺琳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电话：0755-82943755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传真：0755-82960582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客户服务电话：95329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网址：www.zszq.com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(154) 中泰证券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注册地址：济南市市中区经七路86号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办公地址：山东省济南市经七路86号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法定代表人：李玮</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联系人：许曼华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联系电话：021-20315290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客户服务电话：95538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传真：0531-68889095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网址：www.zts.com.cn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(155) 中天证券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注册地址：辽宁省沈阳市和平区光荣街23甲</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办公地址：辽宁省沈阳市和平区光荣街23甲</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法定代表人：马功勋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联系人：李泓灏</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联系电话：024-23255256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客户服务电话：024-95346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传真：024-23255606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网址：www.iztzq.com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(156) 中信建投证券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注册地址：北京市朝阳区安立路66号4号楼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办公地址：北京市朝阳门内大街188号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法定代表人：王常青</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联系人：刘芸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联系电话：010－85130554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客户服务电话：95587或4008-888-108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网址：http://www.csc108.com/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(157) 中信证券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注册地址：广东省深圳市福田区中心三路8号卓越时代广场（二期）北座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办公地址：北京市朝阳区亮马桥路48号中信证券大厦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法定代表人：张佑君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联系人：王一通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联系电话：010-60838888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客户服务电话：95548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传真：010-60836029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网址：www.cs.ecitic.com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(158) 中信证券（华南）</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注册地址：广州市天河区珠江西路5号广州国际金融中心主塔19层、20层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办公地址：广州市天河区珠江西路5号广州国际金融中心主塔19层、20层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法定代表人：胡伏云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联系人：陈靖</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联系电话：020-88836999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传真：020-88836984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网址：www.gzs.com.cn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(159) 中信证券（山东）</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注册地址：青岛市崂山区深圳路222号1号楼2001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办公地址：青岛市市南区东海西路28号龙翔广场东座5层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法定代表人：姜晓林</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联系人：焦刚</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联系电话：0531-89606166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客户服务电话：95548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传真：0532-85022605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网址：http://sd.citics.com/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(160) 中银证券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注册地址：上海市浦东新区银城中路200号中银大厦39层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办公地址：上海市浦东新区银城中路200号中银大厦39-40层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法定代表人：宁敏</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联系人：王炜哲</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客户服务电话：400-620-8888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传真：021-50372474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网址：www.bocichina.com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(161) 中邮证券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注册地址：陕西省西安市唐延路5号（陕西邮政信息大厦9-11层）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办公地址：北京市东城区珠市口东大街17号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法定代表人：丁奇文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联系人：岳帅</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 010-67017788-6068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客户服务电话：4008-888-005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传真：010-67017788-9696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网址：www.cnpsec.com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(162) 中原证券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注册地址：郑州市郑东新区商务外环路10号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办公地址：河南省郑州市郑东新区商务外环路10号中原广发金融大厦19楼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法定代表人：菅明军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联系人：程月艳  李盼盼 党静</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联系电话：0371-69099882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客户服务电话：95377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传真：0371-65585899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网址：www.ccnew.com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(163) 百度百盈</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注册地址：北京市海淀区西北旺东路10号院西区4号楼1层103室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办公地址：北京市海淀区西北旺东路10号院西区4号楼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法定代表人：葛新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联系人：孙博超</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联系电话：010-59403028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客户服务电话：95055-4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网址：www.baiyingfund.com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(164) 长量基金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注册地址：上海市浦东新区高翔路526号2幢220室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办公地址：上海市浦东新区东方路1267号陆家嘴金融服务广场二期11层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法定代表人：张跃伟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联系人：党敏</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联系电话：021-20691935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客户服务电话：400-820-2899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传真：021-20691861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网址：www.erichfund.com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(165) 朝阳永续</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注册地址：浦东新区上丰路977号1幢B座812室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办公地址：上海市浦东新区碧波路690号4号楼2楼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法人代表：廖冰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联系人：陆纪青</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联系电话：021-80234888-6813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客户服务电话：400-699-1888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网址：www.998fund.com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(166) 创金启富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注册地址：北京市西城区白纸坊东街2号院6号楼712室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办公地址：北京市西城区白纸坊东街2号院6号楼712室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法定代表人：梁蓉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联系人：杨凤椅</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联系电话：010-66154828-8047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客户服务电话：400-6262-818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传真：010-63583991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网址：www.5irich.com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(167) 大泰金石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注册地址：南京市建邺区江东中路102号708室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办公地址：上海市浦东新区峨山路505号东方纯一大厦15楼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法定代表人：陈达伟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联系人：孟召社</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联系电话：021-20324176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客户服务电话：400-995-9220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传真：021-20324199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网址：www.dtfunds.com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(168) 大智慧基金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注册地址：中国（上海）自由贸易试验区杨高南路428号1号楼1102单元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办公地址：中国（上海）自由贸易试验区杨高南路428号1号楼1102单元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法定代表人：申健</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联系人：张蜓</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联系电话：021-20219988-35374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客户服务电话：021-20292031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传真：021-20219923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网址：https://www.wg.com.cn/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(169) 蛋卷基金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注册地址：北京市朝阳区创远路34号院6号楼15层1501室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办公地址：北京市朝阳区创远路 34 号院融新科技中心 C 座 17 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法定代表人：钟斐斐</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联系人：侯芳芳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联系电话：010-61840688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客户服务电话：4001599288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网址：https://danjuanapp.com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(170) 鼎信汇金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注册地址：北京市海淀区太月园3号楼5层521室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办公地址：北京市海淀区太月园3号楼5层521室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法定代表人：齐凌峰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联系人：阮志凌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联系电话：010-82050520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客户服务电话：400-886-3311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传真：010-82086110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网址：www.9ifund.com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(171) 东证期货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注册地址：中国（上海）自由贸易试验区浦电路500号上海期货大厦14层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办公地址：上海市黄浦区中山南路318号2号楼22楼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法定代表人：卢大印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联系人：张敏圆</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联系电话：021-63325888-4259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客户服务电话：4008859999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传真：021-63326752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网址：www.dzqh.com.cn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(172) 泛华普益</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注册地址：四川省成都市成华区建设路9号高地中心1101室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办公地址：成都市金牛区花照壁西顺街399号1栋1单元龙湖西宸天街B座1201号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法定代表人：于海锋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联系人：陈丹</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联系电话：15114053620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客户服务电话：400-080-3388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网址：www.puyifund.com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(173) 富济基金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注册地址：深圳市福田区福田街道岗厦社区金田路3088号中洲大厦3203A单元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办公地址：深圳市福田区福田街道岗厦社区金田路3088号中洲大厦3203A单元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法定代表人：祝中村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联系人：曾瑶敏</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联系电话：0755-83999907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客户服务电话：0755-83999907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传真：0755-83999926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网址：www.fujifund.cn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(174) 海银基金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注册地址：中国（上海）自由贸易试验区银城中路8号402室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办公地址：上海市浦东新区银城中路8号海银金融中心4楼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法定代表人：巩巧丽</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联系人：毛林</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联系电话：021-80133597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客户服务电话：400-808-1016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传真：021-80133413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网址：www.fundhaiyin.com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(175) 好买基金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注册地址：上海市虹口区欧阳路196号26号楼2楼41号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办公地址：上海市浦东南路1118号鄂尔多斯国际大厦903～906室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法定代表人：杨文斌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联系人：高源</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联系电话：021-36696312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客户服务电话：400-700-9665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传真：021-68596919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网址：www.ehowbuy.com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(176) 和讯信息</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注册地址：北京市朝阳区朝外大街22号1002室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办公地址：北京市朝阳区朝外大街22号泛利大厦10层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联系人：陈慧慧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联系电话：010-85657353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客户服务电话：400-920-0022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传真：010-65884788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网址：http://licaike.hexun.com/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(177) 恒天明泽</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注册地址：北京市经济技术开发区宏达北路10号五层5122室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办公地址：北京市朝阳区东三环北路甲19号SOHO嘉盛中心30层3001室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法定代表人：周斌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联系人：陈霞</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联系电话：010-59313555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客户服务电话：4008980618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传真：010-59313586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网址：www.chtwm.com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(178) 弘业期货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注册地址：江苏省南京市秦淮区中华路50号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办公地址：江苏省南京市秦淮区中华路50号弘业大厦9楼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法人代表：周剑秋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联系人：张苏怡</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联系电话：025-52278981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客户服务电话：400-828-1288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网址：www.ftol.com.cn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(179) 虹点基金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注册地址：北京市朝阳区东三环北路17号10层1015室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办公地址：北京市朝阳区工体北路甲2号盈科中心东门2层216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法定代表人：何静</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联系人：牛亚楠</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联系电话：010-65951887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客户服务电话：400-618-0707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网址：www.hongdianfund.com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(180) 华瑞保险销售</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注册地址：上海市嘉定区南翔镇众仁路399号运通星财富广场1号楼B座13、14层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办公地址：上海市浦东新区向城路288号国华人寿金融大厦8层806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法定代表人：路昊</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联系人：茆勇强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联系电话：021-68595698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客户服务电话：952303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传真：021-68595766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网址：www.huaruisales.com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(181) 华夏财富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注册地址：上海市虹口区东大名路687号1幢2楼268室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办公地址：北京市西城区金融大街33号通泰大厦B座8层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法定代表人：毛淮平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联系人：张静怡</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联系电话：010-88066632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客户服务电话：400-817-5666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传真：010-63136184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网址：www.amcfortune.com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(182) 徽商期货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注册地址：安徽省合肥市芜湖路258号3号楼6-7层，6号楼1-2层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办公地址：合肥市芜湖路258号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法人代表：吴国华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联系人：申倩倩</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联系电话：0551-62865215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客户服务电话：400-887-8707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网址：www.hsqh.net</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(183) 汇成基金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注册地址：北京市海淀区中关村大街11号11层1108号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办公地址：北京市西城区西直门外大街1号院2号楼 19层 19C13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法定代表人：王伟刚</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联系人：王骁骁</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联系电话：010-56251471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客户服务电话：400-619-9059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网址：www.hcjijin.com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(184) 汇付基金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注册地址：上海市黄浦区黄河路333号201室A区056单元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办公地址：上海市徐汇区宜山路700号普天信息产业园2期C5栋 汇付天下总部大楼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法定代表人：金佶</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联系人：甄宝林</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联系电话：021-34013996-3011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客户服务电话：021-34013999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传真：021-33323837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网址：www.hotjijin.com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(185) 济安财富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注册地址：北京市朝阳区太阳宫中路16号院1号楼3层307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办公地址：北京市朝阳区太阳宫中路16号院1号楼冠捷大厦3层307单元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法定代表人：杨健</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联系人：李海燕</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联系电话：010-65309516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客户服务电话：400-673-7010（济安财富官网）  400-071-6766（腾讯财经）</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传真：010-65330699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网址：www.jianfortune.com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(186) 加和基金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注册地址：北京市西城区德胜门外大街13号院1号楼5层505室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办公地址：北京市西城区德胜门外大街13号院1号楼5层505室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法定代表人：曲阳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联系人：王梓骄</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联系电话：010-80456756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客户服务电话：400-803-1188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传真：010-80456278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网址：www.bzfunds.com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(187) 嘉实财富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注册地址：中国（上海）自由贸易试验区世纪大道8号上海国金中心办公楼二期53层</w:t>
      </w:r>
      <w:r w:rsidRPr="00501A61">
        <w:rPr>
          <w:rFonts w:asciiTheme="minorEastAsia" w:eastAsiaTheme="minorEastAsia" w:hAnsiTheme="minorEastAsia" w:hint="eastAsia"/>
          <w:szCs w:val="21"/>
        </w:rPr>
        <w:lastRenderedPageBreak/>
        <w:t>5312-15单元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办公地址：北京市朝阳区建国路91号金地中心A座6层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法定代表人：赵学军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联系人：李雯</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联系电话：010-60842306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客户服务电话：400-021-8850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传真：010-85712195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网址：www.harvestwm.cn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(188) 金百临</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注册地址：无锡市滨湖区锦溪路99号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办公地址：江苏省无锡市太湖新城锦溪道楝泽路9号楼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法人代表：费晓燕</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联系人：邹云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联系电话：0510-81188088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客户服务电话：0510-9688988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网址：www.jsjbl.com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(189) 金观诚</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注册地址：杭州拱墅区登云路45号金诚集团（锦昌大厦）1幢10楼1001室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办公地址：杭州拱墅区登云路55号金诚集团（锦昌大厦）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法定代表人：蒋雪琦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联系人：来舒岚</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联系电话：0571-88337888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客户服务电话：4000680058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传真：0571-88337666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网址：http://www.jincheng-fund.com/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(190) 久富财富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注册地址：上海市浦东新区莱阳路2819号1幢109室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办公地址：上海市浦东新区民生路1403号上海信息大厦1215室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法定代表人：赵惠蓉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联系人：赵惠蓉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联系电话：021-68682279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客户服务电话：400-102-1813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传真：021-68682297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网址：www.jfcta.com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(191) 凯石财富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注册地址：上海市黄浦区西藏南路765号602-115室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办公地址：上海市黄浦区延安东路1号凯石大厦4楼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法定代表人：陈继武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联系人：冯强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联系电话：021-63333389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客户服务电话：4006-433-389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传真：021-63333390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网址：www.vstonewealth.com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(192) 肯特瑞基金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注册地址：北京市海淀区西三旗建材城中路12号17号平房157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办公地址：北京市大兴区亦庄经济开发区科创十一街十八号院京东集团总部A座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法定代表人：王苏宁</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联系人：娄云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联系电话：010-89189291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客户服务电话：95118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网址：http://fund.jd.com/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(193) 利得基金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注册地址：上海市宝山区蕴川路5475号1033室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办公地址：上海市虹口区东大名路1098号浦江国际金融广场53层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法定代表人：李兴春</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联系人：陈孜明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联系电话：86-021-50583533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客户服务电话：95733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传真：86-21-61101630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网址：www.leadfund.com.cn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(194) 联泰基金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注册地址：中国（上海）自由贸易试验区富特北路277号3层310室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办公地址：上海市长宁区福泉北路518号8座3楼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法定代表人：尹彬彬</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联系人：陈东</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联系电话：021-52822063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客户服务电话：400-118-1188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传真：021-52975270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网址：www.66zichan.com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(195) 陆基金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注册地址：中国（上海）自由贸易试验区陆家嘴环路1333号14楼09单元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办公地址：中国（上海）自由贸易试验区陆家嘴环路1333号14楼09单元</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法定代表人：王之光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联系人：宁博宇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联系电话：021-20665952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客户服务电话：4008219031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传真：021-22066653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网址：www.lufunds.com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(196) 蚂蚁基金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注册地址：浙江省杭州市余杭区五常街道文一西路969号3幢5层599室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办公地址：浙江省杭州市西湖区万塘路18号黄龙时代广场B座6F</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法定代表人：祖国明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联系人：韩爱彬</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联系电话：0571-26888888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客户服务电话：4000-766-123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网址：http://www.fund123.cn/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(197) 民商基金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注册地址：上海黄浦区北京东路666号H区（东座）6楼A31室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办公地址：上海市浦东新区张杨路707号生命人寿大厦32楼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法定代表人：贲惠琴</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联系人：杨一新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联系电话：021-50206003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客户服务电话：021-50206003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传真：021-50206001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网址：http://www.msftec.com/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(198) 诺亚正行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注册地址：上海市虹口区飞虹路360弄9号3724室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办公地址：上海市杨浦区长阳路1687号长阳谷2号楼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法定代表人：汪静波</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联系电话：021-80358523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客户服务电话：400-821-5399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传真：021-38509777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网址：www.noah-fund.com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(199) 浦领基金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注册地址：北京市朝阳区望京东园四区13号楼A座9层908室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办公地址：北京市朝阳区望京浦项中心A座9层04-08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法定代表人：聂婉君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联系电话：010-59497361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客户服务电话：400-012-5899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传真：010-64788016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网址：www.zscffund.com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(200) 钱景基金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注册地址：北京市海淀区中关村东路18号1号楼11层B-1108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办公地址：北京市海淀区中关村东路18号财智国际大厦B-1108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法定代表人：王利刚</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联系人：姚付景</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联系电话：010-62565181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客户服务电话：400-893-6885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传真：010-57569671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网址：www.qianjing.com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(201) 深圳新兰德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注册地址：深圳市福田区福田街道民田路178号华融大厦27层2704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办公地址：北京市西城区宣武门外大街28号富卓大厦A座7层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法定代表人：洪弘</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联系人：张燕</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联系电话：010-83363099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客户服务电话：400-166-1188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传真：010-83363010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网址：http://8.jrj.com.cn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(202) 晟视天下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注册地址：北京市怀柔区九渡河镇黄坎村735号03室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办公地址：北京市朝阳区朝外大街甲六号万通中心D座21层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法定代表人：蒋煜</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联系人：史俊杰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联系电话：010-58170936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客户服务电话：010-58170761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传真：010-58170800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网址：www.shengshiview.com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(203) 苏宁基金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注册地址：南京市玄武区苏宁大道1-5号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办公地址：南京市玄武区苏宁大道1-5号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联系人：张云飞</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联系电话：025-66996699-882796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客户服务电话：95177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网址：www.snjijin.com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(204) 腾安基金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注册地址：深圳市前海深港合作区前湾一路1号A栋201室（入驻深圳市前海商务秘书有限公司）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办公地址：深圳市南山区海天二路33号腾讯滨海大厦15楼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法定代表人：刘明军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联系人：谭广锋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客户服务电话：95017（拨通后转1转8）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公司网址：https://www.txfund.com/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(205) 天天基金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注册地址：上海市徐汇区龙田路190号2号楼2层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办公地址：上海市徐汇区宛平南路88号东方财富大厦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法定代表人：其实</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联系人：屠彦洋</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联系电话：021-54509977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客户服务电话：95021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传真：021-64385308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网址：www.1234567.com.cn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(206) 通华财富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注册地址：上海市虹口区同丰路667弄107号201室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办公地址：上海市浦东新区金沪路55号通华科技大厦2楼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法定代表人：沈丹义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联系人：杨涛、庄洁茹</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联系电话：021-60810586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客户服务电话：400-101-9301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传真：021-60810695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网址：www.tonghuafund.com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(207) 同花顺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注册地址：浙江省杭州市文二西路1号903室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办公地址：杭州市余杭区五常街道同顺街18号同花顺大楼4层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法定代表人：吴强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联系人：吴强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联系电话：0571-88911818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客户服务电话：952555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传真：0571-86800423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网址：www.5ifund.com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(208) 途牛基金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注册地址：江苏省南京市玄武区玄武大道699-1号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办公地址：江苏省南京市玄武区玄武大道699-32号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法人代表：宋时琳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联系人：贺杰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联系电话：025-86853960-66727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客户服务电话：4007-999-999转3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网址：http://jr.tuniu.com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(209) 挖财基金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注册地址：中国（上海）自由贸易试验区杨高南路799号5楼04室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办公地址：上海市浦东新区杨高南路799号陆家嘴世纪金融广场3号楼5层04室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法定代表人：吕柳霞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联系人：曾芸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联系电话：021-50810687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客户服务电话：021-50810673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网址：www.wacaijijin.com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(210) 万得基金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注册地址：中国（上海）自由贸易试验区福山路33号11楼B座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办公地址：上海市浦东新区浦明路1500号万得大厦11楼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法定代表人：黄祎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联系人：徐亚丹</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联系电话：021-50712782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客户服务电话：400-799-1888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网址：www.520fund.com.cn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(211) 万家财富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注册地址：天津自贸区（中心商务区）迎宾大道1988号滨海浙商大厦公寓2-2413室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办公地址：北京市西城区丰盛胡同28号太平洋保险大厦A座5层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法定代表人：张军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联系人：王芳芳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联系电话：010-59013828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客户服务电话：010-59013895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网址：http://www.wanjiawealth.com/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(212) 新浪仓石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注册地址：北京市海淀区东北旺西路中关村软件园二期（西扩）N-1、N-2地块新浪总部科研楼5层518室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办公地址：北京市海淀区西北旺东路10号院东区3号楼为明大厦C座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法定代表人：赵芯蕊</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联系人：赵芯蕊</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联系电话：010-62625768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客户服务电话：010-62675369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传真：010-62676582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网址：www.xincai.com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(213) 鑫鼎盛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注册地址：厦门市思明区鹭江道2号厦门第一广场西座1501-1502室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办公地址：厦门市思明区鹭江道2号厦门第一广场西座1501-1502室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 xml:space="preserve">法定代表人：陈洪生 </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联系人：梁云波</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联系电话：0592-3122757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客户服务电话：400-6533-789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网址：www.xds.com.cn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(214) 阳光人寿保险</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注册地址：海南省三亚市迎宾路360-1号三亚阳光金融广场16层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办公地址：北京市朝阳区朝外大街20号联合大厦701A室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法定代表人：李科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联系人：王磊</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联系电话：010-85632772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客户服务电话：95510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传真：010-85632773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网址：http://fund.sinosig.com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(215) 一路财富</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注册地址：北京市海淀区宝盛南路1号院20号楼9层101-14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办公地址：北京市海淀区宝盛南路奥北科技园20号楼国泰大厦9层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法定代表人：吴雪秀</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联系人：董宣</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联系电话：010-88312877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客户服务电话：400-001-1566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传真：010-88312099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网址：www.yilucaifu.com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(216) 宜投基金销售</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注册地址：深圳市前海深港合作区前湾一路1号A栋201室（入驻深圳市前海商务秘书有限公司）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办公地址：深圳市福田区嘉里建设广场2座15楼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法定代表人：雷凤潮</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联系人：梁菲菲</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联系电话：0755-88603874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客户服务电话：4008-955-811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网址：www.yitfund.com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(217) 宜信普泽</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注册地址：北京市朝阳区西大望路1号9层公寓1008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办公地址：北京市朝阳区建国路88号楼SOHO现代城C座18层1809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法定代表人：戎兵</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联系人：魏晨</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联系电话：010-52413385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客户服务电话：400-6099-200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传真：010-85800047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网址：www.yixinfund.com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(218) 奕丰金融</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注册地址：深圳市前海深港合作区前湾一路1号A栋201室（入驻深圳市前海商务秘书有限公司）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办公地址：深圳市南山区海德三道航天科技广场A座17楼1704室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法定代表人：TEO WEE HOWE</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联系人：叶健</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联系电话：0755-89460507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客户服务电话：400-684-0500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传真：0755-21674453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网址：www.ifastps.com.cn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(219) 盈米基金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注册地址：珠海市横琴新区宝华路6号105室-3491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办公地址：广州市海珠区琶洲大道东路1号保利国际广场南塔1201-1203室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法定代表人：肖雯</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联系人：邱湘湘</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联系电话：020-89629099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客户服务电话：020-89629066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传真：020-89629011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网址：www.yingmi.cn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(220) 云湾基金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注册地址：中国（上海）自由贸易试验区新金桥路27号、明月路1257号1幢1层103-1、103-2办公区</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办公地址：上海市浦东新区新金桥路27号1号楼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法定代表人：冯轶明</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联系人：范泽杰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联系电话：021-20530186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客户服务电话：400-820-1515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传真：021-20539999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网址：http://www.zhengtongfunds.com/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(221) 增财基金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注册地址：北京市西城区南礼士路66号建威大厦1208室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办公地址：北京市西城区南礼士路66号建威大厦1208-1209室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法定代表人：罗细安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联系人：闫丽敏</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联系电话：010-67000988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客户服务电话：400-001-8811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传真：010-67000988-6000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网址：www.zcvc.com.cn</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(222) 展恒基金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注册地址：北京市朝阳区安苑路11号西楼6层604、607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办公地址：北京市朝阳区北四环中路27号盘古大观3205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法定代表人：闫振杰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联系人：李晓芳</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联系电话：010-59601366-7167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客户服务电话：400-818-8000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传真：0351-4110714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网址：www.myfund.com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(223) 中国国际期货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注册地址：北京市朝阳区建国门外光华路14号1幢6层609号、610号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办公地址：北京市朝阳区建国门外光华路14号1幢1层、2层、9层、11层、12层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法定代表人：王兵</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联系人：霍丽文</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联系电话：010-65807827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客户服务电话：95162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传真：010-59539806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网址：http://www.cifco.net/</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(224) 中期时代基金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注册地址：北京市朝阳区建国门外光华路14号1幢11层1103号</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办公地址：北京市朝阳区建国门外光华路14号1幢4层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法定代表人：田宏莉</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联系人：尹庆</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联系电话：010-65807865</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客户服务电话：95162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传真：010-65807864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网址：www.jrtoo.com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(225) 中信建投期货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注册地址：重庆市渝中区中山三路107号上站大楼平街11-B，名义层11-A，8-B4，9-B、C</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办公地址：重庆市渝中区中山三路107号皇冠大厦11楼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法定代表人：王广学</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联系人：刘芸</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联系电话：023-86769637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客户服务电话：400-8877-780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传真：023-86769629</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网址：www.cfc108.com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(226) 中信期货</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注册地址：广东省深圳市福田区中心三路8号卓越时代广场（二期）北座13层1301-1305室、14层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办公地址：深圳市福田区中心三路8号卓越时代广场（二期）北座13层1301-1305室、14层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法定代表人：张皓</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联系人：刘宏莹</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联系电话：010-6083 3754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客户服务电话：400-990-8826</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传真：021-60819988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网址：www.citicsf.com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(227) 中正达广</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注册地址：上海市徐汇区龙腾大道2815号302室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办公地址：上海市徐汇区龙腾大道2815号302室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法定代表人：黄欣</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联系人：戴珉微</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联系电话：021-33768132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客户服务电话：400-6767-523</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传真：021-33768132-802</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网址：www.zhongzhengfund.com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(228) 中证金牛</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注册地址：北京市丰台区东管头1号2号楼2-45室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办公地址：北京市西城区宣武门外大街甲1号环球财讯中心A座5层</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法定代表人：钱昊旻</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联系人：沈晨</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联系电话：010-59336544</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客户服务电话：4008-909-998</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网址：www.jnlc.com</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(229) 众禄基金</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注册地址：深圳市罗湖区笋岗街道笋西社区梨园路8号HALO广场一期四层12-13室</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办公地址：深圳市罗湖区梨园路HALO广场4楼</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法定代表人：薛峰</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联系人：龚江江</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联系电话：0755-33227950</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客户服务电话：4006-788-887</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传真：0755-33227951</w:t>
      </w:r>
    </w:p>
    <w:p w:rsidR="002F0DA8" w:rsidRPr="00501A61" w:rsidRDefault="002F0DA8" w:rsidP="002F0DA8">
      <w:pPr>
        <w:snapToGrid w:val="0"/>
        <w:spacing w:line="360" w:lineRule="auto"/>
        <w:ind w:left="420"/>
        <w:rPr>
          <w:rFonts w:asciiTheme="minorEastAsia" w:eastAsiaTheme="minorEastAsia" w:hAnsiTheme="minorEastAsia"/>
          <w:szCs w:val="21"/>
        </w:rPr>
      </w:pPr>
      <w:r w:rsidRPr="00501A61">
        <w:rPr>
          <w:rFonts w:asciiTheme="minorEastAsia" w:eastAsiaTheme="minorEastAsia" w:hAnsiTheme="minorEastAsia" w:hint="eastAsia"/>
          <w:szCs w:val="21"/>
        </w:rPr>
        <w:t>网址：www.zlfund.cn    www.jjmmw.com</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szCs w:val="21"/>
        </w:rPr>
      </w:pPr>
      <w:bookmarkStart w:id="16" w:name="_Toc45632193"/>
      <w:r w:rsidRPr="00501A61">
        <w:rPr>
          <w:rFonts w:asciiTheme="minorEastAsia" w:eastAsiaTheme="minorEastAsia" w:hAnsiTheme="minorEastAsia" w:hint="eastAsia"/>
          <w:b w:val="0"/>
          <w:bCs/>
          <w:szCs w:val="21"/>
        </w:rPr>
        <w:t>（二）基金注册登记机构</w:t>
      </w:r>
      <w:bookmarkEnd w:id="15"/>
      <w:bookmarkEnd w:id="16"/>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rPr>
        <w:t>注册地址：</w:t>
      </w:r>
      <w:r w:rsidR="00EC6E1F" w:rsidRPr="00501A61">
        <w:rPr>
          <w:rFonts w:asciiTheme="minorEastAsia" w:eastAsiaTheme="minorEastAsia" w:hAnsiTheme="minorEastAsia" w:cs="仿宋_GB2312" w:hint="eastAsia"/>
          <w:kern w:val="0"/>
        </w:rPr>
        <w:t>广东省珠海市横琴新区宝华路6号105室－42891（集中办公区）</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rPr>
        <w:t>办公</w:t>
      </w:r>
      <w:r w:rsidRPr="00501A61">
        <w:rPr>
          <w:rFonts w:asciiTheme="minorEastAsia" w:eastAsiaTheme="minorEastAsia" w:hAnsiTheme="minorEastAsia" w:hint="eastAsia"/>
          <w:szCs w:val="21"/>
        </w:rPr>
        <w:t>地址：</w:t>
      </w:r>
      <w:r w:rsidR="00FD5EAC" w:rsidRPr="00501A61">
        <w:rPr>
          <w:rFonts w:asciiTheme="minorEastAsia" w:eastAsiaTheme="minorEastAsia" w:hAnsiTheme="minorEastAsia" w:cs="仿宋_GB2312" w:hint="eastAsia"/>
          <w:kern w:val="0"/>
        </w:rPr>
        <w:t>广州市天河区珠江新城珠江东路30号广州银行大厦40-43楼</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法定代表人：</w:t>
      </w:r>
      <w:r w:rsidR="006F490A" w:rsidRPr="00501A61">
        <w:rPr>
          <w:rFonts w:asciiTheme="minorEastAsia" w:eastAsiaTheme="minorEastAsia" w:hAnsiTheme="minorEastAsia" w:hint="eastAsia"/>
          <w:szCs w:val="21"/>
        </w:rPr>
        <w:t>刘晓艳</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电话：4008818088</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传真：</w:t>
      </w:r>
      <w:r w:rsidRPr="00501A61">
        <w:rPr>
          <w:rFonts w:asciiTheme="minorEastAsia" w:eastAsiaTheme="minorEastAsia" w:hAnsiTheme="minorEastAsia"/>
          <w:szCs w:val="21"/>
        </w:rPr>
        <w:t>020</w:t>
      </w:r>
      <w:r w:rsidRPr="00501A61">
        <w:rPr>
          <w:rFonts w:asciiTheme="minorEastAsia" w:eastAsiaTheme="minorEastAsia" w:hAnsiTheme="minorEastAsia" w:hint="eastAsia"/>
          <w:szCs w:val="21"/>
        </w:rPr>
        <w:t>-38799249</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联系人：</w:t>
      </w:r>
      <w:r w:rsidRPr="00501A61">
        <w:rPr>
          <w:rFonts w:asciiTheme="minorEastAsia" w:eastAsiaTheme="minorEastAsia" w:hAnsiTheme="minorEastAsia" w:hint="eastAsia"/>
        </w:rPr>
        <w:t>余贤高</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szCs w:val="21"/>
        </w:rPr>
      </w:pPr>
      <w:bookmarkStart w:id="17" w:name="_Toc38432430"/>
      <w:bookmarkStart w:id="18" w:name="_Toc45632194"/>
      <w:r w:rsidRPr="00501A61">
        <w:rPr>
          <w:rFonts w:asciiTheme="minorEastAsia" w:eastAsiaTheme="minorEastAsia" w:hAnsiTheme="minorEastAsia" w:hint="eastAsia"/>
          <w:b w:val="0"/>
          <w:bCs/>
          <w:szCs w:val="21"/>
        </w:rPr>
        <w:t>（三）律师事务所和经办律师</w:t>
      </w:r>
      <w:bookmarkEnd w:id="17"/>
      <w:bookmarkEnd w:id="18"/>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律师事务所：北京市天元律师事务所</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地址：北京市西城区丰盛胡同</w:t>
      </w:r>
      <w:r w:rsidRPr="00501A61">
        <w:rPr>
          <w:rFonts w:asciiTheme="minorEastAsia" w:eastAsiaTheme="minorEastAsia" w:hAnsiTheme="minorEastAsia"/>
        </w:rPr>
        <w:t>28</w:t>
      </w:r>
      <w:r w:rsidRPr="00501A61">
        <w:rPr>
          <w:rFonts w:asciiTheme="minorEastAsia" w:eastAsiaTheme="minorEastAsia" w:hAnsiTheme="minorEastAsia" w:hint="eastAsia"/>
        </w:rPr>
        <w:t>号太平洋保险大厦</w:t>
      </w:r>
      <w:r w:rsidRPr="00501A61">
        <w:rPr>
          <w:rFonts w:asciiTheme="minorEastAsia" w:eastAsiaTheme="minorEastAsia" w:hAnsiTheme="minorEastAsia"/>
        </w:rPr>
        <w:t>10</w:t>
      </w:r>
      <w:r w:rsidRPr="00501A61">
        <w:rPr>
          <w:rFonts w:asciiTheme="minorEastAsia" w:eastAsiaTheme="minorEastAsia" w:hAnsiTheme="minorEastAsia" w:hint="eastAsia"/>
        </w:rPr>
        <w:t>层</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负责人：王立华</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电话：010-88092188</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传真：010-88092150</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经办律师：朱小辉、陈华</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联系人：王立华</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szCs w:val="21"/>
        </w:rPr>
      </w:pPr>
      <w:bookmarkStart w:id="19" w:name="_Toc38432431"/>
      <w:bookmarkStart w:id="20" w:name="_Toc45632195"/>
      <w:r w:rsidRPr="00501A61">
        <w:rPr>
          <w:rFonts w:asciiTheme="minorEastAsia" w:eastAsiaTheme="minorEastAsia" w:hAnsiTheme="minorEastAsia" w:hint="eastAsia"/>
          <w:b w:val="0"/>
          <w:bCs/>
          <w:szCs w:val="21"/>
        </w:rPr>
        <w:t>（四）会计师事务所和经办注册会计师</w:t>
      </w:r>
      <w:bookmarkEnd w:id="19"/>
      <w:bookmarkEnd w:id="20"/>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会计师事务所：</w:t>
      </w:r>
      <w:r w:rsidR="00CF3ACE" w:rsidRPr="00501A61">
        <w:rPr>
          <w:rFonts w:asciiTheme="minorEastAsia" w:eastAsiaTheme="minorEastAsia" w:hAnsiTheme="minorEastAsia" w:hint="eastAsia"/>
          <w:kern w:val="0"/>
        </w:rPr>
        <w:t>安永华明会计师事务所（特殊普通合伙）</w:t>
      </w:r>
    </w:p>
    <w:p w:rsidR="0002608C" w:rsidRPr="00501A61" w:rsidRDefault="009A1EB5"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kern w:val="0"/>
          <w:szCs w:val="21"/>
        </w:rPr>
        <w:t>主要经营场所</w:t>
      </w:r>
      <w:r w:rsidR="0002608C" w:rsidRPr="00501A61">
        <w:rPr>
          <w:rFonts w:asciiTheme="minorEastAsia" w:eastAsiaTheme="minorEastAsia" w:hAnsiTheme="minorEastAsia" w:hint="eastAsia"/>
          <w:szCs w:val="21"/>
        </w:rPr>
        <w:t>：</w:t>
      </w:r>
      <w:r w:rsidR="00CF3ACE" w:rsidRPr="00501A61">
        <w:rPr>
          <w:rFonts w:asciiTheme="minorEastAsia" w:eastAsiaTheme="minorEastAsia" w:hAnsiTheme="minorEastAsia" w:hint="eastAsia"/>
          <w:kern w:val="0"/>
        </w:rPr>
        <w:t>北京市东城区东长安街1号东方广场安永大楼17层01-12室</w:t>
      </w:r>
    </w:p>
    <w:p w:rsidR="0002608C" w:rsidRPr="00501A61" w:rsidRDefault="00CF3ACE"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kern w:val="0"/>
        </w:rPr>
        <w:t>执行事务合伙人：</w:t>
      </w:r>
      <w:r w:rsidR="00091480" w:rsidRPr="00501A61">
        <w:rPr>
          <w:rFonts w:asciiTheme="minorEastAsia" w:eastAsiaTheme="minorEastAsia" w:hAnsiTheme="minorEastAsia" w:hint="eastAsia"/>
          <w:kern w:val="0"/>
          <w:szCs w:val="21"/>
        </w:rPr>
        <w:t>TonyMao毛鞍宁</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电话：010-58153000</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传真：010-85188298</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经办注册会计师：</w:t>
      </w:r>
      <w:r w:rsidR="009064FE" w:rsidRPr="00501A61">
        <w:rPr>
          <w:rFonts w:asciiTheme="minorEastAsia" w:eastAsiaTheme="minorEastAsia" w:hAnsiTheme="minorEastAsia" w:hint="eastAsia"/>
          <w:szCs w:val="21"/>
        </w:rPr>
        <w:t>赵雅、马婧</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联系人：</w:t>
      </w:r>
      <w:r w:rsidR="00220F42" w:rsidRPr="00501A61">
        <w:rPr>
          <w:rFonts w:asciiTheme="minorEastAsia" w:eastAsiaTheme="minorEastAsia" w:hAnsiTheme="minorEastAsia" w:hint="eastAsia"/>
        </w:rPr>
        <w:t>赵雅</w:t>
      </w:r>
    </w:p>
    <w:p w:rsidR="003920FC" w:rsidRPr="00501A61" w:rsidRDefault="003920FC" w:rsidP="00107648">
      <w:pPr>
        <w:snapToGrid w:val="0"/>
        <w:spacing w:line="360" w:lineRule="auto"/>
        <w:ind w:firstLine="480"/>
        <w:rPr>
          <w:rFonts w:asciiTheme="minorEastAsia" w:eastAsiaTheme="minorEastAsia" w:hAnsiTheme="minorEastAsia"/>
          <w:szCs w:val="21"/>
        </w:rPr>
        <w:sectPr w:rsidR="003920FC" w:rsidRPr="00501A61" w:rsidSect="004763E4">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Cs/>
        </w:rPr>
      </w:pPr>
      <w:bookmarkStart w:id="21" w:name="_Toc38432432"/>
      <w:bookmarkStart w:id="22" w:name="_Toc45632196"/>
      <w:r w:rsidRPr="00501A61">
        <w:rPr>
          <w:rFonts w:asciiTheme="minorEastAsia" w:eastAsiaTheme="minorEastAsia" w:hAnsiTheme="minorEastAsia" w:hint="eastAsia"/>
          <w:b/>
          <w:bCs/>
        </w:rPr>
        <w:lastRenderedPageBreak/>
        <w:t>六、基金的募集</w:t>
      </w:r>
      <w:bookmarkEnd w:id="21"/>
      <w:bookmarkEnd w:id="22"/>
    </w:p>
    <w:p w:rsidR="0002608C" w:rsidRPr="00501A61" w:rsidRDefault="0002608C" w:rsidP="00107648">
      <w:pPr>
        <w:snapToGrid w:val="0"/>
        <w:spacing w:line="360" w:lineRule="auto"/>
        <w:ind w:firstLineChars="200" w:firstLine="420"/>
        <w:rPr>
          <w:rFonts w:asciiTheme="minorEastAsia" w:eastAsiaTheme="minorEastAsia" w:hAnsiTheme="minorEastAsia"/>
        </w:rPr>
      </w:pPr>
      <w:bookmarkStart w:id="23" w:name="_Toc38432433"/>
      <w:r w:rsidRPr="00501A61">
        <w:rPr>
          <w:rFonts w:asciiTheme="minorEastAsia" w:eastAsiaTheme="minorEastAsia" w:hAnsiTheme="minorEastAsia" w:hint="eastAsia"/>
        </w:rPr>
        <w:t>本基金由基金管理人依照《基金法》、《运作办法》、《销售办法》、基金合同的相关规定、并经中国证券监督管理委员会</w:t>
      </w:r>
      <w:r w:rsidR="00AF5493" w:rsidRPr="00501A61">
        <w:rPr>
          <w:rFonts w:asciiTheme="minorEastAsia" w:eastAsiaTheme="minorEastAsia" w:hAnsiTheme="minorEastAsia" w:hint="eastAsia"/>
        </w:rPr>
        <w:t>2006年5月25日</w:t>
      </w:r>
      <w:r w:rsidRPr="00501A61">
        <w:rPr>
          <w:rFonts w:asciiTheme="minorEastAsia" w:eastAsiaTheme="minorEastAsia" w:hAnsiTheme="minorEastAsia" w:hint="eastAsia"/>
        </w:rPr>
        <w:t>《关于同意易方达价值精选股票型证券投资基金募集的批复》（证监基金字</w:t>
      </w:r>
      <w:r w:rsidRPr="00501A61">
        <w:rPr>
          <w:rFonts w:asciiTheme="minorEastAsia" w:eastAsiaTheme="minorEastAsia" w:hAnsiTheme="minorEastAsia"/>
        </w:rPr>
        <w:t>[</w:t>
      </w:r>
      <w:r w:rsidRPr="00501A61">
        <w:rPr>
          <w:rFonts w:asciiTheme="minorEastAsia" w:eastAsiaTheme="minorEastAsia" w:hAnsiTheme="minorEastAsia" w:hint="eastAsia"/>
        </w:rPr>
        <w:t>2006]97号）核准</w:t>
      </w:r>
      <w:r w:rsidRPr="00501A61">
        <w:rPr>
          <w:rFonts w:asciiTheme="minorEastAsia" w:eastAsiaTheme="minorEastAsia" w:hAnsiTheme="minorEastAsia" w:hint="eastAsia"/>
          <w:szCs w:val="21"/>
        </w:rPr>
        <w:t>募集</w:t>
      </w:r>
      <w:r w:rsidRPr="00501A61">
        <w:rPr>
          <w:rFonts w:asciiTheme="minorEastAsia" w:eastAsiaTheme="minorEastAsia" w:hAnsiTheme="minorEastAsia" w:hint="eastAsia"/>
        </w:rPr>
        <w:t>。</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本基金为契约型开放式基金，基金存续期为不定期。</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本基金募集期自</w:t>
      </w:r>
      <w:r w:rsidRPr="00501A61">
        <w:rPr>
          <w:rFonts w:asciiTheme="minorEastAsia" w:eastAsiaTheme="minorEastAsia" w:hAnsiTheme="minorEastAsia"/>
        </w:rPr>
        <w:t>2006</w:t>
      </w:r>
      <w:r w:rsidRPr="00501A61">
        <w:rPr>
          <w:rFonts w:asciiTheme="minorEastAsia" w:eastAsiaTheme="minorEastAsia" w:hAnsiTheme="minorEastAsia" w:hint="eastAsia"/>
        </w:rPr>
        <w:t>年6月5日至</w:t>
      </w:r>
      <w:r w:rsidRPr="00501A61">
        <w:rPr>
          <w:rFonts w:asciiTheme="minorEastAsia" w:eastAsiaTheme="minorEastAsia" w:hAnsiTheme="minorEastAsia"/>
        </w:rPr>
        <w:t>2006</w:t>
      </w:r>
      <w:r w:rsidRPr="00501A61">
        <w:rPr>
          <w:rFonts w:asciiTheme="minorEastAsia" w:eastAsiaTheme="minorEastAsia" w:hAnsiTheme="minorEastAsia" w:hint="eastAsia"/>
        </w:rPr>
        <w:t>年</w:t>
      </w:r>
      <w:r w:rsidRPr="00501A61">
        <w:rPr>
          <w:rFonts w:asciiTheme="minorEastAsia" w:eastAsiaTheme="minorEastAsia" w:hAnsiTheme="minorEastAsia"/>
        </w:rPr>
        <w:t>6月8日</w:t>
      </w:r>
      <w:r w:rsidRPr="00501A61">
        <w:rPr>
          <w:rFonts w:asciiTheme="minorEastAsia" w:eastAsiaTheme="minorEastAsia" w:hAnsiTheme="minorEastAsia" w:hint="eastAsia"/>
        </w:rPr>
        <w:t>。募集对象为符合法律法规规定的个人投资者、机构投资者及合格境外机构投资者。</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rPr>
        <w:t>本基金的面值为每份基金份额人民币1.00元。</w:t>
      </w:r>
    </w:p>
    <w:p w:rsidR="00E1094C" w:rsidRPr="00501A61" w:rsidRDefault="00E1094C" w:rsidP="00107648">
      <w:pPr>
        <w:snapToGrid w:val="0"/>
        <w:spacing w:line="360" w:lineRule="auto"/>
        <w:ind w:firstLineChars="200" w:firstLine="420"/>
        <w:rPr>
          <w:rFonts w:asciiTheme="minorEastAsia" w:eastAsiaTheme="minorEastAsia" w:hAnsiTheme="minorEastAsia"/>
        </w:rPr>
        <w:sectPr w:rsidR="00E1094C" w:rsidRPr="00501A61" w:rsidSect="003920FC">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rPr>
      </w:pPr>
      <w:bookmarkStart w:id="24" w:name="_Toc45632197"/>
      <w:bookmarkEnd w:id="23"/>
      <w:r w:rsidRPr="00501A61">
        <w:rPr>
          <w:rFonts w:asciiTheme="minorEastAsia" w:eastAsiaTheme="minorEastAsia" w:hAnsiTheme="minorEastAsia" w:hint="eastAsia"/>
          <w:b/>
          <w:bCs/>
        </w:rPr>
        <w:lastRenderedPageBreak/>
        <w:t>七、基金合同的生效</w:t>
      </w:r>
      <w:bookmarkEnd w:id="24"/>
    </w:p>
    <w:p w:rsidR="006150DD" w:rsidRPr="00501A61" w:rsidRDefault="006150DD" w:rsidP="00107648">
      <w:pPr>
        <w:pStyle w:val="20"/>
        <w:snapToGrid w:val="0"/>
        <w:spacing w:beforeLines="0" w:afterLines="0" w:line="360" w:lineRule="auto"/>
        <w:ind w:firstLineChars="0" w:firstLine="0"/>
        <w:rPr>
          <w:rFonts w:asciiTheme="minorEastAsia" w:eastAsiaTheme="minorEastAsia" w:hAnsiTheme="minorEastAsia"/>
          <w:b w:val="0"/>
        </w:rPr>
      </w:pPr>
      <w:bookmarkStart w:id="25" w:name="_Toc45632198"/>
      <w:r w:rsidRPr="00501A61">
        <w:rPr>
          <w:rFonts w:asciiTheme="minorEastAsia" w:eastAsiaTheme="minorEastAsia" w:hAnsiTheme="minorEastAsia" w:hint="eastAsia"/>
          <w:b w:val="0"/>
        </w:rPr>
        <w:t>（一）基金合同的生效</w:t>
      </w:r>
      <w:bookmarkEnd w:id="25"/>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本基金基金合同于2006年6月13日正式生效。自基金合同生效之日起，本基金管理人正式开始管理本基金。</w:t>
      </w:r>
    </w:p>
    <w:p w:rsidR="006150DD" w:rsidRPr="00501A61" w:rsidRDefault="006150DD" w:rsidP="00107648">
      <w:pPr>
        <w:pStyle w:val="20"/>
        <w:snapToGrid w:val="0"/>
        <w:spacing w:beforeLines="0" w:afterLines="0" w:line="360" w:lineRule="auto"/>
        <w:ind w:firstLineChars="0" w:firstLine="0"/>
        <w:rPr>
          <w:rFonts w:asciiTheme="minorEastAsia" w:eastAsiaTheme="minorEastAsia" w:hAnsiTheme="minorEastAsia"/>
          <w:b w:val="0"/>
        </w:rPr>
      </w:pPr>
      <w:bookmarkStart w:id="26" w:name="_Toc45632199"/>
      <w:r w:rsidRPr="00501A61">
        <w:rPr>
          <w:rFonts w:asciiTheme="minorEastAsia" w:eastAsiaTheme="minorEastAsia" w:hAnsiTheme="minorEastAsia" w:hint="eastAsia"/>
          <w:b w:val="0"/>
        </w:rPr>
        <w:t>（二）</w:t>
      </w:r>
      <w:r w:rsidR="004C6445" w:rsidRPr="00501A61">
        <w:rPr>
          <w:rFonts w:asciiTheme="minorEastAsia" w:eastAsiaTheme="minorEastAsia" w:hAnsiTheme="minorEastAsia" w:hint="eastAsia"/>
          <w:b w:val="0"/>
        </w:rPr>
        <w:t>基金存续期内的基金份额持有人数量和资金额</w:t>
      </w:r>
      <w:bookmarkEnd w:id="26"/>
    </w:p>
    <w:p w:rsidR="00E1094C" w:rsidRPr="00501A61" w:rsidRDefault="00B148D8" w:rsidP="00107648">
      <w:pPr>
        <w:snapToGrid w:val="0"/>
        <w:spacing w:line="360" w:lineRule="auto"/>
        <w:ind w:firstLineChars="200" w:firstLine="420"/>
        <w:rPr>
          <w:rFonts w:asciiTheme="minorEastAsia" w:eastAsiaTheme="minorEastAsia" w:hAnsiTheme="minorEastAsia"/>
        </w:rPr>
        <w:sectPr w:rsidR="00E1094C" w:rsidRPr="00501A61" w:rsidSect="003920FC">
          <w:pgSz w:w="11906" w:h="16838" w:code="9"/>
          <w:pgMar w:top="1440" w:right="1800" w:bottom="1440" w:left="1800" w:header="851" w:footer="992" w:gutter="0"/>
          <w:cols w:space="425"/>
          <w:docGrid w:type="lines" w:linePitch="312"/>
        </w:sectPr>
      </w:pPr>
      <w:r w:rsidRPr="00501A61">
        <w:rPr>
          <w:rFonts w:asciiTheme="minorEastAsia" w:eastAsiaTheme="minorEastAsia" w:hAnsiTheme="minorEastAsia" w:hint="eastAsia"/>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
          <w:bCs/>
        </w:rPr>
      </w:pPr>
      <w:bookmarkStart w:id="27" w:name="_Toc45632200"/>
      <w:r w:rsidRPr="00501A61">
        <w:rPr>
          <w:rFonts w:asciiTheme="minorEastAsia" w:eastAsiaTheme="minorEastAsia" w:hAnsiTheme="minorEastAsia" w:hint="eastAsia"/>
          <w:b/>
          <w:bCs/>
        </w:rPr>
        <w:lastRenderedPageBreak/>
        <w:t>八、基金份额的申购、赎回</w:t>
      </w:r>
      <w:bookmarkEnd w:id="27"/>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28" w:name="_Toc45632201"/>
      <w:r w:rsidRPr="00501A61">
        <w:rPr>
          <w:rFonts w:asciiTheme="minorEastAsia" w:eastAsiaTheme="minorEastAsia" w:hAnsiTheme="minorEastAsia" w:hint="eastAsia"/>
          <w:b w:val="0"/>
        </w:rPr>
        <w:t>（一）基金投资者范围</w:t>
      </w:r>
      <w:bookmarkEnd w:id="28"/>
    </w:p>
    <w:p w:rsidR="0002608C" w:rsidRPr="00501A61" w:rsidRDefault="0002608C" w:rsidP="00107648">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501A61">
        <w:rPr>
          <w:rFonts w:asciiTheme="minorEastAsia" w:eastAsiaTheme="minorEastAsia" w:hAnsiTheme="minorEastAsia" w:hint="eastAsia"/>
        </w:rPr>
        <w:t>符合法律法规规定的个人投资者、机构投资者及合格境外机构投资者。</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rPr>
      </w:pPr>
      <w:bookmarkStart w:id="29" w:name="_Toc45632202"/>
      <w:r w:rsidRPr="00501A61">
        <w:rPr>
          <w:rFonts w:asciiTheme="minorEastAsia" w:eastAsiaTheme="minorEastAsia" w:hAnsiTheme="minorEastAsia" w:hint="eastAsia"/>
          <w:b w:val="0"/>
        </w:rPr>
        <w:t>（二）申购、赎回的场所</w:t>
      </w:r>
      <w:bookmarkEnd w:id="29"/>
    </w:p>
    <w:p w:rsidR="0002608C" w:rsidRPr="00501A61" w:rsidRDefault="0002608C" w:rsidP="00107648">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501A61">
        <w:rPr>
          <w:rFonts w:asciiTheme="minorEastAsia" w:eastAsiaTheme="minorEastAsia" w:hAnsiTheme="minorEastAsia"/>
        </w:rPr>
        <w:t>1</w:t>
      </w:r>
      <w:r w:rsidR="00C15CD6" w:rsidRPr="00501A61">
        <w:rPr>
          <w:rFonts w:asciiTheme="minorEastAsia" w:eastAsiaTheme="minorEastAsia" w:hAnsiTheme="minorEastAsia" w:hint="eastAsia"/>
        </w:rPr>
        <w:t>、</w:t>
      </w:r>
      <w:r w:rsidRPr="00501A61">
        <w:rPr>
          <w:rFonts w:asciiTheme="minorEastAsia" w:eastAsiaTheme="minorEastAsia" w:hAnsiTheme="minorEastAsia"/>
        </w:rPr>
        <w:t>基金管理</w:t>
      </w:r>
      <w:r w:rsidRPr="00501A61">
        <w:rPr>
          <w:rFonts w:asciiTheme="minorEastAsia" w:eastAsiaTheme="minorEastAsia" w:hAnsiTheme="minorEastAsia" w:hint="eastAsia"/>
        </w:rPr>
        <w:t>人的直销中心、网上交易系统(www.efunds.com.cn)</w:t>
      </w:r>
      <w:r w:rsidRPr="00501A61">
        <w:rPr>
          <w:rFonts w:asciiTheme="minorEastAsia" w:eastAsiaTheme="minorEastAsia" w:hAnsiTheme="minorEastAsia"/>
        </w:rPr>
        <w:t>；</w:t>
      </w:r>
    </w:p>
    <w:p w:rsidR="0002608C" w:rsidRPr="00501A61" w:rsidRDefault="0002608C" w:rsidP="00107648">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501A61">
        <w:rPr>
          <w:rFonts w:asciiTheme="minorEastAsia" w:eastAsiaTheme="minorEastAsia" w:hAnsiTheme="minorEastAsia"/>
        </w:rPr>
        <w:t>2</w:t>
      </w:r>
      <w:r w:rsidR="00C15CD6" w:rsidRPr="00501A61">
        <w:rPr>
          <w:rFonts w:asciiTheme="minorEastAsia" w:eastAsiaTheme="minorEastAsia" w:hAnsiTheme="minorEastAsia" w:hint="eastAsia"/>
        </w:rPr>
        <w:t>、</w:t>
      </w:r>
      <w:r w:rsidRPr="00501A61">
        <w:rPr>
          <w:rFonts w:asciiTheme="minorEastAsia" w:eastAsiaTheme="minorEastAsia" w:hAnsiTheme="minorEastAsia"/>
        </w:rPr>
        <w:t>各</w:t>
      </w:r>
      <w:r w:rsidR="00D109A3" w:rsidRPr="00501A61">
        <w:rPr>
          <w:rFonts w:asciiTheme="minorEastAsia" w:eastAsiaTheme="minorEastAsia" w:hAnsiTheme="minorEastAsia" w:hint="eastAsia"/>
          <w:szCs w:val="21"/>
        </w:rPr>
        <w:t>非直销销售</w:t>
      </w:r>
      <w:r w:rsidRPr="00501A61">
        <w:rPr>
          <w:rFonts w:asciiTheme="minorEastAsia" w:eastAsiaTheme="minorEastAsia" w:hAnsiTheme="minorEastAsia" w:hint="eastAsia"/>
        </w:rPr>
        <w:t>机构</w:t>
      </w:r>
      <w:r w:rsidRPr="00501A61">
        <w:rPr>
          <w:rFonts w:asciiTheme="minorEastAsia" w:eastAsiaTheme="minorEastAsia" w:hAnsiTheme="minorEastAsia"/>
        </w:rPr>
        <w:t>开办开放式基金业务的营业网点。</w:t>
      </w:r>
    </w:p>
    <w:p w:rsidR="0002608C" w:rsidRPr="00501A61" w:rsidRDefault="0002608C" w:rsidP="00107648">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501A61">
        <w:rPr>
          <w:rFonts w:asciiTheme="minorEastAsia" w:eastAsiaTheme="minorEastAsia" w:hAnsiTheme="minorEastAsia" w:hint="eastAsia"/>
        </w:rPr>
        <w:t>基金管理人可根据情况变更基金的销售机构，</w:t>
      </w:r>
      <w:r w:rsidR="008E5383" w:rsidRPr="00501A61">
        <w:rPr>
          <w:rFonts w:asciiTheme="minorEastAsia" w:eastAsiaTheme="minorEastAsia" w:hAnsiTheme="minorEastAsia" w:hint="eastAsia"/>
        </w:rPr>
        <w:t>并在基金管理人网站公示</w:t>
      </w:r>
      <w:r w:rsidRPr="00501A61">
        <w:rPr>
          <w:rFonts w:asciiTheme="minorEastAsia" w:eastAsiaTheme="minorEastAsia" w:hAnsiTheme="minorEastAsia" w:hint="eastAsia"/>
        </w:rPr>
        <w:t>。</w:t>
      </w:r>
    </w:p>
    <w:p w:rsidR="0002608C" w:rsidRPr="00501A61" w:rsidRDefault="0002608C" w:rsidP="00107648">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501A61">
        <w:rPr>
          <w:rFonts w:asciiTheme="minorEastAsia" w:eastAsiaTheme="minorEastAsia" w:hAnsiTheme="minorEastAsia" w:hint="eastAsia"/>
          <w:szCs w:val="21"/>
        </w:rPr>
        <w:t>投资者还可通过基金管理人或者指定的基金</w:t>
      </w:r>
      <w:r w:rsidR="00C070D4" w:rsidRPr="00501A61">
        <w:rPr>
          <w:rFonts w:asciiTheme="minorEastAsia" w:eastAsiaTheme="minorEastAsia" w:hAnsiTheme="minorEastAsia" w:hint="eastAsia"/>
          <w:szCs w:val="21"/>
        </w:rPr>
        <w:t>销售</w:t>
      </w:r>
      <w:r w:rsidRPr="00501A61">
        <w:rPr>
          <w:rFonts w:asciiTheme="minorEastAsia" w:eastAsiaTheme="minorEastAsia" w:hAnsiTheme="minorEastAsia" w:hint="eastAsia"/>
          <w:szCs w:val="21"/>
        </w:rPr>
        <w:t>机构以电话或互联网或其他电子交易方式进行申购、赎回</w:t>
      </w:r>
      <w:r w:rsidRPr="00501A61">
        <w:rPr>
          <w:rFonts w:asciiTheme="minorEastAsia" w:eastAsiaTheme="minorEastAsia" w:hAnsiTheme="minorEastAsia" w:hint="eastAsia"/>
        </w:rPr>
        <w:t>，具体以各销售机构的规定为准</w:t>
      </w:r>
      <w:r w:rsidRPr="00501A61">
        <w:rPr>
          <w:rFonts w:asciiTheme="minorEastAsia" w:eastAsiaTheme="minorEastAsia" w:hAnsiTheme="minorEastAsia" w:hint="eastAsia"/>
          <w:szCs w:val="21"/>
        </w:rPr>
        <w:t>。</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30" w:name="_Toc45632203"/>
      <w:r w:rsidRPr="00501A61">
        <w:rPr>
          <w:rFonts w:asciiTheme="minorEastAsia" w:eastAsiaTheme="minorEastAsia" w:hAnsiTheme="minorEastAsia" w:hint="eastAsia"/>
          <w:b w:val="0"/>
        </w:rPr>
        <w:t>（三）申购、赎回的时间</w:t>
      </w:r>
      <w:bookmarkEnd w:id="30"/>
    </w:p>
    <w:p w:rsidR="0002608C" w:rsidRPr="00501A61" w:rsidRDefault="0002608C" w:rsidP="00107648">
      <w:pPr>
        <w:pStyle w:val="22"/>
        <w:autoSpaceDE w:val="0"/>
        <w:autoSpaceDN w:val="0"/>
        <w:snapToGrid w:val="0"/>
        <w:spacing w:before="0" w:beforeAutospacing="0" w:after="0" w:afterAutospacing="0"/>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本基金</w:t>
      </w:r>
      <w:r w:rsidRPr="00501A61">
        <w:rPr>
          <w:rFonts w:asciiTheme="minorEastAsia" w:eastAsiaTheme="minorEastAsia" w:hAnsiTheme="minorEastAsia" w:hint="eastAsia"/>
        </w:rPr>
        <w:t>已于</w:t>
      </w:r>
      <w:r w:rsidRPr="00501A61">
        <w:rPr>
          <w:rFonts w:asciiTheme="minorEastAsia" w:eastAsiaTheme="minorEastAsia" w:hAnsiTheme="minorEastAsia"/>
          <w:szCs w:val="21"/>
        </w:rPr>
        <w:t>200</w:t>
      </w:r>
      <w:r w:rsidRPr="00501A61">
        <w:rPr>
          <w:rFonts w:asciiTheme="minorEastAsia" w:eastAsiaTheme="minorEastAsia" w:hAnsiTheme="minorEastAsia" w:hint="eastAsia"/>
          <w:szCs w:val="21"/>
        </w:rPr>
        <w:t>6</w:t>
      </w:r>
      <w:r w:rsidRPr="00501A61">
        <w:rPr>
          <w:rFonts w:asciiTheme="minorEastAsia" w:eastAsiaTheme="minorEastAsia" w:hAnsiTheme="minorEastAsia"/>
          <w:szCs w:val="21"/>
        </w:rPr>
        <w:t>年</w:t>
      </w:r>
      <w:r w:rsidRPr="00501A61">
        <w:rPr>
          <w:rFonts w:asciiTheme="minorEastAsia" w:eastAsiaTheme="minorEastAsia" w:hAnsiTheme="minorEastAsia" w:hint="eastAsia"/>
          <w:szCs w:val="21"/>
        </w:rPr>
        <w:t>9</w:t>
      </w:r>
      <w:r w:rsidRPr="00501A61">
        <w:rPr>
          <w:rFonts w:asciiTheme="minorEastAsia" w:eastAsiaTheme="minorEastAsia" w:hAnsiTheme="minorEastAsia"/>
          <w:szCs w:val="21"/>
        </w:rPr>
        <w:t>月</w:t>
      </w: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日开始办理</w:t>
      </w:r>
      <w:r w:rsidRPr="00501A61">
        <w:rPr>
          <w:rFonts w:asciiTheme="minorEastAsia" w:eastAsiaTheme="minorEastAsia" w:hAnsiTheme="minorEastAsia" w:hint="eastAsia"/>
        </w:rPr>
        <w:t>日常</w:t>
      </w:r>
      <w:r w:rsidRPr="00501A61">
        <w:rPr>
          <w:rFonts w:asciiTheme="minorEastAsia" w:eastAsiaTheme="minorEastAsia" w:hAnsiTheme="minorEastAsia"/>
          <w:szCs w:val="21"/>
        </w:rPr>
        <w:t>申购</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赎回</w:t>
      </w:r>
      <w:r w:rsidRPr="00501A61">
        <w:rPr>
          <w:rFonts w:asciiTheme="minorEastAsia" w:eastAsiaTheme="minorEastAsia" w:hAnsiTheme="minorEastAsia" w:hint="eastAsia"/>
          <w:szCs w:val="21"/>
        </w:rPr>
        <w:t>业务。</w:t>
      </w:r>
    </w:p>
    <w:p w:rsidR="0002608C" w:rsidRPr="00501A61" w:rsidRDefault="0002608C" w:rsidP="00107648">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申购、赎回的开放日为证券交易所交易日（基金管理人公告暂停申购、赎回时除外）。</w:t>
      </w:r>
      <w:r w:rsidRPr="00501A61">
        <w:rPr>
          <w:rFonts w:asciiTheme="minorEastAsia" w:eastAsiaTheme="minorEastAsia" w:hAnsiTheme="minorEastAsia"/>
        </w:rPr>
        <w:t>具体业务办理时间</w:t>
      </w:r>
      <w:r w:rsidRPr="00501A61">
        <w:rPr>
          <w:rFonts w:asciiTheme="minorEastAsia" w:eastAsiaTheme="minorEastAsia" w:hAnsiTheme="minorEastAsia" w:hint="eastAsia"/>
          <w:szCs w:val="21"/>
        </w:rPr>
        <w:t>为上海证券交易所、深圳证券交易所交易日的交易时间</w:t>
      </w:r>
      <w:r w:rsidRPr="00501A61">
        <w:rPr>
          <w:rFonts w:asciiTheme="minorEastAsia" w:eastAsiaTheme="minorEastAsia" w:hAnsiTheme="minorEastAsia"/>
        </w:rPr>
        <w:t>。</w:t>
      </w:r>
      <w:r w:rsidRPr="00501A61">
        <w:rPr>
          <w:rFonts w:asciiTheme="minorEastAsia" w:eastAsiaTheme="minorEastAsia" w:hAnsiTheme="minorEastAsia" w:hint="eastAsia"/>
          <w:szCs w:val="21"/>
        </w:rPr>
        <w:t>若出现新的证券交易市场或交易所交易时间更改或其它原因，基金管理人将根据法律法规和基金合同规定的原则视情况进行相应的调整并公告。</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31" w:name="_Toc45632204"/>
      <w:r w:rsidRPr="00501A61">
        <w:rPr>
          <w:rFonts w:asciiTheme="minorEastAsia" w:eastAsiaTheme="minorEastAsia" w:hAnsiTheme="minorEastAsia" w:hint="eastAsia"/>
          <w:b w:val="0"/>
        </w:rPr>
        <w:t>（四）申购、赎回的原则</w:t>
      </w:r>
      <w:bookmarkEnd w:id="31"/>
    </w:p>
    <w:p w:rsidR="0002608C" w:rsidRPr="00501A61" w:rsidRDefault="00C15CD6" w:rsidP="00107648">
      <w:pPr>
        <w:pStyle w:val="22"/>
        <w:autoSpaceDE w:val="0"/>
        <w:autoSpaceDN w:val="0"/>
        <w:snapToGrid w:val="0"/>
        <w:spacing w:before="0" w:beforeAutospacing="0" w:after="0" w:afterAutospacing="0"/>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w:t>
      </w:r>
      <w:r w:rsidR="0002608C" w:rsidRPr="00501A61">
        <w:rPr>
          <w:rFonts w:asciiTheme="minorEastAsia" w:eastAsiaTheme="minorEastAsia" w:hAnsiTheme="minorEastAsia"/>
          <w:szCs w:val="21"/>
        </w:rPr>
        <w:t>未知价原则</w:t>
      </w:r>
      <w:r w:rsidR="0002608C" w:rsidRPr="00501A61">
        <w:rPr>
          <w:rFonts w:asciiTheme="minorEastAsia" w:eastAsiaTheme="minorEastAsia" w:hAnsiTheme="minorEastAsia" w:hint="eastAsia"/>
          <w:szCs w:val="21"/>
        </w:rPr>
        <w:t>”</w:t>
      </w:r>
      <w:r w:rsidR="0002608C" w:rsidRPr="00501A61">
        <w:rPr>
          <w:rFonts w:asciiTheme="minorEastAsia" w:eastAsiaTheme="minorEastAsia" w:hAnsiTheme="minorEastAsia"/>
          <w:szCs w:val="21"/>
        </w:rPr>
        <w:t>，</w:t>
      </w:r>
      <w:r w:rsidR="0002608C" w:rsidRPr="00501A61">
        <w:rPr>
          <w:rFonts w:asciiTheme="minorEastAsia" w:eastAsiaTheme="minorEastAsia" w:hAnsiTheme="minorEastAsia" w:hint="eastAsia"/>
          <w:szCs w:val="21"/>
        </w:rPr>
        <w:t>即本基金的申购与赎回价格以受理申请当日收市后计算的基金份额净值为基准进行计算；</w:t>
      </w:r>
    </w:p>
    <w:p w:rsidR="0002608C" w:rsidRPr="00501A61" w:rsidRDefault="00C15CD6" w:rsidP="00107648">
      <w:pPr>
        <w:pStyle w:val="22"/>
        <w:autoSpaceDE w:val="0"/>
        <w:autoSpaceDN w:val="0"/>
        <w:snapToGrid w:val="0"/>
        <w:spacing w:before="0" w:beforeAutospacing="0" w:after="0" w:afterAutospacing="0"/>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本基金采用</w:t>
      </w:r>
      <w:r w:rsidR="0002608C" w:rsidRPr="00501A61">
        <w:rPr>
          <w:rFonts w:asciiTheme="minorEastAsia" w:eastAsiaTheme="minorEastAsia" w:hAnsiTheme="minorEastAsia"/>
          <w:szCs w:val="21"/>
        </w:rPr>
        <w:t>金额申购、份额赎回原则</w:t>
      </w:r>
      <w:r w:rsidR="0002608C" w:rsidRPr="00501A61">
        <w:rPr>
          <w:rFonts w:asciiTheme="minorEastAsia" w:eastAsiaTheme="minorEastAsia" w:hAnsiTheme="minorEastAsia" w:hint="eastAsia"/>
          <w:szCs w:val="21"/>
        </w:rPr>
        <w:t>，</w:t>
      </w:r>
      <w:r w:rsidR="0002608C" w:rsidRPr="00501A61">
        <w:rPr>
          <w:rFonts w:asciiTheme="minorEastAsia" w:eastAsiaTheme="minorEastAsia" w:hAnsiTheme="minorEastAsia"/>
          <w:szCs w:val="21"/>
        </w:rPr>
        <w:t>即申购以金额申请</w:t>
      </w:r>
      <w:r w:rsidR="0002608C" w:rsidRPr="00501A61">
        <w:rPr>
          <w:rFonts w:asciiTheme="minorEastAsia" w:eastAsiaTheme="minorEastAsia" w:hAnsiTheme="minorEastAsia" w:hint="eastAsia"/>
          <w:szCs w:val="21"/>
        </w:rPr>
        <w:t>，</w:t>
      </w:r>
      <w:r w:rsidR="0002608C" w:rsidRPr="00501A61">
        <w:rPr>
          <w:rFonts w:asciiTheme="minorEastAsia" w:eastAsiaTheme="minorEastAsia" w:hAnsiTheme="minorEastAsia"/>
          <w:szCs w:val="21"/>
        </w:rPr>
        <w:t>赎回以份额申请；</w:t>
      </w:r>
    </w:p>
    <w:p w:rsidR="0002608C" w:rsidRPr="00501A61" w:rsidRDefault="00C15CD6" w:rsidP="00107648">
      <w:pPr>
        <w:pStyle w:val="22"/>
        <w:autoSpaceDE w:val="0"/>
        <w:autoSpaceDN w:val="0"/>
        <w:snapToGrid w:val="0"/>
        <w:spacing w:before="0" w:beforeAutospacing="0" w:after="0" w:afterAutospacing="0"/>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3、</w:t>
      </w:r>
      <w:r w:rsidR="0002608C" w:rsidRPr="00501A61">
        <w:rPr>
          <w:rFonts w:asciiTheme="minorEastAsia" w:eastAsiaTheme="minorEastAsia" w:hAnsiTheme="minorEastAsia" w:hint="eastAsia"/>
          <w:szCs w:val="21"/>
        </w:rPr>
        <w:t>基金份额持有人在赎回基金份额时，除指定赎回外，基金管理人按先进先出的原则，即对该基金份额持有人在该销售机构托管的基金份额进行赎回处理时，注册日期在先的基金份额先赎回，注册日期在后的基金份额后赎回，以确定所适用的赎回费率；</w:t>
      </w:r>
    </w:p>
    <w:p w:rsidR="0002608C" w:rsidRPr="00501A61" w:rsidRDefault="00C15CD6" w:rsidP="00107648">
      <w:pPr>
        <w:pStyle w:val="22"/>
        <w:autoSpaceDE w:val="0"/>
        <w:autoSpaceDN w:val="0"/>
        <w:snapToGrid w:val="0"/>
        <w:spacing w:before="0" w:beforeAutospacing="0" w:after="0" w:afterAutospacing="0"/>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4、</w:t>
      </w:r>
      <w:r w:rsidR="0002608C" w:rsidRPr="00501A61">
        <w:rPr>
          <w:rFonts w:asciiTheme="minorEastAsia" w:eastAsiaTheme="minorEastAsia" w:hAnsiTheme="minorEastAsia" w:hint="eastAsia"/>
          <w:szCs w:val="21"/>
        </w:rPr>
        <w:t>当日的申购、赎回申请可以在当日交易时间结束前撤销，在当日的交易时间结束后不得撤销；</w:t>
      </w:r>
    </w:p>
    <w:p w:rsidR="0002608C" w:rsidRPr="00501A61" w:rsidRDefault="00C15CD6" w:rsidP="00107648">
      <w:pPr>
        <w:pStyle w:val="22"/>
        <w:autoSpaceDE w:val="0"/>
        <w:autoSpaceDN w:val="0"/>
        <w:snapToGrid w:val="0"/>
        <w:spacing w:before="0" w:beforeAutospacing="0" w:after="0" w:afterAutospacing="0"/>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5、</w:t>
      </w:r>
      <w:r w:rsidR="0002608C" w:rsidRPr="00501A61">
        <w:rPr>
          <w:rFonts w:asciiTheme="minorEastAsia" w:eastAsiaTheme="minorEastAsia" w:hAnsiTheme="minorEastAsia" w:hint="eastAsia"/>
          <w:szCs w:val="21"/>
        </w:rPr>
        <w:t>基金管理人在不损害基金份额持有人权益的情况下可更改上述原则，但应最迟在新的原则实施前二个工作日予以公告。</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32" w:name="_Toc45632205"/>
      <w:r w:rsidRPr="00501A61">
        <w:rPr>
          <w:rFonts w:asciiTheme="minorEastAsia" w:eastAsiaTheme="minorEastAsia" w:hAnsiTheme="minorEastAsia" w:hint="eastAsia"/>
          <w:b w:val="0"/>
        </w:rPr>
        <w:t>（五）申购、赎回的程序</w:t>
      </w:r>
      <w:bookmarkEnd w:id="32"/>
    </w:p>
    <w:p w:rsidR="0002608C" w:rsidRPr="00501A61" w:rsidRDefault="00C15CD6" w:rsidP="00107648">
      <w:pPr>
        <w:tabs>
          <w:tab w:val="left" w:pos="735"/>
        </w:tabs>
        <w:snapToGrid w:val="0"/>
        <w:spacing w:line="360" w:lineRule="auto"/>
        <w:ind w:left="420"/>
        <w:rPr>
          <w:rFonts w:asciiTheme="minorEastAsia" w:eastAsiaTheme="minorEastAsia" w:hAnsiTheme="minorEastAsia"/>
        </w:rPr>
      </w:pPr>
      <w:r w:rsidRPr="00501A61">
        <w:rPr>
          <w:rFonts w:asciiTheme="minorEastAsia" w:eastAsiaTheme="minorEastAsia" w:hAnsiTheme="minorEastAsia" w:hint="eastAsia"/>
        </w:rPr>
        <w:t>1、</w:t>
      </w:r>
      <w:r w:rsidR="0002608C" w:rsidRPr="00501A61">
        <w:rPr>
          <w:rFonts w:asciiTheme="minorEastAsia" w:eastAsiaTheme="minorEastAsia" w:hAnsiTheme="minorEastAsia" w:hint="eastAsia"/>
        </w:rPr>
        <w:t>申购、赎回的申请方式</w:t>
      </w:r>
    </w:p>
    <w:p w:rsidR="0002608C"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rPr>
      </w:pPr>
      <w:r w:rsidRPr="00501A61">
        <w:rPr>
          <w:rFonts w:asciiTheme="minorEastAsia" w:eastAsiaTheme="minorEastAsia" w:hAnsiTheme="minorEastAsia" w:hint="eastAsia"/>
        </w:rPr>
        <w:t>基金投资者必须根据基金管理人和基金</w:t>
      </w:r>
      <w:r w:rsidR="00D109A3" w:rsidRPr="00501A61">
        <w:rPr>
          <w:rFonts w:asciiTheme="minorEastAsia" w:eastAsiaTheme="minorEastAsia" w:hAnsiTheme="minorEastAsia" w:hint="eastAsia"/>
        </w:rPr>
        <w:t>销售</w:t>
      </w:r>
      <w:r w:rsidRPr="00501A61">
        <w:rPr>
          <w:rFonts w:asciiTheme="minorEastAsia" w:eastAsiaTheme="minorEastAsia" w:hAnsiTheme="minorEastAsia" w:hint="eastAsia"/>
        </w:rPr>
        <w:t>机构规定的手续，在开放日的</w:t>
      </w:r>
      <w:r w:rsidRPr="00501A61">
        <w:rPr>
          <w:rFonts w:asciiTheme="minorEastAsia" w:eastAsiaTheme="minorEastAsia" w:hAnsiTheme="minorEastAsia" w:hint="eastAsia"/>
          <w:szCs w:val="21"/>
        </w:rPr>
        <w:t>业务办理时间</w:t>
      </w:r>
      <w:r w:rsidRPr="00501A61">
        <w:rPr>
          <w:rFonts w:asciiTheme="minorEastAsia" w:eastAsiaTheme="minorEastAsia" w:hAnsiTheme="minorEastAsia" w:hint="eastAsia"/>
        </w:rPr>
        <w:t>提出申购、赎回的申请。</w:t>
      </w:r>
    </w:p>
    <w:p w:rsidR="0002608C"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rPr>
      </w:pPr>
      <w:r w:rsidRPr="00501A61">
        <w:rPr>
          <w:rFonts w:asciiTheme="minorEastAsia" w:eastAsiaTheme="minorEastAsia" w:hAnsiTheme="minorEastAsia"/>
          <w:szCs w:val="21"/>
        </w:rPr>
        <w:t>投资者在提交申购申请时</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须按销售机构规定的方式备足申购资金；提交赎回申请时,帐户中必须有足够的基金</w:t>
      </w:r>
      <w:r w:rsidRPr="00501A61">
        <w:rPr>
          <w:rFonts w:asciiTheme="minorEastAsia" w:eastAsiaTheme="minorEastAsia" w:hAnsiTheme="minorEastAsia" w:hint="eastAsia"/>
          <w:szCs w:val="21"/>
        </w:rPr>
        <w:t>份额</w:t>
      </w:r>
      <w:r w:rsidRPr="00501A61">
        <w:rPr>
          <w:rFonts w:asciiTheme="minorEastAsia" w:eastAsiaTheme="minorEastAsia" w:hAnsiTheme="minorEastAsia"/>
          <w:szCs w:val="21"/>
        </w:rPr>
        <w:t>余额</w:t>
      </w:r>
      <w:r w:rsidRPr="00501A61">
        <w:rPr>
          <w:rFonts w:asciiTheme="minorEastAsia" w:eastAsiaTheme="minorEastAsia" w:hAnsiTheme="minorEastAsia" w:hint="eastAsia"/>
          <w:szCs w:val="21"/>
        </w:rPr>
        <w:t>，否则所提交的申购、赎回的申请无效而不予成交。</w:t>
      </w:r>
    </w:p>
    <w:p w:rsidR="0002608C" w:rsidRPr="00501A61" w:rsidRDefault="00C15CD6" w:rsidP="00107648">
      <w:pPr>
        <w:tabs>
          <w:tab w:val="left" w:pos="735"/>
        </w:tabs>
        <w:snapToGrid w:val="0"/>
        <w:spacing w:line="360" w:lineRule="auto"/>
        <w:ind w:left="420"/>
        <w:rPr>
          <w:rFonts w:asciiTheme="minorEastAsia" w:eastAsiaTheme="minorEastAsia" w:hAnsiTheme="minorEastAsia"/>
        </w:rPr>
      </w:pPr>
      <w:r w:rsidRPr="00501A61">
        <w:rPr>
          <w:rFonts w:asciiTheme="minorEastAsia" w:eastAsiaTheme="minorEastAsia" w:hAnsiTheme="minorEastAsia" w:hint="eastAsia"/>
        </w:rPr>
        <w:lastRenderedPageBreak/>
        <w:t>2、</w:t>
      </w:r>
      <w:r w:rsidR="0002608C" w:rsidRPr="00501A61">
        <w:rPr>
          <w:rFonts w:asciiTheme="minorEastAsia" w:eastAsiaTheme="minorEastAsia" w:hAnsiTheme="minorEastAsia" w:hint="eastAsia"/>
        </w:rPr>
        <w:t>申购、赎回申请的确认</w:t>
      </w:r>
    </w:p>
    <w:p w:rsidR="0002608C"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szCs w:val="21"/>
        </w:rPr>
      </w:pPr>
      <w:r w:rsidRPr="00501A61">
        <w:rPr>
          <w:rFonts w:asciiTheme="minorEastAsia" w:eastAsiaTheme="minorEastAsia" w:hAnsiTheme="minorEastAsia"/>
          <w:szCs w:val="21"/>
        </w:rPr>
        <w:t>基金管理人应当于受理基金投资人申购、赎回申请之日起三个工作日内,对申请的有效性进行确认。</w:t>
      </w:r>
      <w:r w:rsidRPr="00501A61">
        <w:rPr>
          <w:rFonts w:asciiTheme="minorEastAsia" w:eastAsiaTheme="minorEastAsia" w:hAnsiTheme="minorEastAsia" w:hint="eastAsia"/>
          <w:szCs w:val="21"/>
        </w:rPr>
        <w:t>正常情况下，投资者可在T+2工作日及之后到其提出</w:t>
      </w:r>
      <w:r w:rsidRPr="00501A61">
        <w:rPr>
          <w:rFonts w:asciiTheme="minorEastAsia" w:eastAsiaTheme="minorEastAsia" w:hAnsiTheme="minorEastAsia"/>
          <w:szCs w:val="21"/>
        </w:rPr>
        <w:t>申请的网点或按销售机构规定的其他方式进行成交查询。</w:t>
      </w:r>
    </w:p>
    <w:p w:rsidR="0002608C" w:rsidRPr="00501A61" w:rsidRDefault="00C15CD6" w:rsidP="00107648">
      <w:pPr>
        <w:tabs>
          <w:tab w:val="left" w:pos="735"/>
        </w:tabs>
        <w:snapToGrid w:val="0"/>
        <w:spacing w:line="360" w:lineRule="auto"/>
        <w:ind w:left="420"/>
        <w:rPr>
          <w:rFonts w:asciiTheme="minorEastAsia" w:eastAsiaTheme="minorEastAsia" w:hAnsiTheme="minorEastAsia"/>
        </w:rPr>
      </w:pPr>
      <w:r w:rsidRPr="00501A61">
        <w:rPr>
          <w:rFonts w:asciiTheme="minorEastAsia" w:eastAsiaTheme="minorEastAsia" w:hAnsiTheme="minorEastAsia" w:hint="eastAsia"/>
        </w:rPr>
        <w:t>3、</w:t>
      </w:r>
      <w:r w:rsidR="0002608C" w:rsidRPr="00501A61">
        <w:rPr>
          <w:rFonts w:asciiTheme="minorEastAsia" w:eastAsiaTheme="minorEastAsia" w:hAnsiTheme="minorEastAsia" w:hint="eastAsia"/>
        </w:rPr>
        <w:t>申购和赎回的款项支付</w:t>
      </w:r>
    </w:p>
    <w:p w:rsidR="0002608C" w:rsidRPr="00501A61" w:rsidRDefault="0002608C" w:rsidP="00107648">
      <w:pPr>
        <w:pStyle w:val="33"/>
        <w:snapToGrid w:val="0"/>
        <w:spacing w:after="0" w:line="360" w:lineRule="auto"/>
        <w:ind w:left="0" w:firstLineChars="200" w:firstLine="420"/>
        <w:rPr>
          <w:rFonts w:asciiTheme="minorEastAsia" w:eastAsiaTheme="minorEastAsia" w:hAnsiTheme="minorEastAsia"/>
          <w:sz w:val="21"/>
          <w:szCs w:val="21"/>
        </w:rPr>
      </w:pPr>
      <w:r w:rsidRPr="00501A61">
        <w:rPr>
          <w:rFonts w:asciiTheme="minorEastAsia" w:eastAsiaTheme="minorEastAsia" w:hAnsiTheme="minorEastAsia" w:hint="eastAsia"/>
          <w:sz w:val="21"/>
          <w:szCs w:val="24"/>
        </w:rPr>
        <w:t>申购采用全额缴款方式，</w:t>
      </w:r>
      <w:r w:rsidRPr="00501A61">
        <w:rPr>
          <w:rFonts w:asciiTheme="minorEastAsia" w:eastAsiaTheme="minorEastAsia" w:hAnsiTheme="minorEastAsia"/>
          <w:sz w:val="21"/>
          <w:szCs w:val="24"/>
        </w:rPr>
        <w:t>若申购不成功或无效，</w:t>
      </w:r>
      <w:r w:rsidRPr="00501A61">
        <w:rPr>
          <w:rFonts w:asciiTheme="minorEastAsia" w:eastAsiaTheme="minorEastAsia" w:hAnsiTheme="minorEastAsia" w:hint="eastAsia"/>
          <w:sz w:val="21"/>
          <w:szCs w:val="24"/>
        </w:rPr>
        <w:t>基金管理人或基金管理人指定的</w:t>
      </w:r>
      <w:r w:rsidR="00D109A3" w:rsidRPr="00501A61">
        <w:rPr>
          <w:rFonts w:asciiTheme="minorEastAsia" w:eastAsiaTheme="minorEastAsia" w:hAnsiTheme="minorEastAsia" w:hint="eastAsia"/>
          <w:sz w:val="21"/>
          <w:szCs w:val="24"/>
        </w:rPr>
        <w:t>销售</w:t>
      </w:r>
      <w:r w:rsidRPr="00501A61">
        <w:rPr>
          <w:rFonts w:asciiTheme="minorEastAsia" w:eastAsiaTheme="minorEastAsia" w:hAnsiTheme="minorEastAsia" w:hint="eastAsia"/>
          <w:sz w:val="21"/>
          <w:szCs w:val="24"/>
        </w:rPr>
        <w:t>机</w:t>
      </w:r>
      <w:r w:rsidRPr="00501A61">
        <w:rPr>
          <w:rFonts w:asciiTheme="minorEastAsia" w:eastAsiaTheme="minorEastAsia" w:hAnsiTheme="minorEastAsia" w:hint="eastAsia"/>
          <w:sz w:val="21"/>
          <w:szCs w:val="21"/>
        </w:rPr>
        <w:t>构将投资者已缴付的申购款项本金退还给投资者。</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szCs w:val="21"/>
        </w:rPr>
        <w:t>投资者赎回申请成功后</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赎回金额将由基金管理人通常在T＋3个工作日但不超过T＋7个工作日之内从基金托管人划出。在发生巨额赎回并延期支付时</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款项和份额的支付办法参照有关巨额赎回的条款处理。在发生巨额赎回时，款项的支付办法按基金</w:t>
      </w:r>
      <w:r w:rsidRPr="00501A61">
        <w:rPr>
          <w:rFonts w:asciiTheme="minorEastAsia" w:eastAsiaTheme="minorEastAsia" w:hAnsiTheme="minorEastAsia" w:hint="eastAsia"/>
          <w:szCs w:val="21"/>
        </w:rPr>
        <w:t>合同</w:t>
      </w:r>
      <w:r w:rsidRPr="00501A61">
        <w:rPr>
          <w:rFonts w:asciiTheme="minorEastAsia" w:eastAsiaTheme="minorEastAsia" w:hAnsiTheme="minorEastAsia"/>
          <w:szCs w:val="21"/>
        </w:rPr>
        <w:t>及本招募说明书有关规定处理。</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33" w:name="_Toc45632206"/>
      <w:r w:rsidRPr="00501A61">
        <w:rPr>
          <w:rFonts w:asciiTheme="minorEastAsia" w:eastAsiaTheme="minorEastAsia" w:hAnsiTheme="minorEastAsia" w:hint="eastAsia"/>
          <w:b w:val="0"/>
        </w:rPr>
        <w:t>（六）申购、赎回的数额限制</w:t>
      </w:r>
      <w:bookmarkEnd w:id="33"/>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C15CD6"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申购基金的金额限制</w:t>
      </w:r>
    </w:p>
    <w:p w:rsidR="00C070D4"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rPr>
      </w:pPr>
      <w:r w:rsidRPr="00501A61">
        <w:rPr>
          <w:rFonts w:asciiTheme="minorEastAsia" w:eastAsiaTheme="minorEastAsia" w:hAnsiTheme="minorEastAsia" w:hint="eastAsia"/>
          <w:szCs w:val="21"/>
        </w:rPr>
        <w:t>投资者通过</w:t>
      </w:r>
      <w:r w:rsidR="00D109A3" w:rsidRPr="00501A61">
        <w:rPr>
          <w:rStyle w:val="da"/>
          <w:rFonts w:asciiTheme="minorEastAsia" w:eastAsiaTheme="minorEastAsia" w:hAnsiTheme="minorEastAsia" w:hint="eastAsia"/>
        </w:rPr>
        <w:t>非直销销售机构</w:t>
      </w:r>
      <w:r w:rsidRPr="00501A61">
        <w:rPr>
          <w:rFonts w:asciiTheme="minorEastAsia" w:eastAsiaTheme="minorEastAsia" w:hAnsiTheme="minorEastAsia" w:hint="eastAsia"/>
          <w:szCs w:val="21"/>
        </w:rPr>
        <w:t>或本公司网上交易系统首次申购的单笔最低金额为1元人民币，</w:t>
      </w:r>
      <w:r w:rsidR="00166576" w:rsidRPr="00501A61">
        <w:rPr>
          <w:rFonts w:asciiTheme="minorEastAsia" w:eastAsiaTheme="minorEastAsia" w:hAnsiTheme="minorEastAsia" w:hint="eastAsia"/>
          <w:szCs w:val="21"/>
        </w:rPr>
        <w:t>追加申购单笔最低金额为1元人民币；</w:t>
      </w:r>
      <w:r w:rsidRPr="00501A61">
        <w:rPr>
          <w:rFonts w:asciiTheme="minorEastAsia" w:eastAsiaTheme="minorEastAsia" w:hAnsiTheme="minorEastAsia" w:hint="eastAsia"/>
          <w:szCs w:val="21"/>
        </w:rPr>
        <w:t>通过本公司直销中心首次申购的单笔最低金额为50000元人民币，追加申购单笔最低金额为1000元人民币。</w:t>
      </w:r>
      <w:r w:rsidR="00535526" w:rsidRPr="00501A61">
        <w:rPr>
          <w:rFonts w:asciiTheme="minorEastAsia" w:eastAsiaTheme="minorEastAsia" w:hAnsiTheme="minorEastAsia" w:hint="eastAsia"/>
          <w:szCs w:val="21"/>
        </w:rPr>
        <w:t>在符合法律法规规定的前提下，</w:t>
      </w:r>
      <w:r w:rsidR="00C070D4" w:rsidRPr="00501A61">
        <w:rPr>
          <w:rFonts w:asciiTheme="minorEastAsia" w:eastAsiaTheme="minorEastAsia" w:hAnsiTheme="minorEastAsia" w:hint="eastAsia"/>
          <w:szCs w:val="21"/>
        </w:rPr>
        <w:t>各销售机构对最低申购限额及交易级差有其他规定的,</w:t>
      </w:r>
      <w:r w:rsidR="00920EDD" w:rsidRPr="00501A61">
        <w:rPr>
          <w:rFonts w:asciiTheme="minorEastAsia" w:eastAsiaTheme="minorEastAsia" w:hAnsiTheme="minorEastAsia" w:hint="eastAsia"/>
          <w:szCs w:val="21"/>
        </w:rPr>
        <w:t>需同时遵循该销售机构的相关规定</w:t>
      </w:r>
      <w:r w:rsidR="00C070D4" w:rsidRPr="00501A61">
        <w:rPr>
          <w:rFonts w:asciiTheme="minorEastAsia" w:eastAsiaTheme="minorEastAsia" w:hAnsiTheme="minorEastAsia" w:hint="eastAsia"/>
          <w:szCs w:val="21"/>
        </w:rPr>
        <w:t>。</w:t>
      </w:r>
      <w:r w:rsidR="00166576" w:rsidRPr="00501A61">
        <w:rPr>
          <w:rFonts w:asciiTheme="minorEastAsia" w:eastAsiaTheme="minorEastAsia" w:hAnsiTheme="minorEastAsia" w:hint="eastAsia"/>
          <w:szCs w:val="21"/>
        </w:rPr>
        <w:t>(以上金额均含申购费)</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投资者将当期分配的基金收益转购基金份额或采用定期定额投资计划时，不受最低申购金额的限制。</w:t>
      </w:r>
    </w:p>
    <w:p w:rsidR="0002608C" w:rsidRPr="00501A61" w:rsidRDefault="0002608C" w:rsidP="00107648">
      <w:pPr>
        <w:pStyle w:val="22"/>
        <w:autoSpaceDE w:val="0"/>
        <w:autoSpaceDN w:val="0"/>
        <w:snapToGrid w:val="0"/>
        <w:spacing w:before="0" w:beforeAutospacing="0" w:after="0" w:afterAutospacing="0"/>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投资者可多次申购，对单个投资者累计持有份额不设上限限制。</w:t>
      </w:r>
      <w:r w:rsidR="001E476C" w:rsidRPr="00501A61">
        <w:rPr>
          <w:rFonts w:asciiTheme="minorEastAsia" w:eastAsiaTheme="minorEastAsia" w:hAnsiTheme="minorEastAsia" w:hint="eastAsia"/>
          <w:szCs w:val="21"/>
        </w:rPr>
        <w:t>但对于可能导致单一投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501A61">
        <w:rPr>
          <w:rFonts w:asciiTheme="minorEastAsia" w:eastAsiaTheme="minorEastAsia" w:hAnsiTheme="minorEastAsia" w:hint="eastAsia"/>
          <w:szCs w:val="21"/>
        </w:rPr>
        <w:t>法律法规、中国证监会另有规定的除外。</w:t>
      </w:r>
    </w:p>
    <w:p w:rsidR="0002608C" w:rsidRPr="00501A61" w:rsidRDefault="00C15CD6" w:rsidP="00107648">
      <w:pPr>
        <w:snapToGrid w:val="0"/>
        <w:spacing w:line="360" w:lineRule="auto"/>
        <w:ind w:firstLineChars="200" w:firstLine="420"/>
        <w:rPr>
          <w:rFonts w:asciiTheme="minorEastAsia" w:eastAsiaTheme="minorEastAsia" w:hAnsiTheme="minorEastAsia"/>
          <w:szCs w:val="21"/>
        </w:rPr>
      </w:pPr>
      <w:bookmarkStart w:id="34" w:name="OLE_LINK2"/>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赎回的份额限制</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投资者可将其全部或部分基金</w:t>
      </w:r>
      <w:r w:rsidRPr="00501A61">
        <w:rPr>
          <w:rFonts w:asciiTheme="minorEastAsia" w:eastAsiaTheme="minorEastAsia" w:hAnsiTheme="minorEastAsia" w:hint="eastAsia"/>
          <w:szCs w:val="21"/>
        </w:rPr>
        <w:t>份额</w:t>
      </w:r>
      <w:r w:rsidRPr="00501A61">
        <w:rPr>
          <w:rFonts w:asciiTheme="minorEastAsia" w:eastAsiaTheme="minorEastAsia" w:hAnsiTheme="minorEastAsia"/>
          <w:szCs w:val="21"/>
        </w:rPr>
        <w:t>赎回。单笔赎回或转换不得少于</w:t>
      </w: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份(</w:t>
      </w:r>
      <w:r w:rsidR="00087E56" w:rsidRPr="00501A61">
        <w:rPr>
          <w:rFonts w:asciiTheme="minorEastAsia" w:eastAsiaTheme="minorEastAsia" w:hAnsiTheme="minorEastAsia"/>
          <w:szCs w:val="21"/>
        </w:rPr>
        <w:t>如该</w:t>
      </w:r>
      <w:r w:rsidR="00087E56" w:rsidRPr="00501A61">
        <w:rPr>
          <w:rFonts w:asciiTheme="minorEastAsia" w:eastAsiaTheme="minorEastAsia" w:hAnsiTheme="minorEastAsia" w:hint="eastAsia"/>
          <w:szCs w:val="21"/>
        </w:rPr>
        <w:t>账户</w:t>
      </w:r>
      <w:r w:rsidR="00087E56" w:rsidRPr="00501A61">
        <w:rPr>
          <w:rFonts w:asciiTheme="minorEastAsia" w:eastAsiaTheme="minorEastAsia" w:hAnsiTheme="minorEastAsia"/>
          <w:szCs w:val="21"/>
        </w:rPr>
        <w:t>在该销售机构托管的</w:t>
      </w:r>
      <w:r w:rsidR="00087E56" w:rsidRPr="00501A61">
        <w:rPr>
          <w:rFonts w:asciiTheme="minorEastAsia" w:eastAsiaTheme="minorEastAsia" w:hAnsiTheme="minorEastAsia" w:hint="eastAsia"/>
          <w:szCs w:val="21"/>
        </w:rPr>
        <w:t>该</w:t>
      </w:r>
      <w:r w:rsidR="00087E56" w:rsidRPr="00501A61">
        <w:rPr>
          <w:rFonts w:asciiTheme="minorEastAsia" w:eastAsiaTheme="minorEastAsia" w:hAnsiTheme="minorEastAsia"/>
          <w:szCs w:val="21"/>
        </w:rPr>
        <w:t>基金余额不足</w:t>
      </w: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份</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则必须一次性赎回或转出该基金全部份额)；若某笔赎回将导致投资者在</w:t>
      </w:r>
      <w:r w:rsidR="00087E56" w:rsidRPr="00501A61">
        <w:rPr>
          <w:rFonts w:asciiTheme="minorEastAsia" w:eastAsiaTheme="minorEastAsia" w:hAnsiTheme="minorEastAsia" w:hint="eastAsia"/>
          <w:szCs w:val="21"/>
        </w:rPr>
        <w:t>该</w:t>
      </w:r>
      <w:r w:rsidRPr="00501A61">
        <w:rPr>
          <w:rFonts w:asciiTheme="minorEastAsia" w:eastAsiaTheme="minorEastAsia" w:hAnsiTheme="minorEastAsia"/>
          <w:szCs w:val="21"/>
        </w:rPr>
        <w:t>销售机构托管的</w:t>
      </w:r>
      <w:r w:rsidR="00087E56" w:rsidRPr="00501A61">
        <w:rPr>
          <w:rFonts w:asciiTheme="minorEastAsia" w:eastAsiaTheme="minorEastAsia" w:hAnsiTheme="minorEastAsia" w:hint="eastAsia"/>
          <w:szCs w:val="21"/>
        </w:rPr>
        <w:t>该</w:t>
      </w:r>
      <w:r w:rsidRPr="00501A61">
        <w:rPr>
          <w:rFonts w:asciiTheme="minorEastAsia" w:eastAsiaTheme="minorEastAsia" w:hAnsiTheme="minorEastAsia"/>
          <w:szCs w:val="21"/>
        </w:rPr>
        <w:t>基金余额不足</w:t>
      </w: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份时</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基金管理人有权将投资者在该销售机构托管的该基金剩余份额一次性全部赎回。</w:t>
      </w:r>
      <w:r w:rsidR="00D51240" w:rsidRPr="00501A61">
        <w:rPr>
          <w:rFonts w:asciiTheme="minorEastAsia" w:eastAsiaTheme="minorEastAsia" w:hAnsiTheme="minorEastAsia" w:hint="eastAsia"/>
          <w:szCs w:val="21"/>
        </w:rPr>
        <w:t>在符合法律法规规定的前提下，各销售机构对赎回份额限制有其他规定的，需同时遵循该销售机构的相关规定。</w:t>
      </w:r>
    </w:p>
    <w:bookmarkEnd w:id="34"/>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00C15CD6"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基金管理人可根据市场情况制定或调整上述申购、赎回的程序及有关限制，</w:t>
      </w:r>
      <w:r w:rsidR="001E476C" w:rsidRPr="00501A61">
        <w:rPr>
          <w:rFonts w:asciiTheme="minorEastAsia" w:eastAsiaTheme="minorEastAsia" w:hAnsiTheme="minorEastAsia" w:hint="eastAsia"/>
          <w:szCs w:val="21"/>
        </w:rPr>
        <w:t>或者新增基金规模控制措施,</w:t>
      </w:r>
      <w:r w:rsidRPr="00501A61">
        <w:rPr>
          <w:rFonts w:asciiTheme="minorEastAsia" w:eastAsiaTheme="minorEastAsia" w:hAnsiTheme="minorEastAsia" w:hint="eastAsia"/>
          <w:szCs w:val="21"/>
        </w:rPr>
        <w:t>但应最迟在调整生效前二个工作日在指定</w:t>
      </w:r>
      <w:r w:rsidR="008E5383" w:rsidRPr="00501A61">
        <w:rPr>
          <w:rFonts w:asciiTheme="minorEastAsia" w:eastAsiaTheme="minorEastAsia" w:hAnsiTheme="minorEastAsia" w:hint="eastAsia"/>
          <w:szCs w:val="21"/>
        </w:rPr>
        <w:t>媒介</w:t>
      </w:r>
      <w:r w:rsidRPr="00501A61">
        <w:rPr>
          <w:rFonts w:asciiTheme="minorEastAsia" w:eastAsiaTheme="minorEastAsia" w:hAnsiTheme="minorEastAsia" w:hint="eastAsia"/>
          <w:szCs w:val="21"/>
        </w:rPr>
        <w:t>公告。</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35" w:name="_Toc45632207"/>
      <w:r w:rsidRPr="00501A61">
        <w:rPr>
          <w:rFonts w:asciiTheme="minorEastAsia" w:eastAsiaTheme="minorEastAsia" w:hAnsiTheme="minorEastAsia" w:hint="eastAsia"/>
          <w:b w:val="0"/>
        </w:rPr>
        <w:lastRenderedPageBreak/>
        <w:t>（七）申购、赎回的费率</w:t>
      </w:r>
      <w:bookmarkEnd w:id="35"/>
    </w:p>
    <w:p w:rsidR="0002608C" w:rsidRPr="00501A61" w:rsidRDefault="0002608C" w:rsidP="00107648">
      <w:pPr>
        <w:autoSpaceDE w:val="0"/>
        <w:autoSpaceDN w:val="0"/>
        <w:snapToGrid w:val="0"/>
        <w:spacing w:line="360" w:lineRule="auto"/>
        <w:ind w:firstLineChars="200" w:firstLine="420"/>
        <w:textAlignment w:val="bottom"/>
        <w:rPr>
          <w:rFonts w:asciiTheme="minorEastAsia" w:eastAsiaTheme="minorEastAsia" w:hAnsiTheme="minorEastAsia"/>
        </w:rPr>
      </w:pPr>
      <w:r w:rsidRPr="00501A61">
        <w:rPr>
          <w:rFonts w:asciiTheme="minorEastAsia" w:eastAsiaTheme="minorEastAsia" w:hAnsiTheme="minorEastAsia" w:hint="eastAsia"/>
        </w:rPr>
        <w:t>1</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本基金的申购、赎回费率</w:t>
      </w:r>
    </w:p>
    <w:p w:rsidR="0002608C" w:rsidRPr="00501A61" w:rsidRDefault="0002608C" w:rsidP="00107648">
      <w:pPr>
        <w:autoSpaceDE w:val="0"/>
        <w:autoSpaceDN w:val="0"/>
        <w:adjustRightInd w:val="0"/>
        <w:snapToGrid w:val="0"/>
        <w:spacing w:line="360" w:lineRule="auto"/>
        <w:ind w:left="420"/>
        <w:jc w:val="left"/>
        <w:rPr>
          <w:rFonts w:asciiTheme="minorEastAsia" w:eastAsiaTheme="minorEastAsia" w:hAnsiTheme="minorEastAsia"/>
          <w:szCs w:val="21"/>
        </w:rPr>
      </w:pPr>
      <w:r w:rsidRPr="00501A61">
        <w:rPr>
          <w:rFonts w:asciiTheme="minorEastAsia" w:eastAsiaTheme="minorEastAsia" w:hAnsiTheme="minorEastAsia" w:hint="eastAsia"/>
          <w:szCs w:val="21"/>
        </w:rPr>
        <w:t>本基金的申购、赎回费率设置如下表所示：</w:t>
      </w:r>
    </w:p>
    <w:p w:rsidR="00694807" w:rsidRPr="00501A61" w:rsidRDefault="00694807" w:rsidP="00107648">
      <w:pPr>
        <w:autoSpaceDE w:val="0"/>
        <w:autoSpaceDN w:val="0"/>
        <w:adjustRightInd w:val="0"/>
        <w:snapToGrid w:val="0"/>
        <w:spacing w:line="360" w:lineRule="auto"/>
        <w:ind w:firstLineChars="150" w:firstLine="315"/>
        <w:jc w:val="left"/>
        <w:rPr>
          <w:rFonts w:asciiTheme="minorEastAsia" w:eastAsiaTheme="minorEastAsia" w:hAnsiTheme="minorEastAsia"/>
          <w:szCs w:val="21"/>
        </w:rPr>
      </w:pPr>
      <w:r w:rsidRPr="00501A61">
        <w:rPr>
          <w:rFonts w:asciiTheme="minorEastAsia" w:eastAsiaTheme="minorEastAsia" w:hAnsiTheme="minorEastAsia" w:hint="eastAsia"/>
          <w:szCs w:val="21"/>
        </w:rPr>
        <w:t>本基金对通过本公司直销中心申购的特定投资群体与除此之外的其他投资者实施差别的申购费率。</w:t>
      </w:r>
    </w:p>
    <w:p w:rsidR="00694807" w:rsidRPr="00501A61" w:rsidRDefault="00694807" w:rsidP="0010764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501A61">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694807" w:rsidRPr="00501A61" w:rsidRDefault="00694807" w:rsidP="0010764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501A61">
        <w:rPr>
          <w:rFonts w:asciiTheme="minorEastAsia" w:eastAsiaTheme="minorEastAsia" w:hAnsiTheme="minorEastAsia" w:hint="eastAsia"/>
          <w:szCs w:val="21"/>
        </w:rPr>
        <w:t>通过基金管理人的直销中心申购本基金的特定投资群体申购费率为：</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15"/>
        <w:gridCol w:w="4260"/>
      </w:tblGrid>
      <w:tr w:rsidR="00501A61" w:rsidRPr="00501A61" w:rsidTr="00BB283C">
        <w:trPr>
          <w:tblCellSpacing w:w="15" w:type="dxa"/>
          <w:jc w:val="center"/>
        </w:trPr>
        <w:tc>
          <w:tcPr>
            <w:tcW w:w="3870" w:type="dxa"/>
          </w:tcPr>
          <w:p w:rsidR="00694807" w:rsidRPr="00501A61" w:rsidRDefault="00694807"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cs="宋体"/>
                <w:kern w:val="0"/>
                <w:szCs w:val="21"/>
              </w:rPr>
              <w:t>申购金额</w:t>
            </w:r>
            <w:r w:rsidRPr="00501A61">
              <w:rPr>
                <w:rFonts w:asciiTheme="minorEastAsia" w:eastAsiaTheme="minorEastAsia" w:hAnsiTheme="minorEastAsia" w:cs="宋体" w:hint="eastAsia"/>
                <w:kern w:val="0"/>
                <w:szCs w:val="21"/>
              </w:rPr>
              <w:t>M</w:t>
            </w:r>
            <w:r w:rsidRPr="00501A61">
              <w:rPr>
                <w:rFonts w:asciiTheme="minorEastAsia" w:eastAsiaTheme="minorEastAsia" w:hAnsiTheme="minorEastAsia" w:cs="宋体"/>
                <w:kern w:val="0"/>
                <w:szCs w:val="21"/>
              </w:rPr>
              <w:t>(元)</w:t>
            </w:r>
            <w:r w:rsidRPr="00501A61">
              <w:rPr>
                <w:rFonts w:asciiTheme="minorEastAsia" w:eastAsiaTheme="minorEastAsia" w:hAnsiTheme="minorEastAsia" w:cs="宋体" w:hint="eastAsia"/>
                <w:kern w:val="0"/>
                <w:szCs w:val="21"/>
              </w:rPr>
              <w:t>（含申购费）</w:t>
            </w:r>
          </w:p>
        </w:tc>
        <w:tc>
          <w:tcPr>
            <w:tcW w:w="4215" w:type="dxa"/>
          </w:tcPr>
          <w:p w:rsidR="00694807" w:rsidRPr="00501A61" w:rsidRDefault="00694807"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cs="宋体"/>
                <w:kern w:val="0"/>
                <w:szCs w:val="21"/>
              </w:rPr>
              <w:t>申购费率</w:t>
            </w:r>
          </w:p>
        </w:tc>
      </w:tr>
      <w:tr w:rsidR="00501A61" w:rsidRPr="00501A61" w:rsidTr="00BB283C">
        <w:trPr>
          <w:tblCellSpacing w:w="15" w:type="dxa"/>
          <w:jc w:val="center"/>
        </w:trPr>
        <w:tc>
          <w:tcPr>
            <w:tcW w:w="3870" w:type="dxa"/>
            <w:vAlign w:val="center"/>
          </w:tcPr>
          <w:p w:rsidR="00694807" w:rsidRPr="00501A61" w:rsidRDefault="00694807"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M</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1000</w:t>
            </w:r>
            <w:r w:rsidRPr="00501A61">
              <w:rPr>
                <w:rFonts w:asciiTheme="minorEastAsia" w:eastAsiaTheme="minorEastAsia" w:hAnsiTheme="minorEastAsia" w:hint="eastAsia"/>
                <w:szCs w:val="21"/>
              </w:rPr>
              <w:t>万</w:t>
            </w:r>
          </w:p>
        </w:tc>
        <w:tc>
          <w:tcPr>
            <w:tcW w:w="4215" w:type="dxa"/>
            <w:vAlign w:val="center"/>
          </w:tcPr>
          <w:p w:rsidR="00694807" w:rsidRPr="00501A61" w:rsidRDefault="00694807"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hint="eastAsia"/>
                <w:szCs w:val="21"/>
              </w:rPr>
              <w:t>按笔收取，</w:t>
            </w:r>
            <w:r w:rsidRPr="00501A61">
              <w:rPr>
                <w:rFonts w:asciiTheme="minorEastAsia" w:eastAsiaTheme="minorEastAsia" w:hAnsiTheme="minorEastAsia"/>
                <w:szCs w:val="21"/>
              </w:rPr>
              <w:t>1000</w:t>
            </w:r>
            <w:r w:rsidRPr="00501A61">
              <w:rPr>
                <w:rFonts w:asciiTheme="minorEastAsia" w:eastAsiaTheme="minorEastAsia" w:hAnsiTheme="minorEastAsia" w:hint="eastAsia"/>
                <w:szCs w:val="21"/>
              </w:rPr>
              <w:t>元</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笔</w:t>
            </w:r>
          </w:p>
        </w:tc>
      </w:tr>
      <w:tr w:rsidR="00501A61" w:rsidRPr="00501A61" w:rsidTr="00BB283C">
        <w:trPr>
          <w:tblCellSpacing w:w="15" w:type="dxa"/>
          <w:jc w:val="center"/>
        </w:trPr>
        <w:tc>
          <w:tcPr>
            <w:tcW w:w="3870" w:type="dxa"/>
            <w:vAlign w:val="center"/>
          </w:tcPr>
          <w:p w:rsidR="00694807" w:rsidRPr="00501A61" w:rsidRDefault="00694807"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500</w:t>
            </w:r>
            <w:r w:rsidRPr="00501A61">
              <w:rPr>
                <w:rFonts w:asciiTheme="minorEastAsia" w:eastAsiaTheme="minorEastAsia" w:hAnsiTheme="minorEastAsia" w:hint="eastAsia"/>
                <w:szCs w:val="21"/>
              </w:rPr>
              <w:t>万≤</w:t>
            </w:r>
            <w:r w:rsidRPr="00501A61">
              <w:rPr>
                <w:rFonts w:asciiTheme="minorEastAsia" w:eastAsiaTheme="minorEastAsia" w:hAnsiTheme="minorEastAsia"/>
                <w:szCs w:val="21"/>
              </w:rPr>
              <w:t>M</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1000</w:t>
            </w:r>
            <w:r w:rsidRPr="00501A61">
              <w:rPr>
                <w:rFonts w:asciiTheme="minorEastAsia" w:eastAsiaTheme="minorEastAsia" w:hAnsiTheme="minorEastAsia" w:hint="eastAsia"/>
                <w:szCs w:val="21"/>
              </w:rPr>
              <w:t>万</w:t>
            </w:r>
          </w:p>
        </w:tc>
        <w:tc>
          <w:tcPr>
            <w:tcW w:w="4215" w:type="dxa"/>
            <w:vAlign w:val="center"/>
          </w:tcPr>
          <w:p w:rsidR="00694807" w:rsidRPr="00501A61" w:rsidRDefault="00694807"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0.</w:t>
            </w:r>
            <w:r w:rsidRPr="00501A61">
              <w:rPr>
                <w:rFonts w:asciiTheme="minorEastAsia" w:eastAsiaTheme="minorEastAsia" w:hAnsiTheme="minorEastAsia" w:hint="eastAsia"/>
                <w:szCs w:val="21"/>
              </w:rPr>
              <w:t>0</w:t>
            </w:r>
            <w:r w:rsidRPr="00501A61">
              <w:rPr>
                <w:rFonts w:asciiTheme="minorEastAsia" w:eastAsiaTheme="minorEastAsia" w:hAnsiTheme="minorEastAsia"/>
                <w:szCs w:val="21"/>
              </w:rPr>
              <w:t>3%</w:t>
            </w:r>
          </w:p>
        </w:tc>
      </w:tr>
      <w:tr w:rsidR="00501A61" w:rsidRPr="00501A61" w:rsidTr="00BB283C">
        <w:trPr>
          <w:tblCellSpacing w:w="15" w:type="dxa"/>
          <w:jc w:val="center"/>
        </w:trPr>
        <w:tc>
          <w:tcPr>
            <w:tcW w:w="3870" w:type="dxa"/>
            <w:vAlign w:val="center"/>
          </w:tcPr>
          <w:p w:rsidR="00694807" w:rsidRPr="00501A61" w:rsidRDefault="00694807"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100</w:t>
            </w:r>
            <w:r w:rsidRPr="00501A61">
              <w:rPr>
                <w:rFonts w:asciiTheme="minorEastAsia" w:eastAsiaTheme="minorEastAsia" w:hAnsiTheme="minorEastAsia" w:hint="eastAsia"/>
                <w:szCs w:val="21"/>
              </w:rPr>
              <w:t>万≤</w:t>
            </w:r>
            <w:r w:rsidRPr="00501A61">
              <w:rPr>
                <w:rFonts w:asciiTheme="minorEastAsia" w:eastAsiaTheme="minorEastAsia" w:hAnsiTheme="minorEastAsia"/>
                <w:szCs w:val="21"/>
              </w:rPr>
              <w:t>M</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500</w:t>
            </w:r>
            <w:r w:rsidRPr="00501A61">
              <w:rPr>
                <w:rFonts w:asciiTheme="minorEastAsia" w:eastAsiaTheme="minorEastAsia" w:hAnsiTheme="minorEastAsia" w:hint="eastAsia"/>
                <w:szCs w:val="21"/>
              </w:rPr>
              <w:t>万</w:t>
            </w:r>
          </w:p>
        </w:tc>
        <w:tc>
          <w:tcPr>
            <w:tcW w:w="4215" w:type="dxa"/>
            <w:vAlign w:val="center"/>
          </w:tcPr>
          <w:p w:rsidR="00694807" w:rsidRPr="00501A61" w:rsidRDefault="00694807"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hint="eastAsia"/>
                <w:szCs w:val="21"/>
              </w:rPr>
              <w:t>0</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2%</w:t>
            </w:r>
          </w:p>
        </w:tc>
      </w:tr>
      <w:tr w:rsidR="00501A61" w:rsidRPr="00501A61" w:rsidTr="00BB283C">
        <w:trPr>
          <w:tblCellSpacing w:w="15" w:type="dxa"/>
          <w:jc w:val="center"/>
        </w:trPr>
        <w:tc>
          <w:tcPr>
            <w:tcW w:w="3870" w:type="dxa"/>
            <w:vAlign w:val="center"/>
          </w:tcPr>
          <w:p w:rsidR="00694807" w:rsidRPr="00501A61" w:rsidRDefault="00694807"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M</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100</w:t>
            </w:r>
            <w:r w:rsidRPr="00501A61">
              <w:rPr>
                <w:rFonts w:asciiTheme="minorEastAsia" w:eastAsiaTheme="minorEastAsia" w:hAnsiTheme="minorEastAsia" w:hint="eastAsia"/>
                <w:szCs w:val="21"/>
              </w:rPr>
              <w:t>万</w:t>
            </w:r>
          </w:p>
        </w:tc>
        <w:tc>
          <w:tcPr>
            <w:tcW w:w="4215" w:type="dxa"/>
            <w:vAlign w:val="center"/>
          </w:tcPr>
          <w:p w:rsidR="00694807" w:rsidRPr="00501A61" w:rsidRDefault="00694807"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hint="eastAsia"/>
                <w:szCs w:val="21"/>
              </w:rPr>
              <w:t>0</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5%</w:t>
            </w:r>
          </w:p>
        </w:tc>
      </w:tr>
    </w:tbl>
    <w:p w:rsidR="0002608C" w:rsidRPr="00501A61" w:rsidRDefault="00694807" w:rsidP="00107648">
      <w:pPr>
        <w:widowControl/>
        <w:snapToGrid w:val="0"/>
        <w:spacing w:line="360" w:lineRule="auto"/>
        <w:ind w:firstLineChars="200" w:firstLine="420"/>
        <w:jc w:val="left"/>
        <w:rPr>
          <w:rFonts w:asciiTheme="minorEastAsia" w:eastAsiaTheme="minorEastAsia" w:hAnsiTheme="minorEastAsia"/>
          <w:szCs w:val="21"/>
        </w:rPr>
      </w:pPr>
      <w:r w:rsidRPr="00501A61">
        <w:rPr>
          <w:rFonts w:asciiTheme="minorEastAsia" w:eastAsiaTheme="minorEastAsia" w:hAnsiTheme="minorEastAsia" w:hint="eastAsia"/>
          <w:szCs w:val="21"/>
        </w:rPr>
        <w:t>其他投资者申购本基金的</w:t>
      </w:r>
      <w:r w:rsidR="0002608C" w:rsidRPr="00501A61">
        <w:rPr>
          <w:rFonts w:asciiTheme="minorEastAsia" w:eastAsiaTheme="minorEastAsia" w:hAnsiTheme="minorEastAsia"/>
          <w:szCs w:val="21"/>
        </w:rPr>
        <w:t>申购费率为：</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15"/>
        <w:gridCol w:w="4260"/>
      </w:tblGrid>
      <w:tr w:rsidR="00501A61" w:rsidRPr="00501A61" w:rsidTr="0002608C">
        <w:trPr>
          <w:tblCellSpacing w:w="15" w:type="dxa"/>
          <w:jc w:val="center"/>
        </w:trPr>
        <w:tc>
          <w:tcPr>
            <w:tcW w:w="3870" w:type="dxa"/>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cs="宋体"/>
                <w:kern w:val="0"/>
                <w:szCs w:val="21"/>
              </w:rPr>
              <w:t>申购金额</w:t>
            </w:r>
            <w:r w:rsidRPr="00501A61">
              <w:rPr>
                <w:rFonts w:asciiTheme="minorEastAsia" w:eastAsiaTheme="minorEastAsia" w:hAnsiTheme="minorEastAsia" w:cs="宋体" w:hint="eastAsia"/>
                <w:kern w:val="0"/>
                <w:szCs w:val="21"/>
              </w:rPr>
              <w:t>M</w:t>
            </w:r>
            <w:r w:rsidRPr="00501A61">
              <w:rPr>
                <w:rFonts w:asciiTheme="minorEastAsia" w:eastAsiaTheme="minorEastAsia" w:hAnsiTheme="minorEastAsia" w:cs="宋体"/>
                <w:kern w:val="0"/>
                <w:szCs w:val="21"/>
              </w:rPr>
              <w:t>(元)</w:t>
            </w:r>
            <w:r w:rsidRPr="00501A61">
              <w:rPr>
                <w:rFonts w:asciiTheme="minorEastAsia" w:eastAsiaTheme="minorEastAsia" w:hAnsiTheme="minorEastAsia" w:cs="宋体" w:hint="eastAsia"/>
                <w:kern w:val="0"/>
                <w:szCs w:val="21"/>
              </w:rPr>
              <w:t>（含申购费）</w:t>
            </w:r>
          </w:p>
        </w:tc>
        <w:tc>
          <w:tcPr>
            <w:tcW w:w="4215" w:type="dxa"/>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cs="宋体"/>
                <w:kern w:val="0"/>
                <w:szCs w:val="21"/>
              </w:rPr>
              <w:t>申购费率</w:t>
            </w:r>
          </w:p>
        </w:tc>
      </w:tr>
      <w:tr w:rsidR="00501A61" w:rsidRPr="00501A61" w:rsidTr="0002608C">
        <w:trPr>
          <w:tblCellSpacing w:w="15" w:type="dxa"/>
          <w:jc w:val="center"/>
        </w:trPr>
        <w:tc>
          <w:tcPr>
            <w:tcW w:w="3870" w:type="dxa"/>
            <w:vAlign w:val="center"/>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M</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1000</w:t>
            </w:r>
            <w:r w:rsidRPr="00501A61">
              <w:rPr>
                <w:rFonts w:asciiTheme="minorEastAsia" w:eastAsiaTheme="minorEastAsia" w:hAnsiTheme="minorEastAsia" w:hint="eastAsia"/>
                <w:szCs w:val="21"/>
              </w:rPr>
              <w:t>万</w:t>
            </w:r>
          </w:p>
        </w:tc>
        <w:tc>
          <w:tcPr>
            <w:tcW w:w="4215" w:type="dxa"/>
            <w:vAlign w:val="center"/>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hint="eastAsia"/>
                <w:szCs w:val="21"/>
              </w:rPr>
              <w:t>按笔收取，</w:t>
            </w:r>
            <w:r w:rsidRPr="00501A61">
              <w:rPr>
                <w:rFonts w:asciiTheme="minorEastAsia" w:eastAsiaTheme="minorEastAsia" w:hAnsiTheme="minorEastAsia"/>
                <w:szCs w:val="21"/>
              </w:rPr>
              <w:t>1000</w:t>
            </w:r>
            <w:r w:rsidRPr="00501A61">
              <w:rPr>
                <w:rFonts w:asciiTheme="minorEastAsia" w:eastAsiaTheme="minorEastAsia" w:hAnsiTheme="minorEastAsia" w:hint="eastAsia"/>
                <w:szCs w:val="21"/>
              </w:rPr>
              <w:t>元</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笔</w:t>
            </w:r>
          </w:p>
        </w:tc>
      </w:tr>
      <w:tr w:rsidR="00501A61" w:rsidRPr="00501A61" w:rsidTr="0002608C">
        <w:trPr>
          <w:tblCellSpacing w:w="15" w:type="dxa"/>
          <w:jc w:val="center"/>
        </w:trPr>
        <w:tc>
          <w:tcPr>
            <w:tcW w:w="3870" w:type="dxa"/>
            <w:vAlign w:val="center"/>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500</w:t>
            </w:r>
            <w:r w:rsidRPr="00501A61">
              <w:rPr>
                <w:rFonts w:asciiTheme="minorEastAsia" w:eastAsiaTheme="minorEastAsia" w:hAnsiTheme="minorEastAsia" w:hint="eastAsia"/>
                <w:szCs w:val="21"/>
              </w:rPr>
              <w:t>万≤</w:t>
            </w:r>
            <w:r w:rsidRPr="00501A61">
              <w:rPr>
                <w:rFonts w:asciiTheme="minorEastAsia" w:eastAsiaTheme="minorEastAsia" w:hAnsiTheme="minorEastAsia"/>
                <w:szCs w:val="21"/>
              </w:rPr>
              <w:t>M</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1000</w:t>
            </w:r>
            <w:r w:rsidRPr="00501A61">
              <w:rPr>
                <w:rFonts w:asciiTheme="minorEastAsia" w:eastAsiaTheme="minorEastAsia" w:hAnsiTheme="minorEastAsia" w:hint="eastAsia"/>
                <w:szCs w:val="21"/>
              </w:rPr>
              <w:t>万</w:t>
            </w:r>
          </w:p>
        </w:tc>
        <w:tc>
          <w:tcPr>
            <w:tcW w:w="4215" w:type="dxa"/>
            <w:vAlign w:val="center"/>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0.3%</w:t>
            </w:r>
          </w:p>
        </w:tc>
      </w:tr>
      <w:tr w:rsidR="00501A61" w:rsidRPr="00501A61" w:rsidTr="0002608C">
        <w:trPr>
          <w:tblCellSpacing w:w="15" w:type="dxa"/>
          <w:jc w:val="center"/>
        </w:trPr>
        <w:tc>
          <w:tcPr>
            <w:tcW w:w="3870" w:type="dxa"/>
            <w:vAlign w:val="center"/>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100</w:t>
            </w:r>
            <w:r w:rsidRPr="00501A61">
              <w:rPr>
                <w:rFonts w:asciiTheme="minorEastAsia" w:eastAsiaTheme="minorEastAsia" w:hAnsiTheme="minorEastAsia" w:hint="eastAsia"/>
                <w:szCs w:val="21"/>
              </w:rPr>
              <w:t>万≤</w:t>
            </w:r>
            <w:r w:rsidRPr="00501A61">
              <w:rPr>
                <w:rFonts w:asciiTheme="minorEastAsia" w:eastAsiaTheme="minorEastAsia" w:hAnsiTheme="minorEastAsia"/>
                <w:szCs w:val="21"/>
              </w:rPr>
              <w:t>M</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500</w:t>
            </w:r>
            <w:r w:rsidRPr="00501A61">
              <w:rPr>
                <w:rFonts w:asciiTheme="minorEastAsia" w:eastAsiaTheme="minorEastAsia" w:hAnsiTheme="minorEastAsia" w:hint="eastAsia"/>
                <w:szCs w:val="21"/>
              </w:rPr>
              <w:t>万</w:t>
            </w:r>
          </w:p>
        </w:tc>
        <w:tc>
          <w:tcPr>
            <w:tcW w:w="4215" w:type="dxa"/>
            <w:vAlign w:val="center"/>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1.2%</w:t>
            </w:r>
          </w:p>
        </w:tc>
      </w:tr>
      <w:tr w:rsidR="00501A61" w:rsidRPr="00501A61" w:rsidTr="0002608C">
        <w:trPr>
          <w:tblCellSpacing w:w="15" w:type="dxa"/>
          <w:jc w:val="center"/>
        </w:trPr>
        <w:tc>
          <w:tcPr>
            <w:tcW w:w="3870" w:type="dxa"/>
            <w:vAlign w:val="center"/>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M</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100</w:t>
            </w:r>
            <w:r w:rsidRPr="00501A61">
              <w:rPr>
                <w:rFonts w:asciiTheme="minorEastAsia" w:eastAsiaTheme="minorEastAsia" w:hAnsiTheme="minorEastAsia" w:hint="eastAsia"/>
                <w:szCs w:val="21"/>
              </w:rPr>
              <w:t>万</w:t>
            </w:r>
          </w:p>
        </w:tc>
        <w:tc>
          <w:tcPr>
            <w:tcW w:w="4215" w:type="dxa"/>
            <w:vAlign w:val="center"/>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1.5%</w:t>
            </w:r>
          </w:p>
        </w:tc>
      </w:tr>
    </w:tbl>
    <w:p w:rsidR="0002608C" w:rsidRPr="00501A61" w:rsidRDefault="0002608C" w:rsidP="00107648">
      <w:pPr>
        <w:widowControl/>
        <w:snapToGrid w:val="0"/>
        <w:spacing w:line="360" w:lineRule="auto"/>
        <w:ind w:firstLineChars="200" w:firstLine="420"/>
        <w:jc w:val="left"/>
        <w:rPr>
          <w:rFonts w:asciiTheme="minorEastAsia" w:eastAsiaTheme="minorEastAsia" w:hAnsiTheme="minorEastAsia"/>
          <w:szCs w:val="21"/>
        </w:rPr>
      </w:pPr>
      <w:r w:rsidRPr="00501A61">
        <w:rPr>
          <w:rFonts w:asciiTheme="minorEastAsia" w:eastAsiaTheme="minorEastAsia" w:hAnsiTheme="minorEastAsia" w:hint="eastAsia"/>
          <w:szCs w:val="21"/>
        </w:rPr>
        <w:t>本基金的申购费由申购人承担，不计入基金财产。在申购费按金额分档的情况下，如果投资者多次申购，申购费适用单笔申购金额所对应的费率。</w:t>
      </w:r>
    </w:p>
    <w:p w:rsidR="0002608C" w:rsidRPr="00501A61" w:rsidRDefault="0002608C" w:rsidP="00107648">
      <w:pPr>
        <w:widowControl/>
        <w:snapToGrid w:val="0"/>
        <w:spacing w:line="360" w:lineRule="auto"/>
        <w:jc w:val="left"/>
        <w:rPr>
          <w:rFonts w:asciiTheme="minorEastAsia" w:eastAsiaTheme="minorEastAsia" w:hAnsiTheme="minorEastAsia"/>
          <w:szCs w:val="21"/>
        </w:rPr>
      </w:pPr>
      <w:r w:rsidRPr="00501A61">
        <w:rPr>
          <w:rFonts w:asciiTheme="minorEastAsia" w:eastAsiaTheme="minorEastAsia" w:hAnsiTheme="minorEastAsia"/>
          <w:szCs w:val="21"/>
        </w:rPr>
        <w:t>赎回</w:t>
      </w:r>
      <w:r w:rsidRPr="00501A61">
        <w:rPr>
          <w:rFonts w:asciiTheme="minorEastAsia" w:eastAsiaTheme="minorEastAsia" w:hAnsiTheme="minorEastAsia" w:hint="eastAsia"/>
          <w:szCs w:val="21"/>
        </w:rPr>
        <w:t>费率为</w:t>
      </w:r>
      <w:r w:rsidRPr="00501A61">
        <w:rPr>
          <w:rFonts w:asciiTheme="minorEastAsia" w:eastAsiaTheme="minorEastAsia" w:hAnsiTheme="minorEastAsia"/>
          <w:szCs w:val="21"/>
        </w:rPr>
        <w: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15"/>
        <w:gridCol w:w="4260"/>
      </w:tblGrid>
      <w:tr w:rsidR="00501A61" w:rsidRPr="00501A61" w:rsidTr="0002608C">
        <w:trPr>
          <w:tblCellSpacing w:w="15" w:type="dxa"/>
          <w:jc w:val="center"/>
        </w:trPr>
        <w:tc>
          <w:tcPr>
            <w:tcW w:w="3870" w:type="dxa"/>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cs="宋体"/>
                <w:kern w:val="0"/>
                <w:szCs w:val="21"/>
              </w:rPr>
              <w:t>持有时间</w:t>
            </w:r>
            <w:r w:rsidRPr="00501A61">
              <w:rPr>
                <w:rFonts w:asciiTheme="minorEastAsia" w:eastAsiaTheme="minorEastAsia" w:hAnsiTheme="minorEastAsia" w:cs="宋体" w:hint="eastAsia"/>
                <w:kern w:val="0"/>
                <w:szCs w:val="21"/>
              </w:rPr>
              <w:t>（天）</w:t>
            </w:r>
          </w:p>
        </w:tc>
        <w:tc>
          <w:tcPr>
            <w:tcW w:w="4215" w:type="dxa"/>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cs="宋体"/>
                <w:kern w:val="0"/>
                <w:szCs w:val="21"/>
              </w:rPr>
              <w:t>赎回费率</w:t>
            </w:r>
          </w:p>
        </w:tc>
      </w:tr>
      <w:tr w:rsidR="00501A61" w:rsidRPr="00501A61" w:rsidTr="0002608C">
        <w:trPr>
          <w:tblCellSpacing w:w="15" w:type="dxa"/>
          <w:jc w:val="center"/>
        </w:trPr>
        <w:tc>
          <w:tcPr>
            <w:tcW w:w="3870" w:type="dxa"/>
            <w:vAlign w:val="center"/>
          </w:tcPr>
          <w:p w:rsidR="001E476C" w:rsidRPr="00501A61" w:rsidRDefault="001E476C" w:rsidP="00107648">
            <w:pPr>
              <w:widowControl/>
              <w:snapToGrid w:val="0"/>
              <w:spacing w:line="360" w:lineRule="auto"/>
              <w:jc w:val="center"/>
              <w:rPr>
                <w:rFonts w:asciiTheme="minorEastAsia" w:eastAsiaTheme="minorEastAsia" w:hAnsiTheme="minorEastAsia"/>
                <w:szCs w:val="21"/>
              </w:rPr>
            </w:pPr>
            <w:r w:rsidRPr="00501A61">
              <w:rPr>
                <w:rFonts w:asciiTheme="minorEastAsia" w:eastAsiaTheme="minorEastAsia" w:hAnsiTheme="minorEastAsia" w:hint="eastAsia"/>
                <w:szCs w:val="21"/>
              </w:rPr>
              <w:t>0</w:t>
            </w:r>
            <w:r w:rsidRPr="00501A61">
              <w:rPr>
                <w:rFonts w:asciiTheme="minorEastAsia" w:eastAsiaTheme="minorEastAsia" w:hAnsiTheme="minorEastAsia"/>
                <w:szCs w:val="21"/>
              </w:rPr>
              <w:t>-6</w:t>
            </w:r>
          </w:p>
        </w:tc>
        <w:tc>
          <w:tcPr>
            <w:tcW w:w="4215" w:type="dxa"/>
            <w:vAlign w:val="center"/>
          </w:tcPr>
          <w:p w:rsidR="001E476C" w:rsidRPr="00501A61" w:rsidRDefault="001E476C" w:rsidP="00107648">
            <w:pPr>
              <w:widowControl/>
              <w:snapToGrid w:val="0"/>
              <w:spacing w:line="360" w:lineRule="auto"/>
              <w:jc w:val="center"/>
              <w:rPr>
                <w:rFonts w:asciiTheme="minorEastAsia" w:eastAsiaTheme="minorEastAsia" w:hAnsiTheme="minorEastAsia"/>
                <w:szCs w:val="21"/>
              </w:rPr>
            </w:pP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.50</w:t>
            </w:r>
            <w:r w:rsidRPr="00501A61">
              <w:rPr>
                <w:rFonts w:asciiTheme="minorEastAsia" w:eastAsiaTheme="minorEastAsia" w:hAnsiTheme="minorEastAsia" w:hint="eastAsia"/>
                <w:szCs w:val="21"/>
              </w:rPr>
              <w:t>%</w:t>
            </w:r>
          </w:p>
        </w:tc>
      </w:tr>
      <w:tr w:rsidR="00501A61" w:rsidRPr="00501A61" w:rsidTr="0002608C">
        <w:trPr>
          <w:tblCellSpacing w:w="15" w:type="dxa"/>
          <w:jc w:val="center"/>
        </w:trPr>
        <w:tc>
          <w:tcPr>
            <w:tcW w:w="3870" w:type="dxa"/>
            <w:vAlign w:val="center"/>
          </w:tcPr>
          <w:p w:rsidR="0002608C" w:rsidRPr="00501A61" w:rsidRDefault="001E476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7</w:t>
            </w:r>
            <w:r w:rsidR="0002608C" w:rsidRPr="00501A61">
              <w:rPr>
                <w:rFonts w:asciiTheme="minorEastAsia" w:eastAsiaTheme="minorEastAsia" w:hAnsiTheme="minorEastAsia"/>
                <w:szCs w:val="21"/>
              </w:rPr>
              <w:t>-364</w:t>
            </w:r>
          </w:p>
        </w:tc>
        <w:tc>
          <w:tcPr>
            <w:tcW w:w="4215" w:type="dxa"/>
            <w:vAlign w:val="center"/>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0.50%</w:t>
            </w:r>
          </w:p>
        </w:tc>
      </w:tr>
      <w:tr w:rsidR="00501A61" w:rsidRPr="00501A61" w:rsidTr="0002608C">
        <w:trPr>
          <w:tblCellSpacing w:w="15" w:type="dxa"/>
          <w:jc w:val="center"/>
        </w:trPr>
        <w:tc>
          <w:tcPr>
            <w:tcW w:w="3870" w:type="dxa"/>
            <w:vAlign w:val="center"/>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365-729</w:t>
            </w:r>
          </w:p>
        </w:tc>
        <w:tc>
          <w:tcPr>
            <w:tcW w:w="4215" w:type="dxa"/>
            <w:vAlign w:val="center"/>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0.25%</w:t>
            </w:r>
          </w:p>
        </w:tc>
      </w:tr>
      <w:tr w:rsidR="00501A61" w:rsidRPr="00501A61" w:rsidTr="0002608C">
        <w:trPr>
          <w:tblCellSpacing w:w="15" w:type="dxa"/>
          <w:jc w:val="center"/>
        </w:trPr>
        <w:tc>
          <w:tcPr>
            <w:tcW w:w="3870" w:type="dxa"/>
            <w:vAlign w:val="center"/>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730</w:t>
            </w:r>
            <w:r w:rsidRPr="00501A61">
              <w:rPr>
                <w:rFonts w:asciiTheme="minorEastAsia" w:eastAsiaTheme="minorEastAsia" w:hAnsiTheme="minorEastAsia" w:hint="eastAsia"/>
                <w:szCs w:val="21"/>
              </w:rPr>
              <w:t>及以上</w:t>
            </w:r>
          </w:p>
        </w:tc>
        <w:tc>
          <w:tcPr>
            <w:tcW w:w="4215" w:type="dxa"/>
            <w:vAlign w:val="center"/>
          </w:tcPr>
          <w:p w:rsidR="0002608C" w:rsidRPr="00501A61" w:rsidRDefault="0002608C" w:rsidP="00107648">
            <w:pPr>
              <w:widowControl/>
              <w:snapToGrid w:val="0"/>
              <w:spacing w:line="360" w:lineRule="auto"/>
              <w:jc w:val="center"/>
              <w:rPr>
                <w:rFonts w:asciiTheme="minorEastAsia" w:eastAsiaTheme="minorEastAsia" w:hAnsiTheme="minorEastAsia" w:cs="宋体"/>
                <w:kern w:val="0"/>
                <w:szCs w:val="21"/>
              </w:rPr>
            </w:pPr>
            <w:r w:rsidRPr="00501A61">
              <w:rPr>
                <w:rFonts w:asciiTheme="minorEastAsia" w:eastAsiaTheme="minorEastAsia" w:hAnsiTheme="minorEastAsia"/>
                <w:szCs w:val="21"/>
              </w:rPr>
              <w:t>0.00%</w:t>
            </w:r>
          </w:p>
        </w:tc>
      </w:tr>
    </w:tbl>
    <w:p w:rsidR="0002608C" w:rsidRPr="00501A61" w:rsidRDefault="0002608C" w:rsidP="00107648">
      <w:pPr>
        <w:snapToGrid w:val="0"/>
        <w:spacing w:line="360" w:lineRule="auto"/>
        <w:ind w:firstLine="435"/>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本基金的赎回费由赎回人承担，</w:t>
      </w:r>
      <w:r w:rsidR="001E476C" w:rsidRPr="00501A61">
        <w:rPr>
          <w:rFonts w:asciiTheme="minorEastAsia" w:eastAsiaTheme="minorEastAsia" w:hAnsiTheme="minorEastAsia" w:hint="eastAsia"/>
          <w:szCs w:val="21"/>
        </w:rPr>
        <w:t>对于持有期大于或等于</w:t>
      </w:r>
      <w:r w:rsidR="001E476C" w:rsidRPr="00501A61">
        <w:rPr>
          <w:rFonts w:asciiTheme="minorEastAsia" w:eastAsiaTheme="minorEastAsia" w:hAnsiTheme="minorEastAsia"/>
          <w:szCs w:val="21"/>
        </w:rPr>
        <w:t>7</w:t>
      </w:r>
      <w:r w:rsidR="001E476C" w:rsidRPr="00501A61">
        <w:rPr>
          <w:rFonts w:asciiTheme="minorEastAsia" w:eastAsiaTheme="minorEastAsia" w:hAnsiTheme="minorEastAsia" w:hint="eastAsia"/>
          <w:szCs w:val="21"/>
        </w:rPr>
        <w:t>天的基金</w:t>
      </w:r>
      <w:r w:rsidR="001E476C" w:rsidRPr="00501A61">
        <w:rPr>
          <w:rFonts w:asciiTheme="minorEastAsia" w:eastAsiaTheme="minorEastAsia" w:hAnsiTheme="minorEastAsia"/>
          <w:szCs w:val="21"/>
        </w:rPr>
        <w:t>份额所收取</w:t>
      </w:r>
      <w:r w:rsidRPr="00501A61">
        <w:rPr>
          <w:rFonts w:asciiTheme="minorEastAsia" w:eastAsiaTheme="minorEastAsia" w:hAnsiTheme="minorEastAsia" w:hint="eastAsia"/>
          <w:szCs w:val="21"/>
        </w:rPr>
        <w:t>赎回费的25%归入基金财产，余额为注册登记费和其他手续费</w:t>
      </w:r>
      <w:r w:rsidR="001E476C" w:rsidRPr="00501A61">
        <w:rPr>
          <w:rFonts w:asciiTheme="minorEastAsia" w:eastAsiaTheme="minorEastAsia" w:hAnsiTheme="minorEastAsia" w:hint="eastAsia"/>
          <w:szCs w:val="21"/>
        </w:rPr>
        <w:t>；对于持有期小于7天的基金份额所收取的赎回费，</w:t>
      </w:r>
      <w:r w:rsidR="001E476C" w:rsidRPr="00501A61">
        <w:rPr>
          <w:rFonts w:asciiTheme="minorEastAsia" w:eastAsiaTheme="minorEastAsia" w:hAnsiTheme="minorEastAsia"/>
          <w:szCs w:val="21"/>
        </w:rPr>
        <w:t>全额计入基金财产。</w:t>
      </w:r>
    </w:p>
    <w:p w:rsidR="0002608C" w:rsidRPr="00501A61" w:rsidRDefault="0002608C" w:rsidP="00107648">
      <w:pPr>
        <w:snapToGrid w:val="0"/>
        <w:spacing w:line="360" w:lineRule="auto"/>
        <w:ind w:firstLine="435"/>
        <w:rPr>
          <w:rFonts w:asciiTheme="minorEastAsia" w:eastAsiaTheme="minorEastAsia" w:hAnsiTheme="minorEastAsia"/>
          <w:szCs w:val="21"/>
        </w:rPr>
      </w:pPr>
      <w:r w:rsidRPr="00501A61">
        <w:rPr>
          <w:rFonts w:asciiTheme="minorEastAsia" w:eastAsiaTheme="minorEastAsia" w:hAnsiTheme="minorEastAsia"/>
          <w:szCs w:val="21"/>
        </w:rPr>
        <w:t>基金管理人可以在基金合同规定的范围内调整申购费率和赎回费率，调整后的申购费率和赎回费率在</w:t>
      </w:r>
      <w:r w:rsidRPr="00501A61">
        <w:rPr>
          <w:rFonts w:asciiTheme="minorEastAsia" w:eastAsiaTheme="minorEastAsia" w:hAnsiTheme="minorEastAsia" w:hint="eastAsia"/>
          <w:szCs w:val="21"/>
        </w:rPr>
        <w:t>《更新的招募说明书》</w:t>
      </w:r>
      <w:r w:rsidRPr="00501A61">
        <w:rPr>
          <w:rFonts w:asciiTheme="minorEastAsia" w:eastAsiaTheme="minorEastAsia" w:hAnsiTheme="minorEastAsia"/>
          <w:szCs w:val="21"/>
        </w:rPr>
        <w:t>中列示。上述费率如发生变更，基金管理人</w:t>
      </w:r>
      <w:r w:rsidRPr="00501A61">
        <w:rPr>
          <w:rFonts w:asciiTheme="minorEastAsia" w:eastAsiaTheme="minorEastAsia" w:hAnsiTheme="minorEastAsia" w:hint="eastAsia"/>
          <w:szCs w:val="21"/>
        </w:rPr>
        <w:t>还</w:t>
      </w:r>
      <w:r w:rsidRPr="00501A61">
        <w:rPr>
          <w:rFonts w:asciiTheme="minorEastAsia" w:eastAsiaTheme="minorEastAsia" w:hAnsiTheme="minorEastAsia"/>
          <w:szCs w:val="21"/>
        </w:rPr>
        <w:t>应最迟于新的费率实施前</w:t>
      </w:r>
      <w:r w:rsidRPr="00501A61">
        <w:rPr>
          <w:rFonts w:asciiTheme="minorEastAsia" w:eastAsiaTheme="minorEastAsia" w:hAnsiTheme="minorEastAsia" w:hint="eastAsia"/>
          <w:szCs w:val="21"/>
        </w:rPr>
        <w:t>2</w:t>
      </w:r>
      <w:r w:rsidRPr="00501A61">
        <w:rPr>
          <w:rFonts w:asciiTheme="minorEastAsia" w:eastAsiaTheme="minorEastAsia" w:hAnsiTheme="minorEastAsia"/>
          <w:szCs w:val="21"/>
        </w:rPr>
        <w:t>个工作日在指定</w:t>
      </w:r>
      <w:r w:rsidR="008E5383" w:rsidRPr="00501A61">
        <w:rPr>
          <w:rFonts w:asciiTheme="minorEastAsia" w:eastAsiaTheme="minorEastAsia" w:hAnsiTheme="minorEastAsia" w:hint="eastAsia"/>
          <w:szCs w:val="21"/>
        </w:rPr>
        <w:t>媒介</w:t>
      </w:r>
      <w:r w:rsidRPr="00501A61">
        <w:rPr>
          <w:rFonts w:asciiTheme="minorEastAsia" w:eastAsiaTheme="minorEastAsia" w:hAnsiTheme="minorEastAsia"/>
          <w:szCs w:val="21"/>
        </w:rPr>
        <w:t>公告。</w:t>
      </w:r>
    </w:p>
    <w:p w:rsidR="0002608C" w:rsidRPr="00501A61" w:rsidRDefault="00B14584" w:rsidP="00107648">
      <w:pPr>
        <w:snapToGrid w:val="0"/>
        <w:spacing w:line="360" w:lineRule="auto"/>
        <w:ind w:firstLine="435"/>
        <w:rPr>
          <w:rFonts w:asciiTheme="minorEastAsia" w:eastAsiaTheme="minorEastAsia" w:hAnsiTheme="minorEastAsia"/>
          <w:szCs w:val="21"/>
        </w:rPr>
      </w:pPr>
      <w:r w:rsidRPr="00501A61">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36" w:name="_Toc45632208"/>
      <w:r w:rsidRPr="00501A61">
        <w:rPr>
          <w:rFonts w:asciiTheme="minorEastAsia" w:eastAsiaTheme="minorEastAsia" w:hAnsiTheme="minorEastAsia" w:hint="eastAsia"/>
          <w:b w:val="0"/>
        </w:rPr>
        <w:t>（八）申购份额、赎回金额的计算方式</w:t>
      </w:r>
      <w:bookmarkEnd w:id="36"/>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C15CD6"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申购份额的计算</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本基金的申购金额包括申购费用和净申购金额，其中：</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申购费用=申购金额/（1＋申购费率）×申购费率</w:t>
      </w:r>
      <w:r w:rsidRPr="00501A61">
        <w:rPr>
          <w:rFonts w:asciiTheme="minorEastAsia" w:eastAsiaTheme="minorEastAsia" w:hAnsiTheme="minorEastAsia" w:hint="eastAsia"/>
          <w:szCs w:val="21"/>
        </w:rPr>
        <w:t>，对于1000万元以上的申购适用绝对数额的申购费金额</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净申购金额=申购金额-申购费用</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申购份数=净申购金额÷T日基金份额净值</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举例说明：</w:t>
      </w:r>
    </w:p>
    <w:p w:rsidR="00694807" w:rsidRPr="00501A61" w:rsidRDefault="00694807"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例一：某投资者（非特定投资群体）申购本基金：</w:t>
      </w:r>
    </w:p>
    <w:tbl>
      <w:tblPr>
        <w:tblW w:w="90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4"/>
        <w:gridCol w:w="1357"/>
        <w:gridCol w:w="1691"/>
        <w:gridCol w:w="1590"/>
        <w:gridCol w:w="1679"/>
      </w:tblGrid>
      <w:tr w:rsidR="00501A61" w:rsidRPr="00501A61" w:rsidTr="0002608C">
        <w:trPr>
          <w:jc w:val="center"/>
        </w:trPr>
        <w:tc>
          <w:tcPr>
            <w:tcW w:w="1581" w:type="dxa"/>
          </w:tcPr>
          <w:p w:rsidR="0002608C" w:rsidRPr="00501A61" w:rsidRDefault="0002608C" w:rsidP="00107648">
            <w:pPr>
              <w:snapToGrid w:val="0"/>
              <w:spacing w:line="360" w:lineRule="auto"/>
              <w:jc w:val="center"/>
              <w:rPr>
                <w:rFonts w:asciiTheme="minorEastAsia" w:eastAsiaTheme="minorEastAsia" w:hAnsiTheme="minorEastAsia"/>
                <w:bCs/>
                <w:szCs w:val="21"/>
              </w:rPr>
            </w:pPr>
            <w:r w:rsidRPr="00501A61">
              <w:rPr>
                <w:rFonts w:asciiTheme="minorEastAsia" w:eastAsiaTheme="minorEastAsia" w:hAnsiTheme="minorEastAsia" w:hint="eastAsia"/>
                <w:bCs/>
                <w:szCs w:val="21"/>
              </w:rPr>
              <w:t>申购金额</w:t>
            </w:r>
          </w:p>
        </w:tc>
        <w:tc>
          <w:tcPr>
            <w:tcW w:w="1134" w:type="dxa"/>
          </w:tcPr>
          <w:p w:rsidR="0002608C" w:rsidRPr="00501A61" w:rsidRDefault="0002608C" w:rsidP="00107648">
            <w:pPr>
              <w:snapToGrid w:val="0"/>
              <w:spacing w:line="360" w:lineRule="auto"/>
              <w:jc w:val="center"/>
              <w:rPr>
                <w:rFonts w:asciiTheme="minorEastAsia" w:eastAsiaTheme="minorEastAsia" w:hAnsiTheme="minorEastAsia"/>
                <w:bCs/>
                <w:szCs w:val="21"/>
              </w:rPr>
            </w:pPr>
            <w:r w:rsidRPr="00501A61">
              <w:rPr>
                <w:rFonts w:asciiTheme="minorEastAsia" w:eastAsiaTheme="minorEastAsia" w:hAnsiTheme="minorEastAsia" w:hint="eastAsia"/>
                <w:bCs/>
                <w:szCs w:val="21"/>
              </w:rPr>
              <w:t>申购费率</w:t>
            </w:r>
          </w:p>
        </w:tc>
        <w:tc>
          <w:tcPr>
            <w:tcW w:w="1357" w:type="dxa"/>
          </w:tcPr>
          <w:p w:rsidR="0002608C" w:rsidRPr="00501A61" w:rsidRDefault="0002608C" w:rsidP="00107648">
            <w:pPr>
              <w:snapToGrid w:val="0"/>
              <w:spacing w:line="360" w:lineRule="auto"/>
              <w:jc w:val="center"/>
              <w:rPr>
                <w:rFonts w:asciiTheme="minorEastAsia" w:eastAsiaTheme="minorEastAsia" w:hAnsiTheme="minorEastAsia"/>
                <w:bCs/>
                <w:szCs w:val="21"/>
              </w:rPr>
            </w:pPr>
            <w:r w:rsidRPr="00501A61">
              <w:rPr>
                <w:rFonts w:asciiTheme="minorEastAsia" w:eastAsiaTheme="minorEastAsia" w:hAnsiTheme="minorEastAsia" w:hint="eastAsia"/>
                <w:bCs/>
                <w:szCs w:val="21"/>
              </w:rPr>
              <w:t>申购费用</w:t>
            </w:r>
          </w:p>
        </w:tc>
        <w:tc>
          <w:tcPr>
            <w:tcW w:w="1691" w:type="dxa"/>
          </w:tcPr>
          <w:p w:rsidR="0002608C" w:rsidRPr="00501A61" w:rsidRDefault="0002608C" w:rsidP="00107648">
            <w:pPr>
              <w:snapToGrid w:val="0"/>
              <w:spacing w:line="360" w:lineRule="auto"/>
              <w:jc w:val="center"/>
              <w:rPr>
                <w:rFonts w:asciiTheme="minorEastAsia" w:eastAsiaTheme="minorEastAsia" w:hAnsiTheme="minorEastAsia"/>
                <w:bCs/>
                <w:szCs w:val="21"/>
              </w:rPr>
            </w:pPr>
            <w:r w:rsidRPr="00501A61">
              <w:rPr>
                <w:rFonts w:asciiTheme="minorEastAsia" w:eastAsiaTheme="minorEastAsia" w:hAnsiTheme="minorEastAsia" w:hint="eastAsia"/>
                <w:bCs/>
                <w:szCs w:val="21"/>
              </w:rPr>
              <w:t>净申购金额</w:t>
            </w:r>
          </w:p>
        </w:tc>
        <w:tc>
          <w:tcPr>
            <w:tcW w:w="1590" w:type="dxa"/>
          </w:tcPr>
          <w:p w:rsidR="0002608C" w:rsidRPr="00501A61" w:rsidRDefault="0002608C" w:rsidP="00107648">
            <w:pPr>
              <w:snapToGrid w:val="0"/>
              <w:spacing w:line="360" w:lineRule="auto"/>
              <w:jc w:val="center"/>
              <w:rPr>
                <w:rFonts w:asciiTheme="minorEastAsia" w:eastAsiaTheme="minorEastAsia" w:hAnsiTheme="minorEastAsia"/>
                <w:bCs/>
                <w:szCs w:val="21"/>
              </w:rPr>
            </w:pPr>
            <w:r w:rsidRPr="00501A61">
              <w:rPr>
                <w:rFonts w:asciiTheme="minorEastAsia" w:eastAsiaTheme="minorEastAsia" w:hAnsiTheme="minorEastAsia" w:hint="eastAsia"/>
                <w:bCs/>
                <w:szCs w:val="21"/>
              </w:rPr>
              <w:t>基金份额净值</w:t>
            </w:r>
          </w:p>
        </w:tc>
        <w:tc>
          <w:tcPr>
            <w:tcW w:w="1679" w:type="dxa"/>
          </w:tcPr>
          <w:p w:rsidR="0002608C" w:rsidRPr="00501A61" w:rsidRDefault="0002608C" w:rsidP="00107648">
            <w:pPr>
              <w:snapToGrid w:val="0"/>
              <w:spacing w:line="360" w:lineRule="auto"/>
              <w:jc w:val="center"/>
              <w:rPr>
                <w:rFonts w:asciiTheme="minorEastAsia" w:eastAsiaTheme="minorEastAsia" w:hAnsiTheme="minorEastAsia"/>
                <w:bCs/>
                <w:szCs w:val="21"/>
              </w:rPr>
            </w:pPr>
            <w:r w:rsidRPr="00501A61">
              <w:rPr>
                <w:rFonts w:asciiTheme="minorEastAsia" w:eastAsiaTheme="minorEastAsia" w:hAnsiTheme="minorEastAsia" w:hint="eastAsia"/>
                <w:bCs/>
                <w:szCs w:val="21"/>
              </w:rPr>
              <w:t>申购份数</w:t>
            </w:r>
          </w:p>
        </w:tc>
      </w:tr>
      <w:tr w:rsidR="00501A61" w:rsidRPr="00501A61" w:rsidTr="0002608C">
        <w:trPr>
          <w:jc w:val="center"/>
        </w:trPr>
        <w:tc>
          <w:tcPr>
            <w:tcW w:w="1581" w:type="dxa"/>
          </w:tcPr>
          <w:p w:rsidR="0002608C" w:rsidRPr="00501A61" w:rsidRDefault="0002608C"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10,000元</w:t>
            </w:r>
          </w:p>
        </w:tc>
        <w:tc>
          <w:tcPr>
            <w:tcW w:w="1134" w:type="dxa"/>
          </w:tcPr>
          <w:p w:rsidR="0002608C" w:rsidRPr="00501A61" w:rsidRDefault="0002608C" w:rsidP="00107648">
            <w:pPr>
              <w:snapToGrid w:val="0"/>
              <w:spacing w:line="360" w:lineRule="auto"/>
              <w:ind w:firstLine="420"/>
              <w:jc w:val="right"/>
              <w:rPr>
                <w:rFonts w:asciiTheme="minorEastAsia" w:eastAsiaTheme="minorEastAsia" w:hAnsiTheme="minorEastAsia"/>
                <w:szCs w:val="21"/>
              </w:rPr>
            </w:pPr>
            <w:r w:rsidRPr="00501A61">
              <w:rPr>
                <w:rFonts w:asciiTheme="minorEastAsia" w:eastAsiaTheme="minorEastAsia" w:hAnsiTheme="minorEastAsia" w:hint="eastAsia"/>
                <w:szCs w:val="21"/>
              </w:rPr>
              <w:t>1.5%</w:t>
            </w:r>
          </w:p>
        </w:tc>
        <w:tc>
          <w:tcPr>
            <w:tcW w:w="1357" w:type="dxa"/>
          </w:tcPr>
          <w:p w:rsidR="0002608C" w:rsidRPr="00501A61" w:rsidRDefault="0002608C" w:rsidP="00107648">
            <w:pPr>
              <w:snapToGrid w:val="0"/>
              <w:spacing w:line="360" w:lineRule="auto"/>
              <w:ind w:firstLineChars="95" w:firstLine="199"/>
              <w:jc w:val="right"/>
              <w:rPr>
                <w:rFonts w:asciiTheme="minorEastAsia" w:eastAsiaTheme="minorEastAsia" w:hAnsiTheme="minorEastAsia"/>
                <w:szCs w:val="21"/>
              </w:rPr>
            </w:pPr>
            <w:r w:rsidRPr="00501A61">
              <w:rPr>
                <w:rFonts w:asciiTheme="minorEastAsia" w:eastAsiaTheme="minorEastAsia" w:hAnsiTheme="minorEastAsia" w:hint="eastAsia"/>
              </w:rPr>
              <w:t>147.78元</w:t>
            </w:r>
          </w:p>
        </w:tc>
        <w:tc>
          <w:tcPr>
            <w:tcW w:w="1691" w:type="dxa"/>
          </w:tcPr>
          <w:p w:rsidR="0002608C" w:rsidRPr="00501A61" w:rsidRDefault="0002608C" w:rsidP="00107648">
            <w:pPr>
              <w:snapToGrid w:val="0"/>
              <w:spacing w:line="360" w:lineRule="auto"/>
              <w:ind w:leftChars="-62" w:left="-130" w:firstLine="420"/>
              <w:jc w:val="right"/>
              <w:rPr>
                <w:rFonts w:asciiTheme="minorEastAsia" w:eastAsiaTheme="minorEastAsia" w:hAnsiTheme="minorEastAsia"/>
                <w:szCs w:val="21"/>
              </w:rPr>
            </w:pPr>
            <w:r w:rsidRPr="00501A61">
              <w:rPr>
                <w:rFonts w:asciiTheme="minorEastAsia" w:eastAsiaTheme="minorEastAsia" w:hAnsiTheme="minorEastAsia" w:hint="eastAsia"/>
              </w:rPr>
              <w:t>9,852.22元</w:t>
            </w:r>
          </w:p>
        </w:tc>
        <w:tc>
          <w:tcPr>
            <w:tcW w:w="1590" w:type="dxa"/>
          </w:tcPr>
          <w:p w:rsidR="0002608C" w:rsidRPr="00501A61" w:rsidRDefault="0002608C" w:rsidP="00107648">
            <w:pPr>
              <w:snapToGrid w:val="0"/>
              <w:spacing w:line="360" w:lineRule="auto"/>
              <w:ind w:firstLine="420"/>
              <w:jc w:val="right"/>
              <w:rPr>
                <w:rFonts w:asciiTheme="minorEastAsia" w:eastAsiaTheme="minorEastAsia" w:hAnsiTheme="minorEastAsia"/>
                <w:szCs w:val="21"/>
              </w:rPr>
            </w:pPr>
            <w:r w:rsidRPr="00501A61">
              <w:rPr>
                <w:rFonts w:asciiTheme="minorEastAsia" w:eastAsiaTheme="minorEastAsia" w:hAnsiTheme="minorEastAsia" w:hint="eastAsia"/>
              </w:rPr>
              <w:t>1.0000元</w:t>
            </w:r>
          </w:p>
        </w:tc>
        <w:tc>
          <w:tcPr>
            <w:tcW w:w="1679" w:type="dxa"/>
          </w:tcPr>
          <w:p w:rsidR="0002608C" w:rsidRPr="00501A61" w:rsidRDefault="0002608C"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rPr>
              <w:t>9,852.22份</w:t>
            </w:r>
          </w:p>
        </w:tc>
      </w:tr>
      <w:tr w:rsidR="00501A61" w:rsidRPr="00501A61" w:rsidTr="0002608C">
        <w:trPr>
          <w:jc w:val="center"/>
        </w:trPr>
        <w:tc>
          <w:tcPr>
            <w:tcW w:w="1581" w:type="dxa"/>
          </w:tcPr>
          <w:p w:rsidR="0002608C" w:rsidRPr="00501A61" w:rsidRDefault="0002608C"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10,000,000元</w:t>
            </w:r>
          </w:p>
        </w:tc>
        <w:tc>
          <w:tcPr>
            <w:tcW w:w="1134" w:type="dxa"/>
          </w:tcPr>
          <w:p w:rsidR="0002608C" w:rsidRPr="00501A61" w:rsidRDefault="0002608C"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1000元</w:t>
            </w:r>
          </w:p>
        </w:tc>
        <w:tc>
          <w:tcPr>
            <w:tcW w:w="1357" w:type="dxa"/>
          </w:tcPr>
          <w:p w:rsidR="0002608C" w:rsidRPr="00501A61" w:rsidRDefault="0002608C"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1000元</w:t>
            </w:r>
          </w:p>
        </w:tc>
        <w:tc>
          <w:tcPr>
            <w:tcW w:w="1691" w:type="dxa"/>
          </w:tcPr>
          <w:p w:rsidR="0002608C" w:rsidRPr="00501A61" w:rsidRDefault="0002608C"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9,999,000元</w:t>
            </w:r>
          </w:p>
        </w:tc>
        <w:tc>
          <w:tcPr>
            <w:tcW w:w="1590" w:type="dxa"/>
          </w:tcPr>
          <w:p w:rsidR="0002608C" w:rsidRPr="00501A61" w:rsidRDefault="0002608C" w:rsidP="00107648">
            <w:pPr>
              <w:snapToGrid w:val="0"/>
              <w:spacing w:line="360" w:lineRule="auto"/>
              <w:ind w:firstLine="420"/>
              <w:jc w:val="right"/>
              <w:rPr>
                <w:rFonts w:asciiTheme="minorEastAsia" w:eastAsiaTheme="minorEastAsia" w:hAnsiTheme="minorEastAsia"/>
                <w:szCs w:val="21"/>
              </w:rPr>
            </w:pPr>
            <w:r w:rsidRPr="00501A61">
              <w:rPr>
                <w:rFonts w:asciiTheme="minorEastAsia" w:eastAsiaTheme="minorEastAsia" w:hAnsiTheme="minorEastAsia" w:hint="eastAsia"/>
                <w:szCs w:val="21"/>
              </w:rPr>
              <w:t>1.0000元</w:t>
            </w:r>
          </w:p>
        </w:tc>
        <w:tc>
          <w:tcPr>
            <w:tcW w:w="1679" w:type="dxa"/>
          </w:tcPr>
          <w:p w:rsidR="0002608C" w:rsidRPr="00501A61" w:rsidRDefault="0002608C"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9,999,000份</w:t>
            </w:r>
          </w:p>
        </w:tc>
      </w:tr>
    </w:tbl>
    <w:p w:rsidR="00694807" w:rsidRPr="00501A61" w:rsidRDefault="00694807"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例二：某投资者（特定投资群体）通过基金管理人的直销中心申购本基金：</w:t>
      </w:r>
    </w:p>
    <w:tbl>
      <w:tblPr>
        <w:tblW w:w="9030"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0"/>
        <w:gridCol w:w="1133"/>
        <w:gridCol w:w="1357"/>
        <w:gridCol w:w="1691"/>
        <w:gridCol w:w="1590"/>
        <w:gridCol w:w="1679"/>
      </w:tblGrid>
      <w:tr w:rsidR="00501A61" w:rsidRPr="00501A61" w:rsidTr="00694807">
        <w:trPr>
          <w:jc w:val="center"/>
        </w:trPr>
        <w:tc>
          <w:tcPr>
            <w:tcW w:w="1580"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center"/>
              <w:rPr>
                <w:rFonts w:asciiTheme="minorEastAsia" w:eastAsiaTheme="minorEastAsia" w:hAnsiTheme="minorEastAsia"/>
                <w:bCs/>
                <w:szCs w:val="21"/>
              </w:rPr>
            </w:pPr>
            <w:r w:rsidRPr="00501A61">
              <w:rPr>
                <w:rFonts w:asciiTheme="minorEastAsia" w:eastAsiaTheme="minorEastAsia" w:hAnsiTheme="minorEastAsia" w:hint="eastAsia"/>
                <w:bCs/>
                <w:szCs w:val="21"/>
              </w:rPr>
              <w:t>申购金额</w:t>
            </w:r>
          </w:p>
        </w:tc>
        <w:tc>
          <w:tcPr>
            <w:tcW w:w="1133"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center"/>
              <w:rPr>
                <w:rFonts w:asciiTheme="minorEastAsia" w:eastAsiaTheme="minorEastAsia" w:hAnsiTheme="minorEastAsia"/>
                <w:bCs/>
                <w:szCs w:val="21"/>
              </w:rPr>
            </w:pPr>
            <w:r w:rsidRPr="00501A61">
              <w:rPr>
                <w:rFonts w:asciiTheme="minorEastAsia" w:eastAsiaTheme="minorEastAsia" w:hAnsiTheme="minorEastAsia" w:hint="eastAsia"/>
                <w:bCs/>
                <w:szCs w:val="21"/>
              </w:rPr>
              <w:t>申购费率</w:t>
            </w:r>
          </w:p>
        </w:tc>
        <w:tc>
          <w:tcPr>
            <w:tcW w:w="1357"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center"/>
              <w:rPr>
                <w:rFonts w:asciiTheme="minorEastAsia" w:eastAsiaTheme="minorEastAsia" w:hAnsiTheme="minorEastAsia"/>
                <w:bCs/>
                <w:szCs w:val="21"/>
              </w:rPr>
            </w:pPr>
            <w:r w:rsidRPr="00501A61">
              <w:rPr>
                <w:rFonts w:asciiTheme="minorEastAsia" w:eastAsiaTheme="minorEastAsia" w:hAnsiTheme="minorEastAsia" w:hint="eastAsia"/>
                <w:bCs/>
                <w:szCs w:val="21"/>
              </w:rPr>
              <w:t>申购费用</w:t>
            </w:r>
          </w:p>
        </w:tc>
        <w:tc>
          <w:tcPr>
            <w:tcW w:w="1691"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center"/>
              <w:rPr>
                <w:rFonts w:asciiTheme="minorEastAsia" w:eastAsiaTheme="minorEastAsia" w:hAnsiTheme="minorEastAsia"/>
                <w:bCs/>
                <w:szCs w:val="21"/>
              </w:rPr>
            </w:pPr>
            <w:r w:rsidRPr="00501A61">
              <w:rPr>
                <w:rFonts w:asciiTheme="minorEastAsia" w:eastAsiaTheme="minorEastAsia" w:hAnsiTheme="minorEastAsia" w:hint="eastAsia"/>
                <w:bCs/>
                <w:szCs w:val="21"/>
              </w:rPr>
              <w:t>净申购金额</w:t>
            </w:r>
          </w:p>
        </w:tc>
        <w:tc>
          <w:tcPr>
            <w:tcW w:w="1590"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center"/>
              <w:rPr>
                <w:rFonts w:asciiTheme="minorEastAsia" w:eastAsiaTheme="minorEastAsia" w:hAnsiTheme="minorEastAsia"/>
                <w:bCs/>
                <w:szCs w:val="21"/>
              </w:rPr>
            </w:pPr>
            <w:r w:rsidRPr="00501A61">
              <w:rPr>
                <w:rFonts w:asciiTheme="minorEastAsia" w:eastAsiaTheme="minorEastAsia" w:hAnsiTheme="minorEastAsia" w:hint="eastAsia"/>
                <w:bCs/>
                <w:szCs w:val="21"/>
              </w:rPr>
              <w:t>基金份额净值</w:t>
            </w:r>
          </w:p>
        </w:tc>
        <w:tc>
          <w:tcPr>
            <w:tcW w:w="1679"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center"/>
              <w:rPr>
                <w:rFonts w:asciiTheme="minorEastAsia" w:eastAsiaTheme="minorEastAsia" w:hAnsiTheme="minorEastAsia"/>
                <w:bCs/>
                <w:szCs w:val="21"/>
              </w:rPr>
            </w:pPr>
            <w:r w:rsidRPr="00501A61">
              <w:rPr>
                <w:rFonts w:asciiTheme="minorEastAsia" w:eastAsiaTheme="minorEastAsia" w:hAnsiTheme="minorEastAsia" w:hint="eastAsia"/>
                <w:bCs/>
                <w:szCs w:val="21"/>
              </w:rPr>
              <w:t>申购份数</w:t>
            </w:r>
          </w:p>
        </w:tc>
      </w:tr>
      <w:tr w:rsidR="00501A61" w:rsidRPr="00501A61" w:rsidTr="00694807">
        <w:trPr>
          <w:jc w:val="center"/>
        </w:trPr>
        <w:tc>
          <w:tcPr>
            <w:tcW w:w="1580"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50,000元</w:t>
            </w:r>
          </w:p>
        </w:tc>
        <w:tc>
          <w:tcPr>
            <w:tcW w:w="1133"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0.15%</w:t>
            </w:r>
          </w:p>
        </w:tc>
        <w:tc>
          <w:tcPr>
            <w:tcW w:w="1357"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74.89元</w:t>
            </w:r>
          </w:p>
        </w:tc>
        <w:tc>
          <w:tcPr>
            <w:tcW w:w="1691"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49,925.11元</w:t>
            </w:r>
          </w:p>
        </w:tc>
        <w:tc>
          <w:tcPr>
            <w:tcW w:w="1590"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ind w:firstLine="420"/>
              <w:jc w:val="right"/>
              <w:rPr>
                <w:rFonts w:asciiTheme="minorEastAsia" w:eastAsiaTheme="minorEastAsia" w:hAnsiTheme="minorEastAsia"/>
                <w:szCs w:val="21"/>
              </w:rPr>
            </w:pPr>
            <w:r w:rsidRPr="00501A61">
              <w:rPr>
                <w:rFonts w:asciiTheme="minorEastAsia" w:eastAsiaTheme="minorEastAsia" w:hAnsiTheme="minorEastAsia" w:hint="eastAsia"/>
                <w:szCs w:val="21"/>
              </w:rPr>
              <w:t>1.0000元</w:t>
            </w:r>
          </w:p>
        </w:tc>
        <w:tc>
          <w:tcPr>
            <w:tcW w:w="1679"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49,925.11份</w:t>
            </w:r>
          </w:p>
        </w:tc>
      </w:tr>
      <w:tr w:rsidR="00501A61" w:rsidRPr="00501A61" w:rsidTr="00694807">
        <w:trPr>
          <w:jc w:val="center"/>
        </w:trPr>
        <w:tc>
          <w:tcPr>
            <w:tcW w:w="1580"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10,000,000元</w:t>
            </w:r>
          </w:p>
        </w:tc>
        <w:tc>
          <w:tcPr>
            <w:tcW w:w="1133"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1000元</w:t>
            </w:r>
          </w:p>
        </w:tc>
        <w:tc>
          <w:tcPr>
            <w:tcW w:w="1357"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1000元</w:t>
            </w:r>
          </w:p>
        </w:tc>
        <w:tc>
          <w:tcPr>
            <w:tcW w:w="1691"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9,999,000元</w:t>
            </w:r>
          </w:p>
        </w:tc>
        <w:tc>
          <w:tcPr>
            <w:tcW w:w="1590"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ind w:firstLine="420"/>
              <w:jc w:val="right"/>
              <w:rPr>
                <w:rFonts w:asciiTheme="minorEastAsia" w:eastAsiaTheme="minorEastAsia" w:hAnsiTheme="minorEastAsia"/>
                <w:szCs w:val="21"/>
              </w:rPr>
            </w:pPr>
            <w:r w:rsidRPr="00501A61">
              <w:rPr>
                <w:rFonts w:asciiTheme="minorEastAsia" w:eastAsiaTheme="minorEastAsia" w:hAnsiTheme="minorEastAsia" w:hint="eastAsia"/>
                <w:szCs w:val="21"/>
              </w:rPr>
              <w:t>1.0000元</w:t>
            </w:r>
          </w:p>
        </w:tc>
        <w:tc>
          <w:tcPr>
            <w:tcW w:w="1679" w:type="dxa"/>
            <w:tcBorders>
              <w:top w:val="thinThickLargeGap" w:sz="6" w:space="0" w:color="808080"/>
              <w:left w:val="thinThickLargeGap" w:sz="6" w:space="0" w:color="808080"/>
              <w:bottom w:val="thinThickLargeGap" w:sz="6" w:space="0" w:color="808080"/>
              <w:right w:val="thinThickLargeGap" w:sz="6" w:space="0" w:color="808080"/>
            </w:tcBorders>
          </w:tcPr>
          <w:p w:rsidR="00694807" w:rsidRPr="00501A61" w:rsidRDefault="0069480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9,999,000份</w:t>
            </w:r>
          </w:p>
        </w:tc>
      </w:tr>
    </w:tbl>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申购费用以人民币元为单位，四舍五入，保留至小数点后二位；申购份数保留至小数点后两位，小数点后两位以后的部分四舍五入，由此产生的误差计入基金财产</w:t>
      </w:r>
      <w:r w:rsidRPr="00501A61">
        <w:rPr>
          <w:rFonts w:asciiTheme="minorEastAsia" w:eastAsiaTheme="minorEastAsia" w:hAnsiTheme="minor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C15CD6"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基金赎回金额的计算</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本基金的赎回金额为赎回总额扣减赎回费用，其中：</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赎回总额=赎回数量</w:t>
      </w:r>
      <w:r w:rsidRPr="00501A61">
        <w:rPr>
          <w:rFonts w:asciiTheme="minorEastAsia" w:eastAsiaTheme="minorEastAsia" w:hAnsiTheme="minorEastAsia" w:hint="eastAsia"/>
          <w:szCs w:val="21"/>
        </w:rPr>
        <w:sym w:font="Symbol" w:char="F0B4"/>
      </w:r>
      <w:r w:rsidRPr="00501A61">
        <w:rPr>
          <w:rFonts w:asciiTheme="minorEastAsia" w:eastAsiaTheme="minorEastAsia" w:hAnsiTheme="minorEastAsia" w:hint="eastAsia"/>
          <w:szCs w:val="21"/>
        </w:rPr>
        <w:t>T日基金份额净值</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赎回费用=赎回总额</w:t>
      </w:r>
      <w:r w:rsidRPr="00501A61">
        <w:rPr>
          <w:rFonts w:asciiTheme="minorEastAsia" w:eastAsiaTheme="minorEastAsia" w:hAnsiTheme="minorEastAsia" w:hint="eastAsia"/>
          <w:szCs w:val="21"/>
        </w:rPr>
        <w:sym w:font="Symbol" w:char="F0B4"/>
      </w:r>
      <w:r w:rsidRPr="00501A61">
        <w:rPr>
          <w:rFonts w:asciiTheme="minorEastAsia" w:eastAsiaTheme="minorEastAsia" w:hAnsiTheme="minorEastAsia" w:hint="eastAsia"/>
          <w:szCs w:val="21"/>
        </w:rPr>
        <w:t>赎回费率</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赎回金额=赎回总额</w:t>
      </w:r>
      <w:r w:rsidRPr="00501A61">
        <w:rPr>
          <w:rFonts w:asciiTheme="minorEastAsia" w:eastAsiaTheme="minorEastAsia" w:hAnsiTheme="minorEastAsia" w:hint="eastAsia"/>
          <w:szCs w:val="21"/>
        </w:rPr>
        <w:sym w:font="Symbol" w:char="F02D"/>
      </w:r>
      <w:r w:rsidRPr="00501A61">
        <w:rPr>
          <w:rFonts w:asciiTheme="minorEastAsia" w:eastAsiaTheme="minorEastAsia" w:hAnsiTheme="minorEastAsia" w:hint="eastAsia"/>
          <w:szCs w:val="21"/>
        </w:rPr>
        <w:t>赎回费用</w:t>
      </w:r>
    </w:p>
    <w:p w:rsidR="0002608C" w:rsidRPr="00501A61" w:rsidRDefault="0002608C" w:rsidP="00107648">
      <w:pPr>
        <w:pStyle w:val="22"/>
        <w:snapToGrid w:val="0"/>
        <w:spacing w:before="0" w:beforeAutospacing="0" w:after="0" w:afterAutospacing="0"/>
        <w:ind w:firstLine="420"/>
        <w:rPr>
          <w:rFonts w:asciiTheme="minorEastAsia" w:eastAsiaTheme="minorEastAsia" w:hAnsiTheme="minorEastAsia"/>
          <w:szCs w:val="21"/>
        </w:rPr>
      </w:pPr>
      <w:r w:rsidRPr="00501A61">
        <w:rPr>
          <w:rFonts w:asciiTheme="minorEastAsia" w:eastAsiaTheme="minorEastAsia" w:hAnsiTheme="minorEastAsia" w:hint="eastAsia"/>
          <w:szCs w:val="21"/>
        </w:rPr>
        <w:t>举例说明：</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501A61" w:rsidRPr="00501A61" w:rsidTr="0002608C">
        <w:trPr>
          <w:jc w:val="center"/>
        </w:trPr>
        <w:tc>
          <w:tcPr>
            <w:tcW w:w="1243" w:type="dxa"/>
          </w:tcPr>
          <w:p w:rsidR="0002608C" w:rsidRPr="00501A61" w:rsidRDefault="0002608C" w:rsidP="00107648">
            <w:pPr>
              <w:snapToGrid w:val="0"/>
              <w:spacing w:line="360" w:lineRule="auto"/>
              <w:jc w:val="center"/>
              <w:rPr>
                <w:rFonts w:asciiTheme="minorEastAsia" w:eastAsiaTheme="minorEastAsia" w:hAnsiTheme="minorEastAsia"/>
                <w:szCs w:val="21"/>
              </w:rPr>
            </w:pPr>
            <w:r w:rsidRPr="00501A61">
              <w:rPr>
                <w:rFonts w:asciiTheme="minorEastAsia" w:eastAsiaTheme="minorEastAsia" w:hAnsiTheme="minorEastAsia"/>
                <w:szCs w:val="21"/>
              </w:rPr>
              <w:t>赎回份额</w:t>
            </w:r>
          </w:p>
        </w:tc>
        <w:tc>
          <w:tcPr>
            <w:tcW w:w="1650" w:type="dxa"/>
          </w:tcPr>
          <w:p w:rsidR="0002608C" w:rsidRPr="00501A61" w:rsidRDefault="0002608C" w:rsidP="00107648">
            <w:pPr>
              <w:snapToGrid w:val="0"/>
              <w:spacing w:line="360" w:lineRule="auto"/>
              <w:jc w:val="center"/>
              <w:rPr>
                <w:rFonts w:asciiTheme="minorEastAsia" w:eastAsiaTheme="minorEastAsia" w:hAnsiTheme="minorEastAsia"/>
                <w:szCs w:val="21"/>
              </w:rPr>
            </w:pPr>
            <w:r w:rsidRPr="00501A61">
              <w:rPr>
                <w:rFonts w:asciiTheme="minorEastAsia" w:eastAsiaTheme="minorEastAsia" w:hAnsiTheme="minorEastAsia"/>
                <w:szCs w:val="21"/>
              </w:rPr>
              <w:t>基金份额净值</w:t>
            </w:r>
          </w:p>
        </w:tc>
        <w:tc>
          <w:tcPr>
            <w:tcW w:w="1436" w:type="dxa"/>
          </w:tcPr>
          <w:p w:rsidR="0002608C" w:rsidRPr="00501A61" w:rsidRDefault="0002608C" w:rsidP="00107648">
            <w:pPr>
              <w:snapToGrid w:val="0"/>
              <w:spacing w:line="360" w:lineRule="auto"/>
              <w:jc w:val="center"/>
              <w:rPr>
                <w:rFonts w:asciiTheme="minorEastAsia" w:eastAsiaTheme="minorEastAsia" w:hAnsiTheme="minorEastAsia"/>
                <w:szCs w:val="21"/>
              </w:rPr>
            </w:pPr>
            <w:r w:rsidRPr="00501A61">
              <w:rPr>
                <w:rFonts w:asciiTheme="minorEastAsia" w:eastAsiaTheme="minorEastAsia" w:hAnsiTheme="minorEastAsia"/>
                <w:szCs w:val="21"/>
              </w:rPr>
              <w:t>持有时间</w:t>
            </w:r>
          </w:p>
        </w:tc>
        <w:tc>
          <w:tcPr>
            <w:tcW w:w="1437" w:type="dxa"/>
          </w:tcPr>
          <w:p w:rsidR="0002608C" w:rsidRPr="00501A61" w:rsidRDefault="0002608C" w:rsidP="00107648">
            <w:pPr>
              <w:snapToGrid w:val="0"/>
              <w:spacing w:line="360" w:lineRule="auto"/>
              <w:jc w:val="center"/>
              <w:rPr>
                <w:rFonts w:asciiTheme="minorEastAsia" w:eastAsiaTheme="minorEastAsia" w:hAnsiTheme="minorEastAsia"/>
                <w:szCs w:val="21"/>
              </w:rPr>
            </w:pPr>
            <w:r w:rsidRPr="00501A61">
              <w:rPr>
                <w:rFonts w:asciiTheme="minorEastAsia" w:eastAsiaTheme="minorEastAsia" w:hAnsiTheme="minorEastAsia"/>
                <w:szCs w:val="21"/>
              </w:rPr>
              <w:t>赎回费率</w:t>
            </w:r>
          </w:p>
        </w:tc>
        <w:tc>
          <w:tcPr>
            <w:tcW w:w="1409" w:type="dxa"/>
          </w:tcPr>
          <w:p w:rsidR="0002608C" w:rsidRPr="00501A61" w:rsidRDefault="0002608C" w:rsidP="00107648">
            <w:pPr>
              <w:snapToGrid w:val="0"/>
              <w:spacing w:line="360" w:lineRule="auto"/>
              <w:jc w:val="center"/>
              <w:rPr>
                <w:rFonts w:asciiTheme="minorEastAsia" w:eastAsiaTheme="minorEastAsia" w:hAnsiTheme="minorEastAsia"/>
                <w:szCs w:val="21"/>
              </w:rPr>
            </w:pPr>
            <w:r w:rsidRPr="00501A61">
              <w:rPr>
                <w:rFonts w:asciiTheme="minorEastAsia" w:eastAsiaTheme="minorEastAsia" w:hAnsiTheme="minorEastAsia"/>
                <w:szCs w:val="21"/>
              </w:rPr>
              <w:t>赎回费</w:t>
            </w:r>
            <w:r w:rsidRPr="00501A61">
              <w:rPr>
                <w:rFonts w:asciiTheme="minorEastAsia" w:eastAsiaTheme="minorEastAsia" w:hAnsiTheme="minorEastAsia" w:hint="eastAsia"/>
                <w:szCs w:val="21"/>
              </w:rPr>
              <w:t>用</w:t>
            </w:r>
          </w:p>
        </w:tc>
        <w:tc>
          <w:tcPr>
            <w:tcW w:w="1457" w:type="dxa"/>
          </w:tcPr>
          <w:p w:rsidR="0002608C" w:rsidRPr="00501A61" w:rsidRDefault="0002608C" w:rsidP="00107648">
            <w:pPr>
              <w:snapToGrid w:val="0"/>
              <w:spacing w:line="360" w:lineRule="auto"/>
              <w:jc w:val="center"/>
              <w:rPr>
                <w:rFonts w:asciiTheme="minorEastAsia" w:eastAsiaTheme="minorEastAsia" w:hAnsiTheme="minorEastAsia"/>
                <w:szCs w:val="21"/>
              </w:rPr>
            </w:pPr>
            <w:r w:rsidRPr="00501A61">
              <w:rPr>
                <w:rFonts w:asciiTheme="minorEastAsia" w:eastAsiaTheme="minorEastAsia" w:hAnsiTheme="minorEastAsia"/>
                <w:szCs w:val="21"/>
              </w:rPr>
              <w:t>赎回</w:t>
            </w:r>
            <w:r w:rsidRPr="00501A61">
              <w:rPr>
                <w:rFonts w:asciiTheme="minorEastAsia" w:eastAsiaTheme="minorEastAsia" w:hAnsiTheme="minorEastAsia" w:hint="eastAsia"/>
                <w:szCs w:val="21"/>
              </w:rPr>
              <w:t>金</w:t>
            </w:r>
            <w:r w:rsidRPr="00501A61">
              <w:rPr>
                <w:rFonts w:asciiTheme="minorEastAsia" w:eastAsiaTheme="minorEastAsia" w:hAnsiTheme="minorEastAsia"/>
                <w:szCs w:val="21"/>
              </w:rPr>
              <w:t>额</w:t>
            </w:r>
          </w:p>
        </w:tc>
      </w:tr>
      <w:tr w:rsidR="00501A61" w:rsidRPr="00501A61" w:rsidTr="0002608C">
        <w:trPr>
          <w:jc w:val="center"/>
        </w:trPr>
        <w:tc>
          <w:tcPr>
            <w:tcW w:w="1243" w:type="dxa"/>
          </w:tcPr>
          <w:p w:rsidR="0002608C" w:rsidRPr="00501A61" w:rsidRDefault="0002608C" w:rsidP="00107648">
            <w:pPr>
              <w:snapToGrid w:val="0"/>
              <w:spacing w:line="360" w:lineRule="auto"/>
              <w:rPr>
                <w:rFonts w:asciiTheme="minorEastAsia" w:eastAsiaTheme="minorEastAsia" w:hAnsiTheme="minorEastAsia"/>
                <w:szCs w:val="21"/>
              </w:rPr>
            </w:pPr>
            <w:r w:rsidRPr="00501A61">
              <w:rPr>
                <w:rFonts w:asciiTheme="minorEastAsia" w:eastAsiaTheme="minorEastAsia" w:hAnsiTheme="minorEastAsia"/>
                <w:szCs w:val="21"/>
              </w:rPr>
              <w:t>10,000</w:t>
            </w:r>
          </w:p>
        </w:tc>
        <w:tc>
          <w:tcPr>
            <w:tcW w:w="1650" w:type="dxa"/>
          </w:tcPr>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1.00</w:t>
            </w:r>
            <w:r w:rsidRPr="00501A61">
              <w:rPr>
                <w:rFonts w:asciiTheme="minorEastAsia" w:eastAsiaTheme="minorEastAsia" w:hAnsiTheme="minorEastAsia" w:hint="eastAsia"/>
                <w:szCs w:val="21"/>
              </w:rPr>
              <w:t>00</w:t>
            </w:r>
            <w:r w:rsidRPr="00501A61">
              <w:rPr>
                <w:rFonts w:asciiTheme="minorEastAsia" w:eastAsiaTheme="minorEastAsia" w:hAnsiTheme="minorEastAsia"/>
                <w:szCs w:val="21"/>
              </w:rPr>
              <w:t>元</w:t>
            </w:r>
          </w:p>
        </w:tc>
        <w:tc>
          <w:tcPr>
            <w:tcW w:w="1436" w:type="dxa"/>
          </w:tcPr>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100天</w:t>
            </w:r>
          </w:p>
        </w:tc>
        <w:tc>
          <w:tcPr>
            <w:tcW w:w="1437" w:type="dxa"/>
          </w:tcPr>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0.5%</w:t>
            </w:r>
          </w:p>
        </w:tc>
        <w:tc>
          <w:tcPr>
            <w:tcW w:w="1409" w:type="dxa"/>
          </w:tcPr>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50元</w:t>
            </w:r>
          </w:p>
        </w:tc>
        <w:tc>
          <w:tcPr>
            <w:tcW w:w="1457" w:type="dxa"/>
          </w:tcPr>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9,950元</w:t>
            </w:r>
          </w:p>
        </w:tc>
      </w:tr>
      <w:tr w:rsidR="00501A61" w:rsidRPr="00501A61" w:rsidTr="0002608C">
        <w:trPr>
          <w:jc w:val="center"/>
        </w:trPr>
        <w:tc>
          <w:tcPr>
            <w:tcW w:w="1243" w:type="dxa"/>
          </w:tcPr>
          <w:p w:rsidR="0002608C" w:rsidRPr="00501A61" w:rsidRDefault="0002608C" w:rsidP="00107648">
            <w:pPr>
              <w:snapToGrid w:val="0"/>
              <w:spacing w:line="360" w:lineRule="auto"/>
              <w:rPr>
                <w:rFonts w:asciiTheme="minorEastAsia" w:eastAsiaTheme="minorEastAsia" w:hAnsiTheme="minorEastAsia"/>
                <w:szCs w:val="21"/>
              </w:rPr>
            </w:pPr>
            <w:r w:rsidRPr="00501A61">
              <w:rPr>
                <w:rFonts w:asciiTheme="minorEastAsia" w:eastAsiaTheme="minorEastAsia" w:hAnsiTheme="minorEastAsia"/>
                <w:szCs w:val="21"/>
              </w:rPr>
              <w:t>10,000</w:t>
            </w:r>
          </w:p>
        </w:tc>
        <w:tc>
          <w:tcPr>
            <w:tcW w:w="1650" w:type="dxa"/>
          </w:tcPr>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1.00</w:t>
            </w:r>
            <w:r w:rsidRPr="00501A61">
              <w:rPr>
                <w:rFonts w:asciiTheme="minorEastAsia" w:eastAsiaTheme="minorEastAsia" w:hAnsiTheme="minorEastAsia" w:hint="eastAsia"/>
                <w:szCs w:val="21"/>
              </w:rPr>
              <w:t>00</w:t>
            </w:r>
            <w:r w:rsidRPr="00501A61">
              <w:rPr>
                <w:rFonts w:asciiTheme="minorEastAsia" w:eastAsiaTheme="minorEastAsia" w:hAnsiTheme="minorEastAsia"/>
                <w:szCs w:val="21"/>
              </w:rPr>
              <w:t>元</w:t>
            </w:r>
          </w:p>
        </w:tc>
        <w:tc>
          <w:tcPr>
            <w:tcW w:w="1436" w:type="dxa"/>
          </w:tcPr>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500天</w:t>
            </w:r>
          </w:p>
        </w:tc>
        <w:tc>
          <w:tcPr>
            <w:tcW w:w="1437" w:type="dxa"/>
          </w:tcPr>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0.</w:t>
            </w:r>
            <w:r w:rsidRPr="00501A61">
              <w:rPr>
                <w:rFonts w:asciiTheme="minorEastAsia" w:eastAsiaTheme="minorEastAsia" w:hAnsiTheme="minorEastAsia" w:hint="eastAsia"/>
                <w:szCs w:val="21"/>
              </w:rPr>
              <w:t>25</w:t>
            </w:r>
            <w:r w:rsidRPr="00501A61">
              <w:rPr>
                <w:rFonts w:asciiTheme="minorEastAsia" w:eastAsiaTheme="minorEastAsia" w:hAnsiTheme="minorEastAsia"/>
                <w:szCs w:val="21"/>
              </w:rPr>
              <w:t>%</w:t>
            </w:r>
          </w:p>
        </w:tc>
        <w:tc>
          <w:tcPr>
            <w:tcW w:w="1409" w:type="dxa"/>
          </w:tcPr>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25</w:t>
            </w:r>
            <w:r w:rsidRPr="00501A61">
              <w:rPr>
                <w:rFonts w:asciiTheme="minorEastAsia" w:eastAsiaTheme="minorEastAsia" w:hAnsiTheme="minorEastAsia"/>
                <w:szCs w:val="21"/>
              </w:rPr>
              <w:t>元</w:t>
            </w:r>
          </w:p>
        </w:tc>
        <w:tc>
          <w:tcPr>
            <w:tcW w:w="1457" w:type="dxa"/>
          </w:tcPr>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9,97</w:t>
            </w:r>
            <w:r w:rsidRPr="00501A61">
              <w:rPr>
                <w:rFonts w:asciiTheme="minorEastAsia" w:eastAsiaTheme="minorEastAsia" w:hAnsiTheme="minorEastAsia" w:hint="eastAsia"/>
                <w:szCs w:val="21"/>
              </w:rPr>
              <w:t>5</w:t>
            </w:r>
            <w:r w:rsidRPr="00501A61">
              <w:rPr>
                <w:rFonts w:asciiTheme="minorEastAsia" w:eastAsiaTheme="minorEastAsia" w:hAnsiTheme="minorEastAsia"/>
                <w:szCs w:val="21"/>
              </w:rPr>
              <w:t>元</w:t>
            </w:r>
          </w:p>
        </w:tc>
      </w:tr>
      <w:tr w:rsidR="00501A61" w:rsidRPr="00501A61" w:rsidTr="0002608C">
        <w:trPr>
          <w:jc w:val="center"/>
        </w:trPr>
        <w:tc>
          <w:tcPr>
            <w:tcW w:w="1243" w:type="dxa"/>
          </w:tcPr>
          <w:p w:rsidR="0002608C" w:rsidRPr="00501A61" w:rsidRDefault="0002608C" w:rsidP="00107648">
            <w:pPr>
              <w:snapToGrid w:val="0"/>
              <w:spacing w:line="360" w:lineRule="auto"/>
              <w:rPr>
                <w:rFonts w:asciiTheme="minorEastAsia" w:eastAsiaTheme="minorEastAsia" w:hAnsiTheme="minorEastAsia"/>
                <w:szCs w:val="21"/>
              </w:rPr>
            </w:pPr>
            <w:r w:rsidRPr="00501A61">
              <w:rPr>
                <w:rFonts w:asciiTheme="minorEastAsia" w:eastAsiaTheme="minorEastAsia" w:hAnsiTheme="minorEastAsia"/>
                <w:szCs w:val="21"/>
              </w:rPr>
              <w:t>10,000</w:t>
            </w:r>
          </w:p>
        </w:tc>
        <w:tc>
          <w:tcPr>
            <w:tcW w:w="1650" w:type="dxa"/>
          </w:tcPr>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1.00</w:t>
            </w:r>
            <w:r w:rsidRPr="00501A61">
              <w:rPr>
                <w:rFonts w:asciiTheme="minorEastAsia" w:eastAsiaTheme="minorEastAsia" w:hAnsiTheme="minorEastAsia" w:hint="eastAsia"/>
                <w:szCs w:val="21"/>
              </w:rPr>
              <w:t>00</w:t>
            </w:r>
            <w:r w:rsidRPr="00501A61">
              <w:rPr>
                <w:rFonts w:asciiTheme="minorEastAsia" w:eastAsiaTheme="minorEastAsia" w:hAnsiTheme="minorEastAsia"/>
                <w:szCs w:val="21"/>
              </w:rPr>
              <w:t>元</w:t>
            </w:r>
          </w:p>
        </w:tc>
        <w:tc>
          <w:tcPr>
            <w:tcW w:w="1436" w:type="dxa"/>
          </w:tcPr>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800天</w:t>
            </w:r>
          </w:p>
        </w:tc>
        <w:tc>
          <w:tcPr>
            <w:tcW w:w="1437" w:type="dxa"/>
          </w:tcPr>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0%</w:t>
            </w:r>
          </w:p>
        </w:tc>
        <w:tc>
          <w:tcPr>
            <w:tcW w:w="1409" w:type="dxa"/>
          </w:tcPr>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0</w:t>
            </w:r>
          </w:p>
        </w:tc>
        <w:tc>
          <w:tcPr>
            <w:tcW w:w="1457" w:type="dxa"/>
          </w:tcPr>
          <w:p w:rsidR="0002608C" w:rsidRPr="00501A61" w:rsidRDefault="0002608C" w:rsidP="00107648">
            <w:pPr>
              <w:snapToGrid w:val="0"/>
              <w:spacing w:line="360" w:lineRule="auto"/>
              <w:ind w:firstLineChars="100" w:firstLine="210"/>
              <w:rPr>
                <w:rFonts w:asciiTheme="minorEastAsia" w:eastAsiaTheme="minorEastAsia" w:hAnsiTheme="minorEastAsia"/>
                <w:szCs w:val="21"/>
              </w:rPr>
            </w:pPr>
            <w:r w:rsidRPr="00501A61">
              <w:rPr>
                <w:rFonts w:asciiTheme="minorEastAsia" w:eastAsiaTheme="minorEastAsia" w:hAnsiTheme="minorEastAsia"/>
                <w:szCs w:val="21"/>
              </w:rPr>
              <w:t>10,000元</w:t>
            </w:r>
          </w:p>
        </w:tc>
      </w:tr>
    </w:tbl>
    <w:p w:rsidR="0002608C" w:rsidRPr="00501A61" w:rsidRDefault="0002608C" w:rsidP="00107648">
      <w:pPr>
        <w:pStyle w:val="ac"/>
        <w:snapToGrid w:val="0"/>
        <w:spacing w:line="360" w:lineRule="auto"/>
        <w:ind w:firstLineChars="200"/>
        <w:rPr>
          <w:rFonts w:asciiTheme="minorEastAsia" w:eastAsiaTheme="minorEastAsia" w:hAnsiTheme="minorEastAsia"/>
          <w:b/>
          <w:szCs w:val="21"/>
        </w:rPr>
      </w:pPr>
      <w:r w:rsidRPr="00501A61">
        <w:rPr>
          <w:rFonts w:asciiTheme="minorEastAsia" w:eastAsiaTheme="minorEastAsia" w:hAnsiTheme="minorEastAsia" w:hint="eastAsia"/>
          <w:szCs w:val="21"/>
        </w:rPr>
        <w:t>赎回总额、赎回费以人民币元为单位，四舍五入，保留小数点后两位。</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00C15CD6"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T日的基金份额净值在当天收市后计算，并在T+1日内公告。遇特殊情况，可以适当延迟计算或公告。其计算公式为：</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基金份额净值=计算日基金资产净值÷计算日基金总份额</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w:t>
      </w:r>
      <w:r w:rsidR="00C15CD6"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本基金的申购费由申购人承担，不计入基金财产；本基金的赎回费由赎回人承担，赎回费的25%归入基金财产，余额为注册登记费和其他手续费。</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szCs w:val="21"/>
        </w:rPr>
      </w:pPr>
      <w:bookmarkStart w:id="37" w:name="_Toc45632209"/>
      <w:r w:rsidRPr="00501A61">
        <w:rPr>
          <w:rFonts w:asciiTheme="minorEastAsia" w:eastAsiaTheme="minorEastAsia" w:hAnsiTheme="minorEastAsia" w:hint="eastAsia"/>
          <w:b w:val="0"/>
        </w:rPr>
        <w:t>（九）申购、赎回的注册登记</w:t>
      </w:r>
      <w:bookmarkEnd w:id="37"/>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C15CD6"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投资者申购基金成功后，正常情况下，基金注册登记机构在T+1工作日为投资者增加权益并办理注册登记手续，投资者自T+2工作日起有权赎回该部分基金份额。</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C15CD6"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投资者赎回基金成功后，正常情况下，基金注册登记机构在T+1工作日为投资者扣除权益并办理相应的注册登记手续。</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基金管理人可在法律法规允许的范围内，对上述注册登记办理时间进行调整，并最迟于开始实施前二个工作日予以公告。</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38" w:name="_Toc45632210"/>
      <w:r w:rsidRPr="00501A61">
        <w:rPr>
          <w:rFonts w:asciiTheme="minorEastAsia" w:eastAsiaTheme="minorEastAsia" w:hAnsiTheme="minorEastAsia" w:hint="eastAsia"/>
          <w:b w:val="0"/>
        </w:rPr>
        <w:t>（十）巨额赎回的认定及处理方式</w:t>
      </w:r>
      <w:bookmarkEnd w:id="38"/>
    </w:p>
    <w:p w:rsidR="0002608C" w:rsidRPr="00501A61" w:rsidRDefault="0002608C" w:rsidP="00107648">
      <w:pPr>
        <w:adjustRightInd w:val="0"/>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巨额赎回的认定</w:t>
      </w:r>
    </w:p>
    <w:p w:rsidR="0002608C" w:rsidRPr="00501A61" w:rsidRDefault="0002608C" w:rsidP="00107648">
      <w:pPr>
        <w:adjustRightInd w:val="0"/>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本基金单个开放日，基金净赎回申请（赎回申请总数加上基金转换中转出申请份额总数后扣除申购申请总数及基金转换中转入申请份额总数后的余额）超过上一日基金总份额的</w:t>
      </w:r>
      <w:r w:rsidRPr="00501A61">
        <w:rPr>
          <w:rFonts w:asciiTheme="minorEastAsia" w:eastAsiaTheme="minorEastAsia" w:hAnsiTheme="minorEastAsia"/>
        </w:rPr>
        <w:t>10%</w:t>
      </w:r>
      <w:r w:rsidRPr="00501A61">
        <w:rPr>
          <w:rFonts w:asciiTheme="minorEastAsia" w:eastAsiaTheme="minorEastAsia" w:hAnsiTheme="minorEastAsia" w:hint="eastAsia"/>
        </w:rPr>
        <w:t>时，即认为发生了巨额赎回。</w:t>
      </w:r>
    </w:p>
    <w:p w:rsidR="0002608C" w:rsidRPr="00501A61" w:rsidRDefault="0002608C" w:rsidP="00107648">
      <w:pPr>
        <w:adjustRightInd w:val="0"/>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2</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巨额赎回的处理方式</w:t>
      </w:r>
    </w:p>
    <w:p w:rsidR="0002608C" w:rsidRPr="00501A61" w:rsidRDefault="0002608C" w:rsidP="00107648">
      <w:pPr>
        <w:adjustRightInd w:val="0"/>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当出现巨额赎回时，基金管理人可以根据该基金当时的资产组合状况决定全额赎回或部分顺延赎回。</w:t>
      </w:r>
    </w:p>
    <w:p w:rsidR="0002608C" w:rsidRPr="00501A61" w:rsidRDefault="0002608C" w:rsidP="00107648">
      <w:pPr>
        <w:adjustRightInd w:val="0"/>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w:t>
      </w:r>
      <w:r w:rsidRPr="00501A61">
        <w:rPr>
          <w:rFonts w:asciiTheme="minorEastAsia" w:eastAsiaTheme="minorEastAsia" w:hAnsiTheme="minorEastAsia"/>
        </w:rPr>
        <w:t>全额赎回：当基金管理人认为有能力支付投资者的赎回申请时，按正常赎回程序执行。</w:t>
      </w:r>
    </w:p>
    <w:p w:rsidR="0002608C" w:rsidRPr="00501A61" w:rsidRDefault="0002608C" w:rsidP="00107648">
      <w:pPr>
        <w:adjustRightInd w:val="0"/>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（2）</w:t>
      </w:r>
      <w:r w:rsidRPr="00501A61">
        <w:rPr>
          <w:rFonts w:asciiTheme="minorEastAsia" w:eastAsiaTheme="minorEastAsia" w:hAnsiTheme="minorEastAsia"/>
        </w:rPr>
        <w:t>部分顺延赎回：当基金管理人认为支付投资者的赎回申请有困难或认为支付投资者的赎回申请可能会对该基金的资产净值造成较大波动时</w:t>
      </w:r>
      <w:r w:rsidRPr="00501A61">
        <w:rPr>
          <w:rFonts w:asciiTheme="minorEastAsia" w:eastAsiaTheme="minorEastAsia" w:hAnsiTheme="minorEastAsia" w:hint="eastAsia"/>
        </w:rPr>
        <w:t>，</w:t>
      </w:r>
      <w:r w:rsidRPr="00501A61">
        <w:rPr>
          <w:rFonts w:asciiTheme="minorEastAsia" w:eastAsiaTheme="minorEastAsia" w:hAnsiTheme="minorEastAsia"/>
        </w:rPr>
        <w:t>基金管理人可在当日接受赎回比例不低于该基金总份额的10%的前提下</w:t>
      </w:r>
      <w:r w:rsidRPr="00501A61">
        <w:rPr>
          <w:rFonts w:asciiTheme="minorEastAsia" w:eastAsiaTheme="minorEastAsia" w:hAnsiTheme="minorEastAsia" w:hint="eastAsia"/>
        </w:rPr>
        <w:t>，</w:t>
      </w:r>
      <w:r w:rsidRPr="00501A61">
        <w:rPr>
          <w:rFonts w:asciiTheme="minorEastAsia" w:eastAsiaTheme="minorEastAsia" w:hAnsiTheme="minorEastAsia"/>
        </w:rPr>
        <w:t>对其余赎回申请延期办理。对于当日的赎回申请</w:t>
      </w:r>
      <w:r w:rsidRPr="00501A61">
        <w:rPr>
          <w:rFonts w:asciiTheme="minorEastAsia" w:eastAsiaTheme="minorEastAsia" w:hAnsiTheme="minorEastAsia" w:hint="eastAsia"/>
        </w:rPr>
        <w:t>，</w:t>
      </w:r>
      <w:r w:rsidRPr="00501A61">
        <w:rPr>
          <w:rFonts w:asciiTheme="minorEastAsia" w:eastAsiaTheme="minorEastAsia" w:hAnsiTheme="minorEastAsia"/>
        </w:rPr>
        <w:t>应当按单个帐户赎回申请量占赎回申请总量的比例</w:t>
      </w:r>
      <w:r w:rsidRPr="00501A61">
        <w:rPr>
          <w:rFonts w:asciiTheme="minorEastAsia" w:eastAsiaTheme="minorEastAsia" w:hAnsiTheme="minorEastAsia" w:hint="eastAsia"/>
        </w:rPr>
        <w:t>，</w:t>
      </w:r>
      <w:r w:rsidRPr="00501A61">
        <w:rPr>
          <w:rFonts w:asciiTheme="minorEastAsia" w:eastAsiaTheme="minorEastAsia" w:hAnsiTheme="minorEastAsia"/>
        </w:rPr>
        <w:t>确定其当日受理的赎回份额；投资者的</w:t>
      </w:r>
      <w:r w:rsidRPr="00501A61">
        <w:rPr>
          <w:rFonts w:asciiTheme="minorEastAsia" w:eastAsiaTheme="minorEastAsia" w:hAnsiTheme="minorEastAsia"/>
        </w:rPr>
        <w:lastRenderedPageBreak/>
        <w:t>赎回申请未能受理部分</w:t>
      </w:r>
      <w:r w:rsidRPr="00501A61">
        <w:rPr>
          <w:rFonts w:asciiTheme="minorEastAsia" w:eastAsiaTheme="minorEastAsia" w:hAnsiTheme="minorEastAsia" w:hint="eastAsia"/>
        </w:rPr>
        <w:t>，</w:t>
      </w:r>
      <w:r w:rsidRPr="00501A61">
        <w:rPr>
          <w:rFonts w:asciiTheme="minorEastAsia" w:eastAsiaTheme="minorEastAsia" w:hAnsiTheme="minorEastAsia"/>
        </w:rPr>
        <w:t>除投资者在提交赎回申请时明确作出不参加顺延下一个开放日赎回的表示外</w:t>
      </w:r>
      <w:r w:rsidRPr="00501A61">
        <w:rPr>
          <w:rFonts w:asciiTheme="minorEastAsia" w:eastAsiaTheme="minorEastAsia" w:hAnsiTheme="minorEastAsia" w:hint="eastAsia"/>
        </w:rPr>
        <w:t>，</w:t>
      </w:r>
      <w:r w:rsidRPr="00501A61">
        <w:rPr>
          <w:rFonts w:asciiTheme="minorEastAsia" w:eastAsiaTheme="minorEastAsia" w:hAnsiTheme="minorEastAsia"/>
        </w:rPr>
        <w:t>将自动顺延至下一个开放日赎回处理。转入下一个开放日的赎回不享有赎回优先权并将以下一个开放日的基金单位净值为准进行计算</w:t>
      </w:r>
      <w:r w:rsidRPr="00501A61">
        <w:rPr>
          <w:rFonts w:asciiTheme="minorEastAsia" w:eastAsiaTheme="minorEastAsia" w:hAnsiTheme="minorEastAsia" w:hint="eastAsia"/>
        </w:rPr>
        <w:t>，</w:t>
      </w:r>
      <w:r w:rsidRPr="00501A61">
        <w:rPr>
          <w:rFonts w:asciiTheme="minorEastAsia" w:eastAsiaTheme="minorEastAsia" w:hAnsiTheme="minorEastAsia"/>
        </w:rPr>
        <w:t>以此类推</w:t>
      </w:r>
      <w:r w:rsidRPr="00501A61">
        <w:rPr>
          <w:rFonts w:asciiTheme="minorEastAsia" w:eastAsiaTheme="minorEastAsia" w:hAnsiTheme="minorEastAsia" w:hint="eastAsia"/>
        </w:rPr>
        <w:t>，</w:t>
      </w:r>
      <w:r w:rsidRPr="00501A61">
        <w:rPr>
          <w:rFonts w:asciiTheme="minorEastAsia" w:eastAsiaTheme="minorEastAsia" w:hAnsiTheme="minorEastAsia"/>
        </w:rPr>
        <w:t>直到其赎回申请全部得到满足为止。投资者在提出赎回申请时也可选择将当日未获受理部分予以撤销。</w:t>
      </w:r>
    </w:p>
    <w:p w:rsidR="002112A0" w:rsidRPr="00501A61" w:rsidRDefault="002112A0" w:rsidP="00107648">
      <w:pPr>
        <w:adjustRightInd w:val="0"/>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02608C" w:rsidRPr="00501A61" w:rsidRDefault="0002608C" w:rsidP="00107648">
      <w:pPr>
        <w:adjustRightInd w:val="0"/>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rPr>
        <w:t>（</w:t>
      </w:r>
      <w:r w:rsidRPr="00501A61">
        <w:rPr>
          <w:rFonts w:asciiTheme="minorEastAsia" w:eastAsiaTheme="minorEastAsia" w:hAnsiTheme="minorEastAsia" w:hint="eastAsia"/>
        </w:rPr>
        <w:t>3</w:t>
      </w:r>
      <w:r w:rsidRPr="00501A61">
        <w:rPr>
          <w:rFonts w:asciiTheme="minorEastAsia" w:eastAsiaTheme="minorEastAsia" w:hAnsiTheme="minorEastAsia"/>
        </w:rPr>
        <w:t>）</w:t>
      </w:r>
      <w:r w:rsidR="00DE5F25" w:rsidRPr="00501A61">
        <w:rPr>
          <w:rFonts w:asciiTheme="minorEastAsia" w:eastAsiaTheme="minorEastAsia" w:hAnsiTheme="minorEastAsia" w:hint="eastAsia"/>
        </w:rPr>
        <w:t>当发生上述巨额赎回并延期办理时，基金管理人应当通过邮寄、传真或者招募说明书规定的其他方式在3个交易日内通知基金份额持有人，说明有关处理方法，并在2日内在指定媒介上刊登公告。</w:t>
      </w:r>
    </w:p>
    <w:p w:rsidR="0002608C" w:rsidRPr="00501A61" w:rsidRDefault="0002608C" w:rsidP="00107648">
      <w:pPr>
        <w:adjustRightInd w:val="0"/>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（4）</w:t>
      </w:r>
      <w:r w:rsidRPr="00501A61">
        <w:rPr>
          <w:rFonts w:asciiTheme="minorEastAsia" w:eastAsiaTheme="minorEastAsia" w:hAnsiTheme="minorEastAsia"/>
        </w:rPr>
        <w:t>本基金连续两日以上(含本数)发生巨额赎回时</w:t>
      </w:r>
      <w:r w:rsidRPr="00501A61">
        <w:rPr>
          <w:rFonts w:asciiTheme="minorEastAsia" w:eastAsiaTheme="minorEastAsia" w:hAnsiTheme="minorEastAsia" w:hint="eastAsia"/>
        </w:rPr>
        <w:t>，</w:t>
      </w:r>
      <w:r w:rsidRPr="00501A61">
        <w:rPr>
          <w:rFonts w:asciiTheme="minorEastAsia" w:eastAsiaTheme="minorEastAsia" w:hAnsiTheme="minorEastAsia"/>
        </w:rPr>
        <w:t>如基金管理人认为有必要</w:t>
      </w:r>
      <w:r w:rsidRPr="00501A61">
        <w:rPr>
          <w:rFonts w:asciiTheme="minorEastAsia" w:eastAsiaTheme="minorEastAsia" w:hAnsiTheme="minorEastAsia" w:hint="eastAsia"/>
        </w:rPr>
        <w:t>，</w:t>
      </w:r>
      <w:r w:rsidRPr="00501A61">
        <w:rPr>
          <w:rFonts w:asciiTheme="minorEastAsia" w:eastAsiaTheme="minorEastAsia" w:hAnsiTheme="minorEastAsia"/>
        </w:rPr>
        <w:t>可暂停接受赎回和转出申请；已经接受的赎回申请可以延缓支付赎回款项</w:t>
      </w:r>
      <w:r w:rsidRPr="00501A61">
        <w:rPr>
          <w:rFonts w:asciiTheme="minorEastAsia" w:eastAsiaTheme="minorEastAsia" w:hAnsiTheme="minorEastAsia" w:hint="eastAsia"/>
        </w:rPr>
        <w:t>，</w:t>
      </w:r>
      <w:r w:rsidRPr="00501A61">
        <w:rPr>
          <w:rFonts w:asciiTheme="minorEastAsia" w:eastAsiaTheme="minorEastAsia" w:hAnsiTheme="minorEastAsia"/>
        </w:rPr>
        <w:t>但不得超过正常支付时间20个工作日</w:t>
      </w:r>
      <w:r w:rsidRPr="00501A61">
        <w:rPr>
          <w:rFonts w:asciiTheme="minorEastAsia" w:eastAsiaTheme="minorEastAsia" w:hAnsiTheme="minorEastAsia" w:hint="eastAsia"/>
        </w:rPr>
        <w:t>，并应当在</w:t>
      </w:r>
      <w:r w:rsidR="00DE5F25" w:rsidRPr="00501A61">
        <w:rPr>
          <w:rFonts w:asciiTheme="minorEastAsia" w:eastAsiaTheme="minorEastAsia" w:hAnsiTheme="minorEastAsia" w:hint="eastAsia"/>
        </w:rPr>
        <w:t>指定媒介</w:t>
      </w:r>
      <w:r w:rsidRPr="00501A61">
        <w:rPr>
          <w:rFonts w:asciiTheme="minorEastAsia" w:eastAsiaTheme="minorEastAsia" w:hAnsiTheme="minorEastAsia" w:hint="eastAsia"/>
        </w:rPr>
        <w:t>上公告。</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39" w:name="_Toc45632211"/>
      <w:r w:rsidRPr="00501A61">
        <w:rPr>
          <w:rFonts w:asciiTheme="minorEastAsia" w:eastAsiaTheme="minorEastAsia" w:hAnsiTheme="minorEastAsia" w:hint="eastAsia"/>
          <w:b w:val="0"/>
        </w:rPr>
        <w:t>（十一）拒绝或暂停申购、赎回的情形及处理方式</w:t>
      </w:r>
      <w:bookmarkEnd w:id="39"/>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除出现如下情形，基金管理人不得拒绝或暂停接受基金投资者的申购申请：</w:t>
      </w:r>
    </w:p>
    <w:p w:rsidR="0002608C" w:rsidRPr="00501A61" w:rsidRDefault="0002608C" w:rsidP="00107648">
      <w:pPr>
        <w:snapToGrid w:val="0"/>
        <w:spacing w:line="360" w:lineRule="auto"/>
        <w:ind w:leftChars="200" w:left="420"/>
        <w:rPr>
          <w:rFonts w:asciiTheme="minorEastAsia" w:eastAsiaTheme="minorEastAsia" w:hAnsiTheme="minorEastAsia"/>
        </w:rPr>
      </w:pPr>
      <w:r w:rsidRPr="00501A61">
        <w:rPr>
          <w:rFonts w:asciiTheme="minorEastAsia" w:eastAsiaTheme="minorEastAsia" w:hAnsiTheme="minorEastAsia"/>
        </w:rPr>
        <w:t>（1）不可抗力的原因导致基金无法正常运作；</w:t>
      </w:r>
    </w:p>
    <w:p w:rsidR="0002608C" w:rsidRPr="00501A61" w:rsidRDefault="0002608C" w:rsidP="00107648">
      <w:pPr>
        <w:snapToGrid w:val="0"/>
        <w:spacing w:line="360" w:lineRule="auto"/>
        <w:ind w:leftChars="200" w:left="420"/>
        <w:rPr>
          <w:rFonts w:asciiTheme="minorEastAsia" w:eastAsiaTheme="minorEastAsia" w:hAnsiTheme="minorEastAsia"/>
        </w:rPr>
      </w:pPr>
      <w:r w:rsidRPr="00501A61">
        <w:rPr>
          <w:rFonts w:asciiTheme="minorEastAsia" w:eastAsiaTheme="minorEastAsia" w:hAnsiTheme="minorEastAsia" w:hint="eastAsia"/>
        </w:rPr>
        <w:t>（2）证券交易场所在交易时间非正常停市，导致当日基金资产净值无法计算；</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（3）</w:t>
      </w:r>
      <w:r w:rsidRPr="00501A61">
        <w:rPr>
          <w:rFonts w:asciiTheme="minorEastAsia" w:eastAsiaTheme="minorEastAsia" w:hAnsiTheme="minorEastAsia"/>
        </w:rPr>
        <w:t>基金资产规模过大，使基金管理人无法找到合适的投资品种，或可能对基金业绩产生负面影响，从而损害现有基金份额持有人的利益；</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（4）基金管理人认为会有损于现有基金份额持有人利益的某笔申购；</w:t>
      </w:r>
    </w:p>
    <w:p w:rsidR="00E56C3D" w:rsidRPr="00501A61" w:rsidRDefault="00E56C3D" w:rsidP="00E56C3D">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（5）基金管理人接受某笔或者某些申购申请有可能导致单一投资者持有基金份额的比例达到或者超过50%，或者变相规避50%集中度的情形时。</w:t>
      </w:r>
    </w:p>
    <w:p w:rsidR="00E56C3D" w:rsidRPr="00501A61" w:rsidRDefault="00E56C3D" w:rsidP="00E56C3D">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6）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E56C3D" w:rsidRPr="00501A61" w:rsidRDefault="00E56C3D" w:rsidP="00E56C3D">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7）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02608C" w:rsidRPr="00501A61" w:rsidRDefault="00B32E44"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（8）法律法规规定或中国证监会认定的其他可暂停申购的情形</w:t>
      </w:r>
      <w:r w:rsidR="0002608C" w:rsidRPr="00501A61">
        <w:rPr>
          <w:rFonts w:asciiTheme="minorEastAsia" w:eastAsiaTheme="minorEastAsia" w:hAnsiTheme="minorEastAsia" w:hint="eastAsia"/>
        </w:rPr>
        <w:t>。</w:t>
      </w:r>
    </w:p>
    <w:p w:rsidR="0002608C" w:rsidRPr="00501A61" w:rsidRDefault="00B32E44"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发生上述情形之一且基金管理人决定暂停或拒绝基金投资者的申购申请的，申购款项将全额退还投资者。</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基金管理人拒绝或暂停接受申购的方式包括：</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（1）拒绝接受、暂停接受某笔或某数笔申购申请；</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lastRenderedPageBreak/>
        <w:t>（2）拒绝接受、暂停接受某个或某数个工作日的全部申购申请；</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（3）按比例拒绝接受、暂停接受某个或某数个工作日的申购申请。</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2</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除下列情形外，基金管理人不得拒绝接受或暂停接受投资者的赎回申请：</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w:t>
      </w:r>
      <w:r w:rsidRPr="00501A61">
        <w:rPr>
          <w:rFonts w:asciiTheme="minorEastAsia" w:eastAsiaTheme="minorEastAsia" w:hAnsiTheme="minorEastAsia"/>
        </w:rPr>
        <w:t>不可抗力的原因导致基金无法正常运作；</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（2）</w:t>
      </w:r>
      <w:r w:rsidRPr="00501A61">
        <w:rPr>
          <w:rFonts w:asciiTheme="minorEastAsia" w:eastAsiaTheme="minorEastAsia" w:hAnsiTheme="minorEastAsia"/>
        </w:rPr>
        <w:t>证券交易场所交易时间非正常停市；</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w:t>
      </w:r>
      <w:r w:rsidRPr="00501A61">
        <w:rPr>
          <w:rFonts w:asciiTheme="minorEastAsia" w:eastAsiaTheme="minorEastAsia" w:hAnsiTheme="minorEastAsia"/>
        </w:rPr>
        <w:t>3）因市场剧烈波动或其它原因而出现连续巨额赎回，导致本基金的现金支付出现困难；</w:t>
      </w:r>
    </w:p>
    <w:p w:rsidR="00E56C3D"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rPr>
        <w:t>（</w:t>
      </w:r>
      <w:r w:rsidRPr="00501A61">
        <w:rPr>
          <w:rFonts w:asciiTheme="minorEastAsia" w:eastAsiaTheme="minorEastAsia" w:hAnsiTheme="minorEastAsia" w:hint="eastAsia"/>
        </w:rPr>
        <w:t>4</w:t>
      </w:r>
      <w:r w:rsidRPr="00501A61">
        <w:rPr>
          <w:rFonts w:asciiTheme="minorEastAsia" w:eastAsiaTheme="minorEastAsia" w:hAnsiTheme="minorEastAsia"/>
        </w:rPr>
        <w:t>）</w:t>
      </w:r>
      <w:r w:rsidR="00E56C3D" w:rsidRPr="00501A61">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02608C" w:rsidRPr="00501A61" w:rsidRDefault="00E56C3D"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（5</w:t>
      </w:r>
      <w:r w:rsidRPr="00501A61">
        <w:rPr>
          <w:rFonts w:asciiTheme="minorEastAsia" w:eastAsiaTheme="minorEastAsia" w:hAnsiTheme="minorEastAsia"/>
        </w:rPr>
        <w:t>）</w:t>
      </w:r>
      <w:r w:rsidR="0002608C" w:rsidRPr="00501A61">
        <w:rPr>
          <w:rFonts w:asciiTheme="minorEastAsia" w:eastAsiaTheme="minorEastAsia" w:hAnsiTheme="minorEastAsia"/>
        </w:rPr>
        <w:t>法律、法规规定或中国证监会认定的其它情形。</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发生上述情形之一的，基金管理人应立即向中国证监会备案。已接受的赎回申请，基金管理人将足额支付；如暂时不能支付时，将按每个赎回申请人已被接受的赎回申请量占已接受赎回申请总量的比例分配给赎回申请人，其余部分</w:t>
      </w:r>
      <w:r w:rsidRPr="00501A61">
        <w:rPr>
          <w:rFonts w:asciiTheme="minorEastAsia" w:eastAsiaTheme="minorEastAsia" w:hAnsiTheme="minorEastAsia"/>
        </w:rPr>
        <w:t>由基金管理人按照相应的处理办法在后续开放日予以</w:t>
      </w:r>
      <w:r w:rsidRPr="00501A61">
        <w:rPr>
          <w:rFonts w:asciiTheme="minorEastAsia" w:eastAsiaTheme="minorEastAsia" w:hAnsiTheme="minorEastAsia" w:hint="eastAsia"/>
        </w:rPr>
        <w:t>兑</w:t>
      </w:r>
      <w:r w:rsidRPr="00501A61">
        <w:rPr>
          <w:rFonts w:asciiTheme="minorEastAsia" w:eastAsiaTheme="minorEastAsia" w:hAnsiTheme="minorEastAsia"/>
        </w:rPr>
        <w:t>付</w:t>
      </w:r>
      <w:r w:rsidRPr="00501A61">
        <w:rPr>
          <w:rFonts w:asciiTheme="minorEastAsia" w:eastAsiaTheme="minorEastAsia" w:hAnsiTheme="minorEastAsia" w:hint="eastAsia"/>
        </w:rPr>
        <w:t>。</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00C15CD6"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基金暂停申购、赎回，基金管理人</w:t>
      </w:r>
      <w:r w:rsidRPr="00501A61">
        <w:rPr>
          <w:rFonts w:asciiTheme="minorEastAsia" w:eastAsiaTheme="minorEastAsia" w:hAnsiTheme="minorEastAsia" w:hint="eastAsia"/>
          <w:szCs w:val="21"/>
        </w:rPr>
        <w:t>应立即</w:t>
      </w:r>
      <w:r w:rsidRPr="00501A61">
        <w:rPr>
          <w:rFonts w:asciiTheme="minorEastAsia" w:eastAsiaTheme="minorEastAsia" w:hAnsiTheme="minorEastAsia"/>
          <w:szCs w:val="21"/>
        </w:rPr>
        <w:t>在</w:t>
      </w:r>
      <w:r w:rsidR="008E5383" w:rsidRPr="00501A61">
        <w:rPr>
          <w:rFonts w:asciiTheme="minorEastAsia" w:eastAsiaTheme="minorEastAsia" w:hAnsiTheme="minorEastAsia" w:hint="eastAsia"/>
          <w:szCs w:val="21"/>
        </w:rPr>
        <w:t>指定媒介</w:t>
      </w:r>
      <w:r w:rsidRPr="00501A61">
        <w:rPr>
          <w:rFonts w:asciiTheme="minorEastAsia" w:eastAsiaTheme="minorEastAsia" w:hAnsiTheme="minorEastAsia" w:hint="eastAsia"/>
          <w:szCs w:val="21"/>
        </w:rPr>
        <w:t>上</w:t>
      </w:r>
      <w:r w:rsidRPr="00501A61">
        <w:rPr>
          <w:rFonts w:asciiTheme="minorEastAsia" w:eastAsiaTheme="minorEastAsia" w:hAnsiTheme="minorEastAsia"/>
          <w:szCs w:val="21"/>
        </w:rPr>
        <w:t>公告。</w:t>
      </w:r>
      <w:r w:rsidRPr="00501A61">
        <w:rPr>
          <w:rFonts w:asciiTheme="minorEastAsia" w:eastAsiaTheme="minorEastAsia" w:hAnsiTheme="minorEastAsia" w:hint="eastAsia"/>
          <w:szCs w:val="21"/>
        </w:rPr>
        <w:t>暂停期间结束基金重新开放时，基金管理人应当公告最新的基金份额净值。</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如果发生暂停的时间为</w:t>
      </w:r>
      <w:r w:rsidRPr="00501A61">
        <w:rPr>
          <w:rFonts w:asciiTheme="minorEastAsia" w:eastAsiaTheme="minorEastAsia" w:hAnsiTheme="minorEastAsia"/>
          <w:szCs w:val="21"/>
        </w:rPr>
        <w:t>1</w:t>
      </w:r>
      <w:r w:rsidRPr="00501A61">
        <w:rPr>
          <w:rFonts w:asciiTheme="minorEastAsia" w:eastAsiaTheme="minorEastAsia" w:hAnsiTheme="minorEastAsia" w:hint="eastAsia"/>
          <w:szCs w:val="21"/>
        </w:rPr>
        <w:t>天，基金管理人应于重新开放日在</w:t>
      </w:r>
      <w:r w:rsidR="008E5383" w:rsidRPr="00501A61">
        <w:rPr>
          <w:rFonts w:asciiTheme="minorEastAsia" w:eastAsiaTheme="minorEastAsia" w:hAnsiTheme="minorEastAsia" w:hint="eastAsia"/>
          <w:szCs w:val="21"/>
        </w:rPr>
        <w:t>指定媒介</w:t>
      </w:r>
      <w:r w:rsidRPr="00501A61">
        <w:rPr>
          <w:rFonts w:asciiTheme="minorEastAsia" w:eastAsiaTheme="minorEastAsia" w:hAnsiTheme="minorEastAsia" w:hint="eastAsia"/>
          <w:szCs w:val="21"/>
        </w:rPr>
        <w:t>刊登基金重新开放申购或赎回的公告并公告最新的基金份额净值。</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如果发生暂停的时间超过</w:t>
      </w:r>
      <w:r w:rsidRPr="00501A61">
        <w:rPr>
          <w:rFonts w:asciiTheme="minorEastAsia" w:eastAsiaTheme="minorEastAsia" w:hAnsiTheme="minorEastAsia"/>
          <w:szCs w:val="21"/>
        </w:rPr>
        <w:t>1</w:t>
      </w:r>
      <w:r w:rsidRPr="00501A61">
        <w:rPr>
          <w:rFonts w:asciiTheme="minorEastAsia" w:eastAsiaTheme="minorEastAsia" w:hAnsiTheme="minorEastAsia" w:hint="eastAsia"/>
          <w:szCs w:val="21"/>
        </w:rPr>
        <w:t>天但少于两周，暂停结束基金重新开放申购或赎回时，基金管理人应提前</w:t>
      </w:r>
      <w:r w:rsidRPr="00501A61">
        <w:rPr>
          <w:rFonts w:asciiTheme="minorEastAsia" w:eastAsiaTheme="minorEastAsia" w:hAnsiTheme="minorEastAsia"/>
          <w:szCs w:val="21"/>
        </w:rPr>
        <w:t>1</w:t>
      </w:r>
      <w:r w:rsidRPr="00501A61">
        <w:rPr>
          <w:rFonts w:asciiTheme="minorEastAsia" w:eastAsiaTheme="minorEastAsia" w:hAnsiTheme="minorEastAsia" w:hint="eastAsia"/>
          <w:szCs w:val="21"/>
        </w:rPr>
        <w:t>个工作日在</w:t>
      </w:r>
      <w:r w:rsidR="008E5383" w:rsidRPr="00501A61">
        <w:rPr>
          <w:rFonts w:asciiTheme="minorEastAsia" w:eastAsiaTheme="minorEastAsia" w:hAnsiTheme="minorEastAsia" w:hint="eastAsia"/>
          <w:szCs w:val="21"/>
        </w:rPr>
        <w:t>指定媒介</w:t>
      </w:r>
      <w:r w:rsidRPr="00501A61">
        <w:rPr>
          <w:rFonts w:asciiTheme="minorEastAsia" w:eastAsiaTheme="minorEastAsia" w:hAnsiTheme="minorEastAsia" w:hint="eastAsia"/>
          <w:szCs w:val="21"/>
        </w:rPr>
        <w:t>刊登基金重新开放申购或赎回的公告，并在重新开放申购或赎回日公告最新的基金份额净值。</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如果发生暂停的时间超过两周，暂停期间，基金管理人应每两周至少重复刊登暂停公告一次；当连续暂停时间超过两个月时，可对重复刊登暂停公告的频率进行调整。暂停结束基金重新开放申购或赎回时，基金管理人应提前2个工作日在</w:t>
      </w:r>
      <w:r w:rsidR="00DE5F25" w:rsidRPr="00501A61">
        <w:rPr>
          <w:rFonts w:asciiTheme="minorEastAsia" w:eastAsiaTheme="minorEastAsia" w:hAnsiTheme="minorEastAsia" w:hint="eastAsia"/>
          <w:szCs w:val="21"/>
        </w:rPr>
        <w:t>指定媒介</w:t>
      </w:r>
      <w:r w:rsidRPr="00501A61">
        <w:rPr>
          <w:rFonts w:asciiTheme="minorEastAsia" w:eastAsiaTheme="minorEastAsia" w:hAnsiTheme="minorEastAsia" w:hint="eastAsia"/>
          <w:szCs w:val="21"/>
        </w:rPr>
        <w:t>连续刊登基金重新开放申购或赎回的公告，并在重新开放申购或赎回日公告最新的基金份额净值。</w:t>
      </w:r>
    </w:p>
    <w:p w:rsidR="00E1094C" w:rsidRPr="00501A61" w:rsidRDefault="00E1094C" w:rsidP="00107648">
      <w:pPr>
        <w:snapToGrid w:val="0"/>
        <w:spacing w:line="360" w:lineRule="auto"/>
        <w:ind w:firstLine="420"/>
        <w:rPr>
          <w:rFonts w:asciiTheme="minorEastAsia" w:eastAsiaTheme="minorEastAsia" w:hAnsiTheme="minorEastAsia"/>
          <w:szCs w:val="21"/>
        </w:rPr>
        <w:sectPr w:rsidR="00E1094C" w:rsidRPr="00501A61" w:rsidSect="003920FC">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
          <w:bCs/>
        </w:rPr>
      </w:pPr>
      <w:bookmarkStart w:id="40" w:name="_Toc91334992"/>
      <w:bookmarkStart w:id="41" w:name="_Toc45632212"/>
      <w:r w:rsidRPr="00501A61">
        <w:rPr>
          <w:rFonts w:asciiTheme="minorEastAsia" w:eastAsiaTheme="minorEastAsia" w:hAnsiTheme="minorEastAsia" w:hint="eastAsia"/>
          <w:b/>
          <w:bCs/>
        </w:rPr>
        <w:lastRenderedPageBreak/>
        <w:t>九、基金转换</w:t>
      </w:r>
      <w:bookmarkEnd w:id="40"/>
      <w:bookmarkEnd w:id="41"/>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szCs w:val="21"/>
        </w:rPr>
        <w:t>基金转换是指基金份额持有人按基金管理人规定的条件将其持有的某一基金的基金份额转为同一基金管理人管理的另一只基金的基金份额的行为。</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sz w:val="24"/>
        </w:rPr>
      </w:pPr>
      <w:bookmarkStart w:id="42" w:name="_Toc45632213"/>
      <w:r w:rsidRPr="00501A61">
        <w:rPr>
          <w:rFonts w:asciiTheme="minorEastAsia" w:eastAsiaTheme="minorEastAsia" w:hAnsiTheme="minorEastAsia" w:hint="eastAsia"/>
          <w:b w:val="0"/>
          <w:sz w:val="24"/>
        </w:rPr>
        <w:t>（一）基金转换</w:t>
      </w:r>
      <w:r w:rsidRPr="00501A61">
        <w:rPr>
          <w:rFonts w:asciiTheme="minorEastAsia" w:eastAsiaTheme="minorEastAsia" w:hAnsiTheme="minorEastAsia"/>
          <w:b w:val="0"/>
          <w:sz w:val="24"/>
        </w:rPr>
        <w:t>开始日及</w:t>
      </w:r>
      <w:r w:rsidRPr="00501A61">
        <w:rPr>
          <w:rFonts w:asciiTheme="minorEastAsia" w:eastAsiaTheme="minorEastAsia" w:hAnsiTheme="minorEastAsia" w:hint="eastAsia"/>
          <w:b w:val="0"/>
          <w:sz w:val="24"/>
        </w:rPr>
        <w:t>时间</w:t>
      </w:r>
      <w:bookmarkEnd w:id="42"/>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本基金已于</w:t>
      </w:r>
      <w:r w:rsidRPr="00501A61">
        <w:rPr>
          <w:rFonts w:asciiTheme="minorEastAsia" w:eastAsiaTheme="minorEastAsia" w:hAnsiTheme="minorEastAsia"/>
        </w:rPr>
        <w:t>200</w:t>
      </w:r>
      <w:r w:rsidRPr="00501A61">
        <w:rPr>
          <w:rFonts w:asciiTheme="minorEastAsia" w:eastAsiaTheme="minorEastAsia" w:hAnsiTheme="minorEastAsia" w:hint="eastAsia"/>
        </w:rPr>
        <w:t>6</w:t>
      </w:r>
      <w:r w:rsidRPr="00501A61">
        <w:rPr>
          <w:rFonts w:asciiTheme="minorEastAsia" w:eastAsiaTheme="minorEastAsia" w:hAnsiTheme="minorEastAsia"/>
        </w:rPr>
        <w:t>年</w:t>
      </w:r>
      <w:r w:rsidRPr="00501A61">
        <w:rPr>
          <w:rFonts w:asciiTheme="minorEastAsia" w:eastAsiaTheme="minorEastAsia" w:hAnsiTheme="minorEastAsia" w:hint="eastAsia"/>
        </w:rPr>
        <w:t>11</w:t>
      </w:r>
      <w:r w:rsidRPr="00501A61">
        <w:rPr>
          <w:rFonts w:asciiTheme="minorEastAsia" w:eastAsiaTheme="minorEastAsia" w:hAnsiTheme="minorEastAsia"/>
        </w:rPr>
        <w:t>月</w:t>
      </w:r>
      <w:r w:rsidRPr="00501A61">
        <w:rPr>
          <w:rFonts w:asciiTheme="minorEastAsia" w:eastAsiaTheme="minorEastAsia" w:hAnsiTheme="minorEastAsia" w:hint="eastAsia"/>
        </w:rPr>
        <w:t>6</w:t>
      </w:r>
      <w:r w:rsidRPr="00501A61">
        <w:rPr>
          <w:rFonts w:asciiTheme="minorEastAsia" w:eastAsiaTheme="minorEastAsia" w:hAnsiTheme="minorEastAsia"/>
        </w:rPr>
        <w:t>日</w:t>
      </w:r>
      <w:r w:rsidRPr="00501A61">
        <w:rPr>
          <w:rFonts w:asciiTheme="minorEastAsia" w:eastAsiaTheme="minorEastAsia" w:hAnsiTheme="minorEastAsia" w:hint="eastAsia"/>
        </w:rPr>
        <w:t>开始办理转换业务，具体实施办法参见相关公告。</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转换业务的开放日</w:t>
      </w:r>
      <w:r w:rsidRPr="00501A61">
        <w:rPr>
          <w:rFonts w:asciiTheme="minorEastAsia" w:eastAsiaTheme="minorEastAsia" w:hAnsiTheme="minorEastAsia"/>
        </w:rPr>
        <w:t>为上海证券交易所和深圳证券交易所交易日。</w:t>
      </w:r>
      <w:r w:rsidRPr="00501A61">
        <w:rPr>
          <w:rFonts w:asciiTheme="minorEastAsia" w:eastAsiaTheme="minorEastAsia" w:hAnsiTheme="minorEastAsia" w:hint="eastAsia"/>
          <w:kern w:val="0"/>
          <w:szCs w:val="21"/>
        </w:rPr>
        <w:t>但基金管理人根据法律法规、中国证监会的要求或本基金合同的规定公告暂停转换时除外。</w:t>
      </w:r>
      <w:r w:rsidRPr="00501A61">
        <w:rPr>
          <w:rFonts w:asciiTheme="minorEastAsia" w:eastAsiaTheme="minorEastAsia" w:hAnsiTheme="minorEastAsia" w:hint="eastAsia"/>
          <w:szCs w:val="21"/>
        </w:rPr>
        <w:t>具体业务办理时间为上海证券交易所、深圳证券交易所的交易时间。若出现新的证券交易市场或交易所交易时间更改或</w:t>
      </w:r>
      <w:r w:rsidRPr="00501A61">
        <w:rPr>
          <w:rFonts w:asciiTheme="minorEastAsia" w:eastAsiaTheme="minorEastAsia" w:hAnsiTheme="minorEastAsia" w:hint="eastAsia"/>
          <w:kern w:val="0"/>
          <w:szCs w:val="21"/>
        </w:rPr>
        <w:t>其他特殊情况</w:t>
      </w:r>
      <w:r w:rsidRPr="00501A61">
        <w:rPr>
          <w:rFonts w:asciiTheme="minorEastAsia" w:eastAsiaTheme="minorEastAsia" w:hAnsiTheme="minorEastAsia" w:hint="eastAsia"/>
          <w:szCs w:val="21"/>
        </w:rPr>
        <w:t>，</w:t>
      </w:r>
      <w:r w:rsidRPr="00501A61">
        <w:rPr>
          <w:rFonts w:asciiTheme="minorEastAsia" w:eastAsiaTheme="minorEastAsia" w:hAnsiTheme="minorEastAsia" w:hint="eastAsia"/>
          <w:kern w:val="0"/>
          <w:szCs w:val="21"/>
        </w:rPr>
        <w:t>基金管理人将视情况对前述开放日及具体业务办理时间进行相应的调整并提前公告</w:t>
      </w:r>
      <w:r w:rsidRPr="00501A61">
        <w:rPr>
          <w:rFonts w:asciiTheme="minorEastAsia" w:eastAsiaTheme="minorEastAsia" w:hAnsiTheme="minorEastAsia"/>
        </w:rPr>
        <w:t>。</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sz w:val="24"/>
        </w:rPr>
      </w:pPr>
      <w:bookmarkStart w:id="43" w:name="_Toc45632214"/>
      <w:r w:rsidRPr="00501A61">
        <w:rPr>
          <w:rFonts w:asciiTheme="minorEastAsia" w:eastAsiaTheme="minorEastAsia" w:hAnsiTheme="minorEastAsia" w:hint="eastAsia"/>
          <w:b w:val="0"/>
          <w:sz w:val="24"/>
        </w:rPr>
        <w:t>（二）基金转换业务规则</w:t>
      </w:r>
      <w:bookmarkEnd w:id="43"/>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基金转换以份额为单位进行申请</w:t>
      </w:r>
      <w:r w:rsidRPr="00501A61">
        <w:rPr>
          <w:rFonts w:asciiTheme="minorEastAsia" w:eastAsiaTheme="minorEastAsia" w:hAnsiTheme="minorEastAsia"/>
        </w:rPr>
        <w:t>；</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2</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当日的转换申请可以在当日交易结束时间前撤销，在当日的交易时间结束后不得撤销</w:t>
      </w:r>
      <w:r w:rsidRPr="00501A61">
        <w:rPr>
          <w:rFonts w:asciiTheme="minorEastAsia" w:eastAsiaTheme="minorEastAsia" w:hAnsiTheme="minorEastAsia"/>
        </w:rPr>
        <w:t>；</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3</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基金转换采取未知价法，即基金的转换价格以转换申请受理当日各转出、转入基金的份额净值为基准进行计算</w:t>
      </w:r>
      <w:r w:rsidRPr="00501A61">
        <w:rPr>
          <w:rFonts w:asciiTheme="minorEastAsia" w:eastAsiaTheme="minorEastAsia" w:hAnsiTheme="minorEastAsia"/>
        </w:rPr>
        <w:t>；</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4</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基金份额在转换后，</w:t>
      </w:r>
      <w:r w:rsidRPr="00501A61">
        <w:rPr>
          <w:rFonts w:asciiTheme="minorEastAsia" w:eastAsiaTheme="minorEastAsia" w:hAnsiTheme="minorEastAsia"/>
        </w:rPr>
        <w:t>转入的基金份额的持有期将自转入的基金份额被确认之日起重新开始计算；</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5</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除非有特别说明，投资者可在同时代理拟转出基金及转入基金的销售机构处办理基金转换业务。基金转换只能在同一销售机构进行。转换的两只基金必须都是该销售机构</w:t>
      </w:r>
      <w:r w:rsidR="00FD0663" w:rsidRPr="00501A61">
        <w:rPr>
          <w:rFonts w:asciiTheme="minorEastAsia" w:eastAsiaTheme="minorEastAsia" w:hAnsiTheme="minorEastAsia" w:hint="eastAsia"/>
        </w:rPr>
        <w:t>销售</w:t>
      </w:r>
      <w:r w:rsidRPr="00501A61">
        <w:rPr>
          <w:rFonts w:asciiTheme="minorEastAsia" w:eastAsiaTheme="minorEastAsia" w:hAnsiTheme="minorEastAsia" w:hint="eastAsia"/>
        </w:rPr>
        <w:t>的同一基金管理人管理的、在同一基金注册登记机构处注册的基金</w:t>
      </w:r>
      <w:r w:rsidRPr="00501A61">
        <w:rPr>
          <w:rFonts w:asciiTheme="minorEastAsia" w:eastAsiaTheme="minorEastAsia" w:hAnsiTheme="minorEastAsia"/>
        </w:rPr>
        <w:t>；</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6</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投资者办理基金转换业务时，转出方的基金必须处于可赎回状态，转入方的基金必须处于可申购状态；</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7</w:t>
      </w:r>
      <w:r w:rsidR="00C15CD6" w:rsidRPr="00501A61">
        <w:rPr>
          <w:rFonts w:asciiTheme="minorEastAsia" w:eastAsiaTheme="minorEastAsia" w:hAnsiTheme="minorEastAsia" w:hint="eastAsia"/>
        </w:rPr>
        <w:t>、</w:t>
      </w:r>
      <w:r w:rsidRPr="00501A61">
        <w:rPr>
          <w:rFonts w:asciiTheme="minorEastAsia" w:eastAsiaTheme="minorEastAsia" w:hAnsiTheme="minorEastAsia"/>
        </w:rPr>
        <w:t>转换业务遵循“先进先出”的业务规则，</w:t>
      </w:r>
      <w:r w:rsidRPr="00501A61">
        <w:rPr>
          <w:rFonts w:asciiTheme="minorEastAsia" w:eastAsiaTheme="minorEastAsia" w:hAnsiTheme="minorEastAsia" w:hint="eastAsia"/>
        </w:rPr>
        <w:t>即份额注册日期在前的先转换出，份额注册日期在后的后转换出</w:t>
      </w:r>
      <w:r w:rsidRPr="00501A61">
        <w:rPr>
          <w:rFonts w:asciiTheme="minorEastAsia" w:eastAsiaTheme="minorEastAsia" w:hAnsiTheme="minorEastAsia"/>
        </w:rPr>
        <w:t>，如果转换申请当日，同时有赎回申请的情况下，则遵循先赎回后转换的处理原则；</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8</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基金管理人可在不损害基金份额持有人权益的情况下更改上述原则，但应最迟在新的原则实施前三个工作日予以公告。</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sz w:val="24"/>
        </w:rPr>
      </w:pPr>
      <w:bookmarkStart w:id="44" w:name="_Toc45632215"/>
      <w:r w:rsidRPr="00501A61">
        <w:rPr>
          <w:rFonts w:asciiTheme="minorEastAsia" w:eastAsiaTheme="minorEastAsia" w:hAnsiTheme="minorEastAsia" w:hint="eastAsia"/>
          <w:b w:val="0"/>
          <w:sz w:val="24"/>
        </w:rPr>
        <w:t>（三）基金转换的程序</w:t>
      </w:r>
      <w:bookmarkEnd w:id="44"/>
    </w:p>
    <w:p w:rsidR="0002608C" w:rsidRPr="00501A61" w:rsidRDefault="00C15CD6" w:rsidP="00107648">
      <w:pPr>
        <w:pStyle w:val="ad"/>
        <w:snapToGrid w:val="0"/>
        <w:spacing w:line="360" w:lineRule="auto"/>
        <w:rPr>
          <w:rFonts w:asciiTheme="minorEastAsia" w:eastAsiaTheme="minorEastAsia" w:hAnsiTheme="minorEastAsia"/>
        </w:rPr>
      </w:pPr>
      <w:r w:rsidRPr="00501A61">
        <w:rPr>
          <w:rFonts w:asciiTheme="minorEastAsia" w:eastAsiaTheme="minorEastAsia" w:hAnsiTheme="minorEastAsia" w:hint="eastAsia"/>
        </w:rPr>
        <w:t>1、</w:t>
      </w:r>
      <w:r w:rsidR="0002608C" w:rsidRPr="00501A61">
        <w:rPr>
          <w:rFonts w:asciiTheme="minorEastAsia" w:eastAsiaTheme="minorEastAsia" w:hAnsiTheme="minorEastAsia" w:hint="eastAsia"/>
        </w:rPr>
        <w:t>基金转换的申请方式</w:t>
      </w:r>
    </w:p>
    <w:p w:rsidR="0002608C" w:rsidRPr="00501A61" w:rsidRDefault="0002608C" w:rsidP="00107648">
      <w:pPr>
        <w:pStyle w:val="ad"/>
        <w:snapToGrid w:val="0"/>
        <w:spacing w:line="360" w:lineRule="auto"/>
        <w:rPr>
          <w:rFonts w:asciiTheme="minorEastAsia" w:eastAsiaTheme="minorEastAsia" w:hAnsiTheme="minorEastAsia"/>
        </w:rPr>
      </w:pPr>
      <w:r w:rsidRPr="00501A61">
        <w:rPr>
          <w:rFonts w:asciiTheme="minorEastAsia" w:eastAsiaTheme="minorEastAsia" w:hAnsiTheme="minorEastAsia" w:hint="eastAsia"/>
        </w:rPr>
        <w:t>基金投资者必须根据基金管理人和基金</w:t>
      </w:r>
      <w:r w:rsidR="00D109A3" w:rsidRPr="00501A61">
        <w:rPr>
          <w:rFonts w:asciiTheme="minorEastAsia" w:eastAsiaTheme="minorEastAsia" w:hAnsiTheme="minorEastAsia" w:hint="eastAsia"/>
        </w:rPr>
        <w:t>销售</w:t>
      </w:r>
      <w:r w:rsidRPr="00501A61">
        <w:rPr>
          <w:rFonts w:asciiTheme="minorEastAsia" w:eastAsiaTheme="minorEastAsia" w:hAnsiTheme="minorEastAsia" w:hint="eastAsia"/>
        </w:rPr>
        <w:t>机构规定的手续，在开放日的业务办理时间提出转换的申请。</w:t>
      </w:r>
    </w:p>
    <w:p w:rsidR="0002608C" w:rsidRPr="00501A61" w:rsidRDefault="0002608C" w:rsidP="00107648">
      <w:pPr>
        <w:pStyle w:val="ad"/>
        <w:snapToGrid w:val="0"/>
        <w:spacing w:line="360" w:lineRule="auto"/>
        <w:rPr>
          <w:rFonts w:asciiTheme="minorEastAsia" w:eastAsiaTheme="minorEastAsia" w:hAnsiTheme="minorEastAsia"/>
        </w:rPr>
      </w:pPr>
      <w:r w:rsidRPr="00501A61">
        <w:rPr>
          <w:rFonts w:asciiTheme="minorEastAsia" w:eastAsiaTheme="minorEastAsia" w:hAnsiTheme="minorEastAsia" w:hint="eastAsia"/>
        </w:rPr>
        <w:t>提交基金转换申请时，帐户中必须有足够可用的转出基金份额余额。</w:t>
      </w:r>
    </w:p>
    <w:p w:rsidR="0002608C" w:rsidRPr="00501A61" w:rsidRDefault="00C15CD6" w:rsidP="00107648">
      <w:pPr>
        <w:pStyle w:val="ad"/>
        <w:snapToGrid w:val="0"/>
        <w:spacing w:line="360" w:lineRule="auto"/>
        <w:rPr>
          <w:rFonts w:asciiTheme="minorEastAsia" w:eastAsiaTheme="minorEastAsia" w:hAnsiTheme="minorEastAsia"/>
        </w:rPr>
      </w:pPr>
      <w:r w:rsidRPr="00501A61">
        <w:rPr>
          <w:rFonts w:asciiTheme="minorEastAsia" w:eastAsiaTheme="minorEastAsia" w:hAnsiTheme="minorEastAsia" w:hint="eastAsia"/>
        </w:rPr>
        <w:lastRenderedPageBreak/>
        <w:t>2、</w:t>
      </w:r>
      <w:r w:rsidR="0002608C" w:rsidRPr="00501A61">
        <w:rPr>
          <w:rFonts w:asciiTheme="minorEastAsia" w:eastAsiaTheme="minorEastAsia" w:hAnsiTheme="minorEastAsia" w:hint="eastAsia"/>
        </w:rPr>
        <w:t>基金转换申请的确认</w:t>
      </w:r>
    </w:p>
    <w:p w:rsidR="0002608C" w:rsidRPr="00501A61" w:rsidRDefault="0002608C" w:rsidP="00107648">
      <w:pPr>
        <w:pStyle w:val="ad"/>
        <w:snapToGrid w:val="0"/>
        <w:spacing w:line="360" w:lineRule="auto"/>
        <w:rPr>
          <w:rFonts w:asciiTheme="minorEastAsia" w:eastAsiaTheme="minorEastAsia" w:hAnsiTheme="minorEastAsia"/>
        </w:rPr>
      </w:pPr>
      <w:r w:rsidRPr="00501A61">
        <w:rPr>
          <w:rFonts w:asciiTheme="minorEastAsia" w:eastAsiaTheme="minorEastAsia" w:hAnsiTheme="minorEastAsia" w:hint="eastAsia"/>
        </w:rPr>
        <w:t>正常情况下，基金管理人以在规定的基金业务办理时间段内收到基金转换申请的当天作为基金转换的申请日（T日），并在T+1工作日对该交易的有效性进行确认。投资者可在T+2工作日及之后查询成交情况。</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sz w:val="24"/>
        </w:rPr>
      </w:pPr>
      <w:bookmarkStart w:id="45" w:name="_Toc150757128"/>
      <w:bookmarkStart w:id="46" w:name="_Toc45632216"/>
      <w:r w:rsidRPr="00501A61">
        <w:rPr>
          <w:rFonts w:asciiTheme="minorEastAsia" w:eastAsiaTheme="minorEastAsia" w:hAnsiTheme="minorEastAsia" w:hint="eastAsia"/>
          <w:b w:val="0"/>
          <w:sz w:val="24"/>
        </w:rPr>
        <w:t>（四）基金转换的数额限制</w:t>
      </w:r>
      <w:bookmarkEnd w:id="45"/>
      <w:bookmarkEnd w:id="46"/>
    </w:p>
    <w:p w:rsidR="0002608C" w:rsidRPr="00501A61" w:rsidRDefault="0002608C" w:rsidP="00107648">
      <w:pPr>
        <w:pStyle w:val="ad"/>
        <w:snapToGrid w:val="0"/>
        <w:spacing w:line="360" w:lineRule="auto"/>
        <w:rPr>
          <w:rFonts w:asciiTheme="minorEastAsia" w:eastAsiaTheme="minorEastAsia" w:hAnsiTheme="minorEastAsia"/>
        </w:rPr>
      </w:pPr>
      <w:r w:rsidRPr="00501A61">
        <w:rPr>
          <w:rFonts w:asciiTheme="minorEastAsia" w:eastAsiaTheme="minorEastAsia" w:hAnsiTheme="minorEastAsia" w:hint="eastAsia"/>
        </w:rPr>
        <w:t>基金份额持有人可将其全部或部分基金份额转换成另一只基金，本基金单笔转出申请不得少于1份（</w:t>
      </w:r>
      <w:r w:rsidR="00087E56" w:rsidRPr="00501A61">
        <w:rPr>
          <w:rFonts w:asciiTheme="minorEastAsia" w:eastAsiaTheme="minorEastAsia" w:hAnsiTheme="minorEastAsia" w:hint="eastAsia"/>
        </w:rPr>
        <w:t>如该账户在该销售机构托管的该基金余额不足</w:t>
      </w:r>
      <w:r w:rsidRPr="00501A61">
        <w:rPr>
          <w:rFonts w:asciiTheme="minorEastAsia" w:eastAsiaTheme="minorEastAsia" w:hAnsiTheme="minorEastAsia" w:hint="eastAsia"/>
        </w:rPr>
        <w:t>1份，则必须一次性赎回或转出该基金全部份额）；若某笔转换导致投资者在</w:t>
      </w:r>
      <w:r w:rsidR="00087E56" w:rsidRPr="00501A61">
        <w:rPr>
          <w:rFonts w:asciiTheme="minorEastAsia" w:eastAsiaTheme="minorEastAsia" w:hAnsiTheme="minorEastAsia" w:hint="eastAsia"/>
        </w:rPr>
        <w:t>该</w:t>
      </w:r>
      <w:r w:rsidRPr="00501A61">
        <w:rPr>
          <w:rFonts w:asciiTheme="minorEastAsia" w:eastAsiaTheme="minorEastAsia" w:hAnsiTheme="minorEastAsia" w:hint="eastAsia"/>
        </w:rPr>
        <w:t>销售机构托管的</w:t>
      </w:r>
      <w:r w:rsidR="00087E56" w:rsidRPr="00501A61">
        <w:rPr>
          <w:rFonts w:asciiTheme="minorEastAsia" w:eastAsiaTheme="minorEastAsia" w:hAnsiTheme="minorEastAsia" w:hint="eastAsia"/>
        </w:rPr>
        <w:t>该</w:t>
      </w:r>
      <w:r w:rsidRPr="00501A61">
        <w:rPr>
          <w:rFonts w:asciiTheme="minorEastAsia" w:eastAsiaTheme="minorEastAsia" w:hAnsiTheme="minorEastAsia" w:hint="eastAsia"/>
        </w:rPr>
        <w:t>基金余额不足1份时，基金管理人有权将投资者在该销售机构托管的</w:t>
      </w:r>
      <w:r w:rsidR="00087E56" w:rsidRPr="00501A61">
        <w:rPr>
          <w:rFonts w:asciiTheme="minorEastAsia" w:eastAsiaTheme="minorEastAsia" w:hAnsiTheme="minorEastAsia" w:hint="eastAsia"/>
        </w:rPr>
        <w:t>该</w:t>
      </w:r>
      <w:r w:rsidRPr="00501A61">
        <w:rPr>
          <w:rFonts w:asciiTheme="minorEastAsia" w:eastAsiaTheme="minorEastAsia" w:hAnsiTheme="minorEastAsia" w:hint="eastAsia"/>
        </w:rPr>
        <w:t>基金剩余份额一次性全部赎回。</w:t>
      </w:r>
    </w:p>
    <w:p w:rsidR="0002608C" w:rsidRPr="00501A61" w:rsidRDefault="0002608C" w:rsidP="00107648">
      <w:pPr>
        <w:pStyle w:val="ad"/>
        <w:snapToGrid w:val="0"/>
        <w:spacing w:line="360" w:lineRule="auto"/>
        <w:rPr>
          <w:rFonts w:asciiTheme="minorEastAsia" w:eastAsiaTheme="minorEastAsia" w:hAnsiTheme="minorEastAsia"/>
        </w:rPr>
      </w:pPr>
      <w:r w:rsidRPr="00501A61">
        <w:rPr>
          <w:rFonts w:asciiTheme="minorEastAsia" w:eastAsiaTheme="minorEastAsia" w:hAnsiTheme="minorEastAsia" w:hint="eastAsia"/>
        </w:rPr>
        <w:t>基金管理人可根据市场情况制定或调整上述基金转换的程序及有关限制，但应最迟在调整生效前三个工作日在</w:t>
      </w:r>
      <w:r w:rsidR="000C00D1" w:rsidRPr="00501A61">
        <w:rPr>
          <w:rFonts w:asciiTheme="minorEastAsia" w:eastAsiaTheme="minorEastAsia" w:hAnsiTheme="minorEastAsia" w:hint="eastAsia"/>
        </w:rPr>
        <w:t>指定媒介</w:t>
      </w:r>
      <w:r w:rsidRPr="00501A61">
        <w:rPr>
          <w:rFonts w:asciiTheme="minorEastAsia" w:eastAsiaTheme="minorEastAsia" w:hAnsiTheme="minorEastAsia" w:hint="eastAsia"/>
        </w:rPr>
        <w:t>公告。</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sz w:val="24"/>
        </w:rPr>
      </w:pPr>
      <w:bookmarkStart w:id="47" w:name="_Toc87367293"/>
      <w:bookmarkStart w:id="48" w:name="_Toc150757129"/>
      <w:bookmarkStart w:id="49" w:name="_Toc45632217"/>
      <w:r w:rsidRPr="00501A61">
        <w:rPr>
          <w:rFonts w:asciiTheme="minorEastAsia" w:eastAsiaTheme="minorEastAsia" w:hAnsiTheme="minorEastAsia" w:hint="eastAsia"/>
          <w:b w:val="0"/>
          <w:sz w:val="24"/>
        </w:rPr>
        <w:t>（五）基金转换费率</w:t>
      </w:r>
      <w:bookmarkEnd w:id="47"/>
      <w:bookmarkEnd w:id="48"/>
      <w:bookmarkEnd w:id="49"/>
    </w:p>
    <w:p w:rsidR="0002608C"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rPr>
      </w:pPr>
      <w:r w:rsidRPr="00501A61">
        <w:rPr>
          <w:rFonts w:asciiTheme="minorEastAsia" w:eastAsiaTheme="minorEastAsia" w:hAnsiTheme="minorEastAsia" w:hint="eastAsia"/>
        </w:rPr>
        <w:t>基金转换费由基金份额持有人承担，基金转换费用由转出基金赎回费用及基金申购补差费用构成，其中赎回费按照</w:t>
      </w:r>
      <w:r w:rsidR="00D51240" w:rsidRPr="00501A61">
        <w:rPr>
          <w:rFonts w:asciiTheme="minorEastAsia" w:eastAsiaTheme="minorEastAsia" w:hAnsiTheme="minorEastAsia" w:hint="eastAsia"/>
        </w:rPr>
        <w:t>各基金的</w:t>
      </w:r>
      <w:r w:rsidRPr="00501A61">
        <w:rPr>
          <w:rFonts w:asciiTheme="minorEastAsia" w:eastAsiaTheme="minorEastAsia" w:hAnsiTheme="minorEastAsia" w:hint="eastAsia"/>
        </w:rPr>
        <w:t>基金合同、更新的招募说明书及最新的相关公告约定的比例归入基金财产，其余部分用于支付注册登记费等相关手续费，基金转换费率详见相关公告。</w:t>
      </w:r>
    </w:p>
    <w:p w:rsidR="0002608C"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rPr>
      </w:pPr>
      <w:r w:rsidRPr="00501A61">
        <w:rPr>
          <w:rFonts w:asciiTheme="minorEastAsia" w:eastAsiaTheme="minorEastAsia" w:hAnsiTheme="minorEastAsia" w:hint="eastAsia"/>
        </w:rPr>
        <w:t>基金管理人可以根据市场情况在不违背有关法律、法规和基金合同的规定之前提下,调整收费方式和费率水平,但最迟应于新收费办法开始实施日前2个工作日在</w:t>
      </w:r>
      <w:r w:rsidR="000C00D1" w:rsidRPr="00501A61">
        <w:rPr>
          <w:rFonts w:asciiTheme="minorEastAsia" w:eastAsiaTheme="minorEastAsia" w:hAnsiTheme="minorEastAsia" w:hint="eastAsia"/>
        </w:rPr>
        <w:t>指定媒介</w:t>
      </w:r>
      <w:r w:rsidRPr="00501A61">
        <w:rPr>
          <w:rFonts w:asciiTheme="minorEastAsia" w:eastAsiaTheme="minorEastAsia" w:hAnsiTheme="minorEastAsia" w:hint="eastAsia"/>
        </w:rPr>
        <w:t>上公告。</w:t>
      </w:r>
    </w:p>
    <w:p w:rsidR="0002608C" w:rsidRPr="00501A61" w:rsidRDefault="00F747C7" w:rsidP="00107648">
      <w:pPr>
        <w:autoSpaceDE w:val="0"/>
        <w:autoSpaceDN w:val="0"/>
        <w:snapToGrid w:val="0"/>
        <w:spacing w:line="360" w:lineRule="auto"/>
        <w:ind w:firstLine="420"/>
        <w:textAlignment w:val="bottom"/>
        <w:rPr>
          <w:rFonts w:asciiTheme="minorEastAsia" w:eastAsiaTheme="minorEastAsia" w:hAnsiTheme="minorEastAsia"/>
        </w:rPr>
      </w:pPr>
      <w:r w:rsidRPr="00501A61">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sz w:val="24"/>
        </w:rPr>
      </w:pPr>
      <w:bookmarkStart w:id="50" w:name="_Toc150757130"/>
      <w:bookmarkStart w:id="51" w:name="_Toc45632218"/>
      <w:r w:rsidRPr="00501A61">
        <w:rPr>
          <w:rFonts w:asciiTheme="minorEastAsia" w:eastAsiaTheme="minorEastAsia" w:hAnsiTheme="minorEastAsia" w:hint="eastAsia"/>
          <w:b w:val="0"/>
          <w:sz w:val="24"/>
        </w:rPr>
        <w:t>（六）基金转换份额的计算方式</w:t>
      </w:r>
      <w:bookmarkEnd w:id="50"/>
      <w:bookmarkEnd w:id="51"/>
    </w:p>
    <w:p w:rsidR="005E7CD0" w:rsidRPr="00501A61" w:rsidRDefault="005E7CD0" w:rsidP="00B32CF0">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计算公式：</w:t>
      </w:r>
    </w:p>
    <w:p w:rsidR="005E7CD0" w:rsidRPr="00501A61" w:rsidRDefault="005E7CD0" w:rsidP="00B32CF0">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A＝［B×C×(1-D)/（1+G）+F］/E</w:t>
      </w:r>
    </w:p>
    <w:p w:rsidR="005E7CD0" w:rsidRPr="00501A61" w:rsidRDefault="005E7CD0" w:rsidP="00B32CF0">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H＝B×C×D</w:t>
      </w:r>
    </w:p>
    <w:p w:rsidR="005E7CD0" w:rsidRPr="00501A61" w:rsidRDefault="005E7CD0" w:rsidP="00B32CF0">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J＝[B×C×(1-D)/(1+G)]×G</w:t>
      </w:r>
    </w:p>
    <w:p w:rsidR="005E7CD0" w:rsidRPr="00501A61" w:rsidRDefault="005E7CD0" w:rsidP="00B32CF0">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其中，A为转入的基金份额；B为转出的基金份额；C为转换申请当日转出基金的基金份额净值；D为转出基金的对应赎回费率；G为对应的申购补差费率；E为转换申请当日转入基金的基金份额净值；F为货币市场基金全部转出时注册登记机构已支付的未付收益（仅限转出基金为易方达货币市场基金、易方达天天理财货币市场基金、易方达财富快线货币市场基金、易方达天天增利货币市场基金、易方达龙宝货币市场基金、易方达增金宝货币市场基金、易方达现金增利货币市场基金、易方达天天发货币市场基金</w:t>
      </w:r>
      <w:r w:rsidR="002F0DA8" w:rsidRPr="00501A61">
        <w:rPr>
          <w:rFonts w:asciiTheme="minorEastAsia" w:eastAsiaTheme="minorEastAsia" w:hAnsiTheme="minorEastAsia" w:hint="eastAsia"/>
        </w:rPr>
        <w:t>、易方达易理财货币市场基金</w:t>
      </w:r>
      <w:r w:rsidRPr="00501A61">
        <w:rPr>
          <w:rFonts w:asciiTheme="minorEastAsia" w:eastAsiaTheme="minorEastAsia" w:hAnsiTheme="minorEastAsia" w:hint="eastAsia"/>
        </w:rPr>
        <w:t>）或者短期理财基金转出时对应的累计未付收益（转出基金为易方达月月利理财债券型</w:t>
      </w:r>
      <w:r w:rsidRPr="00501A61">
        <w:rPr>
          <w:rFonts w:asciiTheme="minorEastAsia" w:eastAsiaTheme="minorEastAsia" w:hAnsiTheme="minorEastAsia" w:hint="eastAsia"/>
        </w:rPr>
        <w:lastRenderedPageBreak/>
        <w:t>证券投资基金和易方达掌柜季季盈理财债券型证券投资基金）；H为转出基金赎回费；J为申购补差费。</w:t>
      </w:r>
    </w:p>
    <w:p w:rsidR="005E7CD0" w:rsidRPr="00501A61" w:rsidRDefault="005E7CD0" w:rsidP="00B32CF0">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02608C" w:rsidRPr="00501A61" w:rsidRDefault="0002608C" w:rsidP="00107648">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说明：</w:t>
      </w:r>
    </w:p>
    <w:p w:rsidR="0002608C" w:rsidRPr="00501A61" w:rsidRDefault="0002608C" w:rsidP="00107648">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rPr>
        <w:t>1</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基金转换费用由转出基金赎回费用及基金申购补差费用构成。</w:t>
      </w:r>
    </w:p>
    <w:p w:rsidR="0002608C" w:rsidRPr="00501A61" w:rsidRDefault="0002608C" w:rsidP="00107648">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rPr>
        <w:t>2</w:t>
      </w:r>
      <w:r w:rsidR="00C15CD6" w:rsidRPr="00501A61">
        <w:rPr>
          <w:rFonts w:asciiTheme="minorEastAsia" w:eastAsiaTheme="minorEastAsia" w:hAnsiTheme="minorEastAsia" w:hint="eastAsia"/>
        </w:rPr>
        <w:t>、</w:t>
      </w:r>
      <w:r w:rsidRPr="00501A61">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w:t>
      </w:r>
      <w:r w:rsidRPr="00501A61">
        <w:rPr>
          <w:rFonts w:asciiTheme="minorEastAsia" w:eastAsiaTheme="minorEastAsia" w:hAnsiTheme="minorEastAsia"/>
        </w:rPr>
        <w:t>,</w:t>
      </w:r>
      <w:r w:rsidRPr="00501A61">
        <w:rPr>
          <w:rFonts w:asciiTheme="minorEastAsia" w:eastAsiaTheme="minorEastAsia" w:hAnsiTheme="minorEastAsia" w:hint="eastAsia"/>
        </w:rPr>
        <w:t>不收取申购补差费用</w:t>
      </w:r>
      <w:r w:rsidR="00B70D99" w:rsidRPr="00501A61">
        <w:rPr>
          <w:rFonts w:asciiTheme="minorEastAsia" w:eastAsiaTheme="minorEastAsia" w:hAnsiTheme="minorEastAsia" w:hint="eastAsia"/>
        </w:rPr>
        <w:t>（注：对通过直销中心申购实施差别申购费率的特定投资群体基金份额的申购费，以除通过直销中心申购的特定投资群体之外的其他投资者申购费为比较标准）</w:t>
      </w:r>
      <w:r w:rsidRPr="00501A61">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。申购补差费用按照转换金额对应的转出基金与转入基金的申购费率差额进行补差，具体收取情况视每次转换时两只基金的申购费率的差异情况而定并见相关公告。</w:t>
      </w:r>
    </w:p>
    <w:p w:rsidR="0002608C" w:rsidRPr="00501A61" w:rsidRDefault="00C15CD6" w:rsidP="00107648">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3、</w:t>
      </w:r>
      <w:r w:rsidR="0002608C" w:rsidRPr="00501A61">
        <w:rPr>
          <w:rFonts w:asciiTheme="minorEastAsia" w:eastAsiaTheme="minorEastAsia" w:hAnsiTheme="minorEastAsia" w:hint="eastAsia"/>
        </w:rPr>
        <w:t>转出基金时，如涉及的转出基金有赎回费用，收取该基金的赎回费用。收取的赎回费按照</w:t>
      </w:r>
      <w:r w:rsidR="00087E56" w:rsidRPr="00501A61">
        <w:rPr>
          <w:rFonts w:asciiTheme="minorEastAsia" w:eastAsiaTheme="minorEastAsia" w:hAnsiTheme="minorEastAsia" w:hint="eastAsia"/>
        </w:rPr>
        <w:t>各基金</w:t>
      </w:r>
      <w:r w:rsidR="00087E56" w:rsidRPr="00501A61">
        <w:rPr>
          <w:rFonts w:asciiTheme="minorEastAsia" w:eastAsiaTheme="minorEastAsia" w:hAnsiTheme="minorEastAsia"/>
        </w:rPr>
        <w:t>的</w:t>
      </w:r>
      <w:r w:rsidR="0002608C" w:rsidRPr="00501A61">
        <w:rPr>
          <w:rFonts w:asciiTheme="minorEastAsia" w:eastAsiaTheme="minorEastAsia" w:hAnsiTheme="minorEastAsia" w:hint="eastAsia"/>
        </w:rPr>
        <w:t>基金合同、更新的招募说明书及最新的相关公告约定的比例归入基金财产，其余部分用于支付注册登记费等相关手续费。</w:t>
      </w:r>
      <w:r w:rsidR="0002608C" w:rsidRPr="00501A61">
        <w:rPr>
          <w:rFonts w:asciiTheme="minorEastAsia" w:eastAsiaTheme="minorEastAsia" w:hAnsiTheme="minorEastAsia"/>
          <w:szCs w:val="21"/>
        </w:rPr>
        <w:t>转换费用以人民币元为单位，计算结果按照四舍五入方法，保留小数点后两位</w:t>
      </w:r>
      <w:r w:rsidR="0002608C" w:rsidRPr="00501A61">
        <w:rPr>
          <w:rFonts w:asciiTheme="minorEastAsia" w:eastAsiaTheme="minorEastAsia" w:hAnsiTheme="minorEastAsia" w:hint="eastAsia"/>
        </w:rPr>
        <w:t>。</w:t>
      </w:r>
    </w:p>
    <w:p w:rsidR="0002608C" w:rsidRPr="00501A61" w:rsidRDefault="00C15CD6" w:rsidP="00107648">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4、</w:t>
      </w:r>
      <w:r w:rsidR="0002608C" w:rsidRPr="00501A61">
        <w:rPr>
          <w:rFonts w:asciiTheme="minorEastAsia" w:eastAsiaTheme="minorEastAsia" w:hAnsiTheme="minorEastAsia" w:hint="eastAsia"/>
        </w:rPr>
        <w:t>投资者可以发起多次基金转换业务，基金转换费用按每笔申请单独计算。</w:t>
      </w:r>
    </w:p>
    <w:p w:rsidR="0002608C" w:rsidRPr="00501A61" w:rsidRDefault="0002608C" w:rsidP="00107648">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举例说明：假定某投资者在T日转出10,000份易方达价值精选基金至</w:t>
      </w:r>
      <w:r w:rsidRPr="00501A61">
        <w:rPr>
          <w:rFonts w:asciiTheme="minorEastAsia" w:eastAsiaTheme="minorEastAsia" w:hAnsiTheme="minorEastAsia"/>
        </w:rPr>
        <w:t>易方达策略成长二号混合型基金</w:t>
      </w:r>
      <w:r w:rsidRPr="00501A61">
        <w:rPr>
          <w:rFonts w:asciiTheme="minorEastAsia" w:eastAsiaTheme="minorEastAsia" w:hAnsiTheme="minorEastAsia" w:hint="eastAsia"/>
        </w:rPr>
        <w:t>份额，转出基金T日的基金份额净值为1.1000元，转入</w:t>
      </w:r>
      <w:r w:rsidRPr="00501A61">
        <w:rPr>
          <w:rFonts w:asciiTheme="minorEastAsia" w:eastAsiaTheme="minorEastAsia" w:hAnsiTheme="minorEastAsia"/>
        </w:rPr>
        <w:t>易方达策略成长二号混合型基金</w:t>
      </w:r>
      <w:r w:rsidRPr="00501A61">
        <w:rPr>
          <w:rFonts w:asciiTheme="minorEastAsia" w:eastAsiaTheme="minorEastAsia" w:hAnsiTheme="minorEastAsia" w:hint="eastAsia"/>
        </w:rPr>
        <w:t>T日的基金份额净值为1.020元，假设该转出基金的赎回费率为0.5%，申购补差费率为0.5%，则可获得转入基金的</w:t>
      </w:r>
      <w:r w:rsidRPr="00501A61">
        <w:rPr>
          <w:rFonts w:asciiTheme="minorEastAsia" w:eastAsiaTheme="minorEastAsia" w:hAnsiTheme="minorEastAsia"/>
        </w:rPr>
        <w:t>易方达策略成长二号混合型基金</w:t>
      </w:r>
      <w:r w:rsidRPr="00501A61">
        <w:rPr>
          <w:rFonts w:asciiTheme="minorEastAsia" w:eastAsiaTheme="minorEastAsia" w:hAnsiTheme="minorEastAsia" w:hint="eastAsia"/>
        </w:rPr>
        <w:t>基金份额计算如下：</w:t>
      </w:r>
    </w:p>
    <w:p w:rsidR="0002608C" w:rsidRPr="00501A61" w:rsidRDefault="0002608C" w:rsidP="00107648">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转换</w:t>
      </w:r>
      <w:r w:rsidRPr="00501A61">
        <w:rPr>
          <w:rFonts w:asciiTheme="minorEastAsia" w:eastAsiaTheme="minorEastAsia" w:hAnsiTheme="minorEastAsia"/>
        </w:rPr>
        <w:t>金额＝转出基金申请份额×转出基金份额净值=10</w:t>
      </w:r>
      <w:r w:rsidRPr="00501A61">
        <w:rPr>
          <w:rFonts w:asciiTheme="minorEastAsia" w:eastAsiaTheme="minorEastAsia" w:hAnsiTheme="minorEastAsia" w:hint="eastAsia"/>
        </w:rPr>
        <w:t>,</w:t>
      </w:r>
      <w:r w:rsidRPr="00501A61">
        <w:rPr>
          <w:rFonts w:asciiTheme="minorEastAsia" w:eastAsiaTheme="minorEastAsia" w:hAnsiTheme="minorEastAsia"/>
        </w:rPr>
        <w:t>000×1</w:t>
      </w:r>
      <w:r w:rsidRPr="00501A61">
        <w:rPr>
          <w:rFonts w:asciiTheme="minorEastAsia" w:eastAsiaTheme="minorEastAsia" w:hAnsiTheme="minorEastAsia" w:hint="eastAsia"/>
        </w:rPr>
        <w:t>.1000</w:t>
      </w:r>
      <w:r w:rsidRPr="00501A61">
        <w:rPr>
          <w:rFonts w:asciiTheme="minorEastAsia" w:eastAsiaTheme="minorEastAsia" w:hAnsiTheme="minorEastAsia"/>
        </w:rPr>
        <w:t>＝1</w:t>
      </w:r>
      <w:r w:rsidRPr="00501A61">
        <w:rPr>
          <w:rFonts w:asciiTheme="minorEastAsia" w:eastAsiaTheme="minorEastAsia" w:hAnsiTheme="minorEastAsia" w:hint="eastAsia"/>
        </w:rPr>
        <w:t>1,</w:t>
      </w:r>
      <w:r w:rsidRPr="00501A61">
        <w:rPr>
          <w:rFonts w:asciiTheme="minorEastAsia" w:eastAsiaTheme="minorEastAsia" w:hAnsiTheme="minorEastAsia"/>
        </w:rPr>
        <w:t>000</w:t>
      </w:r>
      <w:r w:rsidRPr="00501A61">
        <w:rPr>
          <w:rFonts w:asciiTheme="minorEastAsia" w:eastAsiaTheme="minorEastAsia" w:hAnsiTheme="minorEastAsia" w:hint="eastAsia"/>
        </w:rPr>
        <w:t>.00</w:t>
      </w:r>
      <w:r w:rsidRPr="00501A61">
        <w:rPr>
          <w:rFonts w:asciiTheme="minorEastAsia" w:eastAsiaTheme="minorEastAsia" w:hAnsiTheme="minorEastAsia"/>
        </w:rPr>
        <w:t>元</w:t>
      </w:r>
    </w:p>
    <w:p w:rsidR="0002608C" w:rsidRPr="00501A61" w:rsidRDefault="0002608C" w:rsidP="00107648">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转出基金</w:t>
      </w:r>
      <w:r w:rsidRPr="00501A61">
        <w:rPr>
          <w:rFonts w:asciiTheme="minorEastAsia" w:eastAsiaTheme="minorEastAsia" w:hAnsiTheme="minorEastAsia"/>
        </w:rPr>
        <w:t>赎回费＝</w:t>
      </w:r>
      <w:r w:rsidRPr="00501A61">
        <w:rPr>
          <w:rFonts w:asciiTheme="minorEastAsia" w:eastAsiaTheme="minorEastAsia" w:hAnsiTheme="minorEastAsia" w:hint="eastAsia"/>
        </w:rPr>
        <w:t>转换</w:t>
      </w:r>
      <w:r w:rsidRPr="00501A61">
        <w:rPr>
          <w:rFonts w:asciiTheme="minorEastAsia" w:eastAsiaTheme="minorEastAsia" w:hAnsiTheme="minorEastAsia"/>
        </w:rPr>
        <w:t>金额×</w:t>
      </w:r>
      <w:r w:rsidRPr="00501A61">
        <w:rPr>
          <w:rFonts w:asciiTheme="minorEastAsia" w:eastAsiaTheme="minorEastAsia" w:hAnsiTheme="minorEastAsia" w:hint="eastAsia"/>
        </w:rPr>
        <w:t>转出基金</w:t>
      </w:r>
      <w:r w:rsidRPr="00501A61">
        <w:rPr>
          <w:rFonts w:asciiTheme="minorEastAsia" w:eastAsiaTheme="minorEastAsia" w:hAnsiTheme="minorEastAsia"/>
        </w:rPr>
        <w:t>赎回费率</w:t>
      </w:r>
      <w:r w:rsidRPr="00501A61">
        <w:rPr>
          <w:rFonts w:asciiTheme="minorEastAsia" w:eastAsiaTheme="minorEastAsia" w:hAnsiTheme="minorEastAsia" w:hint="eastAsia"/>
        </w:rPr>
        <w:t>=</w:t>
      </w:r>
      <w:r w:rsidRPr="00501A61">
        <w:rPr>
          <w:rFonts w:asciiTheme="minorEastAsia" w:eastAsiaTheme="minorEastAsia" w:hAnsiTheme="minorEastAsia"/>
        </w:rPr>
        <w:t>1</w:t>
      </w:r>
      <w:r w:rsidRPr="00501A61">
        <w:rPr>
          <w:rFonts w:asciiTheme="minorEastAsia" w:eastAsiaTheme="minorEastAsia" w:hAnsiTheme="minorEastAsia" w:hint="eastAsia"/>
        </w:rPr>
        <w:t>1,</w:t>
      </w:r>
      <w:r w:rsidRPr="00501A61">
        <w:rPr>
          <w:rFonts w:asciiTheme="minorEastAsia" w:eastAsiaTheme="minorEastAsia" w:hAnsiTheme="minorEastAsia"/>
        </w:rPr>
        <w:t>000</w:t>
      </w:r>
      <w:r w:rsidRPr="00501A61">
        <w:rPr>
          <w:rFonts w:asciiTheme="minorEastAsia" w:eastAsiaTheme="minorEastAsia" w:hAnsiTheme="minorEastAsia" w:hint="eastAsia"/>
        </w:rPr>
        <w:t>.00</w:t>
      </w:r>
      <w:r w:rsidRPr="00501A61">
        <w:rPr>
          <w:rFonts w:asciiTheme="minorEastAsia" w:eastAsiaTheme="minorEastAsia" w:hAnsiTheme="minorEastAsia"/>
        </w:rPr>
        <w:t>×</w:t>
      </w:r>
      <w:r w:rsidRPr="00501A61">
        <w:rPr>
          <w:rFonts w:asciiTheme="minorEastAsia" w:eastAsiaTheme="minorEastAsia" w:hAnsiTheme="minorEastAsia" w:hint="eastAsia"/>
        </w:rPr>
        <w:t>0.5%=55.00元</w:t>
      </w:r>
    </w:p>
    <w:p w:rsidR="0002608C" w:rsidRPr="00501A61" w:rsidRDefault="0002608C" w:rsidP="00107648">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申购</w:t>
      </w:r>
      <w:r w:rsidRPr="00501A61">
        <w:rPr>
          <w:rFonts w:asciiTheme="minorEastAsia" w:eastAsiaTheme="minorEastAsia" w:hAnsiTheme="minorEastAsia"/>
        </w:rPr>
        <w:t>补差费</w:t>
      </w:r>
      <w:r w:rsidRPr="00501A61">
        <w:rPr>
          <w:rFonts w:asciiTheme="minorEastAsia" w:eastAsiaTheme="minorEastAsia" w:hAnsiTheme="minorEastAsia" w:hint="eastAsia"/>
        </w:rPr>
        <w:t>=（转换</w:t>
      </w:r>
      <w:r w:rsidRPr="00501A61">
        <w:rPr>
          <w:rFonts w:asciiTheme="minorEastAsia" w:eastAsiaTheme="minorEastAsia" w:hAnsiTheme="minorEastAsia"/>
        </w:rPr>
        <w:t>金额</w:t>
      </w:r>
      <w:r w:rsidRPr="00501A61">
        <w:rPr>
          <w:rFonts w:asciiTheme="minorEastAsia" w:eastAsiaTheme="minorEastAsia" w:hAnsiTheme="minorEastAsia" w:hint="eastAsia"/>
        </w:rPr>
        <w:t>—转出基金</w:t>
      </w:r>
      <w:r w:rsidRPr="00501A61">
        <w:rPr>
          <w:rFonts w:asciiTheme="minorEastAsia" w:eastAsiaTheme="minorEastAsia" w:hAnsiTheme="minorEastAsia"/>
        </w:rPr>
        <w:t>赎回费</w:t>
      </w:r>
      <w:r w:rsidRPr="00501A61">
        <w:rPr>
          <w:rFonts w:asciiTheme="minorEastAsia" w:eastAsiaTheme="minorEastAsia" w:hAnsiTheme="minorEastAsia" w:hint="eastAsia"/>
        </w:rPr>
        <w:t>）</w:t>
      </w:r>
      <w:r w:rsidRPr="00501A61">
        <w:rPr>
          <w:rFonts w:asciiTheme="minorEastAsia" w:eastAsiaTheme="minorEastAsia" w:hAnsiTheme="minorEastAsia"/>
        </w:rPr>
        <w:t>×</w:t>
      </w:r>
      <w:r w:rsidRPr="00501A61">
        <w:rPr>
          <w:rFonts w:asciiTheme="minorEastAsia" w:eastAsiaTheme="minorEastAsia" w:hAnsiTheme="minorEastAsia" w:hint="eastAsia"/>
        </w:rPr>
        <w:t>申购</w:t>
      </w:r>
      <w:r w:rsidRPr="00501A61">
        <w:rPr>
          <w:rFonts w:asciiTheme="minorEastAsia" w:eastAsiaTheme="minorEastAsia" w:hAnsiTheme="minorEastAsia"/>
        </w:rPr>
        <w:t>补差费率÷（１＋</w:t>
      </w:r>
      <w:r w:rsidRPr="00501A61">
        <w:rPr>
          <w:rFonts w:asciiTheme="minorEastAsia" w:eastAsiaTheme="minorEastAsia" w:hAnsiTheme="minorEastAsia" w:hint="eastAsia"/>
        </w:rPr>
        <w:t>申购</w:t>
      </w:r>
      <w:r w:rsidRPr="00501A61">
        <w:rPr>
          <w:rFonts w:asciiTheme="minorEastAsia" w:eastAsiaTheme="minorEastAsia" w:hAnsiTheme="minorEastAsia"/>
        </w:rPr>
        <w:t>补差费率）</w:t>
      </w:r>
      <w:r w:rsidRPr="00501A61">
        <w:rPr>
          <w:rFonts w:asciiTheme="minorEastAsia" w:eastAsiaTheme="minorEastAsia" w:hAnsiTheme="minorEastAsia" w:hint="eastAsia"/>
        </w:rPr>
        <w:t>=（</w:t>
      </w:r>
      <w:r w:rsidRPr="00501A61">
        <w:rPr>
          <w:rFonts w:asciiTheme="minorEastAsia" w:eastAsiaTheme="minorEastAsia" w:hAnsiTheme="minorEastAsia"/>
        </w:rPr>
        <w:t>1</w:t>
      </w:r>
      <w:r w:rsidRPr="00501A61">
        <w:rPr>
          <w:rFonts w:asciiTheme="minorEastAsia" w:eastAsiaTheme="minorEastAsia" w:hAnsiTheme="minorEastAsia" w:hint="eastAsia"/>
        </w:rPr>
        <w:t>1,</w:t>
      </w:r>
      <w:r w:rsidRPr="00501A61">
        <w:rPr>
          <w:rFonts w:asciiTheme="minorEastAsia" w:eastAsiaTheme="minorEastAsia" w:hAnsiTheme="minorEastAsia"/>
        </w:rPr>
        <w:t>000</w:t>
      </w:r>
      <w:r w:rsidRPr="00501A61">
        <w:rPr>
          <w:rFonts w:asciiTheme="minorEastAsia" w:eastAsiaTheme="minorEastAsia" w:hAnsiTheme="minorEastAsia" w:hint="eastAsia"/>
        </w:rPr>
        <w:t>.00-55.00）</w:t>
      </w:r>
      <w:r w:rsidRPr="00501A61">
        <w:rPr>
          <w:rFonts w:asciiTheme="minorEastAsia" w:eastAsiaTheme="minorEastAsia" w:hAnsiTheme="minorEastAsia"/>
        </w:rPr>
        <w:t>×</w:t>
      </w:r>
      <w:r w:rsidRPr="00501A61">
        <w:rPr>
          <w:rFonts w:asciiTheme="minorEastAsia" w:eastAsiaTheme="minorEastAsia" w:hAnsiTheme="minorEastAsia" w:hint="eastAsia"/>
        </w:rPr>
        <w:t>0.5%</w:t>
      </w:r>
      <w:r w:rsidRPr="00501A61">
        <w:rPr>
          <w:rFonts w:asciiTheme="minorEastAsia" w:eastAsiaTheme="minorEastAsia" w:hAnsiTheme="minorEastAsia"/>
        </w:rPr>
        <w:t>÷</w:t>
      </w:r>
      <w:r w:rsidRPr="00501A61">
        <w:rPr>
          <w:rFonts w:asciiTheme="minorEastAsia" w:eastAsiaTheme="minorEastAsia" w:hAnsiTheme="minorEastAsia" w:hint="eastAsia"/>
        </w:rPr>
        <w:t>(1+0.5%)=54.45元</w:t>
      </w:r>
    </w:p>
    <w:p w:rsidR="0002608C" w:rsidRPr="00501A61" w:rsidRDefault="0002608C" w:rsidP="00107648">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rPr>
        <w:t>转换费＝转出基金赎回费+申购补差费=</w:t>
      </w:r>
      <w:r w:rsidRPr="00501A61">
        <w:rPr>
          <w:rFonts w:asciiTheme="minorEastAsia" w:eastAsiaTheme="minorEastAsia" w:hAnsiTheme="minorEastAsia" w:hint="eastAsia"/>
        </w:rPr>
        <w:t>55.00</w:t>
      </w:r>
      <w:r w:rsidRPr="00501A61">
        <w:rPr>
          <w:rFonts w:asciiTheme="minorEastAsia" w:eastAsiaTheme="minorEastAsia" w:hAnsiTheme="minorEastAsia"/>
        </w:rPr>
        <w:t>+</w:t>
      </w:r>
      <w:r w:rsidRPr="00501A61">
        <w:rPr>
          <w:rFonts w:asciiTheme="minorEastAsia" w:eastAsiaTheme="minorEastAsia" w:hAnsiTheme="minorEastAsia" w:hint="eastAsia"/>
        </w:rPr>
        <w:t>54.45</w:t>
      </w:r>
      <w:r w:rsidRPr="00501A61">
        <w:rPr>
          <w:rFonts w:asciiTheme="minorEastAsia" w:eastAsiaTheme="minorEastAsia" w:hAnsiTheme="minorEastAsia"/>
        </w:rPr>
        <w:t>＝</w:t>
      </w:r>
      <w:r w:rsidRPr="00501A61">
        <w:rPr>
          <w:rFonts w:asciiTheme="minorEastAsia" w:eastAsiaTheme="minorEastAsia" w:hAnsiTheme="minorEastAsia" w:hint="eastAsia"/>
        </w:rPr>
        <w:t>109.45元</w:t>
      </w:r>
    </w:p>
    <w:p w:rsidR="0002608C" w:rsidRPr="00501A61" w:rsidRDefault="0002608C" w:rsidP="00107648">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转入金额=转换</w:t>
      </w:r>
      <w:r w:rsidRPr="00501A61">
        <w:rPr>
          <w:rFonts w:asciiTheme="minorEastAsia" w:eastAsiaTheme="minorEastAsia" w:hAnsiTheme="minorEastAsia"/>
        </w:rPr>
        <w:t>金额</w:t>
      </w:r>
      <w:r w:rsidRPr="00501A61">
        <w:rPr>
          <w:rFonts w:asciiTheme="minorEastAsia" w:eastAsiaTheme="minorEastAsia" w:hAnsiTheme="minorEastAsia" w:hint="eastAsia"/>
        </w:rPr>
        <w:t>—</w:t>
      </w:r>
      <w:r w:rsidRPr="00501A61">
        <w:rPr>
          <w:rFonts w:asciiTheme="minorEastAsia" w:eastAsiaTheme="minorEastAsia" w:hAnsiTheme="minorEastAsia"/>
        </w:rPr>
        <w:t>转换费</w:t>
      </w:r>
      <w:r w:rsidRPr="00501A61">
        <w:rPr>
          <w:rFonts w:asciiTheme="minorEastAsia" w:eastAsiaTheme="minorEastAsia" w:hAnsiTheme="minorEastAsia" w:hint="eastAsia"/>
        </w:rPr>
        <w:t>=</w:t>
      </w:r>
      <w:r w:rsidRPr="00501A61">
        <w:rPr>
          <w:rFonts w:asciiTheme="minorEastAsia" w:eastAsiaTheme="minorEastAsia" w:hAnsiTheme="minorEastAsia"/>
        </w:rPr>
        <w:t>1</w:t>
      </w:r>
      <w:r w:rsidRPr="00501A61">
        <w:rPr>
          <w:rFonts w:asciiTheme="minorEastAsia" w:eastAsiaTheme="minorEastAsia" w:hAnsiTheme="minorEastAsia" w:hint="eastAsia"/>
        </w:rPr>
        <w:t>1,</w:t>
      </w:r>
      <w:r w:rsidRPr="00501A61">
        <w:rPr>
          <w:rFonts w:asciiTheme="minorEastAsia" w:eastAsiaTheme="minorEastAsia" w:hAnsiTheme="minorEastAsia"/>
        </w:rPr>
        <w:t>000</w:t>
      </w:r>
      <w:r w:rsidRPr="00501A61">
        <w:rPr>
          <w:rFonts w:asciiTheme="minorEastAsia" w:eastAsiaTheme="minorEastAsia" w:hAnsiTheme="minorEastAsia" w:hint="eastAsia"/>
        </w:rPr>
        <w:t>.00-109.45=10,890.55元</w:t>
      </w:r>
    </w:p>
    <w:p w:rsidR="0002608C" w:rsidRPr="00501A61" w:rsidRDefault="0002608C" w:rsidP="00107648">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转入份额=转入金额</w:t>
      </w:r>
      <w:r w:rsidRPr="00501A61">
        <w:rPr>
          <w:rFonts w:asciiTheme="minorEastAsia" w:eastAsiaTheme="minorEastAsia" w:hAnsiTheme="minorEastAsia"/>
        </w:rPr>
        <w:t>÷</w:t>
      </w:r>
      <w:r w:rsidRPr="00501A61">
        <w:rPr>
          <w:rFonts w:asciiTheme="minorEastAsia" w:eastAsiaTheme="minorEastAsia" w:hAnsiTheme="minorEastAsia" w:hint="eastAsia"/>
        </w:rPr>
        <w:t>转入基金份额净值=10,890.55</w:t>
      </w:r>
      <w:r w:rsidRPr="00501A61">
        <w:rPr>
          <w:rFonts w:asciiTheme="minorEastAsia" w:eastAsiaTheme="minorEastAsia" w:hAnsiTheme="minorEastAsia"/>
        </w:rPr>
        <w:t>÷</w:t>
      </w:r>
      <w:r w:rsidRPr="00501A61">
        <w:rPr>
          <w:rFonts w:asciiTheme="minorEastAsia" w:eastAsiaTheme="minorEastAsia" w:hAnsiTheme="minorEastAsia" w:hint="eastAsia"/>
        </w:rPr>
        <w:t>1.020=10,677.01份</w:t>
      </w:r>
    </w:p>
    <w:tbl>
      <w:tblPr>
        <w:tblW w:w="95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1282"/>
        <w:gridCol w:w="1260"/>
        <w:gridCol w:w="1080"/>
        <w:gridCol w:w="1440"/>
        <w:gridCol w:w="1185"/>
        <w:gridCol w:w="1335"/>
      </w:tblGrid>
      <w:tr w:rsidR="00501A61" w:rsidRPr="00501A61" w:rsidTr="00E1094C">
        <w:trPr>
          <w:trHeight w:val="413"/>
        </w:trPr>
        <w:tc>
          <w:tcPr>
            <w:tcW w:w="993" w:type="dxa"/>
            <w:vMerge w:val="restart"/>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转出</w:t>
            </w:r>
            <w:r w:rsidRPr="00501A61">
              <w:rPr>
                <w:rFonts w:asciiTheme="minorEastAsia" w:eastAsiaTheme="minorEastAsia" w:hAnsiTheme="minorEastAsia"/>
                <w:szCs w:val="20"/>
              </w:rPr>
              <w:t>份额</w:t>
            </w:r>
          </w:p>
        </w:tc>
        <w:tc>
          <w:tcPr>
            <w:tcW w:w="992" w:type="dxa"/>
            <w:vMerge w:val="restart"/>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转出</w:t>
            </w:r>
            <w:r w:rsidRPr="00501A61">
              <w:rPr>
                <w:rFonts w:asciiTheme="minorEastAsia" w:eastAsiaTheme="minorEastAsia" w:hAnsiTheme="minorEastAsia"/>
                <w:szCs w:val="20"/>
              </w:rPr>
              <w:t>基金</w:t>
            </w:r>
            <w:r w:rsidRPr="00501A61">
              <w:rPr>
                <w:rFonts w:asciiTheme="minorEastAsia" w:eastAsiaTheme="minorEastAsia" w:hAnsiTheme="minorEastAsia" w:hint="eastAsia"/>
                <w:szCs w:val="20"/>
              </w:rPr>
              <w:t>份额</w:t>
            </w:r>
            <w:r w:rsidRPr="00501A61">
              <w:rPr>
                <w:rFonts w:asciiTheme="minorEastAsia" w:eastAsiaTheme="minorEastAsia" w:hAnsiTheme="minorEastAsia"/>
                <w:szCs w:val="20"/>
              </w:rPr>
              <w:t>净值</w:t>
            </w:r>
          </w:p>
        </w:tc>
        <w:tc>
          <w:tcPr>
            <w:tcW w:w="1282" w:type="dxa"/>
            <w:vMerge w:val="restart"/>
          </w:tcPr>
          <w:p w:rsidR="0002608C" w:rsidRPr="00501A61" w:rsidRDefault="0002608C" w:rsidP="00107648">
            <w:pPr>
              <w:snapToGrid w:val="0"/>
              <w:spacing w:line="360" w:lineRule="auto"/>
              <w:ind w:leftChars="-51" w:left="-107"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转换金额</w:t>
            </w:r>
          </w:p>
        </w:tc>
        <w:tc>
          <w:tcPr>
            <w:tcW w:w="2340" w:type="dxa"/>
            <w:gridSpan w:val="2"/>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转换费</w:t>
            </w:r>
          </w:p>
        </w:tc>
        <w:tc>
          <w:tcPr>
            <w:tcW w:w="1440" w:type="dxa"/>
            <w:vMerge w:val="restart"/>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转入金额</w:t>
            </w:r>
          </w:p>
        </w:tc>
        <w:tc>
          <w:tcPr>
            <w:tcW w:w="1185" w:type="dxa"/>
            <w:vMerge w:val="restart"/>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转入</w:t>
            </w:r>
            <w:r w:rsidRPr="00501A61">
              <w:rPr>
                <w:rFonts w:asciiTheme="minorEastAsia" w:eastAsiaTheme="minorEastAsia" w:hAnsiTheme="minorEastAsia"/>
                <w:szCs w:val="20"/>
              </w:rPr>
              <w:t>基金</w:t>
            </w:r>
            <w:r w:rsidRPr="00501A61">
              <w:rPr>
                <w:rFonts w:asciiTheme="minorEastAsia" w:eastAsiaTheme="minorEastAsia" w:hAnsiTheme="minorEastAsia" w:hint="eastAsia"/>
                <w:szCs w:val="20"/>
              </w:rPr>
              <w:t>份额</w:t>
            </w:r>
            <w:r w:rsidRPr="00501A61">
              <w:rPr>
                <w:rFonts w:asciiTheme="minorEastAsia" w:eastAsiaTheme="minorEastAsia" w:hAnsiTheme="minorEastAsia"/>
                <w:szCs w:val="20"/>
              </w:rPr>
              <w:t>净值</w:t>
            </w:r>
          </w:p>
        </w:tc>
        <w:tc>
          <w:tcPr>
            <w:tcW w:w="1335" w:type="dxa"/>
            <w:vMerge w:val="restart"/>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转入份额</w:t>
            </w:r>
          </w:p>
        </w:tc>
      </w:tr>
      <w:tr w:rsidR="00501A61" w:rsidRPr="00501A61" w:rsidTr="00E1094C">
        <w:trPr>
          <w:trHeight w:val="412"/>
        </w:trPr>
        <w:tc>
          <w:tcPr>
            <w:tcW w:w="993" w:type="dxa"/>
            <w:vMerge/>
          </w:tcPr>
          <w:p w:rsidR="0002608C" w:rsidRPr="00501A61" w:rsidRDefault="0002608C" w:rsidP="00107648">
            <w:pPr>
              <w:snapToGrid w:val="0"/>
              <w:spacing w:line="360" w:lineRule="auto"/>
              <w:ind w:firstLine="420"/>
              <w:rPr>
                <w:rFonts w:asciiTheme="minorEastAsia" w:eastAsiaTheme="minorEastAsia" w:hAnsiTheme="minorEastAsia"/>
                <w:szCs w:val="20"/>
              </w:rPr>
            </w:pPr>
          </w:p>
        </w:tc>
        <w:tc>
          <w:tcPr>
            <w:tcW w:w="992" w:type="dxa"/>
            <w:vMerge/>
          </w:tcPr>
          <w:p w:rsidR="0002608C" w:rsidRPr="00501A61" w:rsidRDefault="0002608C" w:rsidP="00107648">
            <w:pPr>
              <w:snapToGrid w:val="0"/>
              <w:spacing w:line="360" w:lineRule="auto"/>
              <w:ind w:firstLine="420"/>
              <w:rPr>
                <w:rFonts w:asciiTheme="minorEastAsia" w:eastAsiaTheme="minorEastAsia" w:hAnsiTheme="minorEastAsia"/>
                <w:szCs w:val="20"/>
              </w:rPr>
            </w:pPr>
          </w:p>
        </w:tc>
        <w:tc>
          <w:tcPr>
            <w:tcW w:w="1282" w:type="dxa"/>
            <w:vMerge/>
          </w:tcPr>
          <w:p w:rsidR="0002608C" w:rsidRPr="00501A61" w:rsidRDefault="0002608C" w:rsidP="00107648">
            <w:pPr>
              <w:snapToGrid w:val="0"/>
              <w:spacing w:line="360" w:lineRule="auto"/>
              <w:ind w:firstLine="420"/>
              <w:rPr>
                <w:rFonts w:asciiTheme="minorEastAsia" w:eastAsiaTheme="minorEastAsia" w:hAnsiTheme="minorEastAsia"/>
                <w:szCs w:val="20"/>
              </w:rPr>
            </w:pPr>
          </w:p>
        </w:tc>
        <w:tc>
          <w:tcPr>
            <w:tcW w:w="1260" w:type="dxa"/>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转出基金</w:t>
            </w:r>
            <w:r w:rsidRPr="00501A61">
              <w:rPr>
                <w:rFonts w:asciiTheme="minorEastAsia" w:eastAsiaTheme="minorEastAsia" w:hAnsiTheme="minorEastAsia"/>
                <w:szCs w:val="20"/>
              </w:rPr>
              <w:t>赎回费</w:t>
            </w:r>
          </w:p>
        </w:tc>
        <w:tc>
          <w:tcPr>
            <w:tcW w:w="1080" w:type="dxa"/>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申购</w:t>
            </w:r>
            <w:r w:rsidRPr="00501A61">
              <w:rPr>
                <w:rFonts w:asciiTheme="minorEastAsia" w:eastAsiaTheme="minorEastAsia" w:hAnsiTheme="minorEastAsia"/>
                <w:szCs w:val="20"/>
              </w:rPr>
              <w:t>补差费</w:t>
            </w:r>
          </w:p>
        </w:tc>
        <w:tc>
          <w:tcPr>
            <w:tcW w:w="1440" w:type="dxa"/>
            <w:vMerge/>
          </w:tcPr>
          <w:p w:rsidR="0002608C" w:rsidRPr="00501A61" w:rsidRDefault="0002608C" w:rsidP="00107648">
            <w:pPr>
              <w:snapToGrid w:val="0"/>
              <w:spacing w:line="360" w:lineRule="auto"/>
              <w:ind w:firstLine="420"/>
              <w:rPr>
                <w:rFonts w:asciiTheme="minorEastAsia" w:eastAsiaTheme="minorEastAsia" w:hAnsiTheme="minorEastAsia"/>
                <w:szCs w:val="20"/>
              </w:rPr>
            </w:pPr>
          </w:p>
        </w:tc>
        <w:tc>
          <w:tcPr>
            <w:tcW w:w="1185" w:type="dxa"/>
            <w:vMerge/>
          </w:tcPr>
          <w:p w:rsidR="0002608C" w:rsidRPr="00501A61" w:rsidRDefault="0002608C" w:rsidP="00107648">
            <w:pPr>
              <w:snapToGrid w:val="0"/>
              <w:spacing w:line="360" w:lineRule="auto"/>
              <w:ind w:firstLine="420"/>
              <w:rPr>
                <w:rFonts w:asciiTheme="minorEastAsia" w:eastAsiaTheme="minorEastAsia" w:hAnsiTheme="minorEastAsia"/>
                <w:szCs w:val="20"/>
              </w:rPr>
            </w:pPr>
          </w:p>
        </w:tc>
        <w:tc>
          <w:tcPr>
            <w:tcW w:w="1335" w:type="dxa"/>
            <w:vMerge/>
          </w:tcPr>
          <w:p w:rsidR="0002608C" w:rsidRPr="00501A61" w:rsidRDefault="0002608C" w:rsidP="00107648">
            <w:pPr>
              <w:snapToGrid w:val="0"/>
              <w:spacing w:line="360" w:lineRule="auto"/>
              <w:ind w:firstLine="420"/>
              <w:rPr>
                <w:rFonts w:asciiTheme="minorEastAsia" w:eastAsiaTheme="minorEastAsia" w:hAnsiTheme="minorEastAsia"/>
                <w:szCs w:val="20"/>
              </w:rPr>
            </w:pPr>
          </w:p>
        </w:tc>
      </w:tr>
      <w:tr w:rsidR="00501A61" w:rsidRPr="00501A61" w:rsidTr="00E1094C">
        <w:tc>
          <w:tcPr>
            <w:tcW w:w="993" w:type="dxa"/>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szCs w:val="20"/>
              </w:rPr>
              <w:lastRenderedPageBreak/>
              <w:t>10,000</w:t>
            </w:r>
            <w:r w:rsidRPr="00501A61">
              <w:rPr>
                <w:rFonts w:asciiTheme="minorEastAsia" w:eastAsiaTheme="minorEastAsia" w:hAnsiTheme="minorEastAsia" w:hint="eastAsia"/>
                <w:szCs w:val="20"/>
              </w:rPr>
              <w:t>份</w:t>
            </w:r>
          </w:p>
        </w:tc>
        <w:tc>
          <w:tcPr>
            <w:tcW w:w="992" w:type="dxa"/>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szCs w:val="20"/>
              </w:rPr>
              <w:t>1.</w:t>
            </w:r>
            <w:r w:rsidRPr="00501A61">
              <w:rPr>
                <w:rFonts w:asciiTheme="minorEastAsia" w:eastAsiaTheme="minorEastAsia" w:hAnsiTheme="minorEastAsia" w:hint="eastAsia"/>
                <w:szCs w:val="20"/>
              </w:rPr>
              <w:t>1</w:t>
            </w:r>
            <w:r w:rsidRPr="00501A61">
              <w:rPr>
                <w:rFonts w:asciiTheme="minorEastAsia" w:eastAsiaTheme="minorEastAsia" w:hAnsiTheme="minorEastAsia"/>
                <w:szCs w:val="20"/>
              </w:rPr>
              <w:t>0</w:t>
            </w:r>
            <w:r w:rsidRPr="00501A61">
              <w:rPr>
                <w:rFonts w:asciiTheme="minorEastAsia" w:eastAsiaTheme="minorEastAsia" w:hAnsiTheme="minorEastAsia" w:hint="eastAsia"/>
                <w:szCs w:val="20"/>
              </w:rPr>
              <w:t>00</w:t>
            </w:r>
            <w:r w:rsidRPr="00501A61">
              <w:rPr>
                <w:rFonts w:asciiTheme="minorEastAsia" w:eastAsiaTheme="minorEastAsia" w:hAnsiTheme="minorEastAsia"/>
                <w:szCs w:val="20"/>
              </w:rPr>
              <w:t>元</w:t>
            </w:r>
          </w:p>
        </w:tc>
        <w:tc>
          <w:tcPr>
            <w:tcW w:w="1282" w:type="dxa"/>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11,000.00元</w:t>
            </w:r>
          </w:p>
        </w:tc>
        <w:tc>
          <w:tcPr>
            <w:tcW w:w="1260" w:type="dxa"/>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55.00元</w:t>
            </w:r>
          </w:p>
        </w:tc>
        <w:tc>
          <w:tcPr>
            <w:tcW w:w="1080" w:type="dxa"/>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rPr>
              <w:t>54.45</w:t>
            </w:r>
            <w:r w:rsidRPr="00501A61">
              <w:rPr>
                <w:rFonts w:asciiTheme="minorEastAsia" w:eastAsiaTheme="minorEastAsia" w:hAnsiTheme="minorEastAsia" w:hint="eastAsia"/>
                <w:szCs w:val="20"/>
              </w:rPr>
              <w:t>元</w:t>
            </w:r>
          </w:p>
        </w:tc>
        <w:tc>
          <w:tcPr>
            <w:tcW w:w="1440" w:type="dxa"/>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10,8</w:t>
            </w:r>
            <w:r w:rsidRPr="00501A61">
              <w:rPr>
                <w:rFonts w:asciiTheme="minorEastAsia" w:eastAsiaTheme="minorEastAsia" w:hAnsiTheme="minorEastAsia" w:hint="eastAsia"/>
              </w:rPr>
              <w:t>90</w:t>
            </w:r>
            <w:r w:rsidRPr="00501A61">
              <w:rPr>
                <w:rFonts w:asciiTheme="minorEastAsia" w:eastAsiaTheme="minorEastAsia" w:hAnsiTheme="minorEastAsia" w:hint="eastAsia"/>
                <w:szCs w:val="20"/>
              </w:rPr>
              <w:t>.</w:t>
            </w:r>
            <w:r w:rsidRPr="00501A61">
              <w:rPr>
                <w:rFonts w:asciiTheme="minorEastAsia" w:eastAsiaTheme="minorEastAsia" w:hAnsiTheme="minorEastAsia" w:hint="eastAsia"/>
              </w:rPr>
              <w:t>55</w:t>
            </w:r>
            <w:r w:rsidRPr="00501A61">
              <w:rPr>
                <w:rFonts w:asciiTheme="minorEastAsia" w:eastAsiaTheme="minorEastAsia" w:hAnsiTheme="minorEastAsia" w:hint="eastAsia"/>
                <w:szCs w:val="20"/>
              </w:rPr>
              <w:t>元</w:t>
            </w:r>
          </w:p>
        </w:tc>
        <w:tc>
          <w:tcPr>
            <w:tcW w:w="1185" w:type="dxa"/>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1.020元</w:t>
            </w:r>
          </w:p>
        </w:tc>
        <w:tc>
          <w:tcPr>
            <w:tcW w:w="1335" w:type="dxa"/>
          </w:tcPr>
          <w:p w:rsidR="0002608C" w:rsidRPr="00501A61" w:rsidRDefault="0002608C" w:rsidP="00107648">
            <w:pPr>
              <w:snapToGrid w:val="0"/>
              <w:spacing w:line="360" w:lineRule="auto"/>
              <w:ind w:leftChars="-45" w:left="-94" w:rightChars="-57" w:right="-120"/>
              <w:jc w:val="center"/>
              <w:rPr>
                <w:rFonts w:asciiTheme="minorEastAsia" w:eastAsiaTheme="minorEastAsia" w:hAnsiTheme="minorEastAsia"/>
                <w:szCs w:val="20"/>
              </w:rPr>
            </w:pPr>
            <w:r w:rsidRPr="00501A61">
              <w:rPr>
                <w:rFonts w:asciiTheme="minorEastAsia" w:eastAsiaTheme="minorEastAsia" w:hAnsiTheme="minorEastAsia" w:hint="eastAsia"/>
                <w:szCs w:val="20"/>
              </w:rPr>
              <w:t>10,6</w:t>
            </w:r>
            <w:r w:rsidRPr="00501A61">
              <w:rPr>
                <w:rFonts w:asciiTheme="minorEastAsia" w:eastAsiaTheme="minorEastAsia" w:hAnsiTheme="minorEastAsia" w:hint="eastAsia"/>
              </w:rPr>
              <w:t>77</w:t>
            </w:r>
            <w:r w:rsidRPr="00501A61">
              <w:rPr>
                <w:rFonts w:asciiTheme="minorEastAsia" w:eastAsiaTheme="minorEastAsia" w:hAnsiTheme="minorEastAsia" w:hint="eastAsia"/>
                <w:szCs w:val="20"/>
              </w:rPr>
              <w:t>.</w:t>
            </w:r>
            <w:r w:rsidRPr="00501A61">
              <w:rPr>
                <w:rFonts w:asciiTheme="minorEastAsia" w:eastAsiaTheme="minorEastAsia" w:hAnsiTheme="minorEastAsia" w:hint="eastAsia"/>
              </w:rPr>
              <w:t>01</w:t>
            </w:r>
            <w:r w:rsidRPr="00501A61">
              <w:rPr>
                <w:rFonts w:asciiTheme="minorEastAsia" w:eastAsiaTheme="minorEastAsia" w:hAnsiTheme="minorEastAsia" w:hint="eastAsia"/>
                <w:szCs w:val="20"/>
              </w:rPr>
              <w:t>份</w:t>
            </w:r>
          </w:p>
        </w:tc>
      </w:tr>
    </w:tbl>
    <w:p w:rsidR="00B650C1" w:rsidRPr="00501A61" w:rsidRDefault="00B650C1" w:rsidP="00AF5493">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注：本基金转出至易方达平稳增长混合、易方达策略成长混合、易方达上证50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1年定期开放债券、易方达高等级信用债债券、易方达裕丰回报债券、易方达丰华债券、易方达投资级信用债债券、易方达恒久1年定期债券、易方达黄金ETF联接、易方达易理财货币、易方达新兴成长混合、易方达裕惠定开混合发起式、易方达创新驱动混合、易方达现金增利货币、易方达天天增利货币、易方达龙宝货币、易方达天天发货币、易方达掌柜季季盈理财债券、易方达沪深300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300医药ETF联接、易方达新丝路混合、易方达国企改革混合、易方达瑞景混合、易方达瑞享混合、易方达瑞信混合、易方达瑞选混合、易方达国防军工混合、易方达中债3-5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6个月定期开放债券、易方达丰惠混合、易方达供给改革混合、易方达丰和债券、易方达裕鑫债券、易方达富惠纯债债券、易方达科瑞混合、易方达中债7-10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MSCI中国A股国际通ETF联接发起式、易方达中证500ETF联接发起式、易方达恒利3个月定开债券发起式、易方达中债1-3年国开行债券指数、易方达中债3-5年国开行债券指数、易方达中债1-3年政金债指数、易方达中债3-5年政金债指数、易方达上证50ETF联接发起式、易方达恒兴3个月定开债券发起式、易方达ESG责任投资股票发起式、易方达中证国企一带一路ETF联接、易方达中证800ETF联接发起式、易方达恒盛3个月定开混合发起式、易方达研究精选股票、易方达高端制造混合发起式、易方达价值成长混合、易方达中小盘混合、易方达科汇灵活配置混合、易方达科翔混合、易方达行业领先混合、易方达增强回报债券、易方达深证100ETF联接、易方达沪深300ETF发起式联接、易方达上证中盘ETF联接、易方达消费行业股票、易方达医疗保健行业混合、易方达资源行业混合、易方达创业板ETF联接、易方达安心回报债券、易方达科讯混合、易方达沪深300量化增强、易方达双债增强债券、易方达纯债债券、易方</w:t>
      </w:r>
      <w:r w:rsidRPr="00501A61">
        <w:rPr>
          <w:rFonts w:asciiTheme="minorEastAsia" w:eastAsiaTheme="minorEastAsia" w:hAnsiTheme="minorEastAsia" w:hint="eastAsia"/>
          <w:szCs w:val="21"/>
        </w:rPr>
        <w:lastRenderedPageBreak/>
        <w:t>达月月利理财债券、易方达财富快线货币、易方达安源中短债债券、易方达策略成长二号混合、易方达裕富债券时，转入份额的计算结果保留到小数点后两位，小数点后两位以后的部分四舍五入，由此误差产生的损失由基金财产承担，产生的收益归基金财产所有。</w:t>
      </w:r>
    </w:p>
    <w:p w:rsidR="005E7CD0" w:rsidRPr="00501A61" w:rsidRDefault="005E7CD0" w:rsidP="005E7CD0">
      <w:pPr>
        <w:rPr>
          <w:rFonts w:asciiTheme="minorEastAsia" w:eastAsiaTheme="minorEastAsia" w:hAnsiTheme="minorEastAsia"/>
        </w:rPr>
      </w:pP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sz w:val="24"/>
        </w:rPr>
      </w:pPr>
      <w:bookmarkStart w:id="52" w:name="_Toc144109264"/>
      <w:bookmarkStart w:id="53" w:name="_Toc45632219"/>
      <w:r w:rsidRPr="00501A61">
        <w:rPr>
          <w:rFonts w:asciiTheme="minorEastAsia" w:eastAsiaTheme="minorEastAsia" w:hAnsiTheme="minorEastAsia" w:hint="eastAsia"/>
          <w:b w:val="0"/>
          <w:sz w:val="24"/>
        </w:rPr>
        <w:t>（七）基金转换的注册登记</w:t>
      </w:r>
      <w:bookmarkEnd w:id="52"/>
      <w:bookmarkEnd w:id="53"/>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基金管理人可在法律法规允许的范围内，对上述注册登记办理时间进行调整，并最迟于开始实施前三个工作日予以公告。</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sz w:val="24"/>
        </w:rPr>
      </w:pPr>
      <w:bookmarkStart w:id="54" w:name="_Toc144109265"/>
      <w:bookmarkStart w:id="55" w:name="_Toc45632220"/>
      <w:r w:rsidRPr="00501A61">
        <w:rPr>
          <w:rFonts w:asciiTheme="minorEastAsia" w:eastAsiaTheme="minorEastAsia" w:hAnsiTheme="minorEastAsia" w:hint="eastAsia"/>
          <w:b w:val="0"/>
          <w:sz w:val="24"/>
        </w:rPr>
        <w:t>（八）基金转换</w:t>
      </w:r>
      <w:r w:rsidRPr="00501A61">
        <w:rPr>
          <w:rFonts w:asciiTheme="minorEastAsia" w:eastAsiaTheme="minorEastAsia" w:hAnsiTheme="minorEastAsia"/>
          <w:b w:val="0"/>
          <w:sz w:val="24"/>
        </w:rPr>
        <w:t>与巨额赎回</w:t>
      </w:r>
      <w:bookmarkEnd w:id="54"/>
      <w:bookmarkEnd w:id="55"/>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sz w:val="24"/>
        </w:rPr>
      </w:pPr>
      <w:bookmarkStart w:id="56" w:name="_Toc45632221"/>
      <w:r w:rsidRPr="00501A61">
        <w:rPr>
          <w:rFonts w:asciiTheme="minorEastAsia" w:eastAsiaTheme="minorEastAsia" w:hAnsiTheme="minorEastAsia" w:hint="eastAsia"/>
          <w:b w:val="0"/>
          <w:sz w:val="24"/>
        </w:rPr>
        <w:t>（九）暂停基金转换的情形</w:t>
      </w:r>
      <w:bookmarkEnd w:id="56"/>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出现下列情况之一时,基金管理人可以暂停接受基金份额持有人的基金转换申请：</w:t>
      </w:r>
    </w:p>
    <w:p w:rsidR="0002608C" w:rsidRPr="00501A61" w:rsidRDefault="00C15CD6"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w:t>
      </w:r>
      <w:r w:rsidR="0002608C" w:rsidRPr="00501A61">
        <w:rPr>
          <w:rFonts w:asciiTheme="minorEastAsia" w:eastAsiaTheme="minorEastAsia" w:hAnsiTheme="minorEastAsia" w:hint="eastAsia"/>
        </w:rPr>
        <w:t>不可抗力的原因导致基金无法正常运作；</w:t>
      </w:r>
    </w:p>
    <w:p w:rsidR="0002608C" w:rsidRPr="00501A61" w:rsidRDefault="00C15CD6"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2、</w:t>
      </w:r>
      <w:r w:rsidR="0002608C" w:rsidRPr="00501A61">
        <w:rPr>
          <w:rFonts w:asciiTheme="minorEastAsia" w:eastAsiaTheme="minorEastAsia" w:hAnsiTheme="minorEastAsia" w:hint="eastAsia"/>
        </w:rPr>
        <w:t>证券交易场所在交易时间非正常停市，导致基金管理人无法计算当日基金资产净值；</w:t>
      </w:r>
    </w:p>
    <w:p w:rsidR="0002608C" w:rsidRPr="00501A61" w:rsidRDefault="00C15CD6"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3、</w:t>
      </w:r>
      <w:r w:rsidR="0002608C" w:rsidRPr="00501A61">
        <w:rPr>
          <w:rFonts w:asciiTheme="minorEastAsia" w:eastAsiaTheme="minorEastAsia" w:hAnsiTheme="minorEastAsia"/>
        </w:rPr>
        <w:t>因市场剧烈波动或其它原因而出现连续巨额赎回，</w:t>
      </w:r>
      <w:r w:rsidR="0002608C" w:rsidRPr="00501A61">
        <w:rPr>
          <w:rFonts w:asciiTheme="minorEastAsia" w:eastAsiaTheme="minorEastAsia" w:hAnsiTheme="minorEastAsia" w:hint="eastAsia"/>
        </w:rPr>
        <w:t>基金管理人认为有必要暂停接受该基金份额的转出申请；</w:t>
      </w:r>
    </w:p>
    <w:p w:rsidR="0002608C" w:rsidRPr="00501A61" w:rsidRDefault="00C15CD6"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4、</w:t>
      </w:r>
      <w:r w:rsidR="0002608C" w:rsidRPr="00501A61">
        <w:rPr>
          <w:rFonts w:asciiTheme="minorEastAsia" w:eastAsiaTheme="minorEastAsia" w:hAnsiTheme="minorEastAsia"/>
        </w:rPr>
        <w:t>基金管理人认为会有损于现有基金份额持有人利益的某笔转入</w:t>
      </w:r>
      <w:r w:rsidR="0002608C" w:rsidRPr="00501A61">
        <w:rPr>
          <w:rFonts w:asciiTheme="minorEastAsia" w:eastAsiaTheme="minorEastAsia" w:hAnsiTheme="minorEastAsia" w:hint="eastAsia"/>
        </w:rPr>
        <w:t>或</w:t>
      </w:r>
      <w:r w:rsidR="0002608C" w:rsidRPr="00501A61">
        <w:rPr>
          <w:rFonts w:asciiTheme="minorEastAsia" w:eastAsiaTheme="minorEastAsia" w:hAnsiTheme="minorEastAsia"/>
        </w:rPr>
        <w:t>某笔转出；</w:t>
      </w:r>
    </w:p>
    <w:p w:rsidR="0002608C" w:rsidRPr="00501A61" w:rsidRDefault="00C15CD6"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5、</w:t>
      </w:r>
      <w:r w:rsidR="0002608C" w:rsidRPr="00501A61">
        <w:rPr>
          <w:rFonts w:asciiTheme="minorEastAsia" w:eastAsiaTheme="minorEastAsia" w:hAnsiTheme="minorEastAsia" w:hint="eastAsia"/>
        </w:rPr>
        <w:t>发生基金合同规定的暂停基金资产估值情况</w:t>
      </w:r>
      <w:r w:rsidR="0002608C" w:rsidRPr="00501A61">
        <w:rPr>
          <w:rFonts w:asciiTheme="minorEastAsia" w:eastAsiaTheme="minorEastAsia" w:hAnsiTheme="minorEastAsia"/>
        </w:rPr>
        <w:t>；</w:t>
      </w:r>
    </w:p>
    <w:p w:rsidR="0002608C" w:rsidRPr="00501A61" w:rsidRDefault="00C15CD6"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6、</w:t>
      </w:r>
      <w:r w:rsidR="0002608C" w:rsidRPr="00501A61">
        <w:rPr>
          <w:rFonts w:asciiTheme="minorEastAsia" w:eastAsiaTheme="minorEastAsia" w:hAnsiTheme="minorEastAsia"/>
        </w:rPr>
        <w:t>基金资产规模过大，使基金管理人无法找到合适的投资品种，或可能对基金业绩产生负面影响，从而损害现有基金份额持有人的利益；</w:t>
      </w:r>
    </w:p>
    <w:p w:rsidR="00E56C3D" w:rsidRPr="00501A61" w:rsidRDefault="00E56C3D" w:rsidP="00E56C3D">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7</w:t>
      </w:r>
      <w:r w:rsidRPr="00501A61">
        <w:rPr>
          <w:rFonts w:asciiTheme="minorEastAsia" w:eastAsiaTheme="minorEastAsia" w:hAnsiTheme="minorEastAsia" w:hint="eastAsia"/>
          <w:szCs w:val="21"/>
        </w:rPr>
        <w:t>、基金管理人接受某笔或者某些转换</w:t>
      </w:r>
      <w:r w:rsidRPr="00501A61">
        <w:rPr>
          <w:rFonts w:asciiTheme="minorEastAsia" w:eastAsiaTheme="minorEastAsia" w:hAnsiTheme="minorEastAsia"/>
          <w:szCs w:val="21"/>
        </w:rPr>
        <w:t>转入</w:t>
      </w:r>
      <w:r w:rsidRPr="00501A61">
        <w:rPr>
          <w:rFonts w:asciiTheme="minorEastAsia" w:eastAsiaTheme="minorEastAsia" w:hAnsiTheme="minorEastAsia" w:hint="eastAsia"/>
          <w:szCs w:val="21"/>
        </w:rPr>
        <w:t>申请有可能导致单一投资者持有基金份额的比例达到或者超过50%，或者变相规避50%集中度的情形时；</w:t>
      </w:r>
    </w:p>
    <w:p w:rsidR="00E56C3D" w:rsidRPr="00501A61" w:rsidRDefault="00E56C3D" w:rsidP="00E56C3D">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8</w:t>
      </w:r>
      <w:r w:rsidRPr="00501A61">
        <w:rPr>
          <w:rFonts w:asciiTheme="minorEastAsia" w:eastAsiaTheme="minorEastAsia" w:hAnsiTheme="minorEastAsia" w:hint="eastAsia"/>
          <w:szCs w:val="21"/>
        </w:rPr>
        <w:t>、当一笔新的转换</w:t>
      </w:r>
      <w:r w:rsidRPr="00501A61">
        <w:rPr>
          <w:rFonts w:asciiTheme="minorEastAsia" w:eastAsiaTheme="minorEastAsia" w:hAnsiTheme="minorEastAsia"/>
          <w:szCs w:val="21"/>
        </w:rPr>
        <w:t>转入</w:t>
      </w:r>
      <w:r w:rsidRPr="00501A61">
        <w:rPr>
          <w:rFonts w:asciiTheme="minorEastAsia" w:eastAsiaTheme="minorEastAsia" w:hAnsiTheme="minorEastAsia" w:hint="eastAsia"/>
          <w:szCs w:val="2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E56C3D" w:rsidRPr="00501A61" w:rsidRDefault="00E56C3D" w:rsidP="00E56C3D">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szCs w:val="21"/>
        </w:rPr>
        <w:t>9</w:t>
      </w:r>
      <w:r w:rsidRPr="00501A61">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02608C" w:rsidRPr="00501A61" w:rsidRDefault="00E56C3D"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rPr>
        <w:lastRenderedPageBreak/>
        <w:t>10</w:t>
      </w:r>
      <w:r w:rsidR="00C15CD6" w:rsidRPr="00501A61">
        <w:rPr>
          <w:rFonts w:asciiTheme="minorEastAsia" w:eastAsiaTheme="minorEastAsia" w:hAnsiTheme="minorEastAsia" w:hint="eastAsia"/>
        </w:rPr>
        <w:t>、</w:t>
      </w:r>
      <w:r w:rsidR="0002608C" w:rsidRPr="00501A61">
        <w:rPr>
          <w:rFonts w:asciiTheme="minorEastAsia" w:eastAsiaTheme="minorEastAsia" w:hAnsiTheme="minorEastAsia" w:hint="eastAsia"/>
        </w:rPr>
        <w:t>法律法规规定或经中国证监会认定的其他情形。</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发生基金合同或《招募说明书》中未予载明的事项，但基金管理人有正当理由认为需要暂停接受基金转换申请的，应当报经中国证监会批准。</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rPr>
        <w:t>基金暂停转换或暂停后重新开放转换时，基金管理人应</w:t>
      </w:r>
      <w:r w:rsidR="000C00D1" w:rsidRPr="00501A61">
        <w:rPr>
          <w:rFonts w:asciiTheme="minorEastAsia" w:eastAsiaTheme="minorEastAsia" w:hAnsiTheme="minorEastAsia" w:hint="eastAsia"/>
        </w:rPr>
        <w:t>在指定媒介</w:t>
      </w:r>
      <w:r w:rsidRPr="00501A61">
        <w:rPr>
          <w:rFonts w:asciiTheme="minorEastAsia" w:eastAsiaTheme="minorEastAsia" w:hAnsiTheme="minorEastAsia"/>
        </w:rPr>
        <w:t>上公告。</w:t>
      </w:r>
    </w:p>
    <w:p w:rsidR="00107648" w:rsidRPr="00501A61" w:rsidRDefault="00107648">
      <w:pPr>
        <w:widowControl/>
        <w:jc w:val="left"/>
        <w:rPr>
          <w:rFonts w:asciiTheme="minorEastAsia" w:eastAsiaTheme="minorEastAsia" w:hAnsiTheme="minorEastAsia"/>
        </w:rPr>
      </w:pPr>
      <w:bookmarkStart w:id="57" w:name="_Toc86560070"/>
      <w:bookmarkStart w:id="58" w:name="_Toc86635162"/>
      <w:bookmarkStart w:id="59" w:name="_Toc91335002"/>
      <w:r w:rsidRPr="00501A61">
        <w:rPr>
          <w:rFonts w:asciiTheme="minorEastAsia" w:eastAsiaTheme="minorEastAsia" w:hAnsiTheme="minorEastAsia"/>
        </w:rPr>
        <w:br w:type="page"/>
      </w: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
          <w:bCs/>
        </w:rPr>
      </w:pPr>
      <w:bookmarkStart w:id="60" w:name="_Toc45632222"/>
      <w:r w:rsidRPr="00501A61">
        <w:rPr>
          <w:rFonts w:asciiTheme="minorEastAsia" w:eastAsiaTheme="minorEastAsia" w:hAnsiTheme="minorEastAsia" w:hint="eastAsia"/>
          <w:b/>
          <w:bCs/>
        </w:rPr>
        <w:lastRenderedPageBreak/>
        <w:t>十、基金的非交易过户、转托管、冻结与质押</w:t>
      </w:r>
      <w:bookmarkEnd w:id="57"/>
      <w:bookmarkEnd w:id="58"/>
      <w:bookmarkEnd w:id="59"/>
      <w:bookmarkEnd w:id="60"/>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szCs w:val="21"/>
        </w:rPr>
        <w:t>（</w:t>
      </w:r>
      <w:r w:rsidRPr="00501A61">
        <w:rPr>
          <w:rFonts w:asciiTheme="minorEastAsia" w:eastAsiaTheme="minorEastAsia" w:hAnsiTheme="minorEastAsia" w:hint="eastAsia"/>
        </w:rPr>
        <w:t>一）</w:t>
      </w:r>
      <w:r w:rsidRPr="00501A61">
        <w:rPr>
          <w:rFonts w:asciiTheme="minorEastAsia" w:eastAsiaTheme="minorEastAsia" w:hAnsiTheme="minorEastAsia"/>
        </w:rPr>
        <w:t>非交易过户是指不采用申购、赎回等基金交易方式，将一定数量的基金份额按照一定规则从某一投资者基金账户转移到另一投资者基金账户的行为</w:t>
      </w:r>
      <w:r w:rsidRPr="00501A61">
        <w:rPr>
          <w:rFonts w:asciiTheme="minorEastAsia" w:eastAsiaTheme="minorEastAsia" w:hAnsiTheme="minorEastAsia" w:hint="eastAsia"/>
        </w:rPr>
        <w:t>，包括</w:t>
      </w:r>
      <w:r w:rsidRPr="00501A61">
        <w:rPr>
          <w:rFonts w:asciiTheme="minorEastAsia" w:eastAsiaTheme="minorEastAsia" w:hAnsiTheme="minorEastAsia"/>
        </w:rPr>
        <w:t>继承、捐赠、</w:t>
      </w:r>
      <w:r w:rsidRPr="00501A61">
        <w:rPr>
          <w:rFonts w:asciiTheme="minorEastAsia" w:eastAsiaTheme="minorEastAsia" w:hAnsiTheme="minorEastAsia" w:hint="eastAsia"/>
        </w:rPr>
        <w:t>强制</w:t>
      </w:r>
      <w:r w:rsidRPr="00501A61">
        <w:rPr>
          <w:rFonts w:asciiTheme="minorEastAsia" w:eastAsiaTheme="minorEastAsia" w:hAnsiTheme="minorEastAsia"/>
        </w:rPr>
        <w:t>执行</w:t>
      </w:r>
      <w:r w:rsidRPr="00501A61">
        <w:rPr>
          <w:rFonts w:asciiTheme="minorEastAsia" w:eastAsiaTheme="minorEastAsia" w:hAnsiTheme="minorEastAsia" w:hint="eastAsia"/>
        </w:rPr>
        <w:t>及基金注册登记机构认可的其它情况下的行为</w:t>
      </w:r>
      <w:r w:rsidRPr="00501A61">
        <w:rPr>
          <w:rFonts w:asciiTheme="minorEastAsia" w:eastAsiaTheme="minorEastAsia" w:hAnsiTheme="minorEastAsia"/>
        </w:rPr>
        <w:t>。无论在上述何种情况下，接受划转的主体必须是适格的个人投资者或机构投资者。</w:t>
      </w:r>
      <w:r w:rsidRPr="00501A61">
        <w:rPr>
          <w:rFonts w:asciiTheme="minorEastAsia" w:eastAsiaTheme="minorEastAsia" w:hAnsiTheme="minorEastAsia" w:hint="eastAsia"/>
        </w:rPr>
        <w:t>其中：</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“继承”是指基金份额持有人死亡，其持有的基金份额由其合法的继承人或受遗赠人继承；</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“捐赠”仅指基金份额持有人将其合法持有的基金份额捐赠给福利性质的基金会或其他具有社会公益性质的社会团体；</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“强制执行”是指国家有权机关依据生效的法律文书将基金份额持有人持有的基金份额强制执行划转给其他自然人、法人、社会团体或其他组织。</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（二）</w:t>
      </w:r>
      <w:r w:rsidRPr="00501A61">
        <w:rPr>
          <w:rFonts w:asciiTheme="minorEastAsia" w:eastAsiaTheme="minorEastAsia" w:hAnsiTheme="minorEastAsia" w:hint="eastAsia"/>
          <w:szCs w:val="21"/>
        </w:rPr>
        <w:t>办理非交易过户业务必须提供基金注册登</w:t>
      </w:r>
      <w:r w:rsidRPr="00501A61">
        <w:rPr>
          <w:rFonts w:asciiTheme="minorEastAsia" w:eastAsiaTheme="minorEastAsia" w:hAnsiTheme="minorEastAsia" w:hint="eastAsia"/>
        </w:rPr>
        <w:t>记机构规定的相关资料，其中，</w:t>
      </w:r>
      <w:r w:rsidRPr="00501A61">
        <w:rPr>
          <w:rFonts w:asciiTheme="minorEastAsia" w:eastAsiaTheme="minorEastAsia" w:hAnsiTheme="minorEastAsia"/>
        </w:rPr>
        <w:t>因继承、捐赠原因</w:t>
      </w:r>
      <w:r w:rsidRPr="00501A61">
        <w:rPr>
          <w:rFonts w:asciiTheme="minorEastAsia" w:eastAsiaTheme="minorEastAsia" w:hAnsiTheme="minorEastAsia" w:hint="eastAsia"/>
        </w:rPr>
        <w:t>导致的非交易过户向基金销售网点申请办理，</w:t>
      </w:r>
      <w:r w:rsidRPr="00501A61">
        <w:rPr>
          <w:rFonts w:asciiTheme="minorEastAsia" w:eastAsiaTheme="minorEastAsia" w:hAnsiTheme="minorEastAsia"/>
        </w:rPr>
        <w:t>因</w:t>
      </w:r>
      <w:r w:rsidRPr="00501A61">
        <w:rPr>
          <w:rFonts w:asciiTheme="minorEastAsia" w:eastAsiaTheme="minorEastAsia" w:hAnsiTheme="minorEastAsia" w:hint="eastAsia"/>
        </w:rPr>
        <w:t>强制</w:t>
      </w:r>
      <w:r w:rsidRPr="00501A61">
        <w:rPr>
          <w:rFonts w:asciiTheme="minorEastAsia" w:eastAsiaTheme="minorEastAsia" w:hAnsiTheme="minorEastAsia"/>
        </w:rPr>
        <w:t>执行原因</w:t>
      </w:r>
      <w:r w:rsidRPr="00501A61">
        <w:rPr>
          <w:rFonts w:asciiTheme="minorEastAsia" w:eastAsiaTheme="minorEastAsia" w:hAnsiTheme="minorEastAsia" w:hint="eastAsia"/>
        </w:rPr>
        <w:t>导致的非交易过户直接向基金注册登记机构统一申请办理。</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（三）符合条件的非交易过户申请自申请受理日起，两个月内办理；申请人按基金注册登记机构规定的标准缴纳过户费用。</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（四）基金份额持有人可以办理其基金份额在不同销售机构的转托管手续，转托管业务由各</w:t>
      </w:r>
      <w:r w:rsidRPr="00501A61">
        <w:rPr>
          <w:rFonts w:asciiTheme="minorEastAsia" w:eastAsiaTheme="minorEastAsia" w:hAnsiTheme="minorEastAsia" w:hint="eastAsia"/>
          <w:szCs w:val="21"/>
        </w:rPr>
        <w:t>销售</w:t>
      </w:r>
      <w:r w:rsidRPr="00501A61">
        <w:rPr>
          <w:rFonts w:asciiTheme="minorEastAsia" w:eastAsiaTheme="minorEastAsia" w:hAnsiTheme="minorEastAsia" w:hint="eastAsia"/>
        </w:rPr>
        <w:t>机构负责受理。</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（五）基金注册登记机构只受理国家有权机关依法要求的基金账户或基金份额的冻结与解冻。基金帐户或基金份额被冻结的，被冻结部分产生的权益（包括现金分红和红利再投资）一并冻结。</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（六）根据相关法律法规的规定，基金管理人将可以办理基金份额的质押业务或其他基金业务，并制定和实施相应的业务规则。</w:t>
      </w:r>
    </w:p>
    <w:p w:rsidR="00535526" w:rsidRPr="00501A61" w:rsidRDefault="00535526" w:rsidP="00107648">
      <w:pPr>
        <w:snapToGrid w:val="0"/>
        <w:spacing w:line="360" w:lineRule="auto"/>
        <w:ind w:firstLine="420"/>
        <w:rPr>
          <w:rFonts w:asciiTheme="minorEastAsia" w:eastAsiaTheme="minorEastAsia" w:hAnsiTheme="minorEastAsia"/>
        </w:rPr>
      </w:pPr>
    </w:p>
    <w:p w:rsidR="00535526" w:rsidRPr="00501A61" w:rsidRDefault="00535526" w:rsidP="00107648">
      <w:pPr>
        <w:snapToGrid w:val="0"/>
        <w:spacing w:line="360" w:lineRule="auto"/>
        <w:ind w:firstLine="420"/>
        <w:rPr>
          <w:rFonts w:asciiTheme="minorEastAsia" w:eastAsiaTheme="minorEastAsia" w:hAnsiTheme="minorEastAsia"/>
        </w:rPr>
      </w:pPr>
    </w:p>
    <w:p w:rsidR="00107648" w:rsidRPr="00501A61" w:rsidRDefault="00107648">
      <w:pPr>
        <w:widowControl/>
        <w:jc w:val="left"/>
        <w:rPr>
          <w:rFonts w:asciiTheme="minorEastAsia" w:eastAsiaTheme="minorEastAsia" w:hAnsiTheme="minorEastAsia"/>
        </w:rPr>
      </w:pPr>
      <w:r w:rsidRPr="00501A61">
        <w:rPr>
          <w:rFonts w:asciiTheme="minorEastAsia" w:eastAsiaTheme="minorEastAsia" w:hAnsiTheme="minorEastAsia"/>
        </w:rPr>
        <w:br w:type="page"/>
      </w: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rPr>
      </w:pPr>
      <w:bookmarkStart w:id="61" w:name="_Toc52310853"/>
      <w:bookmarkStart w:id="62" w:name="_Toc45632223"/>
      <w:r w:rsidRPr="00501A61">
        <w:rPr>
          <w:rFonts w:asciiTheme="minorEastAsia" w:eastAsiaTheme="minorEastAsia" w:hAnsiTheme="minorEastAsia" w:hint="eastAsia"/>
          <w:b/>
          <w:bCs/>
        </w:rPr>
        <w:lastRenderedPageBreak/>
        <w:t>十一、基金的投资</w:t>
      </w:r>
      <w:bookmarkEnd w:id="62"/>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63" w:name="_Toc52310848"/>
      <w:bookmarkStart w:id="64" w:name="_Toc64861723"/>
      <w:bookmarkStart w:id="65" w:name="_Toc45632224"/>
      <w:r w:rsidRPr="00501A61">
        <w:rPr>
          <w:rFonts w:asciiTheme="minorEastAsia" w:eastAsiaTheme="minorEastAsia" w:hAnsiTheme="minorEastAsia" w:hint="eastAsia"/>
          <w:b w:val="0"/>
        </w:rPr>
        <w:t>（一）投资目标</w:t>
      </w:r>
      <w:bookmarkEnd w:id="63"/>
      <w:bookmarkEnd w:id="64"/>
      <w:bookmarkEnd w:id="65"/>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追求超过基准的投资回报及长期稳健的资产增值。</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66" w:name="_Toc52310849"/>
      <w:bookmarkStart w:id="67" w:name="_Toc64861724"/>
      <w:bookmarkStart w:id="68" w:name="_Toc45632225"/>
      <w:r w:rsidRPr="00501A61">
        <w:rPr>
          <w:rFonts w:asciiTheme="minorEastAsia" w:eastAsiaTheme="minorEastAsia" w:hAnsiTheme="minorEastAsia" w:hint="eastAsia"/>
          <w:b w:val="0"/>
        </w:rPr>
        <w:t>（</w:t>
      </w:r>
      <w:r w:rsidRPr="00501A61">
        <w:rPr>
          <w:rFonts w:asciiTheme="minorEastAsia" w:eastAsiaTheme="minorEastAsia" w:hAnsiTheme="minorEastAsia" w:hint="eastAsia"/>
          <w:b w:val="0"/>
          <w:bCs/>
        </w:rPr>
        <w:t>二</w:t>
      </w:r>
      <w:r w:rsidRPr="00501A61">
        <w:rPr>
          <w:rFonts w:asciiTheme="minorEastAsia" w:eastAsiaTheme="minorEastAsia" w:hAnsiTheme="minorEastAsia" w:hint="eastAsia"/>
          <w:b w:val="0"/>
        </w:rPr>
        <w:t>）</w:t>
      </w:r>
      <w:r w:rsidRPr="00501A61">
        <w:rPr>
          <w:rFonts w:asciiTheme="minorEastAsia" w:eastAsiaTheme="minorEastAsia" w:hAnsiTheme="minorEastAsia" w:hint="eastAsia"/>
          <w:b w:val="0"/>
          <w:bCs/>
        </w:rPr>
        <w:t>投资范围</w:t>
      </w:r>
      <w:bookmarkEnd w:id="66"/>
      <w:bookmarkEnd w:id="67"/>
      <w:bookmarkEnd w:id="68"/>
    </w:p>
    <w:p w:rsidR="0002608C" w:rsidRPr="00501A61" w:rsidRDefault="0002608C" w:rsidP="00107648">
      <w:pPr>
        <w:snapToGrid w:val="0"/>
        <w:spacing w:line="360" w:lineRule="auto"/>
        <w:ind w:firstLine="482"/>
        <w:rPr>
          <w:rStyle w:val="da"/>
          <w:rFonts w:asciiTheme="minorEastAsia" w:eastAsiaTheme="minorEastAsia" w:hAnsiTheme="minorEastAsia"/>
        </w:rPr>
      </w:pPr>
      <w:bookmarkStart w:id="69" w:name="_Toc52310850"/>
      <w:bookmarkStart w:id="70" w:name="_Toc64861725"/>
      <w:r w:rsidRPr="00501A61">
        <w:rPr>
          <w:rStyle w:val="da"/>
          <w:rFonts w:asciiTheme="minorEastAsia" w:eastAsiaTheme="minorEastAsia" w:hAnsiTheme="minorEastAsia" w:hint="eastAsia"/>
        </w:rPr>
        <w:t>本基金的投资范围为具有良好流动性的金融工具，包括投资于国内依法公开发行、上市的股票和债券以及法律、法规或中国证监会允许基金投资的其它金融工具。股票投资上精选能保持中长期持续增长或阶段性高速增长、且价值被低估的优势企业作为投资对象。</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71" w:name="_Toc45632226"/>
      <w:r w:rsidRPr="00501A61">
        <w:rPr>
          <w:rFonts w:asciiTheme="minorEastAsia" w:eastAsiaTheme="minorEastAsia" w:hAnsiTheme="minorEastAsia" w:hint="eastAsia"/>
          <w:b w:val="0"/>
          <w:bCs/>
        </w:rPr>
        <w:t>（三）投资理念</w:t>
      </w:r>
      <w:bookmarkEnd w:id="69"/>
      <w:bookmarkEnd w:id="70"/>
      <w:bookmarkEnd w:id="71"/>
    </w:p>
    <w:p w:rsidR="0002608C" w:rsidRPr="00501A61" w:rsidRDefault="0002608C" w:rsidP="00107648">
      <w:pPr>
        <w:snapToGrid w:val="0"/>
        <w:spacing w:line="360" w:lineRule="auto"/>
        <w:ind w:firstLineChars="200" w:firstLine="420"/>
        <w:rPr>
          <w:rFonts w:asciiTheme="minorEastAsia" w:eastAsiaTheme="minorEastAsia" w:hAnsiTheme="minorEastAsia"/>
        </w:rPr>
      </w:pPr>
      <w:bookmarkStart w:id="72" w:name="_Toc52310851"/>
      <w:bookmarkStart w:id="73" w:name="_Toc64861726"/>
      <w:r w:rsidRPr="00501A61">
        <w:rPr>
          <w:rFonts w:asciiTheme="minorEastAsia" w:eastAsiaTheme="minorEastAsia" w:hAnsiTheme="minorEastAsia" w:hint="eastAsia"/>
        </w:rPr>
        <w:t>企业内在价值是股价中长期走势的决定因素。以深入基本面研究为前提，精选价值被低估的优势企业进行中长期投资，并保持理念与操作的一贯性和统一性，是降低风险、实现长期投资目标的最佳方式。</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74" w:name="_Toc45632227"/>
      <w:r w:rsidRPr="00501A61">
        <w:rPr>
          <w:rFonts w:asciiTheme="minorEastAsia" w:eastAsiaTheme="minorEastAsia" w:hAnsiTheme="minorEastAsia" w:hint="eastAsia"/>
          <w:b w:val="0"/>
          <w:bCs/>
        </w:rPr>
        <w:t>（四）投资策略</w:t>
      </w:r>
      <w:bookmarkEnd w:id="74"/>
    </w:p>
    <w:p w:rsidR="0002608C" w:rsidRPr="00501A61" w:rsidRDefault="0002608C" w:rsidP="00107648">
      <w:pPr>
        <w:snapToGrid w:val="0"/>
        <w:spacing w:line="360" w:lineRule="auto"/>
        <w:ind w:firstLine="435"/>
        <w:rPr>
          <w:rFonts w:asciiTheme="minorEastAsia" w:eastAsiaTheme="minorEastAsia" w:hAnsiTheme="minorEastAsia"/>
          <w:szCs w:val="21"/>
        </w:rPr>
      </w:pPr>
      <w:bookmarkStart w:id="75" w:name="_Toc44900772"/>
      <w:bookmarkStart w:id="76" w:name="_Toc52616499"/>
      <w:r w:rsidRPr="00501A61">
        <w:rPr>
          <w:rFonts w:asciiTheme="minorEastAsia" w:eastAsiaTheme="minorEastAsia" w:hAnsiTheme="minorEastAsia" w:hint="eastAsia"/>
          <w:szCs w:val="21"/>
        </w:rPr>
        <w:t>本基金以深入基本面研究为主导进行投资，以“自下而上”精选价值被低估、具备持续增长能力的优势企业为主，结合“自上而下”精选最优行业，动态寻找优势企业与景气行业的最佳结合，构建投资组合。</w:t>
      </w:r>
    </w:p>
    <w:p w:rsidR="0002608C" w:rsidRPr="00501A61" w:rsidRDefault="0002608C" w:rsidP="00107648">
      <w:pPr>
        <w:snapToGrid w:val="0"/>
        <w:spacing w:line="360" w:lineRule="auto"/>
        <w:ind w:firstLine="435"/>
        <w:rPr>
          <w:rFonts w:asciiTheme="minorEastAsia" w:eastAsiaTheme="minorEastAsia" w:hAnsiTheme="minorEastAsia"/>
          <w:szCs w:val="21"/>
        </w:rPr>
      </w:pPr>
      <w:r w:rsidRPr="00501A61">
        <w:rPr>
          <w:rFonts w:asciiTheme="minorEastAsia" w:eastAsiaTheme="minorEastAsia" w:hAnsiTheme="minorEastAsia" w:hint="eastAsia"/>
          <w:szCs w:val="21"/>
        </w:rPr>
        <w:t>通过调整行业配置偏离度与个股的深入研究来控制风险，寻求超越基准的回报及长期可持续的资产增值。</w:t>
      </w:r>
    </w:p>
    <w:p w:rsidR="0002608C" w:rsidRPr="00501A61" w:rsidRDefault="0002608C" w:rsidP="00107648">
      <w:pPr>
        <w:snapToGrid w:val="0"/>
        <w:spacing w:line="360" w:lineRule="auto"/>
        <w:ind w:firstLineChars="200" w:firstLine="422"/>
        <w:rPr>
          <w:rFonts w:asciiTheme="minorEastAsia" w:eastAsiaTheme="minorEastAsia" w:hAnsiTheme="minorEastAsia"/>
          <w:b/>
          <w:szCs w:val="21"/>
        </w:rPr>
      </w:pPr>
      <w:r w:rsidRPr="00501A61">
        <w:rPr>
          <w:rFonts w:asciiTheme="minorEastAsia" w:eastAsiaTheme="minorEastAsia" w:hAnsiTheme="minorEastAsia" w:hint="eastAsia"/>
          <w:b/>
          <w:szCs w:val="21"/>
        </w:rPr>
        <w:t>1</w:t>
      </w:r>
      <w:r w:rsidR="00C15CD6" w:rsidRPr="00501A61">
        <w:rPr>
          <w:rFonts w:asciiTheme="minorEastAsia" w:eastAsiaTheme="minorEastAsia" w:hAnsiTheme="minorEastAsia" w:hint="eastAsia"/>
          <w:b/>
          <w:szCs w:val="21"/>
        </w:rPr>
        <w:t>、</w:t>
      </w:r>
      <w:r w:rsidRPr="00501A61">
        <w:rPr>
          <w:rFonts w:asciiTheme="minorEastAsia" w:eastAsiaTheme="minorEastAsia" w:hAnsiTheme="minorEastAsia" w:hint="eastAsia"/>
          <w:b/>
          <w:szCs w:val="21"/>
        </w:rPr>
        <w:t>资产配置策略</w:t>
      </w:r>
    </w:p>
    <w:p w:rsidR="0002608C" w:rsidRPr="00501A61" w:rsidRDefault="0002608C" w:rsidP="00107648">
      <w:pPr>
        <w:snapToGrid w:val="0"/>
        <w:spacing w:line="360" w:lineRule="auto"/>
        <w:ind w:firstLine="435"/>
        <w:rPr>
          <w:rFonts w:asciiTheme="minorEastAsia" w:eastAsiaTheme="minorEastAsia" w:hAnsiTheme="minorEastAsia"/>
          <w:szCs w:val="21"/>
        </w:rPr>
      </w:pPr>
      <w:r w:rsidRPr="00501A61">
        <w:rPr>
          <w:rFonts w:asciiTheme="minorEastAsia" w:eastAsiaTheme="minorEastAsia" w:hAnsiTheme="minorEastAsia" w:hint="eastAsia"/>
          <w:szCs w:val="21"/>
        </w:rPr>
        <w:t>本基金主要投资于股票，并保持股票仓位的相对稳定，股票资产占基金资产的比例范围为60-95%，债券资产占0-35%。权证的投资比例不超过基金资产净值的3%。</w:t>
      </w:r>
      <w:r w:rsidRPr="00501A61">
        <w:rPr>
          <w:rFonts w:asciiTheme="minorEastAsia" w:eastAsiaTheme="minorEastAsia" w:hAnsiTheme="minorEastAsia"/>
          <w:szCs w:val="21"/>
        </w:rPr>
        <w:t>基金保留的现金以及</w:t>
      </w:r>
      <w:r w:rsidRPr="00501A61">
        <w:rPr>
          <w:rFonts w:asciiTheme="minorEastAsia" w:eastAsiaTheme="minorEastAsia" w:hAnsiTheme="minorEastAsia" w:hint="eastAsia"/>
          <w:szCs w:val="21"/>
        </w:rPr>
        <w:t>到期日在一年以内的政府债券的</w:t>
      </w:r>
      <w:r w:rsidRPr="00501A61">
        <w:rPr>
          <w:rFonts w:asciiTheme="minorEastAsia" w:eastAsiaTheme="minorEastAsia" w:hAnsiTheme="minorEastAsia"/>
          <w:szCs w:val="21"/>
        </w:rPr>
        <w:t>比例不低于</w:t>
      </w:r>
      <w:r w:rsidRPr="00501A61">
        <w:rPr>
          <w:rFonts w:asciiTheme="minorEastAsia" w:eastAsiaTheme="minorEastAsia" w:hAnsiTheme="minorEastAsia" w:hint="eastAsia"/>
          <w:szCs w:val="21"/>
        </w:rPr>
        <w:t>基金资产净值的</w:t>
      </w:r>
      <w:r w:rsidRPr="00501A61">
        <w:rPr>
          <w:rFonts w:asciiTheme="minorEastAsia" w:eastAsiaTheme="minorEastAsia" w:hAnsiTheme="minorEastAsia"/>
          <w:szCs w:val="21"/>
        </w:rPr>
        <w:t>5%</w:t>
      </w:r>
      <w:r w:rsidR="00E56C3D" w:rsidRPr="00501A61">
        <w:rPr>
          <w:rFonts w:asciiTheme="minorEastAsia" w:eastAsiaTheme="minorEastAsia" w:hAnsiTheme="minorEastAsia" w:hint="eastAsia"/>
          <w:szCs w:val="21"/>
        </w:rPr>
        <w:t>，现金不包括结算备付金、存出保证金、应收申购款等</w:t>
      </w:r>
      <w:r w:rsidRPr="00501A61">
        <w:rPr>
          <w:rFonts w:asciiTheme="minorEastAsia" w:eastAsiaTheme="minorEastAsia" w:hAnsiTheme="minorEastAsia"/>
          <w:szCs w:val="21"/>
        </w:rPr>
        <w:t>。</w:t>
      </w:r>
    </w:p>
    <w:p w:rsidR="0002608C" w:rsidRPr="00501A61" w:rsidRDefault="0002608C" w:rsidP="00107648">
      <w:pPr>
        <w:snapToGrid w:val="0"/>
        <w:spacing w:line="360" w:lineRule="auto"/>
        <w:ind w:firstLine="435"/>
        <w:rPr>
          <w:rFonts w:asciiTheme="minorEastAsia" w:eastAsiaTheme="minorEastAsia" w:hAnsiTheme="minorEastAsia"/>
          <w:szCs w:val="21"/>
        </w:rPr>
      </w:pPr>
      <w:r w:rsidRPr="00501A61">
        <w:rPr>
          <w:rFonts w:asciiTheme="minorEastAsia" w:eastAsiaTheme="minorEastAsia" w:hAnsiTheme="minorEastAsia" w:hint="eastAsia"/>
          <w:szCs w:val="21"/>
        </w:rPr>
        <w:t>本基金将持续考察满足本基金选股标准的股票的数量、市场容量、整体预期收益率以及风险程度、以及其他类别资产的预期收益率情况，当满足条件的股票数量减少、预期收益难以弥补所承受的风险以及股票资产的预期收益率低于固定收益等其他资产收益率时，本基金将降低股票的投资比重，股票比重最低可调整到60%；相反，本基金将调高股票的投资比重，最高可达95%。</w:t>
      </w:r>
    </w:p>
    <w:p w:rsidR="0002608C" w:rsidRPr="00501A61" w:rsidRDefault="0002608C" w:rsidP="00107648">
      <w:pPr>
        <w:snapToGrid w:val="0"/>
        <w:spacing w:line="360" w:lineRule="auto"/>
        <w:ind w:firstLine="435"/>
        <w:rPr>
          <w:rFonts w:asciiTheme="minorEastAsia" w:eastAsiaTheme="minorEastAsia" w:hAnsiTheme="minorEastAsia"/>
          <w:szCs w:val="21"/>
        </w:rPr>
      </w:pPr>
      <w:r w:rsidRPr="00501A61">
        <w:rPr>
          <w:rFonts w:asciiTheme="minorEastAsia" w:eastAsiaTheme="minorEastAsia" w:hAnsiTheme="minorEastAsia"/>
          <w:szCs w:val="21"/>
        </w:rPr>
        <w:t>本基金在</w:t>
      </w:r>
      <w:r w:rsidRPr="00501A61">
        <w:rPr>
          <w:rFonts w:asciiTheme="minorEastAsia" w:eastAsiaTheme="minorEastAsia" w:hAnsiTheme="minorEastAsia" w:hint="eastAsia"/>
          <w:szCs w:val="21"/>
        </w:rPr>
        <w:t>合同生效</w:t>
      </w:r>
      <w:r w:rsidRPr="00501A61">
        <w:rPr>
          <w:rFonts w:asciiTheme="minorEastAsia" w:eastAsiaTheme="minorEastAsia" w:hAnsiTheme="minorEastAsia"/>
          <w:szCs w:val="21"/>
        </w:rPr>
        <w:t>后</w:t>
      </w:r>
      <w:r w:rsidRPr="00501A61">
        <w:rPr>
          <w:rFonts w:asciiTheme="minorEastAsia" w:eastAsiaTheme="minorEastAsia" w:hAnsiTheme="minorEastAsia" w:hint="eastAsia"/>
          <w:szCs w:val="21"/>
        </w:rPr>
        <w:t>六</w:t>
      </w:r>
      <w:r w:rsidRPr="00501A61">
        <w:rPr>
          <w:rFonts w:asciiTheme="minorEastAsia" w:eastAsiaTheme="minorEastAsia" w:hAnsiTheme="minorEastAsia"/>
          <w:szCs w:val="21"/>
        </w:rPr>
        <w:t>个月内达到上述规定的投资比例</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firstLineChars="200" w:firstLine="422"/>
        <w:rPr>
          <w:rFonts w:asciiTheme="minorEastAsia" w:eastAsiaTheme="minorEastAsia" w:hAnsiTheme="minorEastAsia"/>
          <w:b/>
          <w:szCs w:val="21"/>
        </w:rPr>
      </w:pPr>
      <w:r w:rsidRPr="00501A61">
        <w:rPr>
          <w:rFonts w:asciiTheme="minorEastAsia" w:eastAsiaTheme="minorEastAsia" w:hAnsiTheme="minorEastAsia" w:hint="eastAsia"/>
          <w:b/>
          <w:szCs w:val="21"/>
        </w:rPr>
        <w:t>2</w:t>
      </w:r>
      <w:r w:rsidR="00C15CD6" w:rsidRPr="00501A61">
        <w:rPr>
          <w:rFonts w:asciiTheme="minorEastAsia" w:eastAsiaTheme="minorEastAsia" w:hAnsiTheme="minorEastAsia" w:hint="eastAsia"/>
          <w:b/>
          <w:szCs w:val="21"/>
        </w:rPr>
        <w:t>、</w:t>
      </w:r>
      <w:r w:rsidRPr="00501A61">
        <w:rPr>
          <w:rFonts w:asciiTheme="minorEastAsia" w:eastAsiaTheme="minorEastAsia" w:hAnsiTheme="minorEastAsia" w:hint="eastAsia"/>
          <w:b/>
          <w:szCs w:val="21"/>
        </w:rPr>
        <w:t>股票投资策略</w:t>
      </w:r>
    </w:p>
    <w:p w:rsidR="0002608C" w:rsidRPr="00501A61" w:rsidRDefault="0002608C" w:rsidP="00107648">
      <w:pPr>
        <w:snapToGrid w:val="0"/>
        <w:spacing w:line="360" w:lineRule="auto"/>
        <w:ind w:firstLine="420"/>
        <w:rPr>
          <w:rFonts w:asciiTheme="minorEastAsia" w:eastAsiaTheme="minorEastAsia" w:hAnsiTheme="minorEastAsia"/>
          <w:b/>
          <w:szCs w:val="21"/>
        </w:rPr>
      </w:pPr>
      <w:r w:rsidRPr="00501A61">
        <w:rPr>
          <w:rFonts w:asciiTheme="minorEastAsia" w:eastAsiaTheme="minorEastAsia" w:hAnsiTheme="minorEastAsia" w:hint="eastAsia"/>
          <w:szCs w:val="21"/>
        </w:rPr>
        <w:t>本基金采取自下而上与自上而下相结合的投资策略，通过自下而上方法精选</w:t>
      </w:r>
      <w:r w:rsidRPr="00501A61">
        <w:rPr>
          <w:rFonts w:asciiTheme="minorEastAsia" w:eastAsiaTheme="minorEastAsia" w:hAnsiTheme="minorEastAsia" w:hint="eastAsia"/>
          <w:kern w:val="0"/>
          <w:szCs w:val="21"/>
        </w:rPr>
        <w:t>能保持中长期持续增长或阶段性高速成长、</w:t>
      </w:r>
      <w:r w:rsidRPr="00501A61">
        <w:rPr>
          <w:rFonts w:asciiTheme="minorEastAsia" w:eastAsiaTheme="minorEastAsia" w:hAnsiTheme="minorEastAsia" w:hint="eastAsia"/>
          <w:szCs w:val="21"/>
        </w:rPr>
        <w:t>且股票估值水平偏低的股票进行投资。并结合自上而下的行业优化配置，寻找优势企业与景气行业的最佳结合。</w:t>
      </w:r>
    </w:p>
    <w:p w:rsidR="0002608C" w:rsidRPr="00501A61" w:rsidRDefault="00C15CD6" w:rsidP="00107648">
      <w:pPr>
        <w:snapToGrid w:val="0"/>
        <w:spacing w:line="360" w:lineRule="auto"/>
        <w:ind w:firstLineChars="200" w:firstLine="422"/>
        <w:rPr>
          <w:rFonts w:asciiTheme="minorEastAsia" w:eastAsiaTheme="minorEastAsia" w:hAnsiTheme="minorEastAsia"/>
          <w:b/>
          <w:szCs w:val="21"/>
        </w:rPr>
      </w:pPr>
      <w:r w:rsidRPr="00501A61">
        <w:rPr>
          <w:rFonts w:asciiTheme="minorEastAsia" w:eastAsiaTheme="minorEastAsia" w:hAnsiTheme="minorEastAsia" w:hint="eastAsia"/>
          <w:b/>
          <w:szCs w:val="21"/>
        </w:rPr>
        <w:lastRenderedPageBreak/>
        <w:t>（1）</w:t>
      </w:r>
      <w:r w:rsidR="0002608C" w:rsidRPr="00501A61">
        <w:rPr>
          <w:rFonts w:asciiTheme="minorEastAsia" w:eastAsiaTheme="minorEastAsia" w:hAnsiTheme="minorEastAsia" w:hint="eastAsia"/>
          <w:b/>
          <w:szCs w:val="21"/>
        </w:rPr>
        <w:t>个股精选</w:t>
      </w:r>
    </w:p>
    <w:p w:rsidR="0002608C" w:rsidRPr="00501A61" w:rsidRDefault="0002608C" w:rsidP="00107648">
      <w:pPr>
        <w:snapToGrid w:val="0"/>
        <w:spacing w:line="360" w:lineRule="auto"/>
        <w:ind w:firstLine="480"/>
        <w:rPr>
          <w:rFonts w:asciiTheme="minorEastAsia" w:eastAsiaTheme="minorEastAsia" w:hAnsiTheme="minorEastAsia"/>
          <w:b/>
          <w:szCs w:val="21"/>
        </w:rPr>
      </w:pPr>
      <w:r w:rsidRPr="00501A61">
        <w:rPr>
          <w:rFonts w:asciiTheme="minorEastAsia" w:eastAsiaTheme="minorEastAsia" w:hAnsiTheme="minorEastAsia" w:hint="eastAsia"/>
          <w:szCs w:val="21"/>
        </w:rPr>
        <w:t>本基金从定性及定量两方面对上市公司进行分析筛选，并通过基金管理人的估值模型，精选出具备持续增长或阶段性高速增长能力、且价值被低估的优势企业进行重点投资。</w:t>
      </w:r>
    </w:p>
    <w:p w:rsidR="0002608C" w:rsidRPr="00501A61" w:rsidRDefault="00C15CD6" w:rsidP="00107648">
      <w:pPr>
        <w:snapToGrid w:val="0"/>
        <w:spacing w:line="360" w:lineRule="auto"/>
        <w:ind w:firstLineChars="200" w:firstLine="422"/>
        <w:rPr>
          <w:rFonts w:asciiTheme="minorEastAsia" w:eastAsiaTheme="minorEastAsia" w:hAnsiTheme="minorEastAsia"/>
          <w:b/>
          <w:szCs w:val="21"/>
        </w:rPr>
      </w:pPr>
      <w:r w:rsidRPr="00501A61">
        <w:rPr>
          <w:rFonts w:asciiTheme="minorEastAsia" w:eastAsiaTheme="minorEastAsia" w:hAnsiTheme="minorEastAsia" w:hint="eastAsia"/>
          <w:b/>
          <w:szCs w:val="21"/>
        </w:rPr>
        <w:t>1）</w:t>
      </w:r>
      <w:r w:rsidR="0002608C" w:rsidRPr="00501A61">
        <w:rPr>
          <w:rFonts w:asciiTheme="minorEastAsia" w:eastAsiaTheme="minorEastAsia" w:hAnsiTheme="minorEastAsia" w:hint="eastAsia"/>
          <w:b/>
          <w:szCs w:val="21"/>
        </w:rPr>
        <w:t>定性分析</w:t>
      </w:r>
    </w:p>
    <w:p w:rsidR="0002608C" w:rsidRPr="00501A61" w:rsidRDefault="0002608C" w:rsidP="00107648">
      <w:pPr>
        <w:numPr>
          <w:ilvl w:val="0"/>
          <w:numId w:val="30"/>
        </w:num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良好的公司治理结构，诚信、优秀的公司管理层；</w:t>
      </w:r>
      <w:r w:rsidRPr="00501A61">
        <w:rPr>
          <w:rFonts w:asciiTheme="minorEastAsia" w:eastAsiaTheme="minorEastAsia" w:hAnsiTheme="minorEastAsia" w:hint="eastAsia"/>
          <w:szCs w:val="21"/>
        </w:rPr>
        <w:br/>
        <w:t>企业管理层诚信尽职，融洽稳定，重视股东利益，管理水平能充分适应企业规模的不断扩大；企业能不断制定和调整发展战略，把握住正确的发展方向，以保证企业资源的最佳配置和自身优势的发挥。</w:t>
      </w:r>
    </w:p>
    <w:p w:rsidR="0002608C" w:rsidRPr="00501A61" w:rsidRDefault="0002608C" w:rsidP="00107648">
      <w:pPr>
        <w:numPr>
          <w:ilvl w:val="0"/>
          <w:numId w:val="30"/>
        </w:num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财务透明、清晰，资产质量及财务状况较好，良好的历史盈利记录</w:t>
      </w:r>
    </w:p>
    <w:p w:rsidR="0002608C" w:rsidRPr="00501A61" w:rsidRDefault="0002608C" w:rsidP="00107648">
      <w:pPr>
        <w:numPr>
          <w:ilvl w:val="0"/>
          <w:numId w:val="30"/>
        </w:num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较好的行业集中度及行业地位，具备独特的核心竞争优势</w:t>
      </w:r>
      <w:r w:rsidRPr="00501A61">
        <w:rPr>
          <w:rFonts w:asciiTheme="minorEastAsia" w:eastAsiaTheme="minorEastAsia" w:hAnsiTheme="minorEastAsia" w:hint="eastAsia"/>
          <w:szCs w:val="21"/>
        </w:rPr>
        <w:br/>
        <w:t>企业在经营许可、规模、资源、技术、品牌、创新能力等方面具有竞争对手在中长期时间内难以模仿的显著优势；</w:t>
      </w:r>
    </w:p>
    <w:p w:rsidR="0002608C" w:rsidRPr="00501A61" w:rsidRDefault="0002608C" w:rsidP="00107648">
      <w:pPr>
        <w:numPr>
          <w:ilvl w:val="0"/>
          <w:numId w:val="30"/>
        </w:num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具备中长期持续增长能力或阶段性高速增长的能力</w:t>
      </w:r>
      <w:r w:rsidRPr="00501A61">
        <w:rPr>
          <w:rFonts w:asciiTheme="minorEastAsia" w:eastAsiaTheme="minorEastAsia" w:hAnsiTheme="minorEastAsia"/>
          <w:szCs w:val="21"/>
        </w:rPr>
        <w:br/>
      </w:r>
      <w:r w:rsidRPr="00501A61">
        <w:rPr>
          <w:rFonts w:asciiTheme="minorEastAsia" w:eastAsiaTheme="minorEastAsia" w:hAnsiTheme="minorEastAsia" w:hint="eastAsia"/>
          <w:szCs w:val="21"/>
        </w:rPr>
        <w:t>企业的主营产品或服务具有良好的市场前景，在产品/服务提供方面具有成本优势，拥有出色的销售机制、体系及团队等；此外，应具备较强的技术创新能力，并保持足够的研发投入，以推动企业的持续发展等。</w:t>
      </w:r>
    </w:p>
    <w:p w:rsidR="00C15CD6" w:rsidRPr="00501A61" w:rsidRDefault="00C15CD6" w:rsidP="00107648">
      <w:pPr>
        <w:snapToGrid w:val="0"/>
        <w:spacing w:line="360" w:lineRule="auto"/>
        <w:ind w:leftChars="200" w:left="420"/>
        <w:rPr>
          <w:rFonts w:asciiTheme="minorEastAsia" w:eastAsiaTheme="minorEastAsia" w:hAnsiTheme="minorEastAsia"/>
          <w:b/>
          <w:szCs w:val="21"/>
        </w:rPr>
      </w:pPr>
      <w:r w:rsidRPr="00501A61">
        <w:rPr>
          <w:rFonts w:asciiTheme="minorEastAsia" w:eastAsiaTheme="minorEastAsia" w:hAnsiTheme="minorEastAsia" w:hint="eastAsia"/>
          <w:b/>
          <w:szCs w:val="21"/>
        </w:rPr>
        <w:t>2）</w:t>
      </w:r>
      <w:r w:rsidR="0002608C" w:rsidRPr="00501A61">
        <w:rPr>
          <w:rFonts w:asciiTheme="minorEastAsia" w:eastAsiaTheme="minorEastAsia" w:hAnsiTheme="minorEastAsia" w:hint="eastAsia"/>
          <w:b/>
          <w:szCs w:val="21"/>
        </w:rPr>
        <w:t>定量分析</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本基金在选择个股时充分利用上市公司的财务数据，从上市公司的盈利能力、成长能力、运营能力、负债水平等各个方面进行量化筛选。本基金采用的量化指标主要包括以下几类：</w:t>
      </w:r>
    </w:p>
    <w:p w:rsidR="0002608C" w:rsidRPr="00501A61" w:rsidRDefault="0002608C" w:rsidP="00E1094C">
      <w:pPr>
        <w:numPr>
          <w:ilvl w:val="0"/>
          <w:numId w:val="30"/>
        </w:num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盈利能力指标：主要包括净资产收益率、主营业务利润率、资产净利率、新项目的内部收益率。</w:t>
      </w:r>
    </w:p>
    <w:p w:rsidR="0002608C" w:rsidRPr="00501A61" w:rsidRDefault="0002608C" w:rsidP="00E1094C">
      <w:pPr>
        <w:numPr>
          <w:ilvl w:val="0"/>
          <w:numId w:val="30"/>
        </w:num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成长能力指标：主要包括长期主营业务收入增长率、长期利润增长率。</w:t>
      </w:r>
    </w:p>
    <w:p w:rsidR="0002608C" w:rsidRPr="00501A61" w:rsidRDefault="0002608C" w:rsidP="00E1094C">
      <w:pPr>
        <w:numPr>
          <w:ilvl w:val="0"/>
          <w:numId w:val="30"/>
        </w:num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运营能力指标：主要包括总资产周转率、存货周转率、应收账款周转率。</w:t>
      </w:r>
    </w:p>
    <w:p w:rsidR="0002608C" w:rsidRPr="00501A61" w:rsidRDefault="0002608C" w:rsidP="00E1094C">
      <w:pPr>
        <w:numPr>
          <w:ilvl w:val="0"/>
          <w:numId w:val="30"/>
        </w:num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负债水平指标：主要包括资产负债率、流动比率、速动比率。</w:t>
      </w:r>
    </w:p>
    <w:p w:rsidR="0002608C" w:rsidRPr="00501A61" w:rsidRDefault="0002608C" w:rsidP="00107648">
      <w:pPr>
        <w:snapToGrid w:val="0"/>
        <w:spacing w:line="360" w:lineRule="auto"/>
        <w:ind w:left="840"/>
        <w:rPr>
          <w:rFonts w:asciiTheme="minorEastAsia" w:eastAsiaTheme="minorEastAsia" w:hAnsiTheme="minorEastAsia"/>
          <w:szCs w:val="21"/>
        </w:rPr>
      </w:pPr>
      <w:r w:rsidRPr="00501A61">
        <w:rPr>
          <w:rFonts w:asciiTheme="minorEastAsia" w:eastAsiaTheme="minorEastAsia" w:hAnsiTheme="minorEastAsia" w:hint="eastAsia"/>
          <w:szCs w:val="21"/>
        </w:rPr>
        <w:t>在其它条件相同或类似时，本基金优选盈利能力、成长能力、运营能力指标较高而负债水平较低或合理的上市公司作为投资对象。</w:t>
      </w:r>
    </w:p>
    <w:p w:rsidR="0002608C" w:rsidRPr="00501A61" w:rsidRDefault="00C15CD6" w:rsidP="00107648">
      <w:pPr>
        <w:snapToGrid w:val="0"/>
        <w:spacing w:line="360" w:lineRule="auto"/>
        <w:ind w:left="780"/>
        <w:rPr>
          <w:rFonts w:asciiTheme="minorEastAsia" w:eastAsiaTheme="minorEastAsia" w:hAnsiTheme="minorEastAsia"/>
          <w:b/>
          <w:szCs w:val="21"/>
        </w:rPr>
      </w:pPr>
      <w:r w:rsidRPr="00501A61">
        <w:rPr>
          <w:rFonts w:asciiTheme="minorEastAsia" w:eastAsiaTheme="minorEastAsia" w:hAnsiTheme="minorEastAsia" w:hint="eastAsia"/>
          <w:b/>
          <w:szCs w:val="21"/>
        </w:rPr>
        <w:t>3）</w:t>
      </w:r>
      <w:r w:rsidR="0002608C" w:rsidRPr="00501A61">
        <w:rPr>
          <w:rFonts w:asciiTheme="minorEastAsia" w:eastAsiaTheme="minorEastAsia" w:hAnsiTheme="minorEastAsia" w:hint="eastAsia"/>
          <w:b/>
          <w:szCs w:val="21"/>
        </w:rPr>
        <w:t>估值</w:t>
      </w:r>
    </w:p>
    <w:p w:rsidR="0002608C" w:rsidRPr="00501A61" w:rsidRDefault="0002608C" w:rsidP="00107648">
      <w:pPr>
        <w:snapToGrid w:val="0"/>
        <w:spacing w:line="360" w:lineRule="auto"/>
        <w:ind w:left="420" w:firstLine="360"/>
        <w:rPr>
          <w:rFonts w:asciiTheme="minorEastAsia" w:eastAsiaTheme="minorEastAsia" w:hAnsiTheme="minorEastAsia"/>
          <w:szCs w:val="21"/>
        </w:rPr>
      </w:pPr>
      <w:r w:rsidRPr="00501A61">
        <w:rPr>
          <w:rFonts w:asciiTheme="minorEastAsia" w:eastAsiaTheme="minorEastAsia" w:hAnsiTheme="minorEastAsia" w:hint="eastAsia"/>
          <w:szCs w:val="21"/>
        </w:rPr>
        <w:t>根据企业业绩的长期增长趋势以及同类企业的平均估值水平，应用本基金管理人设计的估值模型，选择价值被市场显著低估的企业进行投资。采用的估值模型包括资产重置价格、市盈率法（P/E）、市净率法（P/B）、经济价值/息税折旧摊销前利润法（EV/EBITDA）、现金流贴现法（DCF），比较分析方法包括横向比较及纵向比较。</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通过扎实的基本面研究，对所投资企业基本面、影响其业绩的不确定因素保持深入及全面的了解，确保所选择的企业具备中长期持续增长或阶段性高速增长能力。研究员将对精选出的股票进行持续跟踪，当发现股票的基本面及定价等因素发生较大变化，不再满足</w:t>
      </w:r>
      <w:r w:rsidRPr="00501A61">
        <w:rPr>
          <w:rFonts w:asciiTheme="minorEastAsia" w:eastAsiaTheme="minorEastAsia" w:hAnsiTheme="minorEastAsia" w:hint="eastAsia"/>
          <w:szCs w:val="21"/>
        </w:rPr>
        <w:lastRenderedPageBreak/>
        <w:t>相关选择标准时，基金经理应在合理时间内将该股票从投资组合中剔除。</w:t>
      </w:r>
    </w:p>
    <w:p w:rsidR="0002608C" w:rsidRPr="00501A61" w:rsidRDefault="00C15CD6" w:rsidP="00107648">
      <w:pPr>
        <w:snapToGrid w:val="0"/>
        <w:spacing w:line="360" w:lineRule="auto"/>
        <w:ind w:firstLineChars="200" w:firstLine="422"/>
        <w:rPr>
          <w:rFonts w:asciiTheme="minorEastAsia" w:eastAsiaTheme="minorEastAsia" w:hAnsiTheme="minorEastAsia"/>
          <w:b/>
          <w:szCs w:val="21"/>
        </w:rPr>
      </w:pPr>
      <w:r w:rsidRPr="00501A61">
        <w:rPr>
          <w:rFonts w:asciiTheme="minorEastAsia" w:eastAsiaTheme="minorEastAsia" w:hAnsiTheme="minorEastAsia" w:hint="eastAsia"/>
          <w:b/>
          <w:szCs w:val="21"/>
        </w:rPr>
        <w:t>4</w:t>
      </w:r>
      <w:r w:rsidR="0002608C" w:rsidRPr="00501A61">
        <w:rPr>
          <w:rFonts w:asciiTheme="minorEastAsia" w:eastAsiaTheme="minorEastAsia" w:hAnsiTheme="minorEastAsia" w:hint="eastAsia"/>
          <w:b/>
          <w:szCs w:val="21"/>
        </w:rPr>
        <w:t>）行业精选</w:t>
      </w:r>
    </w:p>
    <w:p w:rsidR="0002608C" w:rsidRPr="00501A61" w:rsidRDefault="0002608C" w:rsidP="00107648">
      <w:pPr>
        <w:snapToGrid w:val="0"/>
        <w:spacing w:line="360" w:lineRule="auto"/>
        <w:ind w:left="360"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本基金管理人将根据上述精选股票价格与其内在价值的对比，确定各股票的投资价值的排名，从中选择投资价值最高的股票拟定投资方案，投资价值越高的股票，投资比重越高。</w:t>
      </w:r>
    </w:p>
    <w:p w:rsidR="0002608C" w:rsidRPr="00501A61" w:rsidRDefault="0002608C" w:rsidP="00107648">
      <w:pPr>
        <w:snapToGrid w:val="0"/>
        <w:spacing w:line="360" w:lineRule="auto"/>
        <w:ind w:left="360" w:firstLine="420"/>
        <w:rPr>
          <w:rFonts w:asciiTheme="minorEastAsia" w:eastAsiaTheme="minorEastAsia" w:hAnsiTheme="minorEastAsia"/>
          <w:szCs w:val="21"/>
        </w:rPr>
      </w:pPr>
      <w:r w:rsidRPr="00501A61">
        <w:rPr>
          <w:rFonts w:asciiTheme="minorEastAsia" w:eastAsiaTheme="minorEastAsia" w:hAnsiTheme="minorEastAsia" w:hint="eastAsia"/>
          <w:szCs w:val="21"/>
        </w:rPr>
        <w:t>在此基础上，结合基金管理人研究团队及基金经理对各主要行业基本面及未来走势的分析判断进行业的优化配置，动态寻找行业与个股的最佳结合点，实现优势个股与景气行业的精选投资。在进行行业优化配置时主要考察分析的因素包括：</w:t>
      </w:r>
    </w:p>
    <w:p w:rsidR="0002608C" w:rsidRPr="00501A61" w:rsidRDefault="0002608C" w:rsidP="00107648">
      <w:pPr>
        <w:numPr>
          <w:ilvl w:val="1"/>
          <w:numId w:val="30"/>
        </w:num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宏观经济景气状况及所处阶段</w:t>
      </w:r>
    </w:p>
    <w:p w:rsidR="0002608C" w:rsidRPr="00501A61" w:rsidRDefault="0002608C" w:rsidP="00107648">
      <w:pPr>
        <w:snapToGrid w:val="0"/>
        <w:spacing w:line="360" w:lineRule="auto"/>
        <w:ind w:left="840" w:firstLine="420"/>
        <w:rPr>
          <w:rFonts w:asciiTheme="minorEastAsia" w:eastAsiaTheme="minorEastAsia" w:hAnsiTheme="minorEastAsia"/>
          <w:szCs w:val="21"/>
        </w:rPr>
      </w:pPr>
      <w:r w:rsidRPr="00501A61">
        <w:rPr>
          <w:rFonts w:asciiTheme="minorEastAsia" w:eastAsiaTheme="minorEastAsia" w:hAnsiTheme="minorEastAsia" w:hint="eastAsia"/>
          <w:szCs w:val="21"/>
        </w:rPr>
        <w:t>分析判断目前经济增长的构成、来源、景气状况，寻找在当前增长模式下增长空间和弹性最大的行业；寻找经济转型中受益程度最高的行业；</w:t>
      </w:r>
    </w:p>
    <w:p w:rsidR="0002608C" w:rsidRPr="00501A61" w:rsidRDefault="0002608C" w:rsidP="00107648">
      <w:pPr>
        <w:numPr>
          <w:ilvl w:val="1"/>
          <w:numId w:val="30"/>
        </w:num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相关金融货币政策变化情况；</w:t>
      </w:r>
    </w:p>
    <w:p w:rsidR="0002608C" w:rsidRPr="00501A61" w:rsidRDefault="0002608C" w:rsidP="00107648">
      <w:pPr>
        <w:snapToGrid w:val="0"/>
        <w:spacing w:line="360" w:lineRule="auto"/>
        <w:ind w:left="840" w:firstLine="420"/>
        <w:rPr>
          <w:rFonts w:asciiTheme="minorEastAsia" w:eastAsiaTheme="minorEastAsia" w:hAnsiTheme="minorEastAsia"/>
          <w:szCs w:val="21"/>
        </w:rPr>
      </w:pPr>
      <w:r w:rsidRPr="00501A61">
        <w:rPr>
          <w:rFonts w:asciiTheme="minorEastAsia" w:eastAsiaTheme="minorEastAsia" w:hAnsiTheme="minorEastAsia" w:hint="eastAsia"/>
          <w:szCs w:val="21"/>
        </w:rPr>
        <w:t>根据不同阶段的利率、汇率、财政、货币政策，寻找阶段最优行业；</w:t>
      </w:r>
    </w:p>
    <w:p w:rsidR="0002608C" w:rsidRPr="00501A61" w:rsidRDefault="0002608C" w:rsidP="00107648">
      <w:pPr>
        <w:numPr>
          <w:ilvl w:val="1"/>
          <w:numId w:val="30"/>
        </w:num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产业政策及发展环境的变化；</w:t>
      </w:r>
    </w:p>
    <w:p w:rsidR="0002608C" w:rsidRPr="00501A61" w:rsidRDefault="0002608C" w:rsidP="00107648">
      <w:pPr>
        <w:snapToGrid w:val="0"/>
        <w:spacing w:line="360" w:lineRule="auto"/>
        <w:ind w:left="840" w:firstLine="420"/>
        <w:rPr>
          <w:rFonts w:asciiTheme="minorEastAsia" w:eastAsiaTheme="minorEastAsia" w:hAnsiTheme="minorEastAsia"/>
          <w:szCs w:val="21"/>
        </w:rPr>
      </w:pPr>
      <w:r w:rsidRPr="00501A61">
        <w:rPr>
          <w:rFonts w:asciiTheme="minorEastAsia" w:eastAsiaTheme="minorEastAsia" w:hAnsiTheme="minorEastAsia" w:hint="eastAsia"/>
          <w:szCs w:val="21"/>
        </w:rPr>
        <w:t>根据国家不同阶段对不同产业的政策和环境，寻找受扶持、受鼓励、发展环境得到持续改善的行业，获取这一行业高速发展的机会；</w:t>
      </w:r>
    </w:p>
    <w:p w:rsidR="0002608C" w:rsidRPr="00501A61" w:rsidRDefault="0002608C" w:rsidP="00107648">
      <w:pPr>
        <w:numPr>
          <w:ilvl w:val="1"/>
          <w:numId w:val="30"/>
        </w:numPr>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行业所处的生命周期及其在产业链中的地位变化；</w:t>
      </w:r>
    </w:p>
    <w:p w:rsidR="0002608C" w:rsidRPr="00501A61" w:rsidRDefault="0002608C" w:rsidP="00107648">
      <w:pPr>
        <w:snapToGrid w:val="0"/>
        <w:spacing w:line="360" w:lineRule="auto"/>
        <w:ind w:left="840" w:firstLine="420"/>
        <w:rPr>
          <w:rFonts w:asciiTheme="minorEastAsia" w:eastAsiaTheme="minorEastAsia" w:hAnsiTheme="minorEastAsia"/>
          <w:b/>
          <w:szCs w:val="21"/>
        </w:rPr>
      </w:pPr>
      <w:r w:rsidRPr="00501A61">
        <w:rPr>
          <w:rFonts w:asciiTheme="minorEastAsia" w:eastAsiaTheme="minorEastAsia" w:hAnsiTheme="minorEastAsia" w:hint="eastAsia"/>
          <w:szCs w:val="21"/>
        </w:rPr>
        <w:t>动态分析行业发展周期、与上下游关系与谈判地位，寻找产业链中由弱转强或优势扩大的行业。</w:t>
      </w:r>
    </w:p>
    <w:p w:rsidR="0002608C" w:rsidRPr="00501A61" w:rsidRDefault="00C15CD6" w:rsidP="00107648">
      <w:pPr>
        <w:snapToGrid w:val="0"/>
        <w:spacing w:line="360" w:lineRule="auto"/>
        <w:ind w:firstLineChars="200" w:firstLine="422"/>
        <w:rPr>
          <w:rFonts w:asciiTheme="minorEastAsia" w:eastAsiaTheme="minorEastAsia" w:hAnsiTheme="minorEastAsia"/>
          <w:b/>
          <w:szCs w:val="21"/>
        </w:rPr>
      </w:pPr>
      <w:r w:rsidRPr="00501A61">
        <w:rPr>
          <w:rFonts w:asciiTheme="minorEastAsia" w:eastAsiaTheme="minorEastAsia" w:hAnsiTheme="minorEastAsia" w:hint="eastAsia"/>
          <w:b/>
          <w:szCs w:val="21"/>
        </w:rPr>
        <w:t>5</w:t>
      </w:r>
      <w:r w:rsidR="0002608C" w:rsidRPr="00501A61">
        <w:rPr>
          <w:rFonts w:asciiTheme="minorEastAsia" w:eastAsiaTheme="minorEastAsia" w:hAnsiTheme="minorEastAsia" w:hint="eastAsia"/>
          <w:b/>
          <w:szCs w:val="21"/>
        </w:rPr>
        <w:t>）构建股票投资组合</w:t>
      </w:r>
    </w:p>
    <w:p w:rsidR="0002608C" w:rsidRPr="00501A61" w:rsidRDefault="0002608C" w:rsidP="00107648">
      <w:pPr>
        <w:snapToGrid w:val="0"/>
        <w:spacing w:line="360" w:lineRule="auto"/>
        <w:ind w:left="360" w:firstLine="420"/>
        <w:rPr>
          <w:rFonts w:asciiTheme="minorEastAsia" w:eastAsiaTheme="minorEastAsia" w:hAnsiTheme="minorEastAsia"/>
          <w:szCs w:val="21"/>
        </w:rPr>
      </w:pPr>
      <w:r w:rsidRPr="00501A61">
        <w:rPr>
          <w:rFonts w:asciiTheme="minorEastAsia" w:eastAsiaTheme="minorEastAsia" w:hAnsiTheme="minorEastAsia" w:hint="eastAsia"/>
          <w:szCs w:val="21"/>
        </w:rPr>
        <w:t>在初步拟定投资方案后，本基金将对投资组合的行业集中度风险及股票流动性风险进行评估，经调整后确定最终投资方案。</w:t>
      </w:r>
    </w:p>
    <w:p w:rsidR="0002608C" w:rsidRPr="00501A61" w:rsidRDefault="0002608C" w:rsidP="00107648">
      <w:pPr>
        <w:snapToGrid w:val="0"/>
        <w:spacing w:line="360" w:lineRule="auto"/>
        <w:ind w:firstLineChars="200" w:firstLine="422"/>
        <w:rPr>
          <w:rFonts w:asciiTheme="minorEastAsia" w:eastAsiaTheme="minorEastAsia" w:hAnsiTheme="minorEastAsia"/>
          <w:b/>
          <w:szCs w:val="21"/>
        </w:rPr>
      </w:pPr>
      <w:r w:rsidRPr="00501A61">
        <w:rPr>
          <w:rFonts w:asciiTheme="minorEastAsia" w:eastAsiaTheme="minorEastAsia" w:hAnsiTheme="minorEastAsia" w:hint="eastAsia"/>
          <w:b/>
          <w:szCs w:val="21"/>
        </w:rPr>
        <w:t>3</w:t>
      </w:r>
      <w:r w:rsidR="00C15CD6" w:rsidRPr="00501A61">
        <w:rPr>
          <w:rFonts w:asciiTheme="minorEastAsia" w:eastAsiaTheme="minorEastAsia" w:hAnsiTheme="minorEastAsia" w:hint="eastAsia"/>
          <w:b/>
          <w:szCs w:val="21"/>
        </w:rPr>
        <w:t>、</w:t>
      </w:r>
      <w:r w:rsidRPr="00501A61">
        <w:rPr>
          <w:rFonts w:asciiTheme="minorEastAsia" w:eastAsiaTheme="minorEastAsia" w:hAnsiTheme="minorEastAsia" w:hint="eastAsia"/>
          <w:b/>
          <w:szCs w:val="21"/>
        </w:rPr>
        <w:t>其它投资策略</w:t>
      </w:r>
    </w:p>
    <w:p w:rsidR="0002608C" w:rsidRPr="00501A61" w:rsidRDefault="0002608C" w:rsidP="00107648">
      <w:pPr>
        <w:snapToGrid w:val="0"/>
        <w:spacing w:line="360" w:lineRule="auto"/>
        <w:ind w:firstLine="420"/>
        <w:rPr>
          <w:rFonts w:asciiTheme="minorEastAsia" w:eastAsiaTheme="minorEastAsia" w:hAnsiTheme="minorEastAsia"/>
          <w:kern w:val="0"/>
          <w:szCs w:val="21"/>
        </w:rPr>
      </w:pPr>
      <w:r w:rsidRPr="00501A61">
        <w:rPr>
          <w:rFonts w:asciiTheme="minorEastAsia" w:eastAsiaTheme="minorEastAsia" w:hAnsiTheme="minorEastAsia" w:hint="eastAsia"/>
          <w:szCs w:val="21"/>
        </w:rPr>
        <w:t>除股票资产外，本基金的投资对象还主要包括货币市场工具、债券和、可转债、权证及法律、法规或中国证监会允许基金投资的其他金融工具。</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投资部分货币市场工具及债券的主要目的是在投资上保持必要的灵活性和运作空间，以更好控制风险、及时把握重大的投资机会。当股票市场风险显著增大时，本基金将降低股票投资的仓位，增加对货币市场工具和债券的投资，在保证资产安全性、流动性的基础上获得一定收益。除此之外，本基金还可投资于可转债，积极把握低风险下的获利机会。</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权证为本基金辅助性投资工具，投资原则为有利于基金资产增值、控制下跌风险、实现保值和锁定收益。本基金将主要投资满足个股精选条件的公司发行的权证。</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本基金可以持有在股权分置改革中被动获得的权证，并可以根据证券交易所的有关规定卖出该部分权证或行权。</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本基金可以根据权证投资策略主动投资于在股权分置改革中发行的权证。</w:t>
      </w:r>
    </w:p>
    <w:p w:rsidR="0002608C" w:rsidRPr="00501A61" w:rsidRDefault="0002608C" w:rsidP="00107648">
      <w:pPr>
        <w:snapToGrid w:val="0"/>
        <w:spacing w:line="360" w:lineRule="auto"/>
        <w:ind w:firstLine="420"/>
        <w:rPr>
          <w:rFonts w:asciiTheme="minorEastAsia" w:eastAsiaTheme="minorEastAsia" w:hAnsiTheme="minorEastAsia"/>
          <w:kern w:val="0"/>
          <w:szCs w:val="21"/>
        </w:rPr>
      </w:pPr>
      <w:r w:rsidRPr="00501A61">
        <w:rPr>
          <w:rFonts w:asciiTheme="minorEastAsia" w:eastAsiaTheme="minorEastAsia" w:hAnsiTheme="minorEastAsia" w:hint="eastAsia"/>
          <w:szCs w:val="21"/>
        </w:rPr>
        <w:lastRenderedPageBreak/>
        <w:t>随着我国权证市场的发展，在以后法律法规允许的情况下，本基金也将投资除股权分置改革中发行的权证之外的其他类型的权证，以实现投资目标。</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77" w:name="_Toc45632228"/>
      <w:bookmarkEnd w:id="75"/>
      <w:bookmarkEnd w:id="76"/>
      <w:r w:rsidRPr="00501A61">
        <w:rPr>
          <w:rFonts w:asciiTheme="minorEastAsia" w:eastAsiaTheme="minorEastAsia" w:hAnsiTheme="minorEastAsia" w:hint="eastAsia"/>
          <w:b w:val="0"/>
          <w:bCs/>
        </w:rPr>
        <w:t>（五）业绩</w:t>
      </w:r>
      <w:r w:rsidRPr="00501A61">
        <w:rPr>
          <w:rFonts w:asciiTheme="minorEastAsia" w:eastAsiaTheme="minorEastAsia" w:hAnsiTheme="minorEastAsia"/>
          <w:b w:val="0"/>
          <w:bCs/>
        </w:rPr>
        <w:t>比较基准</w:t>
      </w:r>
      <w:bookmarkEnd w:id="72"/>
      <w:bookmarkEnd w:id="73"/>
      <w:bookmarkEnd w:id="77"/>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80</w:t>
      </w:r>
      <w:r w:rsidRPr="00501A61">
        <w:rPr>
          <w:rFonts w:asciiTheme="minorEastAsia" w:eastAsiaTheme="minorEastAsia" w:hAnsiTheme="minorEastAsia"/>
        </w:rPr>
        <w:t>%</w:t>
      </w:r>
      <w:r w:rsidRPr="00501A61">
        <w:rPr>
          <w:rFonts w:asciiTheme="minorEastAsia" w:eastAsiaTheme="minorEastAsia" w:hAnsiTheme="minorEastAsia" w:hint="eastAsia"/>
        </w:rPr>
        <w:t>×沪深300</w:t>
      </w:r>
      <w:r w:rsidRPr="00501A61">
        <w:rPr>
          <w:rFonts w:asciiTheme="minorEastAsia" w:eastAsiaTheme="minorEastAsia" w:hAnsiTheme="minorEastAsia"/>
        </w:rPr>
        <w:t>指数+</w:t>
      </w:r>
      <w:r w:rsidRPr="00501A61">
        <w:rPr>
          <w:rFonts w:asciiTheme="minorEastAsia" w:eastAsiaTheme="minorEastAsia" w:hAnsiTheme="minorEastAsia" w:hint="eastAsia"/>
        </w:rPr>
        <w:t>20</w:t>
      </w:r>
      <w:r w:rsidRPr="00501A61">
        <w:rPr>
          <w:rFonts w:asciiTheme="minorEastAsia" w:eastAsiaTheme="minorEastAsia" w:hAnsiTheme="minorEastAsia"/>
        </w:rPr>
        <w:t>%</w:t>
      </w:r>
      <w:r w:rsidRPr="00501A61">
        <w:rPr>
          <w:rFonts w:asciiTheme="minorEastAsia" w:eastAsiaTheme="minorEastAsia" w:hAnsiTheme="minorEastAsia" w:hint="eastAsia"/>
        </w:rPr>
        <w:t>×上证国债指数</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rPr>
        <w:t>如果</w:t>
      </w:r>
      <w:r w:rsidRPr="00501A61">
        <w:rPr>
          <w:rFonts w:asciiTheme="minorEastAsia" w:eastAsiaTheme="minorEastAsia" w:hAnsiTheme="minorEastAsia" w:hint="eastAsia"/>
        </w:rPr>
        <w:t>指数编制单位</w:t>
      </w:r>
      <w:r w:rsidRPr="00501A61">
        <w:rPr>
          <w:rFonts w:asciiTheme="minorEastAsia" w:eastAsiaTheme="minorEastAsia" w:hAnsiTheme="minorEastAsia"/>
        </w:rPr>
        <w:t>停止计算编制</w:t>
      </w:r>
      <w:r w:rsidRPr="00501A61">
        <w:rPr>
          <w:rFonts w:asciiTheme="minorEastAsia" w:eastAsiaTheme="minorEastAsia" w:hAnsiTheme="minorEastAsia" w:hint="eastAsia"/>
        </w:rPr>
        <w:t>该</w:t>
      </w:r>
      <w:r w:rsidRPr="00501A61">
        <w:rPr>
          <w:rFonts w:asciiTheme="minorEastAsia" w:eastAsiaTheme="minorEastAsia" w:hAnsiTheme="minorEastAsia"/>
        </w:rPr>
        <w:t>指数或更改指数名称</w:t>
      </w:r>
      <w:r w:rsidRPr="00501A61">
        <w:rPr>
          <w:rFonts w:asciiTheme="minorEastAsia" w:eastAsiaTheme="minorEastAsia" w:hAnsiTheme="minorEastAsia" w:hint="eastAsia"/>
        </w:rPr>
        <w:t>、或</w:t>
      </w:r>
      <w:r w:rsidRPr="00501A61">
        <w:rPr>
          <w:rFonts w:asciiTheme="minorEastAsia" w:eastAsiaTheme="minorEastAsia" w:hAnsiTheme="minorEastAsia"/>
        </w:rPr>
        <w:t>有更权威的、更能为市场普遍接受的业绩比较基准推出</w:t>
      </w:r>
      <w:r w:rsidRPr="00501A61">
        <w:rPr>
          <w:rFonts w:asciiTheme="minorEastAsia" w:eastAsiaTheme="minorEastAsia" w:hAnsiTheme="minorEastAsia" w:hint="eastAsia"/>
        </w:rPr>
        <w:t>，</w:t>
      </w:r>
      <w:r w:rsidRPr="00501A61">
        <w:rPr>
          <w:rFonts w:asciiTheme="minorEastAsia" w:eastAsiaTheme="minorEastAsia" w:hAnsiTheme="minorEastAsia"/>
        </w:rPr>
        <w:t>本基金</w:t>
      </w:r>
      <w:r w:rsidRPr="00501A61">
        <w:rPr>
          <w:rFonts w:asciiTheme="minorEastAsia" w:eastAsiaTheme="minorEastAsia" w:hAnsiTheme="minorEastAsia" w:hint="eastAsia"/>
        </w:rPr>
        <w:t>管理人</w:t>
      </w:r>
      <w:r w:rsidRPr="00501A61">
        <w:rPr>
          <w:rFonts w:asciiTheme="minorEastAsia" w:eastAsiaTheme="minorEastAsia" w:hAnsiTheme="minorEastAsia"/>
        </w:rPr>
        <w:t>有权对此基准进行调整并</w:t>
      </w:r>
      <w:r w:rsidRPr="00501A61">
        <w:rPr>
          <w:rFonts w:asciiTheme="minorEastAsia" w:eastAsiaTheme="minorEastAsia" w:hAnsiTheme="minorEastAsia" w:hint="eastAsia"/>
        </w:rPr>
        <w:t>及时</w:t>
      </w:r>
      <w:r w:rsidRPr="00501A61">
        <w:rPr>
          <w:rFonts w:asciiTheme="minorEastAsia" w:eastAsiaTheme="minorEastAsia" w:hAnsiTheme="minorEastAsia"/>
        </w:rPr>
        <w:t>公告。</w:t>
      </w:r>
    </w:p>
    <w:p w:rsidR="0002608C" w:rsidRPr="00501A61" w:rsidRDefault="0002608C" w:rsidP="00107648">
      <w:pPr>
        <w:snapToGrid w:val="0"/>
        <w:spacing w:line="360" w:lineRule="auto"/>
        <w:ind w:firstLineChars="200" w:firstLine="420"/>
        <w:rPr>
          <w:rFonts w:asciiTheme="minorEastAsia" w:eastAsiaTheme="minorEastAsia" w:hAnsiTheme="minorEastAsia"/>
        </w:rPr>
      </w:pPr>
      <w:bookmarkStart w:id="78" w:name="OLE_LINK5"/>
      <w:r w:rsidRPr="00501A61">
        <w:rPr>
          <w:rFonts w:asciiTheme="minorEastAsia" w:eastAsiaTheme="minorEastAsia" w:hAnsiTheme="minorEastAsia"/>
        </w:rPr>
        <w:t>本基金为</w:t>
      </w:r>
      <w:r w:rsidR="0063365A" w:rsidRPr="00501A61">
        <w:rPr>
          <w:rFonts w:asciiTheme="minorEastAsia" w:eastAsiaTheme="minorEastAsia" w:hAnsiTheme="minorEastAsia"/>
        </w:rPr>
        <w:t>混合</w:t>
      </w:r>
      <w:r w:rsidRPr="00501A61">
        <w:rPr>
          <w:rFonts w:asciiTheme="minorEastAsia" w:eastAsiaTheme="minorEastAsia" w:hAnsiTheme="minorEastAsia"/>
        </w:rPr>
        <w:t>基金，在考虑了基金股票组合的投资标的、构建流程以及市场上各个股票指数的</w:t>
      </w:r>
      <w:r w:rsidRPr="00501A61">
        <w:rPr>
          <w:rFonts w:asciiTheme="minorEastAsia" w:eastAsiaTheme="minorEastAsia" w:hAnsiTheme="minorEastAsia" w:hint="eastAsia"/>
        </w:rPr>
        <w:t>编制方法</w:t>
      </w:r>
      <w:r w:rsidRPr="00501A61">
        <w:rPr>
          <w:rFonts w:asciiTheme="minorEastAsia" w:eastAsiaTheme="minorEastAsia" w:hAnsiTheme="minorEastAsia"/>
        </w:rPr>
        <w:t>和历史情况后，我们选定沪深300指数作为</w:t>
      </w:r>
      <w:r w:rsidRPr="00501A61">
        <w:rPr>
          <w:rFonts w:asciiTheme="minorEastAsia" w:eastAsiaTheme="minorEastAsia" w:hAnsiTheme="minorEastAsia" w:hint="eastAsia"/>
        </w:rPr>
        <w:t>本</w:t>
      </w:r>
      <w:r w:rsidRPr="00501A61">
        <w:rPr>
          <w:rFonts w:asciiTheme="minorEastAsia" w:eastAsiaTheme="minorEastAsia" w:hAnsiTheme="minorEastAsia"/>
        </w:rPr>
        <w:t>基金股票组合的业绩基准；债券组合的业绩基准则采用了市场上通用的上证国债指数。</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rPr>
        <w:t>本基金的股票资产占基金资产的60%-95%。在正常的市场情况下，基金的平均股票仓位</w:t>
      </w:r>
      <w:r w:rsidRPr="00501A61">
        <w:rPr>
          <w:rFonts w:asciiTheme="minorEastAsia" w:eastAsiaTheme="minorEastAsia" w:hAnsiTheme="minorEastAsia" w:hint="eastAsia"/>
        </w:rPr>
        <w:t>约为</w:t>
      </w:r>
      <w:r w:rsidRPr="00501A61">
        <w:rPr>
          <w:rFonts w:asciiTheme="minorEastAsia" w:eastAsiaTheme="minorEastAsia" w:hAnsiTheme="minorEastAsia"/>
        </w:rPr>
        <w:t>8</w:t>
      </w:r>
      <w:r w:rsidRPr="00501A61">
        <w:rPr>
          <w:rFonts w:asciiTheme="minorEastAsia" w:eastAsiaTheme="minorEastAsia" w:hAnsiTheme="minorEastAsia" w:hint="eastAsia"/>
        </w:rPr>
        <w:t>0</w:t>
      </w:r>
      <w:r w:rsidRPr="00501A61">
        <w:rPr>
          <w:rFonts w:asciiTheme="minorEastAsia" w:eastAsiaTheme="minorEastAsia" w:hAnsiTheme="minorEastAsia"/>
        </w:rPr>
        <w:t>%，所以，业绩基准中的这一资产配置比例可以反映本基金的风险收益特征</w:t>
      </w:r>
      <w:r w:rsidRPr="00501A61">
        <w:rPr>
          <w:rFonts w:asciiTheme="minorEastAsia" w:eastAsiaTheme="minorEastAsia" w:hAnsiTheme="minorEastAsia" w:hint="eastAsia"/>
        </w:rPr>
        <w:t>。</w:t>
      </w:r>
      <w:bookmarkEnd w:id="78"/>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79" w:name="_Toc87269125"/>
      <w:bookmarkStart w:id="80" w:name="_Toc84149642"/>
      <w:bookmarkStart w:id="81" w:name="_Toc45632229"/>
      <w:r w:rsidRPr="00501A61">
        <w:rPr>
          <w:rFonts w:asciiTheme="minorEastAsia" w:eastAsiaTheme="minorEastAsia" w:hAnsiTheme="minorEastAsia" w:hint="eastAsia"/>
          <w:b w:val="0"/>
          <w:bCs/>
        </w:rPr>
        <w:t>（六）风险收益特征</w:t>
      </w:r>
      <w:bookmarkEnd w:id="79"/>
      <w:bookmarkEnd w:id="81"/>
    </w:p>
    <w:bookmarkEnd w:id="80"/>
    <w:p w:rsidR="00B148D8" w:rsidRPr="00501A61" w:rsidRDefault="00B148D8"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本基金为混合基金，其预期风险收益水平高于债</w:t>
      </w:r>
      <w:r w:rsidRPr="00501A61">
        <w:rPr>
          <w:rFonts w:asciiTheme="minorEastAsia" w:eastAsiaTheme="minorEastAsia" w:hAnsiTheme="minorEastAsia"/>
        </w:rPr>
        <w:t>券基金</w:t>
      </w:r>
      <w:r w:rsidRPr="00501A61">
        <w:rPr>
          <w:rFonts w:asciiTheme="minorEastAsia" w:eastAsiaTheme="minorEastAsia" w:hAnsiTheme="minorEastAsia" w:hint="eastAsia"/>
        </w:rPr>
        <w:t>和货币市场基金，低于股票基金</w:t>
      </w:r>
      <w:r w:rsidRPr="00501A61">
        <w:rPr>
          <w:rFonts w:asciiTheme="minorEastAsia" w:eastAsiaTheme="minorEastAsia" w:hAnsiTheme="minorEastAsia"/>
        </w:rPr>
        <w:t>。</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rPr>
      </w:pPr>
      <w:bookmarkStart w:id="82" w:name="_Toc45632230"/>
      <w:r w:rsidRPr="00501A61">
        <w:rPr>
          <w:rFonts w:asciiTheme="minorEastAsia" w:eastAsiaTheme="minorEastAsia" w:hAnsiTheme="minorEastAsia" w:hint="eastAsia"/>
          <w:b w:val="0"/>
          <w:bCs/>
        </w:rPr>
        <w:t>（七）</w:t>
      </w:r>
      <w:bookmarkStart w:id="83" w:name="_Toc52310852"/>
      <w:bookmarkStart w:id="84" w:name="_Toc64861727"/>
      <w:r w:rsidRPr="00501A61">
        <w:rPr>
          <w:rFonts w:asciiTheme="minorEastAsia" w:eastAsiaTheme="minorEastAsia" w:hAnsiTheme="minorEastAsia" w:hint="eastAsia"/>
          <w:b w:val="0"/>
          <w:bCs/>
        </w:rPr>
        <w:t>投资决策</w:t>
      </w:r>
      <w:bookmarkEnd w:id="82"/>
      <w:bookmarkEnd w:id="83"/>
      <w:bookmarkEnd w:id="84"/>
    </w:p>
    <w:p w:rsidR="0002608C" w:rsidRPr="00501A61" w:rsidRDefault="00C15CD6"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资产配置决策</w:t>
      </w:r>
    </w:p>
    <w:p w:rsidR="0002608C" w:rsidRPr="00501A61" w:rsidRDefault="00CF3244" w:rsidP="00107648">
      <w:pPr>
        <w:pStyle w:val="22"/>
        <w:snapToGrid w:val="0"/>
        <w:spacing w:before="0" w:beforeAutospacing="0" w:after="0" w:afterAutospacing="0"/>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基金经理根据基金合同的要求以及投资决策委员会的指导性意见，确定基金资产的配置比例</w:t>
      </w:r>
      <w:r w:rsidR="0002608C"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C15CD6"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类别资产投资决策</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基金经理在确定的资产配置比例范围内，根据前述各类资产的投资策略，分别进行股票、债券、货币市场工具等资产类别的投资决策。</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szCs w:val="21"/>
        </w:rPr>
      </w:pPr>
      <w:r w:rsidRPr="00501A61">
        <w:rPr>
          <w:rFonts w:asciiTheme="minorEastAsia" w:eastAsiaTheme="minorEastAsia" w:hAnsiTheme="minorEastAsia" w:hint="eastAsia"/>
          <w:szCs w:val="21"/>
        </w:rPr>
        <w:t>1）股票投资决策</w:t>
      </w:r>
    </w:p>
    <w:p w:rsidR="0002608C" w:rsidRPr="00501A61" w:rsidRDefault="0002608C" w:rsidP="00107648">
      <w:pPr>
        <w:numPr>
          <w:ilvl w:val="0"/>
          <w:numId w:val="31"/>
        </w:numPr>
        <w:snapToGrid w:val="0"/>
        <w:spacing w:line="360" w:lineRule="auto"/>
        <w:ind w:left="0"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基金经理根据行业研究员的上市公司研究报告，并结合自身的分析判断，精选投资价值最高的股票作为本基金的备选投资对象；</w:t>
      </w:r>
    </w:p>
    <w:p w:rsidR="0002608C" w:rsidRPr="00501A61" w:rsidRDefault="0002608C" w:rsidP="00107648">
      <w:pPr>
        <w:numPr>
          <w:ilvl w:val="0"/>
          <w:numId w:val="31"/>
        </w:numPr>
        <w:snapToGrid w:val="0"/>
        <w:spacing w:line="360" w:lineRule="auto"/>
        <w:ind w:left="0"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基金经理根据宏观研究员及策略研究员提供的研究报告，并结合自身的分析判断，在上述精选股票的基础上进行行业优化配置，构造本基金投资组合；</w:t>
      </w:r>
    </w:p>
    <w:p w:rsidR="0002608C" w:rsidRPr="00501A61" w:rsidRDefault="0002608C" w:rsidP="00107648">
      <w:pPr>
        <w:numPr>
          <w:ilvl w:val="0"/>
          <w:numId w:val="31"/>
        </w:numPr>
        <w:snapToGrid w:val="0"/>
        <w:spacing w:line="360" w:lineRule="auto"/>
        <w:ind w:left="0"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基金经理根据上市公司及行业基本面的变化以及对组合风险的评估，持续地对组合进行优化调整。</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szCs w:val="21"/>
        </w:rPr>
        <w:t>2）基金经理根据宏观研究员及债券研究员提供的研究报告，结合自身的分析判断，选择具体的债券（含可转债）和货币市场工具品种构造投资组合。</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rPr>
      </w:pPr>
      <w:bookmarkStart w:id="85" w:name="_Toc45632231"/>
      <w:r w:rsidRPr="00501A61">
        <w:rPr>
          <w:rFonts w:asciiTheme="minorEastAsia" w:eastAsiaTheme="minorEastAsia" w:hAnsiTheme="minorEastAsia" w:hint="eastAsia"/>
          <w:b w:val="0"/>
          <w:bCs/>
        </w:rPr>
        <w:t>（八）投资</w:t>
      </w:r>
      <w:bookmarkEnd w:id="61"/>
      <w:r w:rsidRPr="00501A61">
        <w:rPr>
          <w:rFonts w:asciiTheme="minorEastAsia" w:eastAsiaTheme="minorEastAsia" w:hAnsiTheme="minorEastAsia" w:hint="eastAsia"/>
          <w:b w:val="0"/>
          <w:bCs/>
        </w:rPr>
        <w:t>组合限制</w:t>
      </w:r>
      <w:bookmarkEnd w:id="85"/>
    </w:p>
    <w:p w:rsidR="0002608C" w:rsidRPr="00501A61" w:rsidRDefault="0002608C"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根据目前法律法规的规定，以及本基金的投资策略，本基金的投资组合将遵循以下限制：</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1、</w:t>
      </w:r>
      <w:r w:rsidR="0002608C" w:rsidRPr="00501A61">
        <w:rPr>
          <w:rStyle w:val="da"/>
          <w:rFonts w:asciiTheme="minorEastAsia" w:eastAsiaTheme="minorEastAsia" w:hAnsiTheme="minorEastAsia"/>
        </w:rPr>
        <w:t>本基金持有一家</w:t>
      </w:r>
      <w:r w:rsidR="0002608C" w:rsidRPr="00501A61">
        <w:rPr>
          <w:rStyle w:val="da"/>
          <w:rFonts w:asciiTheme="minorEastAsia" w:eastAsiaTheme="minorEastAsia" w:hAnsiTheme="minorEastAsia" w:hint="eastAsia"/>
        </w:rPr>
        <w:t>上市</w:t>
      </w:r>
      <w:r w:rsidR="0002608C" w:rsidRPr="00501A61">
        <w:rPr>
          <w:rStyle w:val="da"/>
          <w:rFonts w:asciiTheme="minorEastAsia" w:eastAsiaTheme="minorEastAsia" w:hAnsiTheme="minorEastAsia"/>
        </w:rPr>
        <w:t>公司的股票，</w:t>
      </w:r>
      <w:r w:rsidR="0002608C" w:rsidRPr="00501A61">
        <w:rPr>
          <w:rStyle w:val="da"/>
          <w:rFonts w:asciiTheme="minorEastAsia" w:eastAsiaTheme="minorEastAsia" w:hAnsiTheme="minorEastAsia" w:hint="eastAsia"/>
        </w:rPr>
        <w:t>其市值</w:t>
      </w:r>
      <w:r w:rsidR="0002608C" w:rsidRPr="00501A61">
        <w:rPr>
          <w:rStyle w:val="da"/>
          <w:rFonts w:asciiTheme="minorEastAsia" w:eastAsiaTheme="minorEastAsia" w:hAnsiTheme="minorEastAsia"/>
        </w:rPr>
        <w:t>不得超过基金资产净值的10%；</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lastRenderedPageBreak/>
        <w:t>2、</w:t>
      </w:r>
      <w:r w:rsidR="0002608C" w:rsidRPr="00501A61">
        <w:rPr>
          <w:rStyle w:val="da"/>
          <w:rFonts w:asciiTheme="minorEastAsia" w:eastAsiaTheme="minorEastAsia" w:hAnsiTheme="minorEastAsia"/>
        </w:rPr>
        <w:t>本基金与由本基金管理人管理的其他基金</w:t>
      </w:r>
      <w:r w:rsidR="0002608C" w:rsidRPr="00501A61">
        <w:rPr>
          <w:rStyle w:val="da"/>
          <w:rFonts w:asciiTheme="minorEastAsia" w:eastAsiaTheme="minorEastAsia" w:hAnsiTheme="minorEastAsia" w:hint="eastAsia"/>
        </w:rPr>
        <w:t>共同</w:t>
      </w:r>
      <w:r w:rsidR="0002608C" w:rsidRPr="00501A61">
        <w:rPr>
          <w:rStyle w:val="da"/>
          <w:rFonts w:asciiTheme="minorEastAsia" w:eastAsiaTheme="minorEastAsia" w:hAnsiTheme="minorEastAsia"/>
        </w:rPr>
        <w:t>持有一家公司发行的证券，不得超过该证券的10%；</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3、</w:t>
      </w:r>
      <w:r w:rsidR="0002608C" w:rsidRPr="00501A61">
        <w:rPr>
          <w:rStyle w:val="da"/>
          <w:rFonts w:asciiTheme="minorEastAsia" w:eastAsiaTheme="minorEastAsia" w:hAnsiTheme="minorEastAsia" w:hint="eastAsia"/>
        </w:rPr>
        <w:t>本基金股票资产占基金资产的比例为60-95%；</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4、</w:t>
      </w:r>
      <w:r w:rsidR="0002608C" w:rsidRPr="00501A61">
        <w:rPr>
          <w:rStyle w:val="da"/>
          <w:rFonts w:asciiTheme="minorEastAsia" w:eastAsiaTheme="minorEastAsia" w:hAnsiTheme="minorEastAsia" w:hint="eastAsia"/>
        </w:rPr>
        <w:t>本基金投资股权分置改革中产生的权证，在任何交易日买入的总金额，不超过上一交易日基金资产净值的0.5%，基金持有的全部权证的市值不超过基金资产净值的3%，本公司管理的全部基金持有同一权证的比例不超过该权证的10%。其它权证的投资比例，遵从法规或监管部门的相关规定；</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5、</w:t>
      </w:r>
      <w:r w:rsidR="0002608C" w:rsidRPr="00501A61">
        <w:rPr>
          <w:rStyle w:val="da"/>
          <w:rFonts w:asciiTheme="minorEastAsia" w:eastAsiaTheme="minorEastAsia" w:hAnsiTheme="minorEastAsia" w:hint="eastAsia"/>
        </w:rPr>
        <w:t>基金财产参与股票发行申购，本基金所申报的金额不得超过本基金的总资产，所申报的股票数量不得超过拟发行股票公司本次发行股票的总量；</w:t>
      </w:r>
    </w:p>
    <w:p w:rsidR="00E56C3D" w:rsidRPr="00501A61" w:rsidRDefault="0002608C" w:rsidP="00E56C3D">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6</w:t>
      </w:r>
      <w:r w:rsidR="00C15CD6" w:rsidRPr="00501A61">
        <w:rPr>
          <w:rStyle w:val="da"/>
          <w:rFonts w:asciiTheme="minorEastAsia" w:eastAsiaTheme="minorEastAsia" w:hAnsiTheme="minorEastAsia" w:hint="eastAsia"/>
        </w:rPr>
        <w:t>、</w:t>
      </w:r>
      <w:r w:rsidR="00E56C3D" w:rsidRPr="00501A61">
        <w:rPr>
          <w:rStyle w:val="da"/>
          <w:rFonts w:asciiTheme="minorEastAsia" w:eastAsiaTheme="minorEastAsia" w:hAnsiTheme="minorEastAsia" w:hint="eastAsia"/>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E56C3D" w:rsidRPr="00501A61" w:rsidRDefault="00E56C3D" w:rsidP="00E56C3D">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7、本基金主动投资于流动性受限资产的市值合计不得超过该基金资产净值的15%。</w:t>
      </w:r>
    </w:p>
    <w:p w:rsidR="00E56C3D" w:rsidRPr="00501A61" w:rsidRDefault="00E56C3D" w:rsidP="00E56C3D">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因证券市场波动、上市公司股票停牌、基金规模变动等基金管理人之外的因素致使基金不符合前款所规定比例限制的，基金管理人不得主动新增流动性受限资产的投资。</w:t>
      </w:r>
    </w:p>
    <w:p w:rsidR="00E56C3D" w:rsidRPr="00501A61" w:rsidRDefault="00E56C3D" w:rsidP="00E56C3D">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8、本基金与私募类证券资管产品及中国证监会认定的其他主体为交易对手开展逆回购交易的，可接受质押品的资质要求应当与基金合同约定的投资范围保持一致。</w:t>
      </w:r>
    </w:p>
    <w:p w:rsidR="0002608C" w:rsidRPr="00501A61" w:rsidRDefault="00E56C3D" w:rsidP="00E56C3D">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9、</w:t>
      </w:r>
      <w:r w:rsidR="0002608C" w:rsidRPr="00501A61">
        <w:rPr>
          <w:rFonts w:asciiTheme="minorEastAsia" w:eastAsiaTheme="minorEastAsia" w:hAnsiTheme="minorEastAsia" w:hint="eastAsia"/>
        </w:rPr>
        <w:t>基金合同约定以及</w:t>
      </w:r>
      <w:r w:rsidR="0002608C" w:rsidRPr="00501A61">
        <w:rPr>
          <w:rStyle w:val="da"/>
          <w:rFonts w:asciiTheme="minorEastAsia" w:eastAsiaTheme="minorEastAsia" w:hAnsiTheme="minorEastAsia" w:hint="eastAsia"/>
        </w:rPr>
        <w:t>相关法律法规以及监管部门规定的其它投资限制。</w:t>
      </w:r>
    </w:p>
    <w:p w:rsidR="0002608C" w:rsidRPr="00501A61" w:rsidRDefault="0002608C"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如</w:t>
      </w:r>
      <w:r w:rsidRPr="00501A61">
        <w:rPr>
          <w:rStyle w:val="da"/>
          <w:rFonts w:asciiTheme="minorEastAsia" w:eastAsiaTheme="minorEastAsia" w:hAnsiTheme="minorEastAsia"/>
        </w:rPr>
        <w:t>法律法规或监管部门</w:t>
      </w:r>
      <w:r w:rsidRPr="00501A61">
        <w:rPr>
          <w:rStyle w:val="da"/>
          <w:rFonts w:asciiTheme="minorEastAsia" w:eastAsiaTheme="minorEastAsia" w:hAnsiTheme="minorEastAsia" w:hint="eastAsia"/>
        </w:rPr>
        <w:t>取消上述限制性规定，本基金不受上述规定的限制</w:t>
      </w:r>
      <w:r w:rsidRPr="00501A61">
        <w:rPr>
          <w:rStyle w:val="da"/>
          <w:rFonts w:asciiTheme="minorEastAsia" w:eastAsiaTheme="minorEastAsia" w:hAnsiTheme="minorEastAsia"/>
        </w:rPr>
        <w:t>。法律法规或监管部门对上述比例限制另有规定的，本基金合同将从其规定；基金管理人可依据法律法规或监管部门规定直接进行变更，</w:t>
      </w:r>
      <w:r w:rsidRPr="00501A61">
        <w:rPr>
          <w:rStyle w:val="da"/>
          <w:rFonts w:asciiTheme="minorEastAsia" w:eastAsiaTheme="minorEastAsia" w:hAnsiTheme="minorEastAsia" w:hint="eastAsia"/>
        </w:rPr>
        <w:t>最迟</w:t>
      </w:r>
      <w:r w:rsidRPr="00501A61">
        <w:rPr>
          <w:rStyle w:val="da"/>
          <w:rFonts w:asciiTheme="minorEastAsia" w:eastAsiaTheme="minorEastAsia" w:hAnsiTheme="minorEastAsia"/>
        </w:rPr>
        <w:t>在变更前2个工作日在基金管理人网站及指定报刊上发布公告，此项合同修改无须召开基金份额持有人大会。</w:t>
      </w:r>
    </w:p>
    <w:p w:rsidR="0002608C" w:rsidRPr="00501A61" w:rsidRDefault="00E56C3D" w:rsidP="00107648">
      <w:pPr>
        <w:snapToGrid w:val="0"/>
        <w:spacing w:line="360" w:lineRule="auto"/>
        <w:ind w:firstLine="482"/>
        <w:rPr>
          <w:rFonts w:asciiTheme="minorEastAsia" w:eastAsiaTheme="minorEastAsia" w:hAnsiTheme="minorEastAsia"/>
        </w:rPr>
      </w:pPr>
      <w:r w:rsidRPr="00501A61">
        <w:rPr>
          <w:rFonts w:asciiTheme="minorEastAsia" w:eastAsiaTheme="minorEastAsia" w:hAnsiTheme="minorEastAsia" w:hint="eastAsia"/>
        </w:rPr>
        <w:t>除上述5、7、8以外，</w:t>
      </w:r>
      <w:r w:rsidR="0002608C" w:rsidRPr="00501A61">
        <w:rPr>
          <w:rFonts w:asciiTheme="minorEastAsia" w:eastAsiaTheme="minorEastAsia" w:hAnsiTheme="minorEastAsia"/>
        </w:rPr>
        <w:t>由于</w:t>
      </w:r>
      <w:r w:rsidR="0002608C" w:rsidRPr="00501A61">
        <w:rPr>
          <w:rFonts w:asciiTheme="minorEastAsia" w:eastAsiaTheme="minorEastAsia" w:hAnsiTheme="minorEastAsia" w:hint="eastAsia"/>
        </w:rPr>
        <w:t>证券市场波动、上市公司合并</w:t>
      </w:r>
      <w:r w:rsidR="0002608C" w:rsidRPr="00501A61">
        <w:rPr>
          <w:rFonts w:asciiTheme="minorEastAsia" w:eastAsiaTheme="minorEastAsia" w:hAnsiTheme="minorEastAsia"/>
        </w:rPr>
        <w:t>或</w:t>
      </w:r>
      <w:r w:rsidR="0002608C" w:rsidRPr="00501A61">
        <w:rPr>
          <w:rFonts w:asciiTheme="minorEastAsia" w:eastAsiaTheme="minorEastAsia" w:hAnsiTheme="minorEastAsia" w:hint="eastAsia"/>
        </w:rPr>
        <w:t>基金规模变动等基金管理人之外的原因</w:t>
      </w:r>
      <w:r w:rsidR="0002608C" w:rsidRPr="00501A61">
        <w:rPr>
          <w:rFonts w:asciiTheme="minorEastAsia" w:eastAsiaTheme="minorEastAsia" w:hAnsiTheme="minorEastAsia"/>
        </w:rPr>
        <w:t>导致投资组合</w:t>
      </w:r>
      <w:r w:rsidR="0002608C" w:rsidRPr="00501A61">
        <w:rPr>
          <w:rFonts w:asciiTheme="minorEastAsia" w:eastAsiaTheme="minorEastAsia" w:hAnsiTheme="minorEastAsia" w:hint="eastAsia"/>
        </w:rPr>
        <w:t>不符合</w:t>
      </w:r>
      <w:r w:rsidR="0002608C" w:rsidRPr="00501A61">
        <w:rPr>
          <w:rFonts w:asciiTheme="minorEastAsia" w:eastAsiaTheme="minorEastAsia" w:hAnsiTheme="minorEastAsia"/>
        </w:rPr>
        <w:t>上述约定比例</w:t>
      </w:r>
      <w:r w:rsidR="0002608C" w:rsidRPr="00501A61">
        <w:rPr>
          <w:rFonts w:asciiTheme="minorEastAsia" w:eastAsiaTheme="minorEastAsia" w:hAnsiTheme="minorEastAsia" w:hint="eastAsia"/>
        </w:rPr>
        <w:t>的</w:t>
      </w:r>
      <w:r w:rsidR="0002608C" w:rsidRPr="00501A61">
        <w:rPr>
          <w:rFonts w:asciiTheme="minorEastAsia" w:eastAsiaTheme="minorEastAsia" w:hAnsiTheme="minorEastAsia"/>
        </w:rPr>
        <w:t>，基金管理人应在</w:t>
      </w:r>
      <w:r w:rsidR="0002608C" w:rsidRPr="00501A61">
        <w:rPr>
          <w:rFonts w:asciiTheme="minorEastAsia" w:eastAsiaTheme="minorEastAsia" w:hAnsiTheme="minorEastAsia" w:hint="eastAsia"/>
        </w:rPr>
        <w:t>10个交易日</w:t>
      </w:r>
      <w:r w:rsidR="0002608C" w:rsidRPr="00501A61">
        <w:rPr>
          <w:rFonts w:asciiTheme="minorEastAsia" w:eastAsiaTheme="minorEastAsia" w:hAnsiTheme="minorEastAsia"/>
        </w:rPr>
        <w:t>内进行调整</w:t>
      </w:r>
      <w:r w:rsidR="0002608C" w:rsidRPr="00501A61">
        <w:rPr>
          <w:rFonts w:asciiTheme="minorEastAsia" w:eastAsiaTheme="minorEastAsia" w:hAnsiTheme="minorEastAsia" w:hint="eastAsia"/>
        </w:rPr>
        <w:t>。法律法规另有规定的除外。</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rPr>
      </w:pPr>
      <w:bookmarkStart w:id="86" w:name="_Toc45632232"/>
      <w:r w:rsidRPr="00501A61">
        <w:rPr>
          <w:rFonts w:asciiTheme="minorEastAsia" w:eastAsiaTheme="minorEastAsia" w:hAnsiTheme="minorEastAsia" w:hint="eastAsia"/>
          <w:b w:val="0"/>
          <w:bCs/>
        </w:rPr>
        <w:t>（九）</w:t>
      </w:r>
      <w:bookmarkStart w:id="87" w:name="_Toc52310854"/>
      <w:r w:rsidRPr="00501A61">
        <w:rPr>
          <w:rFonts w:asciiTheme="minorEastAsia" w:eastAsiaTheme="minorEastAsia" w:hAnsiTheme="minorEastAsia" w:hint="eastAsia"/>
          <w:b w:val="0"/>
          <w:bCs/>
        </w:rPr>
        <w:t>禁止行为</w:t>
      </w:r>
      <w:bookmarkEnd w:id="86"/>
      <w:bookmarkEnd w:id="87"/>
    </w:p>
    <w:p w:rsidR="0002608C" w:rsidRPr="00501A61" w:rsidRDefault="0002608C" w:rsidP="00107648">
      <w:pPr>
        <w:snapToGrid w:val="0"/>
        <w:spacing w:line="360" w:lineRule="auto"/>
        <w:ind w:firstLine="200"/>
        <w:rPr>
          <w:rFonts w:asciiTheme="minorEastAsia" w:eastAsiaTheme="minorEastAsia" w:hAnsiTheme="minorEastAsia"/>
        </w:rPr>
      </w:pPr>
      <w:r w:rsidRPr="00501A61">
        <w:rPr>
          <w:rFonts w:asciiTheme="minorEastAsia" w:eastAsiaTheme="minorEastAsia" w:hAnsiTheme="minorEastAsia" w:hint="eastAsia"/>
        </w:rPr>
        <w:t>为维护基金份额持有人的合法权益，本基金禁止从事下列行为;</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1、</w:t>
      </w:r>
      <w:r w:rsidR="0002608C" w:rsidRPr="00501A61">
        <w:rPr>
          <w:rStyle w:val="da"/>
          <w:rFonts w:asciiTheme="minorEastAsia" w:eastAsiaTheme="minorEastAsia" w:hAnsiTheme="minorEastAsia" w:hint="eastAsia"/>
        </w:rPr>
        <w:t>投资于其他基金份额（法律法规另有规定的除外）；</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2、</w:t>
      </w:r>
      <w:r w:rsidR="0002608C" w:rsidRPr="00501A61">
        <w:rPr>
          <w:rStyle w:val="da"/>
          <w:rFonts w:asciiTheme="minorEastAsia" w:eastAsiaTheme="minorEastAsia" w:hAnsiTheme="minorEastAsia"/>
        </w:rPr>
        <w:t>将基金资产用于向他人贷款或提供担保；</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3、</w:t>
      </w:r>
      <w:r w:rsidR="0002608C" w:rsidRPr="00501A61">
        <w:rPr>
          <w:rStyle w:val="da"/>
          <w:rFonts w:asciiTheme="minorEastAsia" w:eastAsiaTheme="minorEastAsia" w:hAnsiTheme="minorEastAsia"/>
        </w:rPr>
        <w:t>承销证券；</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4、</w:t>
      </w:r>
      <w:r w:rsidR="0002608C" w:rsidRPr="00501A61">
        <w:rPr>
          <w:rStyle w:val="da"/>
          <w:rFonts w:asciiTheme="minorEastAsia" w:eastAsiaTheme="minorEastAsia" w:hAnsiTheme="minorEastAsia"/>
        </w:rPr>
        <w:t>从事可能使基金资产承担无限责任的投资；</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5、</w:t>
      </w:r>
      <w:r w:rsidR="0002608C" w:rsidRPr="00501A61">
        <w:rPr>
          <w:rStyle w:val="da"/>
          <w:rFonts w:asciiTheme="minorEastAsia" w:eastAsiaTheme="minorEastAsia" w:hAnsiTheme="minorEastAsia"/>
        </w:rPr>
        <w:t>向基金管理人、基金托管人出资或者买卖基金托管人、基金管理人发行的股票或债券；</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6、</w:t>
      </w:r>
      <w:r w:rsidR="0002608C" w:rsidRPr="00501A61">
        <w:rPr>
          <w:rStyle w:val="da"/>
          <w:rFonts w:asciiTheme="minorEastAsia" w:eastAsiaTheme="minorEastAsia" w:hAnsiTheme="minorEastAsia" w:hint="eastAsia"/>
        </w:rPr>
        <w:t>买卖与基金管理人、基金托管人有控股关系的股东或者与基金管理人、基金托管人</w:t>
      </w:r>
      <w:r w:rsidR="0002608C" w:rsidRPr="00501A61">
        <w:rPr>
          <w:rStyle w:val="da"/>
          <w:rFonts w:asciiTheme="minorEastAsia" w:eastAsiaTheme="minorEastAsia" w:hAnsiTheme="minorEastAsia" w:hint="eastAsia"/>
        </w:rPr>
        <w:lastRenderedPageBreak/>
        <w:t>有其他重大利害关系的公司发行的证券或者承销期内承销的证券；</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7、</w:t>
      </w:r>
      <w:r w:rsidR="0002608C" w:rsidRPr="00501A61">
        <w:rPr>
          <w:rStyle w:val="da"/>
          <w:rFonts w:asciiTheme="minorEastAsia" w:eastAsiaTheme="minorEastAsia" w:hAnsiTheme="minorEastAsia"/>
        </w:rPr>
        <w:t>从事内幕交易、操纵证券交易价格及其他不正当的证券交易活动；</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8、</w:t>
      </w:r>
      <w:r w:rsidR="0002608C" w:rsidRPr="00501A61">
        <w:rPr>
          <w:rStyle w:val="da"/>
          <w:rFonts w:asciiTheme="minorEastAsia" w:eastAsiaTheme="minorEastAsia" w:hAnsiTheme="minorEastAsia"/>
        </w:rPr>
        <w:t>其他法律、法规、规章、中国证监会及《基金合同》规定禁止从事的行为。</w:t>
      </w:r>
    </w:p>
    <w:p w:rsidR="0002608C" w:rsidRPr="00501A61" w:rsidRDefault="00C15CD6"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9、</w:t>
      </w:r>
      <w:r w:rsidR="0002608C" w:rsidRPr="00501A61">
        <w:rPr>
          <w:rStyle w:val="da"/>
          <w:rFonts w:asciiTheme="minorEastAsia" w:eastAsiaTheme="minorEastAsia" w:hAnsiTheme="minorEastAsia"/>
        </w:rPr>
        <w:t>对上述事项，法律法规另有规定时从其规定。</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88" w:name="_Toc45632233"/>
      <w:r w:rsidRPr="00501A61">
        <w:rPr>
          <w:rFonts w:asciiTheme="minorEastAsia" w:eastAsiaTheme="minorEastAsia" w:hAnsiTheme="minorEastAsia" w:hint="eastAsia"/>
          <w:b w:val="0"/>
          <w:bCs/>
        </w:rPr>
        <w:t>（十）基金管理人代表基金行使所投资证券产生权利的处理原则及方法</w:t>
      </w:r>
      <w:bookmarkEnd w:id="88"/>
    </w:p>
    <w:p w:rsidR="0002608C" w:rsidRPr="00501A61" w:rsidRDefault="00CE2F50"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1、</w:t>
      </w:r>
      <w:r w:rsidR="0002608C" w:rsidRPr="00501A61">
        <w:rPr>
          <w:rStyle w:val="da"/>
          <w:rFonts w:asciiTheme="minorEastAsia" w:eastAsiaTheme="minorEastAsia" w:hAnsiTheme="minorEastAsia"/>
        </w:rPr>
        <w:t>不谋求对上市公司的控股，不参与所投资上市公司的经营管理；</w:t>
      </w:r>
    </w:p>
    <w:p w:rsidR="0002608C" w:rsidRPr="00501A61" w:rsidRDefault="00CE2F50"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2、</w:t>
      </w:r>
      <w:r w:rsidR="0002608C" w:rsidRPr="00501A61">
        <w:rPr>
          <w:rStyle w:val="da"/>
          <w:rFonts w:asciiTheme="minorEastAsia" w:eastAsiaTheme="minorEastAsia" w:hAnsiTheme="minorEastAsia"/>
        </w:rPr>
        <w:t>有利于基金资产的安全与增值；</w:t>
      </w:r>
    </w:p>
    <w:p w:rsidR="0002608C" w:rsidRPr="00501A61" w:rsidRDefault="00CE2F50"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3、</w:t>
      </w:r>
      <w:r w:rsidR="0002608C" w:rsidRPr="00501A61">
        <w:rPr>
          <w:rStyle w:val="da"/>
          <w:rFonts w:asciiTheme="minorEastAsia" w:eastAsiaTheme="minorEastAsia" w:hAnsiTheme="minorEastAsia"/>
        </w:rPr>
        <w:t>基金管理人按照国家有关规定代表基金独立行使股东权利，保护基金投资者的利益</w:t>
      </w:r>
      <w:r w:rsidR="0002608C" w:rsidRPr="00501A61">
        <w:rPr>
          <w:rStyle w:val="da"/>
          <w:rFonts w:asciiTheme="minorEastAsia" w:eastAsiaTheme="minorEastAsia" w:hAnsiTheme="minorEastAsia" w:hint="eastAsia"/>
        </w:rPr>
        <w:t>；</w:t>
      </w:r>
    </w:p>
    <w:p w:rsidR="0002608C" w:rsidRPr="00501A61" w:rsidRDefault="00CE2F50" w:rsidP="00107648">
      <w:pPr>
        <w:snapToGrid w:val="0"/>
        <w:spacing w:line="360" w:lineRule="auto"/>
        <w:ind w:firstLine="482"/>
        <w:rPr>
          <w:rStyle w:val="da"/>
          <w:rFonts w:asciiTheme="minorEastAsia" w:eastAsiaTheme="minorEastAsia" w:hAnsiTheme="minorEastAsia"/>
        </w:rPr>
      </w:pPr>
      <w:r w:rsidRPr="00501A61">
        <w:rPr>
          <w:rStyle w:val="da"/>
          <w:rFonts w:asciiTheme="minorEastAsia" w:eastAsiaTheme="minorEastAsia" w:hAnsiTheme="minorEastAsia" w:hint="eastAsia"/>
        </w:rPr>
        <w:t>4、</w:t>
      </w:r>
      <w:r w:rsidR="0002608C" w:rsidRPr="00501A61">
        <w:rPr>
          <w:rStyle w:val="da"/>
          <w:rFonts w:asciiTheme="minorEastAsia" w:eastAsiaTheme="minorEastAsia" w:hAnsiTheme="minorEastAsia" w:hint="eastAsia"/>
        </w:rPr>
        <w:t>基金管理人按照国家有关规定代表基金独立行使债权人权利，保护基金投资者的利益。</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89" w:name="_Toc45632234"/>
      <w:r w:rsidRPr="00501A61">
        <w:rPr>
          <w:rFonts w:asciiTheme="minorEastAsia" w:eastAsiaTheme="minorEastAsia" w:hAnsiTheme="minorEastAsia" w:hint="eastAsia"/>
          <w:b w:val="0"/>
          <w:bCs/>
        </w:rPr>
        <w:t>（十</w:t>
      </w:r>
      <w:r w:rsidRPr="00501A61">
        <w:rPr>
          <w:rFonts w:asciiTheme="minorEastAsia" w:eastAsiaTheme="minorEastAsia" w:hAnsiTheme="minorEastAsia" w:hint="eastAsia"/>
          <w:b w:val="0"/>
        </w:rPr>
        <w:t>一</w:t>
      </w:r>
      <w:r w:rsidRPr="00501A61">
        <w:rPr>
          <w:rFonts w:asciiTheme="minorEastAsia" w:eastAsiaTheme="minorEastAsia" w:hAnsiTheme="minorEastAsia" w:hint="eastAsia"/>
          <w:b w:val="0"/>
          <w:bCs/>
        </w:rPr>
        <w:t>）基金的融资</w:t>
      </w:r>
      <w:bookmarkEnd w:id="89"/>
    </w:p>
    <w:p w:rsidR="0002608C" w:rsidRPr="00501A61" w:rsidRDefault="0002608C" w:rsidP="00107648">
      <w:pPr>
        <w:pStyle w:val="CharCharCharCharCharCharChar"/>
        <w:snapToGrid w:val="0"/>
        <w:spacing w:after="0" w:line="360" w:lineRule="auto"/>
        <w:ind w:firstLine="320"/>
        <w:rPr>
          <w:rFonts w:asciiTheme="minorEastAsia" w:eastAsiaTheme="minorEastAsia" w:hAnsiTheme="minorEastAsia"/>
          <w:sz w:val="21"/>
          <w:szCs w:val="21"/>
        </w:rPr>
      </w:pPr>
      <w:r w:rsidRPr="00501A61">
        <w:rPr>
          <w:rFonts w:asciiTheme="minorEastAsia" w:eastAsiaTheme="minorEastAsia" w:hAnsiTheme="minorEastAsia" w:hint="eastAsia"/>
          <w:sz w:val="21"/>
          <w:szCs w:val="21"/>
        </w:rPr>
        <w:t>本基金可以按照国家的有关规定进行融资。</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90" w:name="_Toc45632235"/>
      <w:r w:rsidRPr="00501A61">
        <w:rPr>
          <w:rFonts w:asciiTheme="minorEastAsia" w:eastAsiaTheme="minorEastAsia" w:hAnsiTheme="minorEastAsia" w:hint="eastAsia"/>
          <w:b w:val="0"/>
          <w:bCs/>
        </w:rPr>
        <w:t>（十</w:t>
      </w:r>
      <w:r w:rsidRPr="00501A61">
        <w:rPr>
          <w:rFonts w:asciiTheme="minorEastAsia" w:eastAsiaTheme="minorEastAsia" w:hAnsiTheme="minorEastAsia" w:hint="eastAsia"/>
          <w:b w:val="0"/>
        </w:rPr>
        <w:t>二</w:t>
      </w:r>
      <w:r w:rsidRPr="00501A61">
        <w:rPr>
          <w:rFonts w:asciiTheme="minorEastAsia" w:eastAsiaTheme="minorEastAsia" w:hAnsiTheme="minorEastAsia" w:hint="eastAsia"/>
          <w:b w:val="0"/>
          <w:bCs/>
        </w:rPr>
        <w:t>）基金投资组合报告(未经审计)</w:t>
      </w:r>
      <w:bookmarkEnd w:id="90"/>
    </w:p>
    <w:p w:rsidR="0002608C" w:rsidRPr="00501A61" w:rsidRDefault="0002608C" w:rsidP="00107648">
      <w:pPr>
        <w:pStyle w:val="af0"/>
        <w:snapToGrid w:val="0"/>
        <w:spacing w:line="360" w:lineRule="auto"/>
        <w:ind w:firstLineChars="200" w:firstLine="420"/>
        <w:rPr>
          <w:rFonts w:asciiTheme="minorEastAsia" w:eastAsiaTheme="minorEastAsia" w:hAnsiTheme="minorEastAsia"/>
          <w:sz w:val="21"/>
          <w:szCs w:val="21"/>
        </w:rPr>
      </w:pPr>
      <w:r w:rsidRPr="00501A61">
        <w:rPr>
          <w:rFonts w:asciiTheme="minorEastAsia" w:eastAsiaTheme="minorEastAsia" w:hAnsiTheme="minorEastAsia" w:hint="eastAsia"/>
          <w:sz w:val="21"/>
          <w:szCs w:val="21"/>
        </w:rPr>
        <w:t>本基金管理人的董事会及董事保证本报告所载资料不存在虚假记载、误导性陈述或重大遗漏，并对其内容的真实性、准确性和完整性承担个别及连带责任。</w:t>
      </w:r>
    </w:p>
    <w:p w:rsidR="0002608C" w:rsidRPr="00501A61" w:rsidRDefault="0002608C" w:rsidP="00107648">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本基金的托管人中国工商银行股份有限公司根据本基金合同的规定，复核了本报告的内容，保证复核内容不存在虚假记载、误导性陈述或者重大遗漏。</w:t>
      </w:r>
    </w:p>
    <w:p w:rsidR="00EC6E1F" w:rsidRPr="00501A61" w:rsidRDefault="009B73E9" w:rsidP="002D4A4B">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本投资组合报告有关数据的期间为2020年1月1日至2020年3月31日</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1、报告期末基金资产组合情况</w:t>
      </w: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7"/>
        <w:gridCol w:w="2669"/>
        <w:gridCol w:w="1663"/>
      </w:tblGrid>
      <w:tr w:rsidR="00501A61" w:rsidRPr="00501A61" w:rsidTr="009B73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占基金总资产的比例（%）</w:t>
            </w:r>
          </w:p>
        </w:tc>
      </w:tr>
      <w:tr w:rsidR="00501A61" w:rsidRPr="00501A61" w:rsidTr="009B73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left"/>
              <w:rPr>
                <w:rFonts w:asciiTheme="minorEastAsia" w:eastAsiaTheme="minorEastAsia" w:hAnsiTheme="minorEastAsia"/>
                <w:kern w:val="0"/>
              </w:rPr>
            </w:pPr>
            <w:r w:rsidRPr="00501A61">
              <w:rPr>
                <w:rFonts w:asciiTheme="minorEastAsia" w:eastAsiaTheme="minorEastAsia" w:hAnsiTheme="minorEastAsia" w:hint="eastAsia"/>
                <w:kern w:val="0"/>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1,931,868,445.00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74.44</w:t>
            </w:r>
          </w:p>
        </w:tc>
      </w:tr>
      <w:tr w:rsidR="00501A61" w:rsidRPr="00501A61" w:rsidTr="009B73E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3E9" w:rsidRPr="00501A61" w:rsidRDefault="009B73E9">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left"/>
              <w:rPr>
                <w:rFonts w:asciiTheme="minorEastAsia" w:eastAsiaTheme="minorEastAsia" w:hAnsiTheme="minorEastAsia"/>
                <w:kern w:val="0"/>
              </w:rPr>
            </w:pPr>
            <w:r w:rsidRPr="00501A61">
              <w:rPr>
                <w:rFonts w:asciiTheme="minorEastAsia" w:eastAsiaTheme="minorEastAsia" w:hAnsiTheme="minorEastAsia" w:hint="eastAsia"/>
                <w:kern w:val="0"/>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1,931,868,445.00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74.44</w:t>
            </w:r>
          </w:p>
        </w:tc>
      </w:tr>
      <w:tr w:rsidR="00501A61" w:rsidRPr="00501A61" w:rsidTr="009B73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left"/>
              <w:rPr>
                <w:rFonts w:asciiTheme="minorEastAsia" w:eastAsiaTheme="minorEastAsia" w:hAnsiTheme="minorEastAsia"/>
                <w:kern w:val="0"/>
              </w:rPr>
            </w:pPr>
            <w:r w:rsidRPr="00501A61">
              <w:rPr>
                <w:rFonts w:asciiTheme="minorEastAsia" w:eastAsiaTheme="minorEastAsia" w:hAnsiTheme="minorEastAsia" w:hint="eastAsia"/>
                <w:kern w:val="0"/>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3E9" w:rsidRPr="00501A61" w:rsidRDefault="009B73E9">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left"/>
              <w:rPr>
                <w:rFonts w:asciiTheme="minorEastAsia" w:eastAsiaTheme="minorEastAsia" w:hAnsiTheme="minorEastAsia"/>
                <w:kern w:val="0"/>
              </w:rPr>
            </w:pPr>
            <w:r w:rsidRPr="00501A61">
              <w:rPr>
                <w:rFonts w:asciiTheme="minorEastAsia" w:eastAsiaTheme="minorEastAsia" w:hAnsiTheme="minorEastAsia" w:hint="eastAsia"/>
                <w:kern w:val="0"/>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3E9" w:rsidRPr="00501A61" w:rsidRDefault="009B73E9">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7"/>
              <w:jc w:val="left"/>
              <w:rPr>
                <w:rFonts w:asciiTheme="minorEastAsia" w:eastAsiaTheme="minorEastAsia" w:hAnsiTheme="minorEastAsia"/>
                <w:kern w:val="0"/>
              </w:rPr>
            </w:pPr>
            <w:r w:rsidRPr="00501A61">
              <w:rPr>
                <w:rFonts w:asciiTheme="minorEastAsia" w:eastAsiaTheme="minorEastAsia" w:hAnsiTheme="minorEastAsia" w:hint="eastAsia"/>
                <w:kern w:val="0"/>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jc w:val="center"/>
        </w:trPr>
        <w:tc>
          <w:tcPr>
            <w:tcW w:w="720" w:type="dxa"/>
            <w:tcBorders>
              <w:top w:val="single" w:sz="4" w:space="0" w:color="auto"/>
              <w:left w:val="single" w:sz="4" w:space="0" w:color="auto"/>
              <w:bottom w:val="single" w:sz="4" w:space="0" w:color="auto"/>
              <w:right w:val="single" w:sz="4" w:space="0" w:color="auto"/>
            </w:tcBorders>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3</w:t>
            </w:r>
          </w:p>
        </w:tc>
        <w:tc>
          <w:tcPr>
            <w:tcW w:w="3357" w:type="dxa"/>
            <w:tcBorders>
              <w:top w:val="single" w:sz="4" w:space="0" w:color="auto"/>
              <w:left w:val="single" w:sz="4" w:space="0" w:color="auto"/>
              <w:bottom w:val="single" w:sz="4" w:space="0" w:color="auto"/>
              <w:right w:val="single" w:sz="4" w:space="0" w:color="auto"/>
            </w:tcBorders>
            <w:hideMark/>
          </w:tcPr>
          <w:p w:rsidR="009B73E9" w:rsidRPr="00501A61" w:rsidRDefault="009B73E9">
            <w:pPr>
              <w:spacing w:before="29" w:line="300" w:lineRule="auto"/>
              <w:ind w:leftChars="50" w:left="105"/>
              <w:rPr>
                <w:rFonts w:asciiTheme="minorEastAsia" w:eastAsiaTheme="minorEastAsia" w:hAnsiTheme="minorEastAsia"/>
                <w:kern w:val="0"/>
              </w:rPr>
            </w:pPr>
            <w:r w:rsidRPr="00501A61">
              <w:rPr>
                <w:rFonts w:asciiTheme="minorEastAsia" w:eastAsiaTheme="minorEastAsia" w:hAnsiTheme="minorEastAsia" w:hint="eastAsia"/>
                <w:kern w:val="0"/>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left"/>
              <w:rPr>
                <w:rFonts w:asciiTheme="minorEastAsia" w:eastAsiaTheme="minorEastAsia" w:hAnsiTheme="minorEastAsia"/>
                <w:kern w:val="0"/>
              </w:rPr>
            </w:pPr>
            <w:r w:rsidRPr="00501A61">
              <w:rPr>
                <w:rFonts w:asciiTheme="minorEastAsia" w:eastAsiaTheme="minorEastAsia" w:hAnsiTheme="minorEastAsia" w:hint="eastAsia"/>
                <w:kern w:val="0"/>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left"/>
              <w:rPr>
                <w:rFonts w:asciiTheme="minorEastAsia" w:eastAsiaTheme="minorEastAsia" w:hAnsiTheme="minorEastAsia"/>
                <w:kern w:val="0"/>
              </w:rPr>
            </w:pPr>
            <w:r w:rsidRPr="00501A61">
              <w:rPr>
                <w:rFonts w:asciiTheme="minorEastAsia" w:eastAsiaTheme="minorEastAsia" w:hAnsiTheme="minorEastAsia" w:hint="eastAsia"/>
                <w:kern w:val="0"/>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200,000,000.00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7.71</w:t>
            </w:r>
          </w:p>
        </w:tc>
      </w:tr>
      <w:tr w:rsidR="00501A61" w:rsidRPr="00501A61" w:rsidTr="009B73E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3E9" w:rsidRPr="00501A61" w:rsidRDefault="009B73E9">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left"/>
              <w:rPr>
                <w:rFonts w:asciiTheme="minorEastAsia" w:eastAsiaTheme="minorEastAsia" w:hAnsiTheme="minorEastAsia"/>
                <w:kern w:val="0"/>
              </w:rPr>
            </w:pPr>
            <w:r w:rsidRPr="00501A61">
              <w:rPr>
                <w:rFonts w:asciiTheme="minorEastAsia" w:eastAsiaTheme="minorEastAsia" w:hAnsiTheme="minorEastAsia" w:hint="eastAsia"/>
                <w:kern w:val="0"/>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lastRenderedPageBreak/>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left"/>
              <w:rPr>
                <w:rFonts w:asciiTheme="minorEastAsia" w:eastAsiaTheme="minorEastAsia" w:hAnsiTheme="minorEastAsia"/>
                <w:kern w:val="0"/>
              </w:rPr>
            </w:pPr>
            <w:r w:rsidRPr="00501A61">
              <w:rPr>
                <w:rFonts w:asciiTheme="minorEastAsia" w:eastAsiaTheme="minorEastAsia" w:hAnsiTheme="minorEastAsia" w:hint="eastAsia"/>
                <w:kern w:val="0"/>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462,063,301.93</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right"/>
              <w:rPr>
                <w:rFonts w:asciiTheme="minorEastAsia" w:eastAsiaTheme="minorEastAsia" w:hAnsiTheme="minorEastAsia"/>
                <w:kern w:val="0"/>
              </w:rPr>
            </w:pPr>
            <w:r w:rsidRPr="00501A61">
              <w:rPr>
                <w:rFonts w:asciiTheme="minorEastAsia" w:eastAsiaTheme="minorEastAsia" w:hAnsiTheme="minorEastAsia" w:hint="eastAsia"/>
                <w:kern w:val="0"/>
              </w:rPr>
              <w:t>17.81</w:t>
            </w:r>
          </w:p>
        </w:tc>
      </w:tr>
      <w:tr w:rsidR="00501A61" w:rsidRPr="00501A61" w:rsidTr="009B73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left"/>
              <w:rPr>
                <w:rFonts w:asciiTheme="minorEastAsia" w:eastAsiaTheme="minorEastAsia" w:hAnsiTheme="minorEastAsia"/>
                <w:kern w:val="0"/>
              </w:rPr>
            </w:pPr>
            <w:r w:rsidRPr="00501A61">
              <w:rPr>
                <w:rFonts w:asciiTheme="minorEastAsia" w:eastAsiaTheme="minorEastAsia" w:hAnsiTheme="minorEastAsia" w:hint="eastAsia"/>
                <w:kern w:val="0"/>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1,150,782.74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0.04</w:t>
            </w:r>
          </w:p>
        </w:tc>
      </w:tr>
      <w:tr w:rsidR="00501A61" w:rsidRPr="00501A61" w:rsidTr="009B73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left"/>
              <w:rPr>
                <w:rFonts w:asciiTheme="minorEastAsia" w:eastAsiaTheme="minorEastAsia" w:hAnsiTheme="minorEastAsia"/>
                <w:kern w:val="0"/>
              </w:rPr>
            </w:pPr>
            <w:r w:rsidRPr="00501A61">
              <w:rPr>
                <w:rFonts w:asciiTheme="minorEastAsia" w:eastAsiaTheme="minorEastAsia" w:hAnsiTheme="minorEastAsia" w:hint="eastAsia"/>
                <w:kern w:val="0"/>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2,595,082,529.67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100.00</w:t>
            </w:r>
          </w:p>
        </w:tc>
      </w:tr>
    </w:tbl>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2、报告期末按行业分类的股票投资组合</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（1）报告期末按行业分类的境内股票投资组合</w:t>
      </w:r>
    </w:p>
    <w:tbl>
      <w:tblPr>
        <w:tblW w:w="800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0"/>
        <w:gridCol w:w="3225"/>
        <w:gridCol w:w="2708"/>
        <w:gridCol w:w="1421"/>
      </w:tblGrid>
      <w:tr w:rsidR="00501A61" w:rsidRPr="00501A61" w:rsidTr="009B73E9">
        <w:trPr>
          <w:trHeight w:val="39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行业类别</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占基金资产净值比例（％）</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autoSpaceDE w:val="0"/>
              <w:autoSpaceDN w:val="0"/>
              <w:adjustRightInd w:val="0"/>
              <w:spacing w:before="29" w:line="300" w:lineRule="auto"/>
              <w:ind w:left="15"/>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utoSpaceDE w:val="0"/>
              <w:autoSpaceDN w:val="0"/>
              <w:adjustRightInd w:val="0"/>
              <w:spacing w:before="29" w:line="300" w:lineRule="auto"/>
              <w:ind w:left="15"/>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p w:rsidR="009B73E9" w:rsidRPr="00501A61" w:rsidRDefault="009B73E9">
            <w:pPr>
              <w:spacing w:line="300" w:lineRule="auto"/>
              <w:jc w:val="righ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p w:rsidR="009B73E9" w:rsidRPr="00501A61" w:rsidRDefault="009B73E9">
            <w:pPr>
              <w:spacing w:line="300" w:lineRule="auto"/>
              <w:jc w:val="right"/>
              <w:rPr>
                <w:rFonts w:asciiTheme="minorEastAsia" w:eastAsiaTheme="minorEastAsia" w:hAnsiTheme="minorEastAsia"/>
                <w:kern w:val="0"/>
              </w:rPr>
            </w:pP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制造业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1,242,081,724.46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52.06</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建筑业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0.00</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5,147,525.32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0.22</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76,592,935.99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3.21</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金融业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4,344,399.34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0.18</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房地产业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403,482,478.63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16.91</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157,055,903.20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6.58</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17,552.98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0.00</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教育</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43,126,777.77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1.81</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adjustRightInd w:val="0"/>
              <w:snapToGrid w:val="0"/>
              <w:spacing w:line="300" w:lineRule="auto"/>
              <w:jc w:val="center"/>
              <w:rPr>
                <w:rFonts w:asciiTheme="minorEastAsia" w:eastAsiaTheme="minorEastAsia" w:hAnsiTheme="minorEastAsia"/>
                <w:kern w:val="0"/>
              </w:rPr>
            </w:pPr>
            <w:r w:rsidRPr="00501A61">
              <w:rPr>
                <w:rFonts w:asciiTheme="minorEastAsia" w:eastAsiaTheme="minorEastAsia" w:hAnsiTheme="minorEastAsia" w:hint="eastAsia"/>
                <w:kern w:val="0"/>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综合</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73E9" w:rsidRPr="00501A61" w:rsidRDefault="009B73E9">
            <w:pPr>
              <w:adjustRightInd w:val="0"/>
              <w:snapToGrid w:val="0"/>
              <w:spacing w:line="300" w:lineRule="auto"/>
              <w:jc w:val="center"/>
              <w:rPr>
                <w:rFonts w:asciiTheme="minorEastAsia" w:eastAsiaTheme="minorEastAsia" w:hAnsiTheme="minorEastAsia"/>
                <w:kern w:val="0"/>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B73E9" w:rsidRPr="00501A61" w:rsidRDefault="009B73E9">
            <w:pPr>
              <w:adjustRightInd w:val="0"/>
              <w:snapToGrid w:val="0"/>
              <w:spacing w:line="300" w:lineRule="auto"/>
              <w:rPr>
                <w:rFonts w:asciiTheme="minorEastAsia" w:eastAsiaTheme="minorEastAsia" w:hAnsiTheme="minorEastAsia"/>
                <w:kern w:val="0"/>
              </w:rPr>
            </w:pPr>
            <w:r w:rsidRPr="00501A61">
              <w:rPr>
                <w:rFonts w:asciiTheme="minorEastAsia" w:eastAsiaTheme="minorEastAsia" w:hAnsiTheme="minorEastAsia" w:hint="eastAsia"/>
                <w:kern w:val="0"/>
              </w:rPr>
              <w:t>合计</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1,931,868,445.00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73E9" w:rsidRPr="00501A61" w:rsidRDefault="009B73E9">
            <w:pPr>
              <w:spacing w:line="300" w:lineRule="auto"/>
              <w:jc w:val="right"/>
              <w:rPr>
                <w:rFonts w:asciiTheme="minorEastAsia" w:eastAsiaTheme="minorEastAsia" w:hAnsiTheme="minorEastAsia"/>
                <w:kern w:val="0"/>
              </w:rPr>
            </w:pPr>
            <w:r w:rsidRPr="00501A61">
              <w:rPr>
                <w:rFonts w:asciiTheme="minorEastAsia" w:eastAsiaTheme="minorEastAsia" w:hAnsiTheme="minorEastAsia" w:hint="eastAsia"/>
                <w:kern w:val="0"/>
              </w:rPr>
              <w:t>80.98</w:t>
            </w:r>
          </w:p>
        </w:tc>
      </w:tr>
    </w:tbl>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3、报告期末按公允价值占基金资产净值比例大小排序的前十名股票投资明细</w:t>
      </w:r>
    </w:p>
    <w:tbl>
      <w:tblPr>
        <w:tblW w:w="8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165"/>
        <w:gridCol w:w="1292"/>
        <w:gridCol w:w="1545"/>
        <w:gridCol w:w="1798"/>
        <w:gridCol w:w="1418"/>
      </w:tblGrid>
      <w:tr w:rsidR="00501A61" w:rsidRPr="00501A61" w:rsidTr="009B73E9">
        <w:tc>
          <w:tcPr>
            <w:tcW w:w="85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cstheme="minorBidi"/>
                <w:kern w:val="0"/>
              </w:rPr>
            </w:pPr>
            <w:r w:rsidRPr="00501A61">
              <w:rPr>
                <w:rFonts w:asciiTheme="minorEastAsia" w:eastAsiaTheme="minorEastAsia" w:hAnsiTheme="minorEastAsia" w:hint="eastAsia"/>
                <w:kern w:val="0"/>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股票代码</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股票名称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数量（股）</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占基金资产净值比例（％）</w:t>
            </w:r>
          </w:p>
        </w:tc>
      </w:tr>
      <w:tr w:rsidR="00501A61" w:rsidRPr="00501A61" w:rsidTr="009B73E9">
        <w:tc>
          <w:tcPr>
            <w:tcW w:w="85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szCs w:val="21"/>
              </w:rPr>
            </w:pPr>
            <w:r w:rsidRPr="00501A61">
              <w:rPr>
                <w:rFonts w:asciiTheme="minorEastAsia" w:eastAsiaTheme="minorEastAsia" w:hAnsiTheme="minorEastAsia" w:hint="eastAsia"/>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szCs w:val="22"/>
              </w:rPr>
            </w:pPr>
            <w:r w:rsidRPr="00501A61">
              <w:rPr>
                <w:rFonts w:asciiTheme="minorEastAsia" w:eastAsiaTheme="minorEastAsia" w:hAnsiTheme="minorEastAsia" w:hint="eastAsia"/>
                <w:kern w:val="0"/>
              </w:rPr>
              <w:t>600519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贵州茅台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213,872</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237,611,792.00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9.96</w:t>
            </w:r>
          </w:p>
        </w:tc>
      </w:tr>
      <w:tr w:rsidR="00501A61" w:rsidRPr="00501A61" w:rsidTr="009B73E9">
        <w:tc>
          <w:tcPr>
            <w:tcW w:w="85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000568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泸州老窖</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3,000,800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221,008,920.00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9.26</w:t>
            </w:r>
          </w:p>
        </w:tc>
      </w:tr>
      <w:tr w:rsidR="00501A61" w:rsidRPr="00501A61" w:rsidTr="009B73E9">
        <w:tc>
          <w:tcPr>
            <w:tcW w:w="85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000858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五粮液</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1,913,398</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220,423,449.60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9.24</w:t>
            </w:r>
          </w:p>
        </w:tc>
      </w:tr>
      <w:tr w:rsidR="00501A61" w:rsidRPr="00501A61" w:rsidTr="009B73E9">
        <w:tc>
          <w:tcPr>
            <w:tcW w:w="85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000651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格力电器</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3,558,808</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185,769,777.60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7.79</w:t>
            </w:r>
          </w:p>
        </w:tc>
      </w:tr>
      <w:tr w:rsidR="00501A61" w:rsidRPr="00501A61" w:rsidTr="009B73E9">
        <w:tc>
          <w:tcPr>
            <w:tcW w:w="85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600048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保利地产</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11,771,685</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175,044,955.95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7.34</w:t>
            </w:r>
          </w:p>
        </w:tc>
      </w:tr>
      <w:tr w:rsidR="00501A61" w:rsidRPr="00501A61" w:rsidTr="009B73E9">
        <w:tc>
          <w:tcPr>
            <w:tcW w:w="85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000002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万科A</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6,495,235</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166,602,777.75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6.98</w:t>
            </w:r>
          </w:p>
        </w:tc>
      </w:tr>
      <w:tr w:rsidR="00501A61" w:rsidRPr="00501A61" w:rsidTr="009B73E9">
        <w:tc>
          <w:tcPr>
            <w:tcW w:w="85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002127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南极电商</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13,539,302</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157,055,903.20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6.58</w:t>
            </w:r>
          </w:p>
        </w:tc>
      </w:tr>
      <w:tr w:rsidR="00501A61" w:rsidRPr="00501A61" w:rsidTr="009B73E9">
        <w:tc>
          <w:tcPr>
            <w:tcW w:w="85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600585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海螺水泥</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2,453,700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135,198,870.00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5.67</w:t>
            </w:r>
          </w:p>
        </w:tc>
      </w:tr>
      <w:tr w:rsidR="00501A61" w:rsidRPr="00501A61" w:rsidTr="009B73E9">
        <w:tc>
          <w:tcPr>
            <w:tcW w:w="85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600276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恒瑞医药</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1,390,034</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127,924,829.02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5.36</w:t>
            </w:r>
          </w:p>
        </w:tc>
      </w:tr>
      <w:tr w:rsidR="00501A61" w:rsidRPr="00501A61" w:rsidTr="009B73E9">
        <w:tc>
          <w:tcPr>
            <w:tcW w:w="85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001914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center"/>
              <w:rPr>
                <w:rFonts w:asciiTheme="minorEastAsia" w:eastAsiaTheme="minorEastAsia" w:hAnsiTheme="minorEastAsia"/>
              </w:rPr>
            </w:pPr>
            <w:r w:rsidRPr="00501A61">
              <w:rPr>
                <w:rFonts w:asciiTheme="minorEastAsia" w:eastAsiaTheme="minorEastAsia" w:hAnsiTheme="minorEastAsia" w:hint="eastAsia"/>
                <w:kern w:val="0"/>
              </w:rPr>
              <w:t>招商积余</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2,621,227</w:t>
            </w:r>
          </w:p>
        </w:tc>
        <w:tc>
          <w:tcPr>
            <w:tcW w:w="1984"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61,834,744.93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spacing w:line="300" w:lineRule="auto"/>
              <w:jc w:val="right"/>
              <w:rPr>
                <w:rFonts w:asciiTheme="minorEastAsia" w:eastAsiaTheme="minorEastAsia" w:hAnsiTheme="minorEastAsia"/>
              </w:rPr>
            </w:pPr>
            <w:r w:rsidRPr="00501A61">
              <w:rPr>
                <w:rFonts w:asciiTheme="minorEastAsia" w:eastAsiaTheme="minorEastAsia" w:hAnsiTheme="minorEastAsia" w:hint="eastAsia"/>
                <w:kern w:val="0"/>
              </w:rPr>
              <w:t>2.59</w:t>
            </w:r>
          </w:p>
        </w:tc>
      </w:tr>
    </w:tbl>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4、报告期末按债券品种分类的债券投资组合</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本基金本报告期末未持有债券。</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5、报告期末按公允价值占基金资产净值比例大小排序的前五名债券投资明细</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本基金本报告期末未持有债券。</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6、报告期末按公允价值占基金资产净值比例大小排序的前十名资产支持证券投资明细</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本基金本报告期末未持有资产支持证券。</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7、报告期末按公允价值占基金资产净值比例大小排序的前五名贵金属投资明细</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本基金本报告期末未持有贵金属。</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8、报告期末按公允价值占基金资产净值比例大小排序的前五名权证投资明细</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本基金本报告期末未持有权证。</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9、报告期末本基金投资的股指期货交易情况说明</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本基金本报告期末未投资股指期货。</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10、报告期末本基金投资的国债期货交易情况说明</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本基金本报告期末未投资国债期货。</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11、投资组合报告附注</w:t>
      </w:r>
    </w:p>
    <w:p w:rsidR="00AF5493"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AF5493" w:rsidRPr="00501A61">
        <w:rPr>
          <w:rFonts w:asciiTheme="minorEastAsia" w:eastAsiaTheme="minorEastAsia" w:hAnsiTheme="minorEastAsia" w:hint="eastAsia"/>
          <w:szCs w:val="21"/>
        </w:rPr>
        <w:t>保利地产（代码：600048）为易方达价值精选混合型证券投资基金的前十大重仓证券之一。2019年8月26日，国家税务总局广州市税务局第三税务分局对保利发展控股集团股份有限公司违反税收管理规定的行为，作出“罚款2000元整”的行政处罚决定。</w:t>
      </w:r>
    </w:p>
    <w:p w:rsidR="00AF5493" w:rsidRPr="00501A61" w:rsidRDefault="00AF5493"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万科A（代码：000002）为易方达价值精选混合型证券投资基金的前十大重仓证券之一。2019年6月26日，国家外汇管理局深圳市分局对万科企业股份有限公司违反外汇登记管理规定的行为，作出警告并罚款5万元的处罚决定。</w:t>
      </w:r>
    </w:p>
    <w:p w:rsidR="00AF5493" w:rsidRPr="00501A61" w:rsidRDefault="00AF5493"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格力电器（代码：600651）为易方达价值精选混合型证券投资基金的前十大重仓证券之一。2019年11月18日，珠海市交通运输局对珠海格力电器股份有限公司违反《超限运输车辆行驶公路管理规定》第四十三条的行为作出“罚款4000元”的行政处罚决定。2019年12月4日，珠海市交通运输局对珠海格力电器股份有限公司违反《超限运输车辆行驶公路管理规定》</w:t>
      </w:r>
      <w:r w:rsidRPr="00501A61">
        <w:rPr>
          <w:rFonts w:asciiTheme="minorEastAsia" w:eastAsiaTheme="minorEastAsia" w:hAnsiTheme="minorEastAsia" w:hint="eastAsia"/>
          <w:szCs w:val="21"/>
        </w:rPr>
        <w:lastRenderedPageBreak/>
        <w:t>第四十三条的行为作出“罚款4000元”的行政处罚决定。</w:t>
      </w:r>
    </w:p>
    <w:p w:rsidR="00AF5493" w:rsidRPr="00501A61" w:rsidRDefault="00AF5493"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本基金投资保利地产、万科A、格力电器的投资决策程序符合公司投资制度的规定。</w:t>
      </w:r>
    </w:p>
    <w:p w:rsidR="009B73E9" w:rsidRPr="00501A61" w:rsidRDefault="00AF5493"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除保利地产、万科A、格力电器外，本基金投资的前十名证券的发行主体本期没有出现被监管部门立案调查，或在报告编制日前一年内受到公开谴责、处罚的情形。</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（2）本基金投资的前十名股票没有超出基金合同规定的备选股票库。</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（3）其他各项资产构成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8"/>
        <w:gridCol w:w="2301"/>
        <w:gridCol w:w="4531"/>
      </w:tblGrid>
      <w:tr w:rsidR="00501A61" w:rsidRPr="00501A61" w:rsidTr="009B73E9">
        <w:tc>
          <w:tcPr>
            <w:tcW w:w="1235"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7"/>
              <w:jc w:val="center"/>
              <w:rPr>
                <w:rFonts w:asciiTheme="minorEastAsia" w:eastAsiaTheme="minorEastAsia" w:hAnsiTheme="minorEastAsia"/>
                <w:kern w:val="0"/>
              </w:rPr>
            </w:pPr>
            <w:r w:rsidRPr="00501A61">
              <w:rPr>
                <w:rFonts w:asciiTheme="minorEastAsia" w:eastAsiaTheme="minorEastAsia" w:hAnsiTheme="minorEastAsia" w:hint="eastAsia"/>
                <w:kern w:val="0"/>
              </w:rPr>
              <w:t>金额（元）</w:t>
            </w:r>
          </w:p>
        </w:tc>
      </w:tr>
      <w:tr w:rsidR="00501A61" w:rsidRPr="00501A61" w:rsidTr="009B73E9">
        <w:tc>
          <w:tcPr>
            <w:tcW w:w="1235"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center"/>
              <w:rPr>
                <w:rFonts w:asciiTheme="minorEastAsia" w:eastAsiaTheme="minorEastAsia" w:hAnsiTheme="minorEastAsia"/>
                <w:kern w:val="0"/>
              </w:rPr>
            </w:pPr>
            <w:r w:rsidRPr="00501A61">
              <w:rPr>
                <w:rFonts w:asciiTheme="minorEastAsia" w:eastAsiaTheme="minorEastAsia" w:hAnsiTheme="minorEastAsia" w:hint="eastAsia"/>
                <w:kern w:val="0"/>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left"/>
              <w:rPr>
                <w:rFonts w:asciiTheme="minorEastAsia" w:eastAsiaTheme="minorEastAsia" w:hAnsiTheme="minorEastAsia"/>
                <w:kern w:val="0"/>
              </w:rPr>
            </w:pPr>
            <w:r w:rsidRPr="00501A61">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right"/>
              <w:rPr>
                <w:rFonts w:asciiTheme="minorEastAsia" w:eastAsiaTheme="minorEastAsia" w:hAnsiTheme="minorEastAsia"/>
                <w:kern w:val="0"/>
              </w:rPr>
            </w:pPr>
            <w:r w:rsidRPr="00501A61">
              <w:rPr>
                <w:rFonts w:asciiTheme="minorEastAsia" w:eastAsiaTheme="minorEastAsia" w:hAnsiTheme="minorEastAsia" w:hint="eastAsia"/>
                <w:kern w:val="0"/>
              </w:rPr>
              <w:t>455,331.82</w:t>
            </w:r>
          </w:p>
        </w:tc>
      </w:tr>
      <w:tr w:rsidR="00501A61" w:rsidRPr="00501A61" w:rsidTr="009B73E9">
        <w:tc>
          <w:tcPr>
            <w:tcW w:w="1235"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center"/>
              <w:rPr>
                <w:rFonts w:asciiTheme="minorEastAsia" w:eastAsiaTheme="minorEastAsia" w:hAnsiTheme="minorEastAsia"/>
                <w:kern w:val="0"/>
              </w:rPr>
            </w:pPr>
            <w:r w:rsidRPr="00501A61">
              <w:rPr>
                <w:rFonts w:asciiTheme="minorEastAsia" w:eastAsiaTheme="minorEastAsia" w:hAnsiTheme="minorEastAsia" w:hint="eastAsia"/>
                <w:kern w:val="0"/>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left"/>
              <w:rPr>
                <w:rFonts w:asciiTheme="minorEastAsia" w:eastAsiaTheme="minorEastAsia" w:hAnsiTheme="minorEastAsia"/>
                <w:kern w:val="0"/>
              </w:rPr>
            </w:pPr>
            <w:r w:rsidRPr="00501A61">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c>
          <w:tcPr>
            <w:tcW w:w="1235"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center"/>
              <w:rPr>
                <w:rFonts w:asciiTheme="minorEastAsia" w:eastAsiaTheme="minorEastAsia" w:hAnsiTheme="minorEastAsia"/>
                <w:kern w:val="0"/>
              </w:rPr>
            </w:pPr>
            <w:r w:rsidRPr="00501A61">
              <w:rPr>
                <w:rFonts w:asciiTheme="minorEastAsia" w:eastAsiaTheme="minorEastAsia" w:hAnsiTheme="minorEastAsia" w:hint="eastAsia"/>
                <w:kern w:val="0"/>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left"/>
              <w:rPr>
                <w:rFonts w:asciiTheme="minorEastAsia" w:eastAsiaTheme="minorEastAsia" w:hAnsiTheme="minorEastAsia"/>
                <w:kern w:val="0"/>
              </w:rPr>
            </w:pPr>
            <w:r w:rsidRPr="00501A61">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c>
          <w:tcPr>
            <w:tcW w:w="1235"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center"/>
              <w:rPr>
                <w:rFonts w:asciiTheme="minorEastAsia" w:eastAsiaTheme="minorEastAsia" w:hAnsiTheme="minorEastAsia"/>
                <w:kern w:val="0"/>
              </w:rPr>
            </w:pPr>
            <w:r w:rsidRPr="00501A61">
              <w:rPr>
                <w:rFonts w:asciiTheme="minorEastAsia" w:eastAsiaTheme="minorEastAsia" w:hAnsiTheme="minorEastAsia" w:hint="eastAsia"/>
                <w:kern w:val="0"/>
              </w:rPr>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left"/>
              <w:rPr>
                <w:rFonts w:asciiTheme="minorEastAsia" w:eastAsiaTheme="minorEastAsia" w:hAnsiTheme="minorEastAsia"/>
                <w:kern w:val="0"/>
              </w:rPr>
            </w:pPr>
            <w:r w:rsidRPr="00501A61">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right"/>
              <w:rPr>
                <w:rFonts w:asciiTheme="minorEastAsia" w:eastAsiaTheme="minorEastAsia" w:hAnsiTheme="minorEastAsia"/>
                <w:kern w:val="0"/>
              </w:rPr>
            </w:pPr>
            <w:r w:rsidRPr="00501A61">
              <w:rPr>
                <w:rFonts w:asciiTheme="minorEastAsia" w:eastAsiaTheme="minorEastAsia" w:hAnsiTheme="minorEastAsia" w:hint="eastAsia"/>
                <w:kern w:val="0"/>
              </w:rPr>
              <w:t>102,726.58</w:t>
            </w:r>
          </w:p>
        </w:tc>
      </w:tr>
      <w:tr w:rsidR="00501A61" w:rsidRPr="00501A61" w:rsidTr="009B73E9">
        <w:tc>
          <w:tcPr>
            <w:tcW w:w="1235"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center"/>
              <w:rPr>
                <w:rFonts w:asciiTheme="minorEastAsia" w:eastAsiaTheme="minorEastAsia" w:hAnsiTheme="minorEastAsia"/>
                <w:kern w:val="0"/>
              </w:rPr>
            </w:pPr>
            <w:r w:rsidRPr="00501A61">
              <w:rPr>
                <w:rFonts w:asciiTheme="minorEastAsia" w:eastAsiaTheme="minorEastAsia" w:hAnsiTheme="minorEastAsia" w:hint="eastAsia"/>
                <w:kern w:val="0"/>
              </w:rPr>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left"/>
              <w:rPr>
                <w:rFonts w:asciiTheme="minorEastAsia" w:eastAsiaTheme="minorEastAsia" w:hAnsiTheme="minorEastAsia"/>
                <w:kern w:val="0"/>
              </w:rPr>
            </w:pPr>
            <w:r w:rsidRPr="00501A61">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right"/>
              <w:rPr>
                <w:rFonts w:asciiTheme="minorEastAsia" w:eastAsiaTheme="minorEastAsia" w:hAnsiTheme="minorEastAsia"/>
                <w:kern w:val="0"/>
              </w:rPr>
            </w:pPr>
            <w:r w:rsidRPr="00501A61">
              <w:rPr>
                <w:rFonts w:asciiTheme="minorEastAsia" w:eastAsiaTheme="minorEastAsia" w:hAnsiTheme="minorEastAsia" w:hint="eastAsia"/>
                <w:kern w:val="0"/>
              </w:rPr>
              <w:t>592,724.34</w:t>
            </w:r>
          </w:p>
        </w:tc>
      </w:tr>
      <w:tr w:rsidR="00501A61" w:rsidRPr="00501A61" w:rsidTr="009B73E9">
        <w:tc>
          <w:tcPr>
            <w:tcW w:w="1235"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center"/>
              <w:rPr>
                <w:rFonts w:asciiTheme="minorEastAsia" w:eastAsiaTheme="minorEastAsia" w:hAnsiTheme="minorEastAsia"/>
                <w:kern w:val="0"/>
              </w:rPr>
            </w:pPr>
            <w:r w:rsidRPr="00501A61">
              <w:rPr>
                <w:rFonts w:asciiTheme="minorEastAsia" w:eastAsiaTheme="minorEastAsia" w:hAnsiTheme="minorEastAsia" w:hint="eastAsia"/>
                <w:kern w:val="0"/>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left"/>
              <w:rPr>
                <w:rFonts w:asciiTheme="minorEastAsia" w:eastAsiaTheme="minorEastAsia" w:hAnsiTheme="minorEastAsia"/>
                <w:kern w:val="0"/>
              </w:rPr>
            </w:pPr>
            <w:r w:rsidRPr="00501A61">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c>
          <w:tcPr>
            <w:tcW w:w="1235"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center"/>
              <w:rPr>
                <w:rFonts w:asciiTheme="minorEastAsia" w:eastAsiaTheme="minorEastAsia" w:hAnsiTheme="minorEastAsia"/>
                <w:kern w:val="0"/>
              </w:rPr>
            </w:pPr>
            <w:r w:rsidRPr="00501A61">
              <w:rPr>
                <w:rFonts w:asciiTheme="minorEastAsia" w:eastAsiaTheme="minorEastAsia" w:hAnsiTheme="minorEastAsia" w:hint="eastAsia"/>
                <w:kern w:val="0"/>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left"/>
              <w:rPr>
                <w:rFonts w:asciiTheme="minorEastAsia" w:eastAsiaTheme="minorEastAsia" w:hAnsiTheme="minorEastAsia"/>
                <w:kern w:val="0"/>
              </w:rPr>
            </w:pPr>
            <w:r w:rsidRPr="00501A61">
              <w:rPr>
                <w:rFonts w:asciiTheme="minorEastAsia" w:eastAsiaTheme="minorEastAsia" w:hAnsiTheme="minorEastAsia" w:hint="eastAsia"/>
                <w:kern w:val="0"/>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c>
          <w:tcPr>
            <w:tcW w:w="1235"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center"/>
              <w:rPr>
                <w:rFonts w:asciiTheme="minorEastAsia" w:eastAsiaTheme="minorEastAsia" w:hAnsiTheme="minorEastAsia"/>
                <w:kern w:val="0"/>
              </w:rPr>
            </w:pPr>
            <w:r w:rsidRPr="00501A61">
              <w:rPr>
                <w:rFonts w:asciiTheme="minorEastAsia" w:eastAsiaTheme="minorEastAsia" w:hAnsiTheme="minorEastAsia" w:hint="eastAsia"/>
                <w:kern w:val="0"/>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left"/>
              <w:rPr>
                <w:rFonts w:asciiTheme="minorEastAsia" w:eastAsiaTheme="minorEastAsia" w:hAnsiTheme="minorEastAsia"/>
                <w:kern w:val="0"/>
              </w:rPr>
            </w:pPr>
            <w:r w:rsidRPr="00501A61">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right"/>
              <w:rPr>
                <w:rFonts w:asciiTheme="minorEastAsia" w:eastAsiaTheme="minorEastAsia" w:hAnsiTheme="minorEastAsia"/>
                <w:kern w:val="0"/>
              </w:rPr>
            </w:pPr>
            <w:r w:rsidRPr="00501A61">
              <w:rPr>
                <w:rFonts w:asciiTheme="minorEastAsia" w:eastAsiaTheme="minorEastAsia" w:hAnsiTheme="minorEastAsia" w:hint="eastAsia"/>
                <w:kern w:val="0"/>
              </w:rPr>
              <w:t>-</w:t>
            </w:r>
          </w:p>
        </w:tc>
      </w:tr>
      <w:tr w:rsidR="00501A61" w:rsidRPr="00501A61" w:rsidTr="009B73E9">
        <w:tc>
          <w:tcPr>
            <w:tcW w:w="1235"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center"/>
              <w:rPr>
                <w:rFonts w:asciiTheme="minorEastAsia" w:eastAsiaTheme="minorEastAsia" w:hAnsiTheme="minorEastAsia"/>
                <w:kern w:val="0"/>
              </w:rPr>
            </w:pPr>
            <w:r w:rsidRPr="00501A61">
              <w:rPr>
                <w:rFonts w:asciiTheme="minorEastAsia" w:eastAsiaTheme="minorEastAsia" w:hAnsiTheme="minorEastAsia" w:hint="eastAsia"/>
                <w:kern w:val="0"/>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left"/>
              <w:rPr>
                <w:rFonts w:asciiTheme="minorEastAsia" w:eastAsiaTheme="minorEastAsia" w:hAnsiTheme="minorEastAsia"/>
                <w:kern w:val="0"/>
              </w:rPr>
            </w:pPr>
            <w:r w:rsidRPr="00501A61">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9B73E9" w:rsidRPr="00501A61" w:rsidRDefault="009B73E9">
            <w:pPr>
              <w:autoSpaceDE w:val="0"/>
              <w:autoSpaceDN w:val="0"/>
              <w:adjustRightInd w:val="0"/>
              <w:spacing w:before="29" w:line="300" w:lineRule="auto"/>
              <w:ind w:left="15"/>
              <w:jc w:val="right"/>
              <w:rPr>
                <w:rFonts w:asciiTheme="minorEastAsia" w:eastAsiaTheme="minorEastAsia" w:hAnsiTheme="minorEastAsia"/>
                <w:kern w:val="0"/>
              </w:rPr>
            </w:pPr>
            <w:r w:rsidRPr="00501A61">
              <w:rPr>
                <w:rFonts w:asciiTheme="minorEastAsia" w:eastAsiaTheme="minorEastAsia" w:hAnsiTheme="minorEastAsia" w:hint="eastAsia"/>
                <w:kern w:val="0"/>
              </w:rPr>
              <w:t>1,150,782.74</w:t>
            </w:r>
          </w:p>
        </w:tc>
      </w:tr>
    </w:tbl>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（4）报告期末持有的处于转股期的可转换债券明细</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本基金本报告期末未持有处于转股期的可转换债券。</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（5）报告期末前十名股票中存在流通受限情况的说明</w:t>
      </w:r>
    </w:p>
    <w:p w:rsidR="009B73E9" w:rsidRPr="00501A61" w:rsidRDefault="009B73E9" w:rsidP="00AF5493">
      <w:pPr>
        <w:autoSpaceDE w:val="0"/>
        <w:autoSpaceDN w:val="0"/>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本基金本报告期末前十名股票中不存在流通受限情况。</w:t>
      </w:r>
    </w:p>
    <w:p w:rsidR="009B73E9" w:rsidRPr="00501A61" w:rsidRDefault="009B73E9" w:rsidP="009B73E9">
      <w:pPr>
        <w:spacing w:line="300" w:lineRule="auto"/>
        <w:rPr>
          <w:rFonts w:asciiTheme="minorEastAsia" w:eastAsiaTheme="minorEastAsia" w:hAnsiTheme="minorEastAsia"/>
          <w:szCs w:val="22"/>
        </w:rPr>
      </w:pPr>
    </w:p>
    <w:p w:rsidR="0002608C" w:rsidRPr="00501A61" w:rsidRDefault="00ED5065" w:rsidP="00ED5065">
      <w:pPr>
        <w:pStyle w:val="1"/>
        <w:snapToGrid w:val="0"/>
        <w:spacing w:beforeLines="0" w:afterLines="0" w:line="360" w:lineRule="auto"/>
        <w:ind w:firstLineChars="0" w:firstLine="0"/>
        <w:rPr>
          <w:rFonts w:asciiTheme="minorEastAsia" w:eastAsiaTheme="minorEastAsia" w:hAnsiTheme="minorEastAsia"/>
          <w:b/>
          <w:bCs/>
        </w:rPr>
      </w:pPr>
      <w:r w:rsidRPr="00501A61">
        <w:rPr>
          <w:rFonts w:asciiTheme="minorEastAsia" w:eastAsiaTheme="minorEastAsia" w:hAnsiTheme="minorEastAsia"/>
          <w:bCs/>
          <w:kern w:val="0"/>
          <w:szCs w:val="21"/>
        </w:rPr>
        <w:br w:type="page"/>
      </w:r>
      <w:bookmarkStart w:id="91" w:name="_Toc45632236"/>
      <w:r w:rsidR="0002608C" w:rsidRPr="00501A61">
        <w:rPr>
          <w:rFonts w:asciiTheme="minorEastAsia" w:eastAsiaTheme="minorEastAsia" w:hAnsiTheme="minorEastAsia" w:hint="eastAsia"/>
          <w:b/>
          <w:bCs/>
        </w:rPr>
        <w:lastRenderedPageBreak/>
        <w:t>十二、基金的业绩</w:t>
      </w:r>
      <w:bookmarkEnd w:id="91"/>
    </w:p>
    <w:p w:rsidR="0002608C" w:rsidRPr="00501A61" w:rsidRDefault="0002608C" w:rsidP="00107648">
      <w:pPr>
        <w:autoSpaceDE w:val="0"/>
        <w:autoSpaceDN w:val="0"/>
        <w:snapToGrid w:val="0"/>
        <w:spacing w:line="360" w:lineRule="auto"/>
        <w:ind w:firstLineChars="200" w:firstLine="420"/>
        <w:rPr>
          <w:rFonts w:asciiTheme="minorEastAsia" w:eastAsiaTheme="minorEastAsia" w:hAnsiTheme="minorEastAsia"/>
          <w:kern w:val="0"/>
          <w:szCs w:val="21"/>
        </w:rPr>
      </w:pPr>
      <w:r w:rsidRPr="00501A61">
        <w:rPr>
          <w:rFonts w:asciiTheme="minorEastAsia" w:eastAsiaTheme="minorEastAsia" w:hAnsiTheme="minorEastAsia"/>
          <w:kern w:val="0"/>
          <w:szCs w:val="21"/>
        </w:rPr>
        <w:t>基金管理人依照恪尽职守、诚实信用、谨慎勤勉的原则管理和运用基金财产，但不保证基金一定盈利，也不保证最低收益。基金的过往业绩并不代表其未来表现。投资有风险，投资者在</w:t>
      </w:r>
      <w:r w:rsidRPr="00501A61">
        <w:rPr>
          <w:rFonts w:asciiTheme="minorEastAsia" w:eastAsiaTheme="minorEastAsia" w:hAnsiTheme="minorEastAsia" w:hint="eastAsia"/>
          <w:kern w:val="0"/>
          <w:szCs w:val="21"/>
        </w:rPr>
        <w:t>做出</w:t>
      </w:r>
      <w:r w:rsidRPr="00501A61">
        <w:rPr>
          <w:rFonts w:asciiTheme="minorEastAsia" w:eastAsiaTheme="minorEastAsia" w:hAnsiTheme="minorEastAsia"/>
          <w:kern w:val="0"/>
          <w:szCs w:val="21"/>
        </w:rPr>
        <w:t>投资决策前应仔细阅读本基金的招募说明书。</w:t>
      </w:r>
    </w:p>
    <w:p w:rsidR="0002608C" w:rsidRPr="00501A61" w:rsidRDefault="0002608C" w:rsidP="00107648">
      <w:pPr>
        <w:autoSpaceDE w:val="0"/>
        <w:autoSpaceDN w:val="0"/>
        <w:snapToGrid w:val="0"/>
        <w:spacing w:line="360" w:lineRule="auto"/>
        <w:ind w:firstLineChars="200" w:firstLine="420"/>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本基金合同生效日为2006年6月13日，</w:t>
      </w:r>
      <w:r w:rsidR="00255860" w:rsidRPr="00501A61">
        <w:rPr>
          <w:rFonts w:asciiTheme="minorEastAsia" w:eastAsiaTheme="minorEastAsia" w:hAnsiTheme="minorEastAsia" w:hint="eastAsia"/>
          <w:kern w:val="0"/>
          <w:szCs w:val="21"/>
        </w:rPr>
        <w:t>本基金最近10</w:t>
      </w:r>
      <w:r w:rsidR="00374B12" w:rsidRPr="00501A61">
        <w:rPr>
          <w:rFonts w:asciiTheme="minorEastAsia" w:eastAsiaTheme="minorEastAsia" w:hAnsiTheme="minorEastAsia" w:hint="eastAsia"/>
          <w:kern w:val="0"/>
          <w:szCs w:val="21"/>
        </w:rPr>
        <w:t>个完整会计年度</w:t>
      </w:r>
      <w:r w:rsidR="00160E3C" w:rsidRPr="00501A61">
        <w:rPr>
          <w:rFonts w:asciiTheme="minorEastAsia" w:eastAsiaTheme="minorEastAsia" w:hAnsiTheme="minorEastAsia" w:hint="eastAsia"/>
          <w:kern w:val="0"/>
          <w:szCs w:val="21"/>
        </w:rPr>
        <w:t>（</w:t>
      </w:r>
      <w:r w:rsidR="00374B12" w:rsidRPr="00501A61">
        <w:rPr>
          <w:rFonts w:asciiTheme="minorEastAsia" w:eastAsiaTheme="minorEastAsia" w:hAnsiTheme="minorEastAsia" w:hint="eastAsia"/>
          <w:kern w:val="0"/>
          <w:szCs w:val="21"/>
        </w:rPr>
        <w:t>截至</w:t>
      </w:r>
      <w:r w:rsidR="0084079F" w:rsidRPr="00501A61">
        <w:rPr>
          <w:rFonts w:asciiTheme="minorEastAsia" w:eastAsiaTheme="minorEastAsia" w:hAnsiTheme="minorEastAsia" w:hint="eastAsia"/>
          <w:kern w:val="0"/>
          <w:szCs w:val="21"/>
        </w:rPr>
        <w:t>201</w:t>
      </w:r>
      <w:r w:rsidR="00174531" w:rsidRPr="00501A61">
        <w:rPr>
          <w:rFonts w:asciiTheme="minorEastAsia" w:eastAsiaTheme="minorEastAsia" w:hAnsiTheme="minorEastAsia"/>
          <w:kern w:val="0"/>
          <w:szCs w:val="21"/>
        </w:rPr>
        <w:t>9</w:t>
      </w:r>
      <w:r w:rsidR="0084079F" w:rsidRPr="00501A61">
        <w:rPr>
          <w:rFonts w:asciiTheme="minorEastAsia" w:eastAsiaTheme="minorEastAsia" w:hAnsiTheme="minorEastAsia" w:hint="eastAsia"/>
          <w:kern w:val="0"/>
          <w:szCs w:val="21"/>
        </w:rPr>
        <w:t>年</w:t>
      </w:r>
      <w:r w:rsidR="00053B4F" w:rsidRPr="00501A61">
        <w:rPr>
          <w:rFonts w:asciiTheme="minorEastAsia" w:eastAsiaTheme="minorEastAsia" w:hAnsiTheme="minorEastAsia" w:hint="eastAsia"/>
          <w:kern w:val="0"/>
          <w:szCs w:val="21"/>
        </w:rPr>
        <w:t>12</w:t>
      </w:r>
      <w:r w:rsidR="0084079F" w:rsidRPr="00501A61">
        <w:rPr>
          <w:rFonts w:asciiTheme="minorEastAsia" w:eastAsiaTheme="minorEastAsia" w:hAnsiTheme="minorEastAsia" w:hint="eastAsia"/>
          <w:kern w:val="0"/>
          <w:szCs w:val="21"/>
        </w:rPr>
        <w:t>月</w:t>
      </w:r>
      <w:r w:rsidR="00374B12" w:rsidRPr="00501A61">
        <w:rPr>
          <w:rFonts w:asciiTheme="minorEastAsia" w:eastAsiaTheme="minorEastAsia" w:hAnsiTheme="minorEastAsia" w:hint="eastAsia"/>
          <w:kern w:val="0"/>
          <w:szCs w:val="21"/>
        </w:rPr>
        <w:t>3</w:t>
      </w:r>
      <w:r w:rsidR="00053B4F" w:rsidRPr="00501A61">
        <w:rPr>
          <w:rFonts w:asciiTheme="minorEastAsia" w:eastAsiaTheme="minorEastAsia" w:hAnsiTheme="minorEastAsia" w:hint="eastAsia"/>
          <w:kern w:val="0"/>
          <w:szCs w:val="21"/>
        </w:rPr>
        <w:t>1</w:t>
      </w:r>
      <w:r w:rsidR="0084079F" w:rsidRPr="00501A61">
        <w:rPr>
          <w:rFonts w:asciiTheme="minorEastAsia" w:eastAsiaTheme="minorEastAsia" w:hAnsiTheme="minorEastAsia" w:hint="eastAsia"/>
          <w:kern w:val="0"/>
          <w:szCs w:val="21"/>
        </w:rPr>
        <w:t>日</w:t>
      </w:r>
      <w:r w:rsidR="00160E3C" w:rsidRPr="00501A61">
        <w:rPr>
          <w:rFonts w:asciiTheme="minorEastAsia" w:eastAsiaTheme="minorEastAsia" w:hAnsiTheme="minorEastAsia" w:hint="eastAsia"/>
          <w:kern w:val="0"/>
          <w:szCs w:val="21"/>
        </w:rPr>
        <w:t>）</w:t>
      </w:r>
      <w:r w:rsidRPr="00501A61">
        <w:rPr>
          <w:rFonts w:asciiTheme="minorEastAsia" w:eastAsiaTheme="minorEastAsia" w:hAnsiTheme="minorEastAsia" w:hint="eastAsia"/>
          <w:kern w:val="0"/>
          <w:szCs w:val="21"/>
        </w:rPr>
        <w:t>的投资业绩及与同期基准的比较如下表所示：</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1147"/>
        <w:gridCol w:w="1193"/>
        <w:gridCol w:w="1300"/>
        <w:gridCol w:w="1400"/>
        <w:gridCol w:w="1080"/>
        <w:gridCol w:w="1080"/>
      </w:tblGrid>
      <w:tr w:rsidR="00501A61" w:rsidRPr="00501A61" w:rsidTr="00C75FC8">
        <w:trPr>
          <w:trHeight w:val="315"/>
          <w:jc w:val="center"/>
        </w:trPr>
        <w:tc>
          <w:tcPr>
            <w:tcW w:w="1874" w:type="dxa"/>
          </w:tcPr>
          <w:p w:rsidR="0002608C" w:rsidRPr="00501A61" w:rsidRDefault="0002608C" w:rsidP="00107648">
            <w:pPr>
              <w:tabs>
                <w:tab w:val="left" w:pos="5400"/>
              </w:tabs>
              <w:snapToGrid w:val="0"/>
              <w:spacing w:line="360" w:lineRule="auto"/>
              <w:ind w:firstLine="420"/>
              <w:jc w:val="center"/>
              <w:rPr>
                <w:rFonts w:asciiTheme="minorEastAsia" w:eastAsiaTheme="minorEastAsia" w:hAnsiTheme="minorEastAsia"/>
                <w:szCs w:val="21"/>
              </w:rPr>
            </w:pPr>
          </w:p>
          <w:p w:rsidR="0002608C" w:rsidRPr="00501A61" w:rsidRDefault="0002608C" w:rsidP="00107648">
            <w:pPr>
              <w:tabs>
                <w:tab w:val="left" w:pos="5400"/>
              </w:tabs>
              <w:snapToGrid w:val="0"/>
              <w:spacing w:line="360" w:lineRule="auto"/>
              <w:jc w:val="center"/>
              <w:rPr>
                <w:rFonts w:asciiTheme="minorEastAsia" w:eastAsiaTheme="minorEastAsia" w:hAnsiTheme="minorEastAsia"/>
                <w:szCs w:val="21"/>
              </w:rPr>
            </w:pPr>
            <w:r w:rsidRPr="00501A61">
              <w:rPr>
                <w:rFonts w:asciiTheme="minorEastAsia" w:eastAsiaTheme="minorEastAsia" w:hAnsiTheme="minorEastAsia" w:hint="eastAsia"/>
                <w:szCs w:val="21"/>
              </w:rPr>
              <w:t>阶段</w:t>
            </w:r>
          </w:p>
        </w:tc>
        <w:tc>
          <w:tcPr>
            <w:tcW w:w="1147" w:type="dxa"/>
          </w:tcPr>
          <w:p w:rsidR="0002608C" w:rsidRPr="00501A61" w:rsidRDefault="0002608C" w:rsidP="00107648">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净值增长率①</w:t>
            </w:r>
          </w:p>
        </w:tc>
        <w:tc>
          <w:tcPr>
            <w:tcW w:w="1193" w:type="dxa"/>
          </w:tcPr>
          <w:p w:rsidR="0002608C" w:rsidRPr="00501A61" w:rsidRDefault="0002608C" w:rsidP="00107648">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净值增长率标准差②</w:t>
            </w:r>
          </w:p>
        </w:tc>
        <w:tc>
          <w:tcPr>
            <w:tcW w:w="1300" w:type="dxa"/>
          </w:tcPr>
          <w:p w:rsidR="0002608C" w:rsidRPr="00501A61" w:rsidRDefault="0002608C" w:rsidP="00107648">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业绩比较基准收益率③</w:t>
            </w:r>
          </w:p>
        </w:tc>
        <w:tc>
          <w:tcPr>
            <w:tcW w:w="1400" w:type="dxa"/>
          </w:tcPr>
          <w:p w:rsidR="0002608C" w:rsidRPr="00501A61" w:rsidRDefault="0002608C" w:rsidP="00107648">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业绩比较基准收益率标准差④</w:t>
            </w:r>
          </w:p>
        </w:tc>
        <w:tc>
          <w:tcPr>
            <w:tcW w:w="1080" w:type="dxa"/>
          </w:tcPr>
          <w:p w:rsidR="0002608C" w:rsidRPr="00501A61" w:rsidRDefault="0002608C" w:rsidP="00107648">
            <w:pPr>
              <w:tabs>
                <w:tab w:val="left" w:pos="5400"/>
              </w:tabs>
              <w:snapToGrid w:val="0"/>
              <w:spacing w:line="360" w:lineRule="auto"/>
              <w:ind w:firstLine="420"/>
              <w:jc w:val="center"/>
              <w:rPr>
                <w:rFonts w:asciiTheme="minorEastAsia" w:eastAsiaTheme="minorEastAsia" w:hAnsiTheme="minorEastAsia"/>
                <w:szCs w:val="21"/>
              </w:rPr>
            </w:pPr>
          </w:p>
          <w:p w:rsidR="0002608C" w:rsidRPr="00501A61" w:rsidRDefault="0002608C" w:rsidP="00107648">
            <w:pPr>
              <w:tabs>
                <w:tab w:val="left" w:pos="5400"/>
              </w:tabs>
              <w:snapToGrid w:val="0"/>
              <w:spacing w:line="360" w:lineRule="auto"/>
              <w:jc w:val="center"/>
              <w:rPr>
                <w:rFonts w:asciiTheme="minorEastAsia" w:eastAsiaTheme="minorEastAsia" w:hAnsiTheme="minorEastAsia"/>
                <w:szCs w:val="21"/>
              </w:rPr>
            </w:pPr>
            <w:r w:rsidRPr="00501A61">
              <w:rPr>
                <w:rFonts w:asciiTheme="minorEastAsia" w:eastAsiaTheme="minorEastAsia" w:hAnsiTheme="minorEastAsia" w:hint="eastAsia"/>
                <w:szCs w:val="21"/>
              </w:rPr>
              <w:t>①-③</w:t>
            </w:r>
          </w:p>
        </w:tc>
        <w:tc>
          <w:tcPr>
            <w:tcW w:w="1080" w:type="dxa"/>
          </w:tcPr>
          <w:p w:rsidR="0002608C" w:rsidRPr="00501A61" w:rsidRDefault="0002608C" w:rsidP="00107648">
            <w:pPr>
              <w:tabs>
                <w:tab w:val="left" w:pos="5400"/>
              </w:tabs>
              <w:snapToGrid w:val="0"/>
              <w:spacing w:line="360" w:lineRule="auto"/>
              <w:ind w:firstLine="420"/>
              <w:jc w:val="center"/>
              <w:rPr>
                <w:rFonts w:asciiTheme="minorEastAsia" w:eastAsiaTheme="minorEastAsia" w:hAnsiTheme="minorEastAsia"/>
                <w:szCs w:val="21"/>
              </w:rPr>
            </w:pPr>
          </w:p>
          <w:p w:rsidR="0002608C" w:rsidRPr="00501A61" w:rsidRDefault="0002608C" w:rsidP="00107648">
            <w:pPr>
              <w:tabs>
                <w:tab w:val="left" w:pos="5400"/>
              </w:tabs>
              <w:snapToGrid w:val="0"/>
              <w:spacing w:line="360" w:lineRule="auto"/>
              <w:jc w:val="center"/>
              <w:rPr>
                <w:rFonts w:asciiTheme="minorEastAsia" w:eastAsiaTheme="minorEastAsia" w:hAnsiTheme="minorEastAsia"/>
                <w:szCs w:val="21"/>
              </w:rPr>
            </w:pPr>
            <w:r w:rsidRPr="00501A61">
              <w:rPr>
                <w:rFonts w:asciiTheme="minorEastAsia" w:eastAsiaTheme="minorEastAsia" w:hAnsiTheme="minorEastAsia" w:hint="eastAsia"/>
                <w:szCs w:val="21"/>
              </w:rPr>
              <w:t>②-④</w:t>
            </w:r>
          </w:p>
        </w:tc>
      </w:tr>
      <w:tr w:rsidR="00501A61" w:rsidRPr="00501A61" w:rsidTr="00C75FC8">
        <w:trPr>
          <w:trHeight w:val="495"/>
          <w:jc w:val="center"/>
        </w:trPr>
        <w:tc>
          <w:tcPr>
            <w:tcW w:w="1874" w:type="dxa"/>
            <w:vAlign w:val="center"/>
          </w:tcPr>
          <w:p w:rsidR="0002608C" w:rsidRPr="00501A61" w:rsidRDefault="0002608C" w:rsidP="00107648">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2010年1月1日至2010年12月31日</w:t>
            </w:r>
          </w:p>
        </w:tc>
        <w:tc>
          <w:tcPr>
            <w:tcW w:w="1147" w:type="dxa"/>
            <w:vAlign w:val="center"/>
          </w:tcPr>
          <w:p w:rsidR="0002608C" w:rsidRPr="00501A61" w:rsidRDefault="0002608C" w:rsidP="00107648">
            <w:pPr>
              <w:snapToGrid w:val="0"/>
              <w:spacing w:line="360" w:lineRule="auto"/>
              <w:ind w:leftChars="-65" w:left="-136"/>
              <w:jc w:val="right"/>
              <w:rPr>
                <w:rFonts w:asciiTheme="minorEastAsia" w:eastAsiaTheme="minorEastAsia" w:hAnsiTheme="minorEastAsia" w:cs="Arial Unicode MS"/>
                <w:szCs w:val="21"/>
              </w:rPr>
            </w:pPr>
            <w:r w:rsidRPr="00501A61">
              <w:rPr>
                <w:rFonts w:asciiTheme="minorEastAsia" w:eastAsiaTheme="minorEastAsia" w:hAnsiTheme="minorEastAsia" w:cs="Arial Unicode MS" w:hint="eastAsia"/>
                <w:szCs w:val="21"/>
              </w:rPr>
              <w:t>0.20%</w:t>
            </w:r>
          </w:p>
        </w:tc>
        <w:tc>
          <w:tcPr>
            <w:tcW w:w="1193" w:type="dxa"/>
            <w:vAlign w:val="center"/>
          </w:tcPr>
          <w:p w:rsidR="0002608C" w:rsidRPr="00501A61" w:rsidRDefault="0002608C" w:rsidP="00107648">
            <w:pPr>
              <w:snapToGrid w:val="0"/>
              <w:spacing w:line="360" w:lineRule="auto"/>
              <w:jc w:val="right"/>
              <w:rPr>
                <w:rFonts w:asciiTheme="minorEastAsia" w:eastAsiaTheme="minorEastAsia" w:hAnsiTheme="minorEastAsia" w:cs="Arial Unicode MS"/>
                <w:szCs w:val="21"/>
              </w:rPr>
            </w:pPr>
            <w:r w:rsidRPr="00501A61">
              <w:rPr>
                <w:rFonts w:asciiTheme="minorEastAsia" w:eastAsiaTheme="minorEastAsia" w:hAnsiTheme="minorEastAsia" w:cs="Arial Unicode MS" w:hint="eastAsia"/>
                <w:szCs w:val="21"/>
              </w:rPr>
              <w:t>1.34%</w:t>
            </w:r>
          </w:p>
        </w:tc>
        <w:tc>
          <w:tcPr>
            <w:tcW w:w="1300" w:type="dxa"/>
            <w:vAlign w:val="center"/>
          </w:tcPr>
          <w:p w:rsidR="0002608C" w:rsidRPr="00501A61" w:rsidRDefault="0002608C" w:rsidP="00107648">
            <w:pPr>
              <w:snapToGrid w:val="0"/>
              <w:spacing w:line="360" w:lineRule="auto"/>
              <w:jc w:val="right"/>
              <w:rPr>
                <w:rFonts w:asciiTheme="minorEastAsia" w:eastAsiaTheme="minorEastAsia" w:hAnsiTheme="minorEastAsia"/>
                <w:kern w:val="0"/>
                <w:szCs w:val="21"/>
              </w:rPr>
            </w:pPr>
            <w:r w:rsidRPr="00501A61">
              <w:rPr>
                <w:rFonts w:asciiTheme="minorEastAsia" w:eastAsiaTheme="minorEastAsia" w:hAnsiTheme="minorEastAsia" w:cs="Arial Unicode MS" w:hint="eastAsia"/>
                <w:szCs w:val="21"/>
              </w:rPr>
              <w:t>-9.37%</w:t>
            </w:r>
          </w:p>
        </w:tc>
        <w:tc>
          <w:tcPr>
            <w:tcW w:w="1400" w:type="dxa"/>
            <w:vAlign w:val="center"/>
          </w:tcPr>
          <w:p w:rsidR="0002608C" w:rsidRPr="00501A61" w:rsidRDefault="0002608C" w:rsidP="00107648">
            <w:pPr>
              <w:snapToGrid w:val="0"/>
              <w:spacing w:line="360" w:lineRule="auto"/>
              <w:jc w:val="right"/>
              <w:rPr>
                <w:rFonts w:asciiTheme="minorEastAsia" w:eastAsiaTheme="minorEastAsia" w:hAnsiTheme="minorEastAsia" w:cs="Arial Unicode MS"/>
                <w:szCs w:val="21"/>
              </w:rPr>
            </w:pPr>
            <w:r w:rsidRPr="00501A61">
              <w:rPr>
                <w:rFonts w:asciiTheme="minorEastAsia" w:eastAsiaTheme="minorEastAsia" w:hAnsiTheme="minorEastAsia" w:cs="Arial Unicode MS" w:hint="eastAsia"/>
                <w:szCs w:val="21"/>
              </w:rPr>
              <w:t>1.26%</w:t>
            </w:r>
          </w:p>
        </w:tc>
        <w:tc>
          <w:tcPr>
            <w:tcW w:w="1080" w:type="dxa"/>
            <w:vAlign w:val="center"/>
          </w:tcPr>
          <w:p w:rsidR="0002608C" w:rsidRPr="00501A61" w:rsidRDefault="0002608C" w:rsidP="00107648">
            <w:pPr>
              <w:snapToGrid w:val="0"/>
              <w:spacing w:line="360" w:lineRule="auto"/>
              <w:jc w:val="right"/>
              <w:rPr>
                <w:rFonts w:asciiTheme="minorEastAsia" w:eastAsiaTheme="minorEastAsia" w:hAnsiTheme="minorEastAsia" w:cs="Arial Unicode MS"/>
                <w:szCs w:val="21"/>
              </w:rPr>
            </w:pPr>
            <w:r w:rsidRPr="00501A61">
              <w:rPr>
                <w:rFonts w:asciiTheme="minorEastAsia" w:eastAsiaTheme="minorEastAsia" w:hAnsiTheme="minorEastAsia" w:cs="Arial Unicode MS" w:hint="eastAsia"/>
                <w:szCs w:val="21"/>
              </w:rPr>
              <w:t>9.57%</w:t>
            </w:r>
          </w:p>
        </w:tc>
        <w:tc>
          <w:tcPr>
            <w:tcW w:w="1080" w:type="dxa"/>
            <w:vAlign w:val="center"/>
          </w:tcPr>
          <w:p w:rsidR="0002608C" w:rsidRPr="00501A61" w:rsidRDefault="0002608C" w:rsidP="00107648">
            <w:pPr>
              <w:snapToGrid w:val="0"/>
              <w:spacing w:line="360" w:lineRule="auto"/>
              <w:jc w:val="right"/>
              <w:rPr>
                <w:rFonts w:asciiTheme="minorEastAsia" w:eastAsiaTheme="minorEastAsia" w:hAnsiTheme="minorEastAsia" w:cs="Arial Unicode MS"/>
                <w:szCs w:val="21"/>
              </w:rPr>
            </w:pPr>
            <w:r w:rsidRPr="00501A61">
              <w:rPr>
                <w:rFonts w:asciiTheme="minorEastAsia" w:eastAsiaTheme="minorEastAsia" w:hAnsiTheme="minorEastAsia" w:cs="Arial Unicode MS" w:hint="eastAsia"/>
                <w:szCs w:val="21"/>
              </w:rPr>
              <w:t>0.08%</w:t>
            </w:r>
          </w:p>
        </w:tc>
      </w:tr>
      <w:tr w:rsidR="00501A61" w:rsidRPr="00501A61" w:rsidTr="00C75FC8">
        <w:trPr>
          <w:trHeight w:val="495"/>
          <w:jc w:val="center"/>
        </w:trPr>
        <w:tc>
          <w:tcPr>
            <w:tcW w:w="1874" w:type="dxa"/>
            <w:vAlign w:val="center"/>
          </w:tcPr>
          <w:p w:rsidR="0002608C" w:rsidRPr="00501A61" w:rsidRDefault="0002608C" w:rsidP="00107648">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2011年1月1日至2011年12月31日</w:t>
            </w:r>
          </w:p>
        </w:tc>
        <w:tc>
          <w:tcPr>
            <w:tcW w:w="1147" w:type="dxa"/>
            <w:vAlign w:val="center"/>
          </w:tcPr>
          <w:p w:rsidR="0002608C" w:rsidRPr="00501A61" w:rsidRDefault="0002608C" w:rsidP="00107648">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hint="eastAsia"/>
                <w:szCs w:val="21"/>
              </w:rPr>
              <w:t>-24.01%</w:t>
            </w:r>
          </w:p>
        </w:tc>
        <w:tc>
          <w:tcPr>
            <w:tcW w:w="1193" w:type="dxa"/>
            <w:vAlign w:val="center"/>
          </w:tcPr>
          <w:p w:rsidR="0002608C" w:rsidRPr="00501A61" w:rsidRDefault="0002608C"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1.20%</w:t>
            </w:r>
          </w:p>
        </w:tc>
        <w:tc>
          <w:tcPr>
            <w:tcW w:w="1300" w:type="dxa"/>
            <w:vAlign w:val="center"/>
          </w:tcPr>
          <w:p w:rsidR="0002608C" w:rsidRPr="00501A61" w:rsidRDefault="0002608C"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-19.20%</w:t>
            </w:r>
          </w:p>
        </w:tc>
        <w:tc>
          <w:tcPr>
            <w:tcW w:w="1400" w:type="dxa"/>
            <w:vAlign w:val="center"/>
          </w:tcPr>
          <w:p w:rsidR="0002608C" w:rsidRPr="00501A61" w:rsidRDefault="0002608C"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1.04%</w:t>
            </w:r>
          </w:p>
        </w:tc>
        <w:tc>
          <w:tcPr>
            <w:tcW w:w="1080" w:type="dxa"/>
            <w:vAlign w:val="center"/>
          </w:tcPr>
          <w:p w:rsidR="0002608C" w:rsidRPr="00501A61" w:rsidRDefault="0002608C"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-4.81%</w:t>
            </w:r>
          </w:p>
        </w:tc>
        <w:tc>
          <w:tcPr>
            <w:tcW w:w="1080" w:type="dxa"/>
            <w:vAlign w:val="center"/>
          </w:tcPr>
          <w:p w:rsidR="0002608C" w:rsidRPr="00501A61" w:rsidRDefault="0002608C"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0.16%</w:t>
            </w:r>
          </w:p>
        </w:tc>
      </w:tr>
      <w:tr w:rsidR="00501A61" w:rsidRPr="00501A61" w:rsidTr="00C75FC8">
        <w:trPr>
          <w:trHeight w:val="495"/>
          <w:jc w:val="center"/>
        </w:trPr>
        <w:tc>
          <w:tcPr>
            <w:tcW w:w="1874" w:type="dxa"/>
            <w:vAlign w:val="center"/>
          </w:tcPr>
          <w:p w:rsidR="0002608C" w:rsidRPr="00501A61" w:rsidRDefault="0002608C" w:rsidP="00107648">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2012年1月1日至</w:t>
            </w:r>
            <w:r w:rsidR="007E4013" w:rsidRPr="00501A61">
              <w:rPr>
                <w:rFonts w:asciiTheme="minorEastAsia" w:eastAsiaTheme="minorEastAsia" w:hAnsiTheme="minorEastAsia" w:hint="eastAsia"/>
                <w:szCs w:val="21"/>
              </w:rPr>
              <w:t>2012年12</w:t>
            </w:r>
            <w:r w:rsidRPr="00501A61">
              <w:rPr>
                <w:rFonts w:asciiTheme="minorEastAsia" w:eastAsiaTheme="minorEastAsia" w:hAnsiTheme="minorEastAsia" w:hint="eastAsia"/>
                <w:szCs w:val="21"/>
              </w:rPr>
              <w:t>月</w:t>
            </w:r>
            <w:r w:rsidR="007E4013" w:rsidRPr="00501A61">
              <w:rPr>
                <w:rFonts w:asciiTheme="minorEastAsia" w:eastAsiaTheme="minorEastAsia" w:hAnsiTheme="minorEastAsia" w:hint="eastAsia"/>
                <w:szCs w:val="21"/>
              </w:rPr>
              <w:t>31</w:t>
            </w:r>
            <w:r w:rsidRPr="00501A61">
              <w:rPr>
                <w:rFonts w:asciiTheme="minorEastAsia" w:eastAsiaTheme="minorEastAsia" w:hAnsiTheme="minorEastAsia" w:hint="eastAsia"/>
                <w:szCs w:val="21"/>
              </w:rPr>
              <w:t>日</w:t>
            </w:r>
          </w:p>
        </w:tc>
        <w:tc>
          <w:tcPr>
            <w:tcW w:w="1147" w:type="dxa"/>
            <w:vAlign w:val="center"/>
          </w:tcPr>
          <w:p w:rsidR="0002608C" w:rsidRPr="00501A61" w:rsidRDefault="003C1CF2" w:rsidP="00107648">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hint="eastAsia"/>
                <w:szCs w:val="21"/>
              </w:rPr>
              <w:t>7.17%</w:t>
            </w:r>
          </w:p>
        </w:tc>
        <w:tc>
          <w:tcPr>
            <w:tcW w:w="1193" w:type="dxa"/>
            <w:vAlign w:val="center"/>
          </w:tcPr>
          <w:p w:rsidR="0002608C" w:rsidRPr="00501A61" w:rsidRDefault="003C1CF2"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1.14%</w:t>
            </w:r>
          </w:p>
        </w:tc>
        <w:tc>
          <w:tcPr>
            <w:tcW w:w="1300" w:type="dxa"/>
            <w:vAlign w:val="center"/>
          </w:tcPr>
          <w:p w:rsidR="0002608C" w:rsidRPr="00501A61" w:rsidRDefault="003C1CF2"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6.71%</w:t>
            </w:r>
          </w:p>
        </w:tc>
        <w:tc>
          <w:tcPr>
            <w:tcW w:w="1400" w:type="dxa"/>
            <w:vAlign w:val="center"/>
          </w:tcPr>
          <w:p w:rsidR="0002608C" w:rsidRPr="00501A61" w:rsidRDefault="003C1CF2"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1.02%</w:t>
            </w:r>
          </w:p>
        </w:tc>
        <w:tc>
          <w:tcPr>
            <w:tcW w:w="1080" w:type="dxa"/>
            <w:vAlign w:val="center"/>
          </w:tcPr>
          <w:p w:rsidR="0002608C" w:rsidRPr="00501A61" w:rsidRDefault="003C1CF2"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0.46%</w:t>
            </w:r>
          </w:p>
        </w:tc>
        <w:tc>
          <w:tcPr>
            <w:tcW w:w="1080" w:type="dxa"/>
            <w:vAlign w:val="center"/>
          </w:tcPr>
          <w:p w:rsidR="0002608C" w:rsidRPr="00501A61" w:rsidRDefault="003C1CF2"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0.12%</w:t>
            </w:r>
          </w:p>
        </w:tc>
      </w:tr>
      <w:tr w:rsidR="00501A61" w:rsidRPr="00501A61" w:rsidTr="00C75FC8">
        <w:trPr>
          <w:trHeight w:val="495"/>
          <w:jc w:val="center"/>
        </w:trPr>
        <w:tc>
          <w:tcPr>
            <w:tcW w:w="1874" w:type="dxa"/>
            <w:vAlign w:val="center"/>
          </w:tcPr>
          <w:p w:rsidR="006D19D7" w:rsidRPr="00501A61" w:rsidRDefault="006D19D7" w:rsidP="00107648">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2013年1月1日至2013年12月31日</w:t>
            </w:r>
          </w:p>
        </w:tc>
        <w:tc>
          <w:tcPr>
            <w:tcW w:w="1147" w:type="dxa"/>
            <w:vAlign w:val="center"/>
          </w:tcPr>
          <w:p w:rsidR="006D19D7" w:rsidRPr="00501A61" w:rsidRDefault="006D19D7" w:rsidP="00107648">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hint="eastAsia"/>
                <w:szCs w:val="21"/>
              </w:rPr>
              <w:t>-4.11%</w:t>
            </w:r>
          </w:p>
        </w:tc>
        <w:tc>
          <w:tcPr>
            <w:tcW w:w="1193" w:type="dxa"/>
            <w:vAlign w:val="center"/>
          </w:tcPr>
          <w:p w:rsidR="006D19D7" w:rsidRPr="00501A61" w:rsidRDefault="006D19D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1.21%</w:t>
            </w:r>
          </w:p>
        </w:tc>
        <w:tc>
          <w:tcPr>
            <w:tcW w:w="1300" w:type="dxa"/>
            <w:vAlign w:val="center"/>
          </w:tcPr>
          <w:p w:rsidR="006D19D7" w:rsidRPr="00501A61" w:rsidRDefault="006D19D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-5.57%</w:t>
            </w:r>
          </w:p>
        </w:tc>
        <w:tc>
          <w:tcPr>
            <w:tcW w:w="1400" w:type="dxa"/>
            <w:vAlign w:val="center"/>
          </w:tcPr>
          <w:p w:rsidR="006D19D7" w:rsidRPr="00501A61" w:rsidRDefault="006D19D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1.11%</w:t>
            </w:r>
          </w:p>
        </w:tc>
        <w:tc>
          <w:tcPr>
            <w:tcW w:w="1080" w:type="dxa"/>
            <w:vAlign w:val="center"/>
          </w:tcPr>
          <w:p w:rsidR="006D19D7" w:rsidRPr="00501A61" w:rsidRDefault="006D19D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1.46%</w:t>
            </w:r>
          </w:p>
        </w:tc>
        <w:tc>
          <w:tcPr>
            <w:tcW w:w="1080" w:type="dxa"/>
            <w:vAlign w:val="center"/>
          </w:tcPr>
          <w:p w:rsidR="006D19D7" w:rsidRPr="00501A61" w:rsidRDefault="006D19D7"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0.10%</w:t>
            </w:r>
          </w:p>
        </w:tc>
      </w:tr>
      <w:tr w:rsidR="00501A61" w:rsidRPr="00501A61" w:rsidDel="00314698" w:rsidTr="00C75FC8">
        <w:trPr>
          <w:trHeight w:val="495"/>
          <w:jc w:val="center"/>
        </w:trPr>
        <w:tc>
          <w:tcPr>
            <w:tcW w:w="1874" w:type="dxa"/>
            <w:vAlign w:val="center"/>
          </w:tcPr>
          <w:p w:rsidR="00314698" w:rsidRPr="00501A61" w:rsidDel="00314698" w:rsidRDefault="00314698" w:rsidP="00107648">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2014年1月1日至2014年12月31日</w:t>
            </w:r>
          </w:p>
        </w:tc>
        <w:tc>
          <w:tcPr>
            <w:tcW w:w="1147" w:type="dxa"/>
            <w:vAlign w:val="center"/>
          </w:tcPr>
          <w:p w:rsidR="00314698" w:rsidRPr="00501A61" w:rsidDel="005843CA" w:rsidRDefault="00314698" w:rsidP="00107648">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hint="eastAsia"/>
                <w:szCs w:val="21"/>
              </w:rPr>
              <w:t>9.91%</w:t>
            </w:r>
          </w:p>
        </w:tc>
        <w:tc>
          <w:tcPr>
            <w:tcW w:w="1193" w:type="dxa"/>
            <w:vAlign w:val="center"/>
          </w:tcPr>
          <w:p w:rsidR="00314698" w:rsidRPr="00501A61" w:rsidDel="005843CA" w:rsidRDefault="00314698"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1.20%</w:t>
            </w:r>
          </w:p>
        </w:tc>
        <w:tc>
          <w:tcPr>
            <w:tcW w:w="1300" w:type="dxa"/>
            <w:vAlign w:val="center"/>
          </w:tcPr>
          <w:p w:rsidR="00314698" w:rsidRPr="00501A61" w:rsidDel="005843CA" w:rsidRDefault="00314698"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42.21%</w:t>
            </w:r>
          </w:p>
        </w:tc>
        <w:tc>
          <w:tcPr>
            <w:tcW w:w="1400" w:type="dxa"/>
            <w:vAlign w:val="center"/>
          </w:tcPr>
          <w:p w:rsidR="00314698" w:rsidRPr="00501A61" w:rsidDel="005843CA" w:rsidRDefault="00314698"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0.97%</w:t>
            </w:r>
          </w:p>
        </w:tc>
        <w:tc>
          <w:tcPr>
            <w:tcW w:w="1080" w:type="dxa"/>
            <w:vAlign w:val="center"/>
          </w:tcPr>
          <w:p w:rsidR="00314698" w:rsidRPr="00501A61" w:rsidDel="005843CA" w:rsidRDefault="00314698"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-32.30%</w:t>
            </w:r>
          </w:p>
        </w:tc>
        <w:tc>
          <w:tcPr>
            <w:tcW w:w="1080" w:type="dxa"/>
            <w:vAlign w:val="center"/>
          </w:tcPr>
          <w:p w:rsidR="00314698" w:rsidRPr="00501A61" w:rsidDel="005843CA" w:rsidRDefault="00314698" w:rsidP="00107648">
            <w:pPr>
              <w:snapToGrid w:val="0"/>
              <w:spacing w:line="360" w:lineRule="auto"/>
              <w:jc w:val="right"/>
              <w:rPr>
                <w:rFonts w:asciiTheme="minorEastAsia" w:eastAsiaTheme="minorEastAsia" w:hAnsiTheme="minorEastAsia"/>
                <w:szCs w:val="21"/>
              </w:rPr>
            </w:pPr>
            <w:r w:rsidRPr="00501A61">
              <w:rPr>
                <w:rFonts w:asciiTheme="minorEastAsia" w:eastAsiaTheme="minorEastAsia" w:hAnsiTheme="minorEastAsia" w:hint="eastAsia"/>
                <w:szCs w:val="21"/>
              </w:rPr>
              <w:t>0.23%</w:t>
            </w:r>
          </w:p>
        </w:tc>
      </w:tr>
      <w:tr w:rsidR="00501A61" w:rsidRPr="00501A61" w:rsidDel="00314698" w:rsidTr="00C75FC8">
        <w:trPr>
          <w:trHeight w:val="495"/>
          <w:jc w:val="center"/>
        </w:trPr>
        <w:tc>
          <w:tcPr>
            <w:tcW w:w="1874" w:type="dxa"/>
            <w:vAlign w:val="center"/>
          </w:tcPr>
          <w:p w:rsidR="0098194A" w:rsidRPr="00501A61" w:rsidRDefault="0098194A" w:rsidP="00107648">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2015年1月1日至2015年12月31日</w:t>
            </w:r>
          </w:p>
        </w:tc>
        <w:tc>
          <w:tcPr>
            <w:tcW w:w="1147" w:type="dxa"/>
            <w:vAlign w:val="center"/>
          </w:tcPr>
          <w:p w:rsidR="0098194A" w:rsidRPr="00501A61" w:rsidRDefault="00C57EAE" w:rsidP="00107648">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73.24%</w:t>
            </w:r>
          </w:p>
        </w:tc>
        <w:tc>
          <w:tcPr>
            <w:tcW w:w="1193" w:type="dxa"/>
            <w:vAlign w:val="center"/>
          </w:tcPr>
          <w:p w:rsidR="0098194A" w:rsidRPr="00501A61" w:rsidRDefault="00C57EAE" w:rsidP="00107648">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2.87%</w:t>
            </w:r>
          </w:p>
        </w:tc>
        <w:tc>
          <w:tcPr>
            <w:tcW w:w="1300" w:type="dxa"/>
            <w:vAlign w:val="center"/>
          </w:tcPr>
          <w:p w:rsidR="0098194A" w:rsidRPr="00501A61" w:rsidRDefault="00C57EAE" w:rsidP="00107648">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5.68%</w:t>
            </w:r>
          </w:p>
        </w:tc>
        <w:tc>
          <w:tcPr>
            <w:tcW w:w="1400" w:type="dxa"/>
            <w:vAlign w:val="center"/>
          </w:tcPr>
          <w:p w:rsidR="0098194A" w:rsidRPr="00501A61" w:rsidRDefault="00C57EAE" w:rsidP="00107648">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1.99%</w:t>
            </w:r>
          </w:p>
        </w:tc>
        <w:tc>
          <w:tcPr>
            <w:tcW w:w="1080" w:type="dxa"/>
            <w:vAlign w:val="center"/>
          </w:tcPr>
          <w:p w:rsidR="0098194A" w:rsidRPr="00501A61" w:rsidRDefault="00C57EAE" w:rsidP="00107648">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67.56%</w:t>
            </w:r>
          </w:p>
        </w:tc>
        <w:tc>
          <w:tcPr>
            <w:tcW w:w="1080" w:type="dxa"/>
            <w:vAlign w:val="center"/>
          </w:tcPr>
          <w:p w:rsidR="0098194A" w:rsidRPr="00501A61" w:rsidRDefault="00C57EAE" w:rsidP="00107648">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0.88%</w:t>
            </w:r>
          </w:p>
        </w:tc>
      </w:tr>
      <w:tr w:rsidR="00501A61" w:rsidRPr="00501A61" w:rsidDel="00314698" w:rsidTr="00C75FC8">
        <w:trPr>
          <w:trHeight w:val="495"/>
          <w:jc w:val="center"/>
        </w:trPr>
        <w:tc>
          <w:tcPr>
            <w:tcW w:w="1874" w:type="dxa"/>
            <w:vAlign w:val="center"/>
          </w:tcPr>
          <w:p w:rsidR="00454F81" w:rsidRPr="00501A61" w:rsidRDefault="003C2646">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2016年1</w:t>
            </w:r>
            <w:r w:rsidRPr="00501A61">
              <w:rPr>
                <w:rFonts w:asciiTheme="minorEastAsia" w:eastAsiaTheme="minorEastAsia" w:hAnsiTheme="minorEastAsia"/>
                <w:szCs w:val="21"/>
              </w:rPr>
              <w:t>月1日至2016年</w:t>
            </w:r>
            <w:r w:rsidRPr="00501A61">
              <w:rPr>
                <w:rFonts w:asciiTheme="minorEastAsia" w:eastAsiaTheme="minorEastAsia" w:hAnsiTheme="minorEastAsia" w:hint="eastAsia"/>
                <w:szCs w:val="21"/>
              </w:rPr>
              <w:t>12</w:t>
            </w:r>
            <w:r w:rsidRPr="00501A61">
              <w:rPr>
                <w:rFonts w:asciiTheme="minorEastAsia" w:eastAsiaTheme="minorEastAsia" w:hAnsiTheme="minorEastAsia"/>
                <w:szCs w:val="21"/>
              </w:rPr>
              <w:t>月3</w:t>
            </w: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日</w:t>
            </w:r>
          </w:p>
        </w:tc>
        <w:tc>
          <w:tcPr>
            <w:tcW w:w="1147" w:type="dxa"/>
            <w:vAlign w:val="center"/>
          </w:tcPr>
          <w:p w:rsidR="003C2646" w:rsidRPr="00501A61" w:rsidRDefault="005D5CDA" w:rsidP="00EC2C3D">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-21.63%</w:t>
            </w:r>
          </w:p>
        </w:tc>
        <w:tc>
          <w:tcPr>
            <w:tcW w:w="1193" w:type="dxa"/>
            <w:vAlign w:val="center"/>
          </w:tcPr>
          <w:p w:rsidR="003C2646" w:rsidRPr="00501A61" w:rsidRDefault="005D5CDA" w:rsidP="00EC2C3D">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1.77%</w:t>
            </w:r>
          </w:p>
        </w:tc>
        <w:tc>
          <w:tcPr>
            <w:tcW w:w="1300" w:type="dxa"/>
            <w:vAlign w:val="center"/>
          </w:tcPr>
          <w:p w:rsidR="003C2646" w:rsidRPr="00501A61" w:rsidRDefault="005D5CDA" w:rsidP="00EC2C3D">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-8.35%</w:t>
            </w:r>
          </w:p>
        </w:tc>
        <w:tc>
          <w:tcPr>
            <w:tcW w:w="1400" w:type="dxa"/>
            <w:vAlign w:val="center"/>
          </w:tcPr>
          <w:p w:rsidR="003C2646" w:rsidRPr="00501A61" w:rsidRDefault="005D5CDA" w:rsidP="00EC2C3D">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1.12%</w:t>
            </w:r>
          </w:p>
        </w:tc>
        <w:tc>
          <w:tcPr>
            <w:tcW w:w="1080" w:type="dxa"/>
            <w:vAlign w:val="center"/>
          </w:tcPr>
          <w:p w:rsidR="003C2646" w:rsidRPr="00501A61" w:rsidRDefault="005D5CDA" w:rsidP="00EC2C3D">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-13.28%</w:t>
            </w:r>
          </w:p>
        </w:tc>
        <w:tc>
          <w:tcPr>
            <w:tcW w:w="1080" w:type="dxa"/>
            <w:vAlign w:val="center"/>
          </w:tcPr>
          <w:p w:rsidR="003C2646" w:rsidRPr="00501A61" w:rsidRDefault="005D5CDA" w:rsidP="00EC2C3D">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0.65%</w:t>
            </w:r>
          </w:p>
        </w:tc>
      </w:tr>
      <w:tr w:rsidR="00501A61" w:rsidRPr="00501A61" w:rsidDel="00314698" w:rsidTr="00C75FC8">
        <w:trPr>
          <w:trHeight w:val="495"/>
          <w:jc w:val="center"/>
        </w:trPr>
        <w:tc>
          <w:tcPr>
            <w:tcW w:w="1874" w:type="dxa"/>
            <w:vAlign w:val="center"/>
          </w:tcPr>
          <w:p w:rsidR="00C90DD4" w:rsidRPr="00501A61" w:rsidRDefault="00C90DD4" w:rsidP="00C90DD4">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2017年1月1日至2017年</w:t>
            </w:r>
            <w:r w:rsidRPr="00501A61">
              <w:rPr>
                <w:rFonts w:asciiTheme="minorEastAsia" w:eastAsiaTheme="minorEastAsia" w:hAnsiTheme="minorEastAsia"/>
                <w:szCs w:val="21"/>
              </w:rPr>
              <w:t>12</w:t>
            </w:r>
            <w:r w:rsidRPr="00501A61">
              <w:rPr>
                <w:rFonts w:asciiTheme="minorEastAsia" w:eastAsiaTheme="minorEastAsia" w:hAnsiTheme="minorEastAsia" w:hint="eastAsia"/>
                <w:szCs w:val="21"/>
              </w:rPr>
              <w:t>月</w:t>
            </w:r>
            <w:r w:rsidRPr="00501A61">
              <w:rPr>
                <w:rFonts w:asciiTheme="minorEastAsia" w:eastAsiaTheme="minorEastAsia" w:hAnsiTheme="minorEastAsia"/>
                <w:szCs w:val="21"/>
              </w:rPr>
              <w:t>31</w:t>
            </w:r>
            <w:r w:rsidRPr="00501A61">
              <w:rPr>
                <w:rFonts w:asciiTheme="minorEastAsia" w:eastAsiaTheme="minorEastAsia" w:hAnsiTheme="minorEastAsia" w:hint="eastAsia"/>
                <w:szCs w:val="21"/>
              </w:rPr>
              <w:t>日</w:t>
            </w:r>
          </w:p>
        </w:tc>
        <w:tc>
          <w:tcPr>
            <w:tcW w:w="1147" w:type="dxa"/>
            <w:vAlign w:val="center"/>
          </w:tcPr>
          <w:p w:rsidR="00C90DD4" w:rsidRPr="00501A61" w:rsidRDefault="00C90DD4" w:rsidP="00C90DD4">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19.10%</w:t>
            </w:r>
          </w:p>
        </w:tc>
        <w:tc>
          <w:tcPr>
            <w:tcW w:w="1193" w:type="dxa"/>
            <w:vAlign w:val="center"/>
          </w:tcPr>
          <w:p w:rsidR="00C90DD4" w:rsidRPr="00501A61" w:rsidRDefault="00C90DD4" w:rsidP="00C90DD4">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0.96%</w:t>
            </w:r>
          </w:p>
        </w:tc>
        <w:tc>
          <w:tcPr>
            <w:tcW w:w="1300" w:type="dxa"/>
            <w:vAlign w:val="center"/>
          </w:tcPr>
          <w:p w:rsidR="00C90DD4" w:rsidRPr="00501A61" w:rsidRDefault="00C90DD4" w:rsidP="00C90DD4">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17.55%</w:t>
            </w:r>
          </w:p>
        </w:tc>
        <w:tc>
          <w:tcPr>
            <w:tcW w:w="1400" w:type="dxa"/>
            <w:vAlign w:val="center"/>
          </w:tcPr>
          <w:p w:rsidR="00C90DD4" w:rsidRPr="00501A61" w:rsidRDefault="00C90DD4" w:rsidP="00C90DD4">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0.51%</w:t>
            </w:r>
          </w:p>
        </w:tc>
        <w:tc>
          <w:tcPr>
            <w:tcW w:w="1080" w:type="dxa"/>
            <w:vAlign w:val="center"/>
          </w:tcPr>
          <w:p w:rsidR="00C90DD4" w:rsidRPr="00501A61" w:rsidRDefault="00C90DD4" w:rsidP="00C90DD4">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1.55%</w:t>
            </w:r>
          </w:p>
        </w:tc>
        <w:tc>
          <w:tcPr>
            <w:tcW w:w="1080" w:type="dxa"/>
            <w:vAlign w:val="center"/>
          </w:tcPr>
          <w:p w:rsidR="00C90DD4" w:rsidRPr="00501A61" w:rsidRDefault="00C90DD4" w:rsidP="00C90DD4">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0.45%</w:t>
            </w:r>
          </w:p>
        </w:tc>
      </w:tr>
      <w:tr w:rsidR="00501A61" w:rsidRPr="00501A61" w:rsidDel="00314698" w:rsidTr="00C75FC8">
        <w:trPr>
          <w:trHeight w:val="495"/>
          <w:jc w:val="center"/>
        </w:trPr>
        <w:tc>
          <w:tcPr>
            <w:tcW w:w="1874" w:type="dxa"/>
            <w:vAlign w:val="center"/>
          </w:tcPr>
          <w:p w:rsidR="00AA18A1" w:rsidRPr="00501A61" w:rsidRDefault="00AA18A1" w:rsidP="00AA18A1">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201</w:t>
            </w:r>
            <w:r w:rsidRPr="00501A61">
              <w:rPr>
                <w:rFonts w:asciiTheme="minorEastAsia" w:eastAsiaTheme="minorEastAsia" w:hAnsiTheme="minorEastAsia"/>
                <w:szCs w:val="21"/>
              </w:rPr>
              <w:t>8</w:t>
            </w:r>
            <w:r w:rsidRPr="00501A61">
              <w:rPr>
                <w:rFonts w:asciiTheme="minorEastAsia" w:eastAsiaTheme="minorEastAsia" w:hAnsiTheme="minorEastAsia" w:hint="eastAsia"/>
                <w:szCs w:val="21"/>
              </w:rPr>
              <w:t>年1月1日至201</w:t>
            </w:r>
            <w:r w:rsidRPr="00501A61">
              <w:rPr>
                <w:rFonts w:asciiTheme="minorEastAsia" w:eastAsiaTheme="minorEastAsia" w:hAnsiTheme="minorEastAsia"/>
                <w:szCs w:val="21"/>
              </w:rPr>
              <w:t>8</w:t>
            </w:r>
            <w:r w:rsidRPr="00501A61">
              <w:rPr>
                <w:rFonts w:asciiTheme="minorEastAsia" w:eastAsiaTheme="minorEastAsia" w:hAnsiTheme="minorEastAsia" w:hint="eastAsia"/>
                <w:szCs w:val="21"/>
              </w:rPr>
              <w:t>年</w:t>
            </w:r>
            <w:r w:rsidRPr="00501A61">
              <w:rPr>
                <w:rFonts w:asciiTheme="minorEastAsia" w:eastAsiaTheme="minorEastAsia" w:hAnsiTheme="minorEastAsia"/>
                <w:szCs w:val="21"/>
              </w:rPr>
              <w:t>12</w:t>
            </w:r>
            <w:r w:rsidRPr="00501A61">
              <w:rPr>
                <w:rFonts w:asciiTheme="minorEastAsia" w:eastAsiaTheme="minorEastAsia" w:hAnsiTheme="minorEastAsia" w:hint="eastAsia"/>
                <w:szCs w:val="21"/>
              </w:rPr>
              <w:t>月</w:t>
            </w:r>
            <w:r w:rsidRPr="00501A61">
              <w:rPr>
                <w:rFonts w:asciiTheme="minorEastAsia" w:eastAsiaTheme="minorEastAsia" w:hAnsiTheme="minorEastAsia"/>
                <w:szCs w:val="21"/>
              </w:rPr>
              <w:t>31</w:t>
            </w:r>
            <w:r w:rsidRPr="00501A61">
              <w:rPr>
                <w:rFonts w:asciiTheme="minorEastAsia" w:eastAsiaTheme="minorEastAsia" w:hAnsiTheme="minorEastAsia" w:hint="eastAsia"/>
                <w:szCs w:val="21"/>
              </w:rPr>
              <w:t>日</w:t>
            </w:r>
          </w:p>
        </w:tc>
        <w:tc>
          <w:tcPr>
            <w:tcW w:w="1147" w:type="dxa"/>
            <w:vAlign w:val="center"/>
          </w:tcPr>
          <w:p w:rsidR="00AA18A1" w:rsidRPr="00501A61" w:rsidRDefault="00AA18A1" w:rsidP="00AA18A1">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-23.76%</w:t>
            </w:r>
          </w:p>
        </w:tc>
        <w:tc>
          <w:tcPr>
            <w:tcW w:w="1193" w:type="dxa"/>
            <w:vAlign w:val="center"/>
          </w:tcPr>
          <w:p w:rsidR="00AA18A1" w:rsidRPr="00501A61" w:rsidRDefault="00AA18A1" w:rsidP="00AA18A1">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1.51%</w:t>
            </w:r>
          </w:p>
        </w:tc>
        <w:tc>
          <w:tcPr>
            <w:tcW w:w="1300" w:type="dxa"/>
            <w:vAlign w:val="center"/>
          </w:tcPr>
          <w:p w:rsidR="00AA18A1" w:rsidRPr="00501A61" w:rsidRDefault="00AA18A1" w:rsidP="00AA18A1">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-19.12%</w:t>
            </w:r>
          </w:p>
        </w:tc>
        <w:tc>
          <w:tcPr>
            <w:tcW w:w="1400" w:type="dxa"/>
            <w:vAlign w:val="center"/>
          </w:tcPr>
          <w:p w:rsidR="00AA18A1" w:rsidRPr="00501A61" w:rsidRDefault="00AA18A1" w:rsidP="00AA18A1">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1.07%</w:t>
            </w:r>
          </w:p>
        </w:tc>
        <w:tc>
          <w:tcPr>
            <w:tcW w:w="1080" w:type="dxa"/>
            <w:vAlign w:val="center"/>
          </w:tcPr>
          <w:p w:rsidR="00AA18A1" w:rsidRPr="00501A61" w:rsidRDefault="00AA18A1" w:rsidP="00AA18A1">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-4.64%</w:t>
            </w:r>
          </w:p>
        </w:tc>
        <w:tc>
          <w:tcPr>
            <w:tcW w:w="1080" w:type="dxa"/>
            <w:vAlign w:val="center"/>
          </w:tcPr>
          <w:p w:rsidR="00AA18A1" w:rsidRPr="00501A61" w:rsidRDefault="00AA18A1" w:rsidP="00AA18A1">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szCs w:val="21"/>
              </w:rPr>
              <w:t>0.44%</w:t>
            </w:r>
          </w:p>
        </w:tc>
      </w:tr>
      <w:tr w:rsidR="00501A61" w:rsidRPr="00501A61" w:rsidDel="00314698" w:rsidTr="00B32CF0">
        <w:trPr>
          <w:trHeight w:val="495"/>
          <w:jc w:val="center"/>
        </w:trPr>
        <w:tc>
          <w:tcPr>
            <w:tcW w:w="1874" w:type="dxa"/>
            <w:vAlign w:val="center"/>
          </w:tcPr>
          <w:p w:rsidR="00B32CF0" w:rsidRPr="00501A61" w:rsidRDefault="009B73E9" w:rsidP="00B32CF0">
            <w:pPr>
              <w:tabs>
                <w:tab w:val="left" w:pos="5400"/>
              </w:tabs>
              <w:snapToGrid w:val="0"/>
              <w:spacing w:line="360" w:lineRule="auto"/>
              <w:rPr>
                <w:rFonts w:asciiTheme="minorEastAsia" w:eastAsiaTheme="minorEastAsia" w:hAnsiTheme="minorEastAsia"/>
                <w:szCs w:val="21"/>
              </w:rPr>
            </w:pPr>
            <w:r w:rsidRPr="00501A61">
              <w:rPr>
                <w:rFonts w:asciiTheme="minorEastAsia" w:eastAsiaTheme="minorEastAsia" w:hAnsiTheme="minorEastAsia"/>
                <w:szCs w:val="21"/>
              </w:rPr>
              <w:t>2019年1月1日至2019年12月31日</w:t>
            </w:r>
          </w:p>
        </w:tc>
        <w:tc>
          <w:tcPr>
            <w:tcW w:w="1147" w:type="dxa"/>
            <w:vAlign w:val="center"/>
          </w:tcPr>
          <w:p w:rsidR="00B32CF0" w:rsidRPr="00501A61" w:rsidRDefault="009B73E9" w:rsidP="009B73E9">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rPr>
              <w:t>43.68%</w:t>
            </w:r>
          </w:p>
        </w:tc>
        <w:tc>
          <w:tcPr>
            <w:tcW w:w="1193" w:type="dxa"/>
            <w:vAlign w:val="center"/>
          </w:tcPr>
          <w:p w:rsidR="00B32CF0" w:rsidRPr="00501A61" w:rsidRDefault="009B73E9" w:rsidP="009B73E9">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rPr>
              <w:t>1.17%</w:t>
            </w:r>
          </w:p>
        </w:tc>
        <w:tc>
          <w:tcPr>
            <w:tcW w:w="1300" w:type="dxa"/>
            <w:vAlign w:val="center"/>
          </w:tcPr>
          <w:p w:rsidR="00B32CF0" w:rsidRPr="00501A61" w:rsidRDefault="009B73E9">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rPr>
              <w:t>29.73%</w:t>
            </w:r>
          </w:p>
        </w:tc>
        <w:tc>
          <w:tcPr>
            <w:tcW w:w="1400" w:type="dxa"/>
            <w:vAlign w:val="center"/>
          </w:tcPr>
          <w:p w:rsidR="00B32CF0" w:rsidRPr="00501A61" w:rsidRDefault="009B73E9">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rPr>
              <w:t>1.00%</w:t>
            </w:r>
          </w:p>
        </w:tc>
        <w:tc>
          <w:tcPr>
            <w:tcW w:w="1080" w:type="dxa"/>
            <w:vAlign w:val="center"/>
          </w:tcPr>
          <w:p w:rsidR="00B32CF0" w:rsidRPr="00501A61" w:rsidRDefault="009B73E9">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rPr>
              <w:t>13.95%</w:t>
            </w:r>
          </w:p>
        </w:tc>
        <w:tc>
          <w:tcPr>
            <w:tcW w:w="1080" w:type="dxa"/>
            <w:vAlign w:val="center"/>
          </w:tcPr>
          <w:p w:rsidR="00B32CF0" w:rsidRPr="00501A61" w:rsidRDefault="009B73E9">
            <w:pPr>
              <w:snapToGrid w:val="0"/>
              <w:spacing w:line="360" w:lineRule="auto"/>
              <w:ind w:leftChars="-65" w:left="-136"/>
              <w:jc w:val="right"/>
              <w:rPr>
                <w:rFonts w:asciiTheme="minorEastAsia" w:eastAsiaTheme="minorEastAsia" w:hAnsiTheme="minorEastAsia"/>
                <w:szCs w:val="21"/>
              </w:rPr>
            </w:pPr>
            <w:r w:rsidRPr="00501A61">
              <w:rPr>
                <w:rFonts w:asciiTheme="minorEastAsia" w:eastAsiaTheme="minorEastAsia" w:hAnsiTheme="minorEastAsia"/>
              </w:rPr>
              <w:t>0.17%</w:t>
            </w:r>
          </w:p>
        </w:tc>
      </w:tr>
    </w:tbl>
    <w:p w:rsidR="007A542B" w:rsidRPr="00501A61" w:rsidRDefault="007A542B" w:rsidP="00107648">
      <w:pPr>
        <w:pStyle w:val="1"/>
        <w:snapToGrid w:val="0"/>
        <w:spacing w:beforeLines="0" w:afterLines="0" w:line="360" w:lineRule="auto"/>
        <w:ind w:firstLine="643"/>
        <w:rPr>
          <w:rFonts w:asciiTheme="minorEastAsia" w:eastAsiaTheme="minorEastAsia" w:hAnsiTheme="minorEastAsia"/>
          <w:b/>
          <w:bCs/>
        </w:rPr>
        <w:sectPr w:rsidR="007A542B" w:rsidRPr="00501A61" w:rsidSect="003920FC">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Cs/>
        </w:rPr>
      </w:pPr>
      <w:bookmarkStart w:id="92" w:name="_Toc45632237"/>
      <w:r w:rsidRPr="00501A61">
        <w:rPr>
          <w:rFonts w:asciiTheme="minorEastAsia" w:eastAsiaTheme="minorEastAsia" w:hAnsiTheme="minorEastAsia" w:hint="eastAsia"/>
          <w:b/>
          <w:bCs/>
        </w:rPr>
        <w:lastRenderedPageBreak/>
        <w:t>十三、基金的财产</w:t>
      </w:r>
      <w:bookmarkEnd w:id="92"/>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93" w:name="_Toc45632238"/>
      <w:r w:rsidRPr="00501A61">
        <w:rPr>
          <w:rFonts w:asciiTheme="minorEastAsia" w:eastAsiaTheme="minorEastAsia" w:hAnsiTheme="minorEastAsia" w:hint="eastAsia"/>
          <w:b w:val="0"/>
        </w:rPr>
        <w:t>（一）基金资产总值</w:t>
      </w:r>
      <w:bookmarkEnd w:id="93"/>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rPr>
        <w:t>基金</w:t>
      </w:r>
      <w:r w:rsidRPr="00501A61">
        <w:rPr>
          <w:rFonts w:asciiTheme="minorEastAsia" w:eastAsiaTheme="minorEastAsia" w:hAnsiTheme="minorEastAsia" w:hint="eastAsia"/>
        </w:rPr>
        <w:t>资</w:t>
      </w:r>
      <w:r w:rsidRPr="00501A61">
        <w:rPr>
          <w:rFonts w:asciiTheme="minorEastAsia" w:eastAsiaTheme="minorEastAsia" w:hAnsiTheme="minorEastAsia"/>
        </w:rPr>
        <w:t>产总值是指基金</w:t>
      </w:r>
      <w:r w:rsidRPr="00501A61">
        <w:rPr>
          <w:rFonts w:asciiTheme="minorEastAsia" w:eastAsiaTheme="minorEastAsia" w:hAnsiTheme="minorEastAsia" w:hint="eastAsia"/>
          <w:szCs w:val="21"/>
        </w:rPr>
        <w:t>所购买的各类</w:t>
      </w:r>
      <w:r w:rsidRPr="00501A61">
        <w:rPr>
          <w:rFonts w:asciiTheme="minorEastAsia" w:eastAsiaTheme="minorEastAsia" w:hAnsiTheme="minorEastAsia" w:hint="eastAsia"/>
        </w:rPr>
        <w:t>证券及票据</w:t>
      </w:r>
      <w:r w:rsidRPr="00501A61">
        <w:rPr>
          <w:rFonts w:asciiTheme="minorEastAsia" w:eastAsiaTheme="minorEastAsia" w:hAnsiTheme="minorEastAsia" w:hint="eastAsia"/>
          <w:szCs w:val="21"/>
        </w:rPr>
        <w:t>、银行存款本息和基金应收的申购款项以及其他投资所形成的价值总和。</w:t>
      </w:r>
    </w:p>
    <w:p w:rsidR="0002608C" w:rsidRPr="00501A61" w:rsidRDefault="0002608C" w:rsidP="00107648">
      <w:pPr>
        <w:pStyle w:val="22"/>
        <w:snapToGrid w:val="0"/>
        <w:spacing w:before="0" w:beforeAutospacing="0" w:after="0" w:afterAutospacing="0"/>
        <w:ind w:firstLineChars="0" w:firstLine="420"/>
        <w:rPr>
          <w:rFonts w:asciiTheme="minorEastAsia" w:eastAsiaTheme="minorEastAsia" w:hAnsiTheme="minorEastAsia"/>
          <w:szCs w:val="24"/>
        </w:rPr>
      </w:pPr>
      <w:r w:rsidRPr="00501A61">
        <w:rPr>
          <w:rFonts w:asciiTheme="minorEastAsia" w:eastAsiaTheme="minorEastAsia" w:hAnsiTheme="minorEastAsia"/>
          <w:szCs w:val="24"/>
        </w:rPr>
        <w:t>其构成主要有：</w:t>
      </w:r>
    </w:p>
    <w:p w:rsidR="0002608C" w:rsidRPr="00501A61" w:rsidRDefault="0002608C" w:rsidP="00107648">
      <w:pPr>
        <w:snapToGrid w:val="0"/>
        <w:spacing w:line="360" w:lineRule="auto"/>
        <w:ind w:firstLine="480"/>
        <w:rPr>
          <w:rFonts w:asciiTheme="minorEastAsia" w:eastAsiaTheme="minorEastAsia" w:hAnsiTheme="minorEastAsia"/>
        </w:rPr>
      </w:pPr>
      <w:r w:rsidRPr="00501A61">
        <w:rPr>
          <w:rFonts w:asciiTheme="minorEastAsia" w:eastAsiaTheme="minorEastAsia" w:hAnsiTheme="minorEastAsia"/>
        </w:rPr>
        <w:t>1</w:t>
      </w:r>
      <w:r w:rsidR="00CE2F50" w:rsidRPr="00501A61">
        <w:rPr>
          <w:rFonts w:asciiTheme="minorEastAsia" w:eastAsiaTheme="minorEastAsia" w:hAnsiTheme="minorEastAsia" w:hint="eastAsia"/>
        </w:rPr>
        <w:t>、</w:t>
      </w:r>
      <w:r w:rsidRPr="00501A61">
        <w:rPr>
          <w:rFonts w:asciiTheme="minorEastAsia" w:eastAsiaTheme="minorEastAsia" w:hAnsiTheme="minorEastAsia"/>
        </w:rPr>
        <w:t>银行存款及其应计利息；</w:t>
      </w:r>
    </w:p>
    <w:p w:rsidR="0002608C" w:rsidRPr="00501A61" w:rsidRDefault="0002608C" w:rsidP="00107648">
      <w:pPr>
        <w:snapToGrid w:val="0"/>
        <w:spacing w:line="360" w:lineRule="auto"/>
        <w:ind w:firstLine="480"/>
        <w:rPr>
          <w:rFonts w:asciiTheme="minorEastAsia" w:eastAsiaTheme="minorEastAsia" w:hAnsiTheme="minorEastAsia"/>
        </w:rPr>
      </w:pPr>
      <w:r w:rsidRPr="00501A61">
        <w:rPr>
          <w:rFonts w:asciiTheme="minorEastAsia" w:eastAsiaTheme="minorEastAsia" w:hAnsiTheme="minorEastAsia"/>
        </w:rPr>
        <w:t>2</w:t>
      </w:r>
      <w:r w:rsidR="00CE2F50" w:rsidRPr="00501A61">
        <w:rPr>
          <w:rFonts w:asciiTheme="minorEastAsia" w:eastAsiaTheme="minorEastAsia" w:hAnsiTheme="minorEastAsia" w:hint="eastAsia"/>
        </w:rPr>
        <w:t>、</w:t>
      </w:r>
      <w:r w:rsidRPr="00501A61">
        <w:rPr>
          <w:rFonts w:asciiTheme="minorEastAsia" w:eastAsiaTheme="minorEastAsia" w:hAnsiTheme="minorEastAsia"/>
        </w:rPr>
        <w:t>清算备付金及其应计利息；</w:t>
      </w:r>
    </w:p>
    <w:p w:rsidR="0002608C" w:rsidRPr="00501A61" w:rsidRDefault="0002608C" w:rsidP="00107648">
      <w:pPr>
        <w:snapToGrid w:val="0"/>
        <w:spacing w:line="360" w:lineRule="auto"/>
        <w:ind w:firstLine="480"/>
        <w:rPr>
          <w:rFonts w:asciiTheme="minorEastAsia" w:eastAsiaTheme="minorEastAsia" w:hAnsiTheme="minorEastAsia"/>
        </w:rPr>
      </w:pPr>
      <w:r w:rsidRPr="00501A61">
        <w:rPr>
          <w:rFonts w:asciiTheme="minorEastAsia" w:eastAsiaTheme="minorEastAsia" w:hAnsiTheme="minorEastAsia"/>
        </w:rPr>
        <w:t>3</w:t>
      </w:r>
      <w:r w:rsidR="00CE2F50" w:rsidRPr="00501A61">
        <w:rPr>
          <w:rFonts w:asciiTheme="minorEastAsia" w:eastAsiaTheme="minorEastAsia" w:hAnsiTheme="minorEastAsia" w:hint="eastAsia"/>
        </w:rPr>
        <w:t>、</w:t>
      </w:r>
      <w:r w:rsidRPr="00501A61">
        <w:rPr>
          <w:rFonts w:asciiTheme="minorEastAsia" w:eastAsiaTheme="minorEastAsia" w:hAnsiTheme="minorEastAsia"/>
        </w:rPr>
        <w:t>根据有关规定缴纳的保证金；</w:t>
      </w:r>
    </w:p>
    <w:p w:rsidR="0002608C" w:rsidRPr="00501A61" w:rsidRDefault="0002608C" w:rsidP="00107648">
      <w:pPr>
        <w:snapToGrid w:val="0"/>
        <w:spacing w:line="360" w:lineRule="auto"/>
        <w:ind w:firstLine="480"/>
        <w:rPr>
          <w:rFonts w:asciiTheme="minorEastAsia" w:eastAsiaTheme="minorEastAsia" w:hAnsiTheme="minorEastAsia"/>
        </w:rPr>
      </w:pPr>
      <w:r w:rsidRPr="00501A61">
        <w:rPr>
          <w:rFonts w:asciiTheme="minorEastAsia" w:eastAsiaTheme="minorEastAsia" w:hAnsiTheme="minorEastAsia"/>
        </w:rPr>
        <w:t>4</w:t>
      </w:r>
      <w:r w:rsidR="00CE2F50" w:rsidRPr="00501A61">
        <w:rPr>
          <w:rFonts w:asciiTheme="minorEastAsia" w:eastAsiaTheme="minorEastAsia" w:hAnsiTheme="minorEastAsia" w:hint="eastAsia"/>
        </w:rPr>
        <w:t>、</w:t>
      </w:r>
      <w:r w:rsidRPr="00501A61">
        <w:rPr>
          <w:rFonts w:asciiTheme="minorEastAsia" w:eastAsiaTheme="minorEastAsia" w:hAnsiTheme="minorEastAsia"/>
        </w:rPr>
        <w:t>应收证券交易清算款；</w:t>
      </w:r>
    </w:p>
    <w:p w:rsidR="0002608C" w:rsidRPr="00501A61" w:rsidRDefault="0002608C" w:rsidP="00107648">
      <w:pPr>
        <w:snapToGrid w:val="0"/>
        <w:spacing w:line="360" w:lineRule="auto"/>
        <w:ind w:firstLine="480"/>
        <w:rPr>
          <w:rFonts w:asciiTheme="minorEastAsia" w:eastAsiaTheme="minorEastAsia" w:hAnsiTheme="minorEastAsia"/>
        </w:rPr>
      </w:pPr>
      <w:r w:rsidRPr="00501A61">
        <w:rPr>
          <w:rFonts w:asciiTheme="minorEastAsia" w:eastAsiaTheme="minorEastAsia" w:hAnsiTheme="minorEastAsia" w:hint="eastAsia"/>
        </w:rPr>
        <w:t>5</w:t>
      </w:r>
      <w:r w:rsidR="00CE2F50" w:rsidRPr="00501A61">
        <w:rPr>
          <w:rFonts w:asciiTheme="minorEastAsia" w:eastAsiaTheme="minorEastAsia" w:hAnsiTheme="minorEastAsia" w:hint="eastAsia"/>
        </w:rPr>
        <w:t>、</w:t>
      </w:r>
      <w:r w:rsidRPr="00501A61">
        <w:rPr>
          <w:rFonts w:asciiTheme="minorEastAsia" w:eastAsiaTheme="minorEastAsia" w:hAnsiTheme="minorEastAsia"/>
        </w:rPr>
        <w:t>应收申购款；</w:t>
      </w:r>
    </w:p>
    <w:p w:rsidR="0002608C" w:rsidRPr="00501A61" w:rsidRDefault="0002608C" w:rsidP="00107648">
      <w:pPr>
        <w:snapToGrid w:val="0"/>
        <w:spacing w:line="360" w:lineRule="auto"/>
        <w:ind w:firstLine="480"/>
        <w:rPr>
          <w:rFonts w:asciiTheme="minorEastAsia" w:eastAsiaTheme="minorEastAsia" w:hAnsiTheme="minorEastAsia"/>
        </w:rPr>
      </w:pPr>
      <w:r w:rsidRPr="00501A61">
        <w:rPr>
          <w:rFonts w:asciiTheme="minorEastAsia" w:eastAsiaTheme="minorEastAsia" w:hAnsiTheme="minorEastAsia" w:hint="eastAsia"/>
        </w:rPr>
        <w:t>6</w:t>
      </w:r>
      <w:r w:rsidR="00CE2F50" w:rsidRPr="00501A61">
        <w:rPr>
          <w:rFonts w:asciiTheme="minorEastAsia" w:eastAsiaTheme="minorEastAsia" w:hAnsiTheme="minorEastAsia" w:hint="eastAsia"/>
        </w:rPr>
        <w:t>、</w:t>
      </w:r>
      <w:r w:rsidRPr="00501A61">
        <w:rPr>
          <w:rFonts w:asciiTheme="minorEastAsia" w:eastAsiaTheme="minorEastAsia" w:hAnsiTheme="minorEastAsia" w:hint="eastAsia"/>
        </w:rPr>
        <w:t>股票投资及其估值调整；</w:t>
      </w:r>
    </w:p>
    <w:p w:rsidR="0002608C" w:rsidRPr="00501A61" w:rsidRDefault="0002608C" w:rsidP="00107648">
      <w:pPr>
        <w:snapToGrid w:val="0"/>
        <w:spacing w:line="360" w:lineRule="auto"/>
        <w:ind w:firstLine="480"/>
        <w:rPr>
          <w:rFonts w:asciiTheme="minorEastAsia" w:eastAsiaTheme="minorEastAsia" w:hAnsiTheme="minorEastAsia"/>
        </w:rPr>
      </w:pPr>
      <w:r w:rsidRPr="00501A61">
        <w:rPr>
          <w:rFonts w:asciiTheme="minorEastAsia" w:eastAsiaTheme="minorEastAsia" w:hAnsiTheme="minorEastAsia"/>
        </w:rPr>
        <w:t>7</w:t>
      </w:r>
      <w:r w:rsidR="00CE2F50" w:rsidRPr="00501A61">
        <w:rPr>
          <w:rFonts w:asciiTheme="minorEastAsia" w:eastAsiaTheme="minorEastAsia" w:hAnsiTheme="minorEastAsia" w:hint="eastAsia"/>
        </w:rPr>
        <w:t>、</w:t>
      </w:r>
      <w:r w:rsidRPr="00501A61">
        <w:rPr>
          <w:rFonts w:asciiTheme="minorEastAsia" w:eastAsiaTheme="minorEastAsia" w:hAnsiTheme="minorEastAsia" w:hint="eastAsia"/>
        </w:rPr>
        <w:t>债券投资及其估值调整和应计利息；</w:t>
      </w:r>
    </w:p>
    <w:p w:rsidR="0002608C" w:rsidRPr="00501A61" w:rsidRDefault="00CE2F50" w:rsidP="00107648">
      <w:pPr>
        <w:snapToGrid w:val="0"/>
        <w:spacing w:line="360" w:lineRule="auto"/>
        <w:ind w:firstLine="480"/>
        <w:rPr>
          <w:rFonts w:asciiTheme="minorEastAsia" w:eastAsiaTheme="minorEastAsia" w:hAnsiTheme="minorEastAsia"/>
        </w:rPr>
      </w:pPr>
      <w:r w:rsidRPr="00501A61">
        <w:rPr>
          <w:rFonts w:asciiTheme="minorEastAsia" w:eastAsiaTheme="minorEastAsia" w:hAnsiTheme="minorEastAsia" w:hint="eastAsia"/>
        </w:rPr>
        <w:t>8、</w:t>
      </w:r>
      <w:r w:rsidR="0002608C" w:rsidRPr="00501A61">
        <w:rPr>
          <w:rFonts w:asciiTheme="minorEastAsia" w:eastAsiaTheme="minorEastAsia" w:hAnsiTheme="minorEastAsia" w:hint="eastAsia"/>
        </w:rPr>
        <w:t>权证投资及其估值调整；</w:t>
      </w:r>
    </w:p>
    <w:p w:rsidR="0002608C" w:rsidRPr="00501A61" w:rsidRDefault="00CE2F50" w:rsidP="00107648">
      <w:pPr>
        <w:snapToGrid w:val="0"/>
        <w:spacing w:line="360" w:lineRule="auto"/>
        <w:ind w:firstLine="480"/>
        <w:rPr>
          <w:rFonts w:asciiTheme="minorEastAsia" w:eastAsiaTheme="minorEastAsia" w:hAnsiTheme="minorEastAsia"/>
        </w:rPr>
      </w:pPr>
      <w:r w:rsidRPr="00501A61">
        <w:rPr>
          <w:rFonts w:asciiTheme="minorEastAsia" w:eastAsiaTheme="minorEastAsia" w:hAnsiTheme="minorEastAsia" w:hint="eastAsia"/>
        </w:rPr>
        <w:t>9、</w:t>
      </w:r>
      <w:r w:rsidR="0002608C" w:rsidRPr="00501A61">
        <w:rPr>
          <w:rFonts w:asciiTheme="minorEastAsia" w:eastAsiaTheme="minorEastAsia" w:hAnsiTheme="minorEastAsia" w:hint="eastAsia"/>
        </w:rPr>
        <w:t>其他投资及其估值调整；</w:t>
      </w:r>
    </w:p>
    <w:p w:rsidR="0002608C" w:rsidRPr="00501A61" w:rsidRDefault="0002608C" w:rsidP="00107648">
      <w:pPr>
        <w:snapToGrid w:val="0"/>
        <w:spacing w:line="360" w:lineRule="auto"/>
        <w:ind w:firstLine="480"/>
        <w:rPr>
          <w:rFonts w:asciiTheme="minorEastAsia" w:eastAsiaTheme="minorEastAsia" w:hAnsiTheme="minorEastAsia"/>
        </w:rPr>
      </w:pPr>
      <w:r w:rsidRPr="00501A61">
        <w:rPr>
          <w:rFonts w:asciiTheme="minorEastAsia" w:eastAsiaTheme="minorEastAsia" w:hAnsiTheme="minorEastAsia" w:hint="eastAsia"/>
        </w:rPr>
        <w:t>10</w:t>
      </w:r>
      <w:r w:rsidR="00CE2F50" w:rsidRPr="00501A61">
        <w:rPr>
          <w:rFonts w:asciiTheme="minorEastAsia" w:eastAsiaTheme="minorEastAsia" w:hAnsiTheme="minorEastAsia" w:hint="eastAsia"/>
        </w:rPr>
        <w:t>、</w:t>
      </w:r>
      <w:r w:rsidRPr="00501A61">
        <w:rPr>
          <w:rFonts w:asciiTheme="minorEastAsia" w:eastAsiaTheme="minorEastAsia" w:hAnsiTheme="minorEastAsia"/>
        </w:rPr>
        <w:t>其他资产等。</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94" w:name="_Toc45632239"/>
      <w:r w:rsidRPr="00501A61">
        <w:rPr>
          <w:rFonts w:asciiTheme="minorEastAsia" w:eastAsiaTheme="minorEastAsia" w:hAnsiTheme="minorEastAsia" w:hint="eastAsia"/>
          <w:b w:val="0"/>
        </w:rPr>
        <w:t>（二）基金资产净值</w:t>
      </w:r>
      <w:bookmarkEnd w:id="94"/>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基金资产净值是指基金资产总值减去负债后的价值。</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95" w:name="_Toc45632240"/>
      <w:r w:rsidRPr="00501A61">
        <w:rPr>
          <w:rFonts w:asciiTheme="minorEastAsia" w:eastAsiaTheme="minorEastAsia" w:hAnsiTheme="minorEastAsia" w:hint="eastAsia"/>
          <w:b w:val="0"/>
        </w:rPr>
        <w:t>（三）基金财产的帐户</w:t>
      </w:r>
      <w:bookmarkEnd w:id="95"/>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w:t>
      </w:r>
      <w:r w:rsidR="00D109A3" w:rsidRPr="00501A61">
        <w:rPr>
          <w:rFonts w:asciiTheme="minorEastAsia" w:eastAsiaTheme="minorEastAsia" w:hAnsiTheme="minorEastAsia" w:hint="eastAsia"/>
          <w:szCs w:val="21"/>
        </w:rPr>
        <w:t>销售</w:t>
      </w:r>
      <w:r w:rsidRPr="00501A61">
        <w:rPr>
          <w:rFonts w:asciiTheme="minorEastAsia" w:eastAsiaTheme="minorEastAsia" w:hAnsiTheme="minorEastAsia" w:hint="eastAsia"/>
          <w:szCs w:val="21"/>
        </w:rPr>
        <w:t>机构和基金注册登记机构自有的财产账户以及其他基金财产账户相独立。</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96" w:name="_Toc45632241"/>
      <w:r w:rsidRPr="00501A61">
        <w:rPr>
          <w:rFonts w:asciiTheme="minorEastAsia" w:eastAsiaTheme="minorEastAsia" w:hAnsiTheme="minorEastAsia" w:hint="eastAsia"/>
          <w:b w:val="0"/>
        </w:rPr>
        <w:t>（四）基金财产的保管与处分</w:t>
      </w:r>
      <w:bookmarkEnd w:id="96"/>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本基金财产独立于基金管理人、基金托管人的</w:t>
      </w:r>
      <w:r w:rsidRPr="00501A61">
        <w:rPr>
          <w:rFonts w:asciiTheme="minorEastAsia" w:eastAsiaTheme="minorEastAsia" w:hAnsiTheme="minorEastAsia" w:hint="eastAsia"/>
        </w:rPr>
        <w:t>固有</w:t>
      </w:r>
      <w:r w:rsidRPr="00501A61">
        <w:rPr>
          <w:rFonts w:asciiTheme="minorEastAsia" w:eastAsiaTheme="minorEastAsia" w:hAnsiTheme="minorEastAsia" w:hint="eastAsia"/>
          <w:szCs w:val="21"/>
        </w:rPr>
        <w:t>财产，并由基金托管人保管。基金管理人、基金托管人不得将基金财产归入其固有财产；基金管理人、基金托管人因基金财产的管理、运用或其他情形而取得的财产和收益，归入基金财产。基金管理人、基金托管人以其自有的财产承担自身相应的法律责任，其债权人不得对基金财产行使请求冻结、扣押或其他权利。基金管理人、基金托管人因依法解散、被依法撤销或被依法宣告破产等原因进行清算的，基金财产不属于其清算财产。非因基金财产本身承担的债务不得对基金财产强制执行。除依据《基金法》、《运作办法》、基金合同及其他有关规定处分外，基金财产不得被处分。</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基金管理人管理运作基金财产所产生的债权，不得与其固有财产产生的债务相互抵消；基金管理人管理运作不同基金的基金财产所产生的债权债务不得相互抵销。</w:t>
      </w: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Cs/>
        </w:rPr>
      </w:pPr>
      <w:bookmarkStart w:id="97" w:name="_Toc45632242"/>
      <w:r w:rsidRPr="00501A61">
        <w:rPr>
          <w:rFonts w:asciiTheme="minorEastAsia" w:eastAsiaTheme="minorEastAsia" w:hAnsiTheme="minorEastAsia" w:hint="eastAsia"/>
          <w:b/>
          <w:bCs/>
        </w:rPr>
        <w:lastRenderedPageBreak/>
        <w:t>十四、基金资产估值</w:t>
      </w:r>
      <w:bookmarkEnd w:id="97"/>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98" w:name="_Toc66706733"/>
      <w:bookmarkStart w:id="99" w:name="_Toc86584624"/>
      <w:bookmarkStart w:id="100" w:name="_Toc84149655"/>
      <w:bookmarkStart w:id="101" w:name="_Toc45632243"/>
      <w:r w:rsidRPr="00501A61">
        <w:rPr>
          <w:rFonts w:asciiTheme="minorEastAsia" w:eastAsiaTheme="minorEastAsia" w:hAnsiTheme="minorEastAsia" w:hint="eastAsia"/>
          <w:b w:val="0"/>
        </w:rPr>
        <w:t>（一）估值目的</w:t>
      </w:r>
      <w:bookmarkEnd w:id="98"/>
      <w:bookmarkEnd w:id="99"/>
      <w:bookmarkEnd w:id="101"/>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基金资产估值的目的是客观、准确地反映基金资产是否保值、增值，依据经基金资产估值后确定的基金资产净值而计算出的基金份额净值，是计算基金申购与赎回价格的基础。</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02" w:name="_Toc66706734"/>
      <w:bookmarkStart w:id="103" w:name="_Toc86584625"/>
      <w:bookmarkStart w:id="104" w:name="_Toc45632244"/>
      <w:r w:rsidRPr="00501A61">
        <w:rPr>
          <w:rFonts w:asciiTheme="minorEastAsia" w:eastAsiaTheme="minorEastAsia" w:hAnsiTheme="minorEastAsia" w:hint="eastAsia"/>
          <w:b w:val="0"/>
        </w:rPr>
        <w:t>（二）估值日</w:t>
      </w:r>
      <w:bookmarkEnd w:id="102"/>
      <w:bookmarkEnd w:id="103"/>
      <w:bookmarkEnd w:id="104"/>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本基金的估值日为相关的证券交易场所的正常营业日以及国家法律法规规定需要对外披露基金净值的非营业日。</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05" w:name="_Toc66706735"/>
      <w:bookmarkStart w:id="106" w:name="_Toc86584626"/>
      <w:bookmarkStart w:id="107" w:name="_Toc45632245"/>
      <w:r w:rsidRPr="00501A61">
        <w:rPr>
          <w:rFonts w:asciiTheme="minorEastAsia" w:eastAsiaTheme="minorEastAsia" w:hAnsiTheme="minorEastAsia" w:hint="eastAsia"/>
          <w:b w:val="0"/>
        </w:rPr>
        <w:t>（三）估值对象</w:t>
      </w:r>
      <w:bookmarkEnd w:id="105"/>
      <w:bookmarkEnd w:id="106"/>
      <w:bookmarkEnd w:id="107"/>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基金所拥有的股票、债券、权证和银行存款本息等资产和负债。</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08" w:name="_Toc66706736"/>
      <w:bookmarkStart w:id="109" w:name="_Toc86584627"/>
      <w:bookmarkStart w:id="110" w:name="_Toc45632246"/>
      <w:r w:rsidRPr="00501A61">
        <w:rPr>
          <w:rFonts w:asciiTheme="minorEastAsia" w:eastAsiaTheme="minorEastAsia" w:hAnsiTheme="minorEastAsia" w:hint="eastAsia"/>
          <w:b w:val="0"/>
        </w:rPr>
        <w:t>（四）估值方法</w:t>
      </w:r>
      <w:bookmarkEnd w:id="108"/>
      <w:bookmarkEnd w:id="109"/>
      <w:bookmarkEnd w:id="110"/>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本基金按以下方式进行估值：</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证券交易所上市的有价证券的估值</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3）交易所上市未实行净价交易的债券按估值日收盘价减去债券收盘价中所含的债券应收利息得到的净价进行估值；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（4）交易所上市不存在活跃市场的有价证券，采用估值技术确定公允价值。交易所上市的资产支持证券，采用估值技术确定公允价值，在估值技术难以可靠计量公允价值的情况下，按成本估值。</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处于未上市期间的有价证券应区分如下情况处理：</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（1）送股、转增股、配股和公开增发的新股，按估值日在证券交易所挂牌的同一股票的市价（收盘价）估值；该日无交易的，以最近一日的市价（收盘价）估值；</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（2）首次公开发行未上市的股票、债券和权证，采用估值技术确定公允价值，在估值技术难以可靠计量公允价值的情况下，按成本估值。</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（3）首次公开发行有明确锁定期的股票，同一股票在交易所上市后，按交易所上市的同一股票的市价（收盘价）估值；非公开发行有明确锁定期的股票，按监管机构或行业协会有关规定确定公允价值。</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3、</w:t>
      </w:r>
      <w:r w:rsidR="0002608C" w:rsidRPr="00501A61">
        <w:rPr>
          <w:rFonts w:asciiTheme="minorEastAsia" w:eastAsiaTheme="minorEastAsia" w:hAnsiTheme="minorEastAsia" w:hint="eastAsia"/>
          <w:szCs w:val="21"/>
        </w:rPr>
        <w:t>因持有股票而享有的配股权，以及停止交易、但未行权的权证，采用估值技术确定公允价值。</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4、</w:t>
      </w:r>
      <w:r w:rsidR="0002608C" w:rsidRPr="00501A61">
        <w:rPr>
          <w:rFonts w:asciiTheme="minorEastAsia" w:eastAsiaTheme="minorEastAsia" w:hAnsiTheme="minorEastAsia" w:hint="eastAsia"/>
          <w:szCs w:val="21"/>
        </w:rPr>
        <w:t>全国银行间债券市场交易的债券、资产支持证券等固定收益品种，采用估值技术确定公允价值。</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5、</w:t>
      </w:r>
      <w:r w:rsidR="0002608C" w:rsidRPr="00501A61">
        <w:rPr>
          <w:rFonts w:asciiTheme="minorEastAsia" w:eastAsiaTheme="minorEastAsia" w:hAnsiTheme="minorEastAsia" w:hint="eastAsia"/>
          <w:szCs w:val="21"/>
        </w:rPr>
        <w:t>同一债券同时在两个或两个以上市场交易的，按债券所处的市场分别估值。</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6、</w:t>
      </w:r>
      <w:r w:rsidR="0002608C" w:rsidRPr="00501A61">
        <w:rPr>
          <w:rFonts w:asciiTheme="minorEastAsia" w:eastAsiaTheme="minorEastAsia" w:hAnsiTheme="minorEastAsia" w:hint="eastAsia"/>
          <w:szCs w:val="21"/>
        </w:rPr>
        <w:t>如有确凿证据表明按上述方法进行估值不能客观反映其公允价值的，基金管理人可根据具体情况与基金托管人商定后，按最能反映公允价值的价格估值。</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7、</w:t>
      </w:r>
      <w:r w:rsidR="0002608C" w:rsidRPr="00501A61">
        <w:rPr>
          <w:rFonts w:asciiTheme="minorEastAsia" w:eastAsiaTheme="minorEastAsia" w:hAnsiTheme="minorEastAsia" w:hint="eastAsia"/>
          <w:szCs w:val="21"/>
        </w:rPr>
        <w:t>相关法律法规以及监管部门有强制规定的，从其规定。如有新增事项，按国家最新规定估值。</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11" w:name="_Toc44229106"/>
      <w:bookmarkStart w:id="112" w:name="_Toc44229201"/>
      <w:bookmarkStart w:id="113" w:name="_Toc44229107"/>
      <w:bookmarkStart w:id="114" w:name="_Toc44229202"/>
      <w:bookmarkStart w:id="115" w:name="_Toc44229108"/>
      <w:bookmarkStart w:id="116" w:name="_Toc44229203"/>
      <w:bookmarkStart w:id="117" w:name="_Toc44229109"/>
      <w:bookmarkStart w:id="118" w:name="_Toc44229204"/>
      <w:bookmarkStart w:id="119" w:name="_Toc44229110"/>
      <w:bookmarkStart w:id="120" w:name="_Toc44229205"/>
      <w:bookmarkStart w:id="121" w:name="_Toc44229111"/>
      <w:bookmarkStart w:id="122" w:name="_Toc44229206"/>
      <w:bookmarkStart w:id="123" w:name="_Toc44229112"/>
      <w:bookmarkStart w:id="124" w:name="_Toc44229207"/>
      <w:bookmarkStart w:id="125" w:name="_Toc44229113"/>
      <w:bookmarkStart w:id="126" w:name="_Toc44229208"/>
      <w:bookmarkStart w:id="127" w:name="_Toc66706737"/>
      <w:bookmarkStart w:id="128" w:name="_Toc86584628"/>
      <w:bookmarkStart w:id="129" w:name="_Toc45632247"/>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501A61">
        <w:rPr>
          <w:rFonts w:asciiTheme="minorEastAsia" w:eastAsiaTheme="minorEastAsia" w:hAnsiTheme="minorEastAsia" w:hint="eastAsia"/>
          <w:b w:val="0"/>
        </w:rPr>
        <w:t>（五）估值程序</w:t>
      </w:r>
      <w:bookmarkEnd w:id="127"/>
      <w:bookmarkEnd w:id="128"/>
      <w:bookmarkEnd w:id="129"/>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30" w:name="_Toc66706738"/>
      <w:bookmarkStart w:id="131" w:name="_Toc86584629"/>
      <w:bookmarkStart w:id="132" w:name="_Toc45632248"/>
      <w:r w:rsidRPr="00501A61">
        <w:rPr>
          <w:rFonts w:asciiTheme="minorEastAsia" w:eastAsiaTheme="minorEastAsia" w:hAnsiTheme="minorEastAsia" w:hint="eastAsia"/>
          <w:b w:val="0"/>
        </w:rPr>
        <w:t>（六）暂停</w:t>
      </w:r>
      <w:r w:rsidR="00E56C3D" w:rsidRPr="00501A61">
        <w:rPr>
          <w:rFonts w:asciiTheme="minorEastAsia" w:eastAsiaTheme="minorEastAsia" w:hAnsiTheme="minorEastAsia" w:hint="eastAsia"/>
          <w:b w:val="0"/>
        </w:rPr>
        <w:t>估值</w:t>
      </w:r>
      <w:r w:rsidRPr="00501A61">
        <w:rPr>
          <w:rFonts w:asciiTheme="minorEastAsia" w:eastAsiaTheme="minorEastAsia" w:hAnsiTheme="minorEastAsia" w:hint="eastAsia"/>
          <w:b w:val="0"/>
        </w:rPr>
        <w:t>的情形</w:t>
      </w:r>
      <w:bookmarkEnd w:id="130"/>
      <w:bookmarkEnd w:id="131"/>
      <w:bookmarkEnd w:id="132"/>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与本基金投资有关的证券交易场所遇法定节假日或因其他原因暂停营业时；</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因不可抗力或其他情形致使基金管理人无法准确评估基金资产价值时；</w:t>
      </w:r>
    </w:p>
    <w:p w:rsidR="00E56C3D" w:rsidRPr="00501A61" w:rsidRDefault="00CE2F50" w:rsidP="00E56C3D">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3、</w:t>
      </w:r>
      <w:r w:rsidR="00E56C3D" w:rsidRPr="00501A61">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当前一估值日基金资产净值50%以上的资产出现无可参考的活跃市场价格且采用估值技术仍导致公允价值存在重大不确定性时，经与基金托管人协商一致的；</w:t>
      </w:r>
    </w:p>
    <w:p w:rsidR="0002608C" w:rsidRPr="00501A61" w:rsidRDefault="00E56C3D" w:rsidP="00E56C3D">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4、</w:t>
      </w:r>
      <w:r w:rsidR="0002608C" w:rsidRPr="00501A61">
        <w:rPr>
          <w:rFonts w:asciiTheme="minorEastAsia" w:eastAsiaTheme="minorEastAsia" w:hAnsiTheme="minorEastAsia" w:hint="eastAsia"/>
          <w:szCs w:val="21"/>
        </w:rPr>
        <w:t>中国证监会认定的其他情形。</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33" w:name="_Toc66706739"/>
      <w:bookmarkStart w:id="134" w:name="_Toc86584630"/>
      <w:bookmarkStart w:id="135" w:name="_Toc45632249"/>
      <w:r w:rsidRPr="00501A61">
        <w:rPr>
          <w:rFonts w:asciiTheme="minorEastAsia" w:eastAsiaTheme="minorEastAsia" w:hAnsiTheme="minorEastAsia" w:hint="eastAsia"/>
          <w:b w:val="0"/>
        </w:rPr>
        <w:t>（七）基金份额净值的确认和估值错误处理</w:t>
      </w:r>
      <w:bookmarkEnd w:id="133"/>
      <w:bookmarkEnd w:id="134"/>
      <w:bookmarkEnd w:id="135"/>
    </w:p>
    <w:p w:rsidR="0002608C" w:rsidRPr="00501A61" w:rsidRDefault="0002608C" w:rsidP="00107648">
      <w:pPr>
        <w:snapToGrid w:val="0"/>
        <w:spacing w:line="360" w:lineRule="auto"/>
        <w:ind w:firstLine="480"/>
        <w:rPr>
          <w:rFonts w:asciiTheme="minorEastAsia" w:eastAsiaTheme="minorEastAsia" w:hAnsiTheme="minorEastAsia"/>
          <w:szCs w:val="21"/>
        </w:rPr>
      </w:pPr>
      <w:bookmarkStart w:id="136" w:name="_Toc97031289"/>
      <w:bookmarkStart w:id="137" w:name="_Toc97107249"/>
      <w:bookmarkEnd w:id="100"/>
      <w:bookmarkEnd w:id="136"/>
      <w:bookmarkEnd w:id="137"/>
      <w:r w:rsidRPr="00501A61">
        <w:rPr>
          <w:rFonts w:asciiTheme="minorEastAsia" w:eastAsiaTheme="minorEastAsia" w:hAnsiTheme="minorEastAsia" w:hint="eastAsia"/>
          <w:szCs w:val="21"/>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w:t>
      </w:r>
      <w:r w:rsidRPr="00501A61">
        <w:rPr>
          <w:rFonts w:asciiTheme="minorEastAsia" w:eastAsiaTheme="minorEastAsia" w:hAnsiTheme="minorEastAsia"/>
          <w:szCs w:val="21"/>
        </w:rPr>
        <w:t>报</w:t>
      </w:r>
      <w:r w:rsidRPr="00501A61">
        <w:rPr>
          <w:rFonts w:asciiTheme="minorEastAsia" w:eastAsiaTheme="minorEastAsia" w:hAnsiTheme="minorEastAsia" w:hint="eastAsia"/>
          <w:szCs w:val="21"/>
        </w:rPr>
        <w:t>中国证监会</w:t>
      </w:r>
      <w:r w:rsidRPr="00501A61">
        <w:rPr>
          <w:rFonts w:asciiTheme="minorEastAsia" w:eastAsiaTheme="minorEastAsia" w:hAnsiTheme="minorEastAsia"/>
          <w:szCs w:val="21"/>
        </w:rPr>
        <w:t>备案</w:t>
      </w:r>
      <w:r w:rsidRPr="00501A61">
        <w:rPr>
          <w:rFonts w:asciiTheme="minorEastAsia" w:eastAsiaTheme="minorEastAsia" w:hAnsiTheme="minorEastAsia" w:hint="eastAsia"/>
          <w:szCs w:val="21"/>
        </w:rPr>
        <w:t>；当估值错误偏差达到</w:t>
      </w:r>
      <w:r w:rsidRPr="00501A61">
        <w:rPr>
          <w:rFonts w:asciiTheme="minorEastAsia" w:eastAsiaTheme="minorEastAsia" w:hAnsiTheme="minorEastAsia"/>
          <w:szCs w:val="21"/>
        </w:rPr>
        <w:t>基金份额净值</w:t>
      </w:r>
      <w:r w:rsidRPr="00501A61">
        <w:rPr>
          <w:rFonts w:asciiTheme="minorEastAsia" w:eastAsiaTheme="minorEastAsia" w:hAnsiTheme="minorEastAsia" w:hint="eastAsia"/>
          <w:szCs w:val="21"/>
        </w:rPr>
        <w:t>的</w:t>
      </w:r>
      <w:r w:rsidRPr="00501A61">
        <w:rPr>
          <w:rFonts w:asciiTheme="minorEastAsia" w:eastAsiaTheme="minorEastAsia" w:hAnsiTheme="minorEastAsia"/>
          <w:szCs w:val="21"/>
        </w:rPr>
        <w:t>0.5%</w:t>
      </w:r>
      <w:r w:rsidRPr="00501A61">
        <w:rPr>
          <w:rFonts w:asciiTheme="minorEastAsia" w:eastAsiaTheme="minorEastAsia" w:hAnsiTheme="minorEastAsia" w:hint="eastAsia"/>
          <w:szCs w:val="21"/>
        </w:rPr>
        <w:t>时，基金管理人</w:t>
      </w:r>
      <w:r w:rsidRPr="00501A61">
        <w:rPr>
          <w:rFonts w:asciiTheme="minorEastAsia" w:eastAsiaTheme="minorEastAsia" w:hAnsiTheme="minorEastAsia"/>
          <w:szCs w:val="21"/>
        </w:rPr>
        <w:t>应当公告，并报</w:t>
      </w:r>
      <w:r w:rsidRPr="00501A61">
        <w:rPr>
          <w:rFonts w:asciiTheme="minorEastAsia" w:eastAsiaTheme="minorEastAsia" w:hAnsiTheme="minorEastAsia" w:hint="eastAsia"/>
          <w:szCs w:val="21"/>
        </w:rPr>
        <w:t>中国证监会</w:t>
      </w:r>
      <w:r w:rsidRPr="00501A61">
        <w:rPr>
          <w:rFonts w:asciiTheme="minorEastAsia" w:eastAsiaTheme="minorEastAsia" w:hAnsiTheme="minorEastAsia"/>
          <w:szCs w:val="21"/>
        </w:rPr>
        <w:t>备案。</w:t>
      </w:r>
      <w:r w:rsidRPr="00501A61">
        <w:rPr>
          <w:rFonts w:asciiTheme="minorEastAsia" w:eastAsiaTheme="minorEastAsia" w:hAnsiTheme="minorEastAsia" w:hint="eastAsia"/>
          <w:szCs w:val="21"/>
        </w:rPr>
        <w:t>因基金估值错误给投资者造成损失的，应先由基金管理人承担，基金管理人对不应由其承担的责</w:t>
      </w:r>
      <w:r w:rsidRPr="00501A61">
        <w:rPr>
          <w:rFonts w:asciiTheme="minorEastAsia" w:eastAsiaTheme="minorEastAsia" w:hAnsiTheme="minorEastAsia" w:hint="eastAsia"/>
          <w:szCs w:val="21"/>
        </w:rPr>
        <w:lastRenderedPageBreak/>
        <w:t>任，有权向过错人追偿。</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关于差错处理，本合同的当事人按照以下约定处理：</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szCs w:val="21"/>
        </w:rPr>
        <w:t>1</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差错类型</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szCs w:val="21"/>
        </w:rPr>
        <w:t>2</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差错处理原则</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1</w:t>
      </w:r>
      <w:r w:rsidRPr="00501A61">
        <w:rPr>
          <w:rFonts w:asciiTheme="minorEastAsia" w:eastAsiaTheme="minorEastAsia" w:hAnsiTheme="minorEastAsia" w:hint="eastAsia"/>
          <w:szCs w:val="21"/>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2</w:t>
      </w:r>
      <w:r w:rsidRPr="00501A61">
        <w:rPr>
          <w:rFonts w:asciiTheme="minorEastAsia" w:eastAsiaTheme="minorEastAsia" w:hAnsiTheme="minorEastAsia" w:hint="eastAsia"/>
          <w:szCs w:val="21"/>
        </w:rPr>
        <w:t>）差错的责任方对可能导致有关当事人的直接损失负责，不对间接损失负责，并且仅对差错的有关直接当事人负责，不对第三方负责。</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3</w:t>
      </w:r>
      <w:r w:rsidRPr="00501A61">
        <w:rPr>
          <w:rFonts w:asciiTheme="minorEastAsia" w:eastAsiaTheme="minorEastAsia" w:hAnsiTheme="minorEastAsia" w:hint="eastAsia"/>
          <w:szCs w:val="21"/>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4</w:t>
      </w:r>
      <w:r w:rsidRPr="00501A61">
        <w:rPr>
          <w:rFonts w:asciiTheme="minorEastAsia" w:eastAsiaTheme="minorEastAsia" w:hAnsiTheme="minorEastAsia" w:hint="eastAsia"/>
          <w:szCs w:val="21"/>
        </w:rPr>
        <w:t>）差错调整采用尽量恢复至假设未发生差错的正确情形的方式。</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5</w:t>
      </w:r>
      <w:r w:rsidRPr="00501A61">
        <w:rPr>
          <w:rFonts w:asciiTheme="minorEastAsia" w:eastAsiaTheme="minorEastAsia" w:hAnsiTheme="minorEastAsia" w:hint="eastAsia"/>
          <w:szCs w:val="21"/>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6</w:t>
      </w:r>
      <w:r w:rsidRPr="00501A61">
        <w:rPr>
          <w:rFonts w:asciiTheme="minorEastAsia" w:eastAsiaTheme="minorEastAsia" w:hAnsiTheme="minorEastAsia" w:hint="eastAsia"/>
          <w:szCs w:val="21"/>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w:t>
      </w:r>
      <w:r w:rsidRPr="00501A61">
        <w:rPr>
          <w:rFonts w:asciiTheme="minorEastAsia" w:eastAsiaTheme="minorEastAsia" w:hAnsiTheme="minorEastAsia" w:hint="eastAsia"/>
          <w:szCs w:val="21"/>
        </w:rPr>
        <w:lastRenderedPageBreak/>
        <w:t>的费用和遭受的损失。</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7</w:t>
      </w:r>
      <w:r w:rsidRPr="00501A61">
        <w:rPr>
          <w:rFonts w:asciiTheme="minorEastAsia" w:eastAsiaTheme="minorEastAsia" w:hAnsiTheme="minorEastAsia" w:hint="eastAsia"/>
          <w:szCs w:val="21"/>
        </w:rPr>
        <w:t>）按法律法规规定的其他原则处理差错。</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szCs w:val="21"/>
        </w:rPr>
        <w:t>3</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差错处理程序</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差错被发现后，有关的当事人应当及时进行处理，处理的程序如下：</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1</w:t>
      </w:r>
      <w:r w:rsidRPr="00501A61">
        <w:rPr>
          <w:rFonts w:asciiTheme="minorEastAsia" w:eastAsiaTheme="minorEastAsia" w:hAnsiTheme="minorEastAsia" w:hint="eastAsia"/>
          <w:szCs w:val="21"/>
        </w:rPr>
        <w:t>）查明差错发生的原因，列明所有的当事人，并根据差错发生的原因确定差错的责任方；</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2</w:t>
      </w:r>
      <w:r w:rsidRPr="00501A61">
        <w:rPr>
          <w:rFonts w:asciiTheme="minorEastAsia" w:eastAsiaTheme="minorEastAsia" w:hAnsiTheme="minorEastAsia" w:hint="eastAsia"/>
          <w:szCs w:val="21"/>
        </w:rPr>
        <w:t>）根据差错处理原则或当事人协商的方法对因差错造成的损失进行评估；</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3</w:t>
      </w:r>
      <w:r w:rsidRPr="00501A61">
        <w:rPr>
          <w:rFonts w:asciiTheme="minorEastAsia" w:eastAsiaTheme="minorEastAsia" w:hAnsiTheme="minorEastAsia" w:hint="eastAsia"/>
          <w:szCs w:val="21"/>
        </w:rPr>
        <w:t>）根据差错处理原则或当事人协商的方法由差错的责任方进行更正和赔偿损失；</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4</w:t>
      </w:r>
      <w:r w:rsidRPr="00501A61">
        <w:rPr>
          <w:rFonts w:asciiTheme="minorEastAsia" w:eastAsiaTheme="minorEastAsia" w:hAnsiTheme="minorEastAsia" w:hint="eastAsia"/>
          <w:szCs w:val="21"/>
        </w:rPr>
        <w:t>）根据差错处理的方法，需要修改基金注册登记机构的交易数据的，由基金注册登记机构进行更正，并就差错的更正向有关当事人进行确认；</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5</w:t>
      </w:r>
      <w:r w:rsidRPr="00501A61">
        <w:rPr>
          <w:rFonts w:asciiTheme="minorEastAsia" w:eastAsiaTheme="minorEastAsia" w:hAnsiTheme="minorEastAsia" w:hint="eastAsia"/>
          <w:szCs w:val="21"/>
        </w:rPr>
        <w:t>）基金管理人及基金托管人基金份额净值计算错误偏差达到基金份额净值的</w:t>
      </w:r>
      <w:r w:rsidRPr="00501A61">
        <w:rPr>
          <w:rFonts w:asciiTheme="minorEastAsia" w:eastAsiaTheme="minorEastAsia" w:hAnsiTheme="minorEastAsia"/>
          <w:szCs w:val="21"/>
        </w:rPr>
        <w:t>0.</w:t>
      </w:r>
      <w:r w:rsidRPr="00501A61">
        <w:rPr>
          <w:rFonts w:asciiTheme="minorEastAsia" w:eastAsiaTheme="minorEastAsia" w:hAnsiTheme="minorEastAsia" w:hint="eastAsia"/>
          <w:szCs w:val="21"/>
        </w:rPr>
        <w:t>2</w:t>
      </w:r>
      <w:r w:rsidRPr="00501A61">
        <w:rPr>
          <w:rFonts w:asciiTheme="minorEastAsia" w:eastAsiaTheme="minorEastAsia" w:hAnsiTheme="minorEastAsia"/>
          <w:szCs w:val="21"/>
        </w:rPr>
        <w:t>5%</w:t>
      </w:r>
      <w:r w:rsidRPr="00501A61">
        <w:rPr>
          <w:rFonts w:asciiTheme="minorEastAsia" w:eastAsiaTheme="minorEastAsia" w:hAnsiTheme="minorEastAsia" w:hint="eastAsia"/>
          <w:szCs w:val="21"/>
        </w:rPr>
        <w:t>时，基金管理人应当报告中国证监会；基金管理人及基金托管人基金份额净值计算错误偏差达到基金份额净值的</w:t>
      </w:r>
      <w:r w:rsidRPr="00501A61">
        <w:rPr>
          <w:rFonts w:asciiTheme="minorEastAsia" w:eastAsiaTheme="minorEastAsia" w:hAnsiTheme="minorEastAsia"/>
          <w:szCs w:val="21"/>
        </w:rPr>
        <w:t>0.5%</w:t>
      </w:r>
      <w:r w:rsidRPr="00501A61">
        <w:rPr>
          <w:rFonts w:asciiTheme="minorEastAsia" w:eastAsiaTheme="minorEastAsia" w:hAnsiTheme="minorEastAsia" w:hint="eastAsia"/>
          <w:szCs w:val="21"/>
        </w:rPr>
        <w:t>时，基金管理人应当公告并报中国证监会备案。</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38" w:name="_Toc45632250"/>
      <w:r w:rsidRPr="00501A61">
        <w:rPr>
          <w:rFonts w:asciiTheme="minorEastAsia" w:eastAsiaTheme="minorEastAsia" w:hAnsiTheme="minorEastAsia" w:hint="eastAsia"/>
          <w:b w:val="0"/>
        </w:rPr>
        <w:t>（八）特殊情形的处理</w:t>
      </w:r>
      <w:bookmarkEnd w:id="138"/>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基金管理人按估值方法的第6项进行估值时，所造成的误差不作为基金资产估值错误处理；</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E1094C" w:rsidRPr="00501A61" w:rsidRDefault="00E1094C" w:rsidP="00107648">
      <w:pPr>
        <w:snapToGrid w:val="0"/>
        <w:spacing w:line="360" w:lineRule="auto"/>
        <w:ind w:firstLine="480"/>
        <w:rPr>
          <w:rFonts w:asciiTheme="minorEastAsia" w:eastAsiaTheme="minorEastAsia" w:hAnsiTheme="minorEastAsia"/>
          <w:szCs w:val="21"/>
        </w:rPr>
        <w:sectPr w:rsidR="00E1094C" w:rsidRPr="00501A61" w:rsidSect="003920FC">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Cs/>
        </w:rPr>
      </w:pPr>
      <w:bookmarkStart w:id="139" w:name="_Toc45632251"/>
      <w:r w:rsidRPr="00501A61">
        <w:rPr>
          <w:rFonts w:asciiTheme="minorEastAsia" w:eastAsiaTheme="minorEastAsia" w:hAnsiTheme="minorEastAsia" w:hint="eastAsia"/>
          <w:b/>
          <w:bCs/>
        </w:rPr>
        <w:lastRenderedPageBreak/>
        <w:t>十五、基金的收益与分配</w:t>
      </w:r>
      <w:bookmarkEnd w:id="139"/>
    </w:p>
    <w:p w:rsidR="0002608C" w:rsidRPr="00501A61" w:rsidRDefault="0002608C" w:rsidP="00B61007">
      <w:pPr>
        <w:pStyle w:val="20"/>
        <w:snapToGrid w:val="0"/>
        <w:spacing w:beforeLines="0" w:afterLines="0" w:line="360" w:lineRule="auto"/>
        <w:ind w:firstLineChars="0" w:firstLine="0"/>
        <w:rPr>
          <w:rFonts w:asciiTheme="minorEastAsia" w:eastAsiaTheme="minorEastAsia" w:hAnsiTheme="minorEastAsia"/>
          <w:b w:val="0"/>
        </w:rPr>
      </w:pPr>
      <w:bookmarkStart w:id="140" w:name="_Toc84149664"/>
      <w:bookmarkStart w:id="141" w:name="_Toc86584639"/>
      <w:bookmarkStart w:id="142" w:name="_Toc45632252"/>
      <w:r w:rsidRPr="00501A61">
        <w:rPr>
          <w:rFonts w:asciiTheme="minorEastAsia" w:eastAsiaTheme="minorEastAsia" w:hAnsiTheme="minorEastAsia" w:hint="eastAsia"/>
          <w:b w:val="0"/>
        </w:rPr>
        <w:t>（一）收益的构成</w:t>
      </w:r>
      <w:bookmarkEnd w:id="140"/>
      <w:bookmarkEnd w:id="141"/>
      <w:bookmarkEnd w:id="142"/>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基金收益包括：基金投资所得红利、股息、债券利息、买卖证券差价、银行存款利息以及其他收入。因运用基金</w:t>
      </w:r>
      <w:r w:rsidRPr="00501A61">
        <w:rPr>
          <w:rFonts w:asciiTheme="minorEastAsia" w:eastAsiaTheme="minorEastAsia" w:hAnsiTheme="minorEastAsia" w:hint="eastAsia"/>
        </w:rPr>
        <w:t>资</w:t>
      </w:r>
      <w:r w:rsidRPr="00501A61">
        <w:rPr>
          <w:rFonts w:asciiTheme="minorEastAsia" w:eastAsiaTheme="minorEastAsia" w:hAnsiTheme="minorEastAsia" w:hint="eastAsia"/>
          <w:szCs w:val="21"/>
        </w:rPr>
        <w:t>产带来的成本或费用的节约计入收益。</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基金净收益为基金收益扣除按照有关规定可以在基金收益中扣除的费用等项目后的余额。</w:t>
      </w:r>
    </w:p>
    <w:p w:rsidR="0002608C" w:rsidRPr="00501A61" w:rsidRDefault="0002608C" w:rsidP="00B61007">
      <w:pPr>
        <w:pStyle w:val="20"/>
        <w:snapToGrid w:val="0"/>
        <w:spacing w:beforeLines="0" w:afterLines="0" w:line="360" w:lineRule="auto"/>
        <w:ind w:firstLineChars="0" w:firstLine="0"/>
        <w:rPr>
          <w:rFonts w:asciiTheme="minorEastAsia" w:eastAsiaTheme="minorEastAsia" w:hAnsiTheme="minorEastAsia"/>
          <w:b w:val="0"/>
        </w:rPr>
      </w:pPr>
      <w:bookmarkStart w:id="143" w:name="_Toc84149665"/>
      <w:bookmarkStart w:id="144" w:name="_Toc86584640"/>
      <w:bookmarkStart w:id="145" w:name="_Toc45632253"/>
      <w:r w:rsidRPr="00501A61">
        <w:rPr>
          <w:rFonts w:asciiTheme="minorEastAsia" w:eastAsiaTheme="minorEastAsia" w:hAnsiTheme="minorEastAsia" w:hint="eastAsia"/>
          <w:b w:val="0"/>
        </w:rPr>
        <w:t>（二）收益分配原则</w:t>
      </w:r>
      <w:bookmarkEnd w:id="143"/>
      <w:bookmarkEnd w:id="144"/>
      <w:bookmarkEnd w:id="145"/>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在符合有关基金分红条件的前提下，本基金每年收益分配次数最少一次，最多为六次，全年分配比例不得低于年度可供分配收益的50%，若基金合同生效不满3个月可不进行收益分配；</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本基金收益分配方式分两种：现金分红与红利再投资，投资人可选择现金红利或将现金红利按红利发放日前一工作日的基金份额净值自动转为基金份额进行再投资；若投资者不选择，本基金默认的收益分配方式是现金分红；</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3、</w:t>
      </w:r>
      <w:r w:rsidR="0002608C" w:rsidRPr="00501A61">
        <w:rPr>
          <w:rFonts w:asciiTheme="minorEastAsia" w:eastAsiaTheme="minorEastAsia" w:hAnsiTheme="minorEastAsia" w:hint="eastAsia"/>
          <w:szCs w:val="21"/>
        </w:rPr>
        <w:t>基金投资当期出现净亏损，则不进行收益分配；</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4、</w:t>
      </w:r>
      <w:r w:rsidR="0002608C" w:rsidRPr="00501A61">
        <w:rPr>
          <w:rFonts w:asciiTheme="minorEastAsia" w:eastAsiaTheme="minorEastAsia" w:hAnsiTheme="minorEastAsia" w:hint="eastAsia"/>
          <w:szCs w:val="21"/>
        </w:rPr>
        <w:t>基金当年收益应先弥补上一年度亏损后，才可进行当年收益分配；</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5、</w:t>
      </w:r>
      <w:r w:rsidR="0002608C" w:rsidRPr="00501A61">
        <w:rPr>
          <w:rFonts w:asciiTheme="minorEastAsia" w:eastAsiaTheme="minorEastAsia" w:hAnsiTheme="minorEastAsia" w:hint="eastAsia"/>
          <w:szCs w:val="21"/>
        </w:rPr>
        <w:t>基金收益分配后基金份额净值不能低于面值；</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6、</w:t>
      </w:r>
      <w:r w:rsidR="0002608C" w:rsidRPr="00501A61">
        <w:rPr>
          <w:rFonts w:asciiTheme="minorEastAsia" w:eastAsiaTheme="minorEastAsia" w:hAnsiTheme="minorEastAsia" w:hint="eastAsia"/>
          <w:szCs w:val="21"/>
        </w:rPr>
        <w:t>每一基金份额享有同等分配权；</w:t>
      </w:r>
    </w:p>
    <w:p w:rsidR="0002608C" w:rsidRPr="00501A61" w:rsidRDefault="00CE2F50"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7、</w:t>
      </w:r>
      <w:r w:rsidR="0002608C" w:rsidRPr="00501A61">
        <w:rPr>
          <w:rFonts w:asciiTheme="minorEastAsia" w:eastAsiaTheme="minorEastAsia" w:hAnsiTheme="minorEastAsia" w:hint="eastAsia"/>
          <w:szCs w:val="21"/>
        </w:rPr>
        <w:t>法律法规或监管机关另有规定的，从其规定。</w:t>
      </w:r>
    </w:p>
    <w:p w:rsidR="0002608C" w:rsidRPr="00501A61" w:rsidRDefault="0002608C" w:rsidP="00B61007">
      <w:pPr>
        <w:pStyle w:val="20"/>
        <w:snapToGrid w:val="0"/>
        <w:spacing w:beforeLines="0" w:afterLines="0" w:line="360" w:lineRule="auto"/>
        <w:ind w:firstLineChars="0" w:firstLine="0"/>
        <w:rPr>
          <w:rFonts w:asciiTheme="minorEastAsia" w:eastAsiaTheme="minorEastAsia" w:hAnsiTheme="minorEastAsia"/>
          <w:b w:val="0"/>
        </w:rPr>
      </w:pPr>
      <w:bookmarkStart w:id="146" w:name="_Toc84149666"/>
      <w:bookmarkStart w:id="147" w:name="_Toc86584642"/>
      <w:bookmarkStart w:id="148" w:name="_Toc45632254"/>
      <w:r w:rsidRPr="00501A61">
        <w:rPr>
          <w:rFonts w:asciiTheme="minorEastAsia" w:eastAsiaTheme="minorEastAsia" w:hAnsiTheme="minorEastAsia" w:hint="eastAsia"/>
          <w:b w:val="0"/>
        </w:rPr>
        <w:t>（三）收益分配方案的确定与公告</w:t>
      </w:r>
      <w:bookmarkEnd w:id="146"/>
      <w:bookmarkEnd w:id="147"/>
      <w:bookmarkEnd w:id="148"/>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本基金收益分配方案由基金管理人拟定，并由基金托管人复核，</w:t>
      </w:r>
      <w:r w:rsidR="00DE5F25" w:rsidRPr="00501A61">
        <w:rPr>
          <w:rFonts w:asciiTheme="minorEastAsia" w:eastAsiaTheme="minorEastAsia" w:hAnsiTheme="minorEastAsia" w:hint="eastAsia"/>
          <w:szCs w:val="21"/>
        </w:rPr>
        <w:t>在2日内在指定媒介公告。</w:t>
      </w:r>
    </w:p>
    <w:p w:rsidR="0002608C" w:rsidRPr="00501A61" w:rsidRDefault="0002608C" w:rsidP="00B61007">
      <w:pPr>
        <w:pStyle w:val="20"/>
        <w:snapToGrid w:val="0"/>
        <w:spacing w:beforeLines="0" w:afterLines="0" w:line="360" w:lineRule="auto"/>
        <w:ind w:firstLineChars="0" w:firstLine="0"/>
        <w:rPr>
          <w:rFonts w:asciiTheme="minorEastAsia" w:eastAsiaTheme="minorEastAsia" w:hAnsiTheme="minorEastAsia"/>
          <w:b w:val="0"/>
        </w:rPr>
      </w:pPr>
      <w:bookmarkStart w:id="149" w:name="_Toc84149667"/>
      <w:bookmarkStart w:id="150" w:name="_Toc86584643"/>
      <w:bookmarkStart w:id="151" w:name="_Toc45632255"/>
      <w:r w:rsidRPr="00501A61">
        <w:rPr>
          <w:rFonts w:asciiTheme="minorEastAsia" w:eastAsiaTheme="minorEastAsia" w:hAnsiTheme="minorEastAsia" w:hint="eastAsia"/>
          <w:b w:val="0"/>
        </w:rPr>
        <w:t>（四）</w:t>
      </w:r>
      <w:r w:rsidRPr="00501A61">
        <w:rPr>
          <w:rFonts w:asciiTheme="minorEastAsia" w:eastAsiaTheme="minorEastAsia" w:hAnsiTheme="minorEastAsia"/>
          <w:b w:val="0"/>
        </w:rPr>
        <w:t>收益分配中发生的费用</w:t>
      </w:r>
      <w:bookmarkEnd w:id="149"/>
      <w:bookmarkEnd w:id="150"/>
      <w:bookmarkEnd w:id="151"/>
    </w:p>
    <w:p w:rsidR="00E1094C" w:rsidRPr="00501A61" w:rsidRDefault="0002608C" w:rsidP="00107648">
      <w:pPr>
        <w:snapToGrid w:val="0"/>
        <w:spacing w:line="360" w:lineRule="auto"/>
        <w:ind w:firstLine="420"/>
        <w:rPr>
          <w:rFonts w:asciiTheme="minorEastAsia" w:eastAsiaTheme="minorEastAsia" w:hAnsiTheme="minorEastAsia"/>
          <w:szCs w:val="21"/>
        </w:rPr>
        <w:sectPr w:rsidR="00E1094C" w:rsidRPr="00501A61" w:rsidSect="003920FC">
          <w:pgSz w:w="11906" w:h="16838" w:code="9"/>
          <w:pgMar w:top="1440" w:right="1800" w:bottom="1440" w:left="1800" w:header="851" w:footer="992" w:gutter="0"/>
          <w:cols w:space="425"/>
          <w:docGrid w:type="lines" w:linePitch="312"/>
        </w:sectPr>
      </w:pPr>
      <w:r w:rsidRPr="00501A61">
        <w:rPr>
          <w:rFonts w:asciiTheme="minorEastAsia" w:eastAsiaTheme="minorEastAsia" w:hAnsiTheme="minorEastAsia" w:hint="eastAsia"/>
          <w:szCs w:val="21"/>
        </w:rPr>
        <w:t>红利分配时所发生的银行转账或其他手续费用由投资者自行承担。当投资者的现金红利小于一定金额，不足于支付银行转账或其他手续费用时，基金注册登记机构可将投资者的现金红利按红利发放日前一工作日的基金份额净值自动转为基金份额。红利再投资的计算方法，依照业务规则执行。</w:t>
      </w: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Cs/>
        </w:rPr>
      </w:pPr>
      <w:bookmarkStart w:id="152" w:name="_Toc45632256"/>
      <w:r w:rsidRPr="00501A61">
        <w:rPr>
          <w:rFonts w:asciiTheme="minorEastAsia" w:eastAsiaTheme="minorEastAsia" w:hAnsiTheme="minorEastAsia" w:hint="eastAsia"/>
          <w:b/>
          <w:bCs/>
        </w:rPr>
        <w:lastRenderedPageBreak/>
        <w:t>十六、基金的费用与税收</w:t>
      </w:r>
      <w:bookmarkEnd w:id="152"/>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53" w:name="_Toc84149669"/>
      <w:bookmarkStart w:id="154" w:name="_Toc86584633"/>
      <w:bookmarkStart w:id="155" w:name="_Toc45632257"/>
      <w:r w:rsidRPr="00501A61">
        <w:rPr>
          <w:rFonts w:asciiTheme="minorEastAsia" w:eastAsiaTheme="minorEastAsia" w:hAnsiTheme="minorEastAsia" w:hint="eastAsia"/>
          <w:b w:val="0"/>
        </w:rPr>
        <w:t>（一）与基金运作相关的费用</w:t>
      </w:r>
      <w:bookmarkEnd w:id="153"/>
      <w:bookmarkEnd w:id="154"/>
      <w:bookmarkEnd w:id="155"/>
    </w:p>
    <w:p w:rsidR="0002608C" w:rsidRPr="00501A61" w:rsidRDefault="00CE2F50" w:rsidP="00107648">
      <w:pPr>
        <w:autoSpaceDE w:val="0"/>
        <w:autoSpaceDN w:val="0"/>
        <w:snapToGrid w:val="0"/>
        <w:spacing w:line="360" w:lineRule="auto"/>
        <w:ind w:firstLineChars="200" w:firstLine="422"/>
        <w:jc w:val="left"/>
        <w:rPr>
          <w:rFonts w:asciiTheme="minorEastAsia" w:eastAsiaTheme="minorEastAsia" w:hAnsiTheme="minorEastAsia" w:cs="Arial"/>
          <w:b/>
          <w:kern w:val="0"/>
          <w:szCs w:val="21"/>
        </w:rPr>
      </w:pPr>
      <w:r w:rsidRPr="00501A61">
        <w:rPr>
          <w:rFonts w:asciiTheme="minorEastAsia" w:eastAsiaTheme="minorEastAsia" w:hAnsiTheme="minorEastAsia" w:cs="Arial" w:hint="eastAsia"/>
          <w:b/>
          <w:kern w:val="0"/>
          <w:szCs w:val="21"/>
        </w:rPr>
        <w:t>1、</w:t>
      </w:r>
      <w:r w:rsidR="0002608C" w:rsidRPr="00501A61">
        <w:rPr>
          <w:rFonts w:asciiTheme="minorEastAsia" w:eastAsiaTheme="minorEastAsia" w:hAnsiTheme="minorEastAsia" w:cs="Arial" w:hint="eastAsia"/>
          <w:b/>
          <w:kern w:val="0"/>
          <w:szCs w:val="21"/>
        </w:rPr>
        <w:t>基金费用的种类</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cs="Arial"/>
          <w:kern w:val="0"/>
          <w:szCs w:val="21"/>
        </w:rPr>
      </w:pPr>
      <w:r w:rsidRPr="00501A61">
        <w:rPr>
          <w:rFonts w:asciiTheme="minorEastAsia" w:eastAsiaTheme="minorEastAsia" w:hAnsiTheme="minorEastAsia" w:cs="Arial" w:hint="eastAsia"/>
          <w:kern w:val="0"/>
          <w:szCs w:val="21"/>
        </w:rPr>
        <w:t>（1）基金管理人的管理费；</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cs="Arial"/>
          <w:kern w:val="0"/>
          <w:szCs w:val="21"/>
        </w:rPr>
      </w:pPr>
      <w:r w:rsidRPr="00501A61">
        <w:rPr>
          <w:rFonts w:asciiTheme="minorEastAsia" w:eastAsiaTheme="minorEastAsia" w:hAnsiTheme="minorEastAsia" w:cs="Arial" w:hint="eastAsia"/>
          <w:kern w:val="0"/>
          <w:szCs w:val="21"/>
        </w:rPr>
        <w:t>（2）基金托管人的托管费；</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cs="Arial"/>
          <w:kern w:val="0"/>
          <w:szCs w:val="21"/>
        </w:rPr>
      </w:pPr>
      <w:r w:rsidRPr="00501A61">
        <w:rPr>
          <w:rFonts w:asciiTheme="minorEastAsia" w:eastAsiaTheme="minorEastAsia" w:hAnsiTheme="minorEastAsia" w:cs="Arial" w:hint="eastAsia"/>
          <w:kern w:val="0"/>
          <w:szCs w:val="21"/>
        </w:rPr>
        <w:t>（3）基金合同生效后的信息披露费用；</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cs="Arial"/>
          <w:kern w:val="0"/>
          <w:szCs w:val="21"/>
        </w:rPr>
      </w:pPr>
      <w:r w:rsidRPr="00501A61">
        <w:rPr>
          <w:rFonts w:asciiTheme="minorEastAsia" w:eastAsiaTheme="minorEastAsia" w:hAnsiTheme="minorEastAsia" w:cs="Arial" w:hint="eastAsia"/>
          <w:kern w:val="0"/>
          <w:szCs w:val="21"/>
        </w:rPr>
        <w:t>（4）基金合同生效后的与基金相关的会计师费和律师费；</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cs="Arial"/>
          <w:kern w:val="0"/>
          <w:szCs w:val="21"/>
        </w:rPr>
      </w:pPr>
      <w:r w:rsidRPr="00501A61">
        <w:rPr>
          <w:rFonts w:asciiTheme="minorEastAsia" w:eastAsiaTheme="minorEastAsia" w:hAnsiTheme="minorEastAsia" w:cs="Arial" w:hint="eastAsia"/>
          <w:kern w:val="0"/>
          <w:szCs w:val="21"/>
        </w:rPr>
        <w:t>（5）基金份额持有人大会费用；</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cs="Arial"/>
          <w:kern w:val="0"/>
          <w:szCs w:val="21"/>
        </w:rPr>
      </w:pPr>
      <w:r w:rsidRPr="00501A61">
        <w:rPr>
          <w:rFonts w:asciiTheme="minorEastAsia" w:eastAsiaTheme="minorEastAsia" w:hAnsiTheme="minorEastAsia" w:cs="Arial" w:hint="eastAsia"/>
          <w:kern w:val="0"/>
          <w:szCs w:val="21"/>
        </w:rPr>
        <w:t>（6）基金的证券交易费用；</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cs="Arial"/>
          <w:kern w:val="0"/>
          <w:szCs w:val="21"/>
        </w:rPr>
      </w:pPr>
      <w:r w:rsidRPr="00501A61">
        <w:rPr>
          <w:rFonts w:asciiTheme="minorEastAsia" w:eastAsiaTheme="minorEastAsia" w:hAnsiTheme="minorEastAsia" w:cs="Arial" w:hint="eastAsia"/>
          <w:kern w:val="0"/>
          <w:szCs w:val="21"/>
        </w:rPr>
        <w:t>（7）银行汇划费用；</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cs="Arial"/>
          <w:kern w:val="0"/>
          <w:szCs w:val="21"/>
        </w:rPr>
      </w:pPr>
      <w:r w:rsidRPr="00501A61">
        <w:rPr>
          <w:rFonts w:asciiTheme="minorEastAsia" w:eastAsiaTheme="minorEastAsia" w:hAnsiTheme="minorEastAsia" w:cs="Arial" w:hint="eastAsia"/>
          <w:kern w:val="0"/>
          <w:szCs w:val="21"/>
        </w:rPr>
        <w:t>（8）按照国家有关规定和《基金合同》约定可以在基金财产中列支的其他费用。</w:t>
      </w:r>
    </w:p>
    <w:p w:rsidR="0002608C" w:rsidRPr="00501A61" w:rsidRDefault="0002608C" w:rsidP="00107648">
      <w:pPr>
        <w:autoSpaceDE w:val="0"/>
        <w:autoSpaceDN w:val="0"/>
        <w:snapToGrid w:val="0"/>
        <w:spacing w:line="360" w:lineRule="auto"/>
        <w:ind w:firstLineChars="200" w:firstLine="420"/>
        <w:jc w:val="left"/>
        <w:rPr>
          <w:rFonts w:asciiTheme="minorEastAsia" w:eastAsiaTheme="minorEastAsia" w:hAnsiTheme="minorEastAsia" w:cs="Arial"/>
          <w:kern w:val="0"/>
          <w:szCs w:val="21"/>
        </w:rPr>
      </w:pPr>
      <w:r w:rsidRPr="00501A61">
        <w:rPr>
          <w:rFonts w:asciiTheme="minorEastAsia" w:eastAsiaTheme="minorEastAsia" w:hAnsiTheme="minorEastAsia" w:cs="Arial" w:hint="eastAsia"/>
          <w:kern w:val="0"/>
          <w:szCs w:val="21"/>
        </w:rPr>
        <w:t>本基金终止清算时所发生费用，按实际支出额从基金财产总值中扣除。</w:t>
      </w:r>
    </w:p>
    <w:p w:rsidR="0002608C" w:rsidRPr="00501A61" w:rsidRDefault="00CE2F50" w:rsidP="00107648">
      <w:pPr>
        <w:autoSpaceDE w:val="0"/>
        <w:autoSpaceDN w:val="0"/>
        <w:snapToGrid w:val="0"/>
        <w:spacing w:line="360" w:lineRule="auto"/>
        <w:ind w:firstLineChars="200" w:firstLine="422"/>
        <w:jc w:val="left"/>
        <w:rPr>
          <w:rFonts w:asciiTheme="minorEastAsia" w:eastAsiaTheme="minorEastAsia" w:hAnsiTheme="minorEastAsia" w:cs="Arial"/>
          <w:b/>
          <w:kern w:val="0"/>
          <w:szCs w:val="21"/>
        </w:rPr>
      </w:pPr>
      <w:r w:rsidRPr="00501A61">
        <w:rPr>
          <w:rFonts w:asciiTheme="minorEastAsia" w:eastAsiaTheme="minorEastAsia" w:hAnsiTheme="minorEastAsia" w:cs="Arial" w:hint="eastAsia"/>
          <w:b/>
          <w:kern w:val="0"/>
          <w:szCs w:val="21"/>
        </w:rPr>
        <w:t>2、</w:t>
      </w:r>
      <w:r w:rsidR="0002608C" w:rsidRPr="00501A61">
        <w:rPr>
          <w:rFonts w:asciiTheme="minorEastAsia" w:eastAsiaTheme="minorEastAsia" w:hAnsiTheme="minorEastAsia" w:cs="Arial" w:hint="eastAsia"/>
          <w:b/>
          <w:kern w:val="0"/>
          <w:szCs w:val="21"/>
        </w:rPr>
        <w:t>基金费用计提方法、计提标准和支付方式</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（1）基金管理人的管理费</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w:t>
      </w:r>
      <w:r w:rsidRPr="00501A61">
        <w:rPr>
          <w:rFonts w:asciiTheme="minorEastAsia" w:eastAsiaTheme="minorEastAsia" w:hAnsiTheme="minorEastAsia"/>
          <w:szCs w:val="21"/>
        </w:rPr>
        <w:t>的管理费</w:t>
      </w:r>
      <w:r w:rsidRPr="00501A61">
        <w:rPr>
          <w:rFonts w:asciiTheme="minorEastAsia" w:eastAsiaTheme="minorEastAsia" w:hAnsiTheme="minorEastAsia" w:hint="eastAsia"/>
          <w:szCs w:val="21"/>
        </w:rPr>
        <w:t>按前一日</w:t>
      </w:r>
      <w:r w:rsidRPr="00501A61">
        <w:rPr>
          <w:rFonts w:asciiTheme="minorEastAsia" w:eastAsiaTheme="minorEastAsia" w:hAnsiTheme="minorEastAsia"/>
          <w:szCs w:val="21"/>
        </w:rPr>
        <w:t>基金资产净值的</w:t>
      </w:r>
      <w:r w:rsidRPr="00501A61">
        <w:rPr>
          <w:rFonts w:asciiTheme="minorEastAsia" w:eastAsiaTheme="minorEastAsia" w:hAnsiTheme="minorEastAsia" w:hint="eastAsia"/>
          <w:szCs w:val="21"/>
        </w:rPr>
        <w:t>1.5</w:t>
      </w:r>
      <w:r w:rsidRPr="00501A61">
        <w:rPr>
          <w:rFonts w:asciiTheme="minorEastAsia" w:eastAsiaTheme="minorEastAsia" w:hAnsiTheme="minorEastAsia"/>
          <w:szCs w:val="21"/>
        </w:rPr>
        <w:t>%年费率计提。</w:t>
      </w:r>
      <w:r w:rsidRPr="00501A61">
        <w:rPr>
          <w:rFonts w:asciiTheme="minorEastAsia" w:eastAsiaTheme="minorEastAsia" w:hAnsiTheme="minorEastAsia" w:hint="eastAsia"/>
          <w:szCs w:val="21"/>
        </w:rPr>
        <w:t>管理费的</w:t>
      </w:r>
      <w:r w:rsidRPr="00501A61">
        <w:rPr>
          <w:rFonts w:asciiTheme="minorEastAsia" w:eastAsiaTheme="minorEastAsia" w:hAnsiTheme="minorEastAsia"/>
          <w:szCs w:val="21"/>
        </w:rPr>
        <w:t>计算方法如下：</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H＝E×</w:t>
      </w:r>
      <w:r w:rsidRPr="00501A61">
        <w:rPr>
          <w:rFonts w:asciiTheme="minorEastAsia" w:eastAsiaTheme="minorEastAsia" w:hAnsiTheme="minorEastAsia" w:hint="eastAsia"/>
          <w:szCs w:val="21"/>
        </w:rPr>
        <w:t>1.5</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当年天数</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H为每日应</w:t>
      </w:r>
      <w:r w:rsidRPr="00501A61">
        <w:rPr>
          <w:rFonts w:asciiTheme="minorEastAsia" w:eastAsiaTheme="minorEastAsia" w:hAnsiTheme="minorEastAsia" w:hint="eastAsia"/>
          <w:szCs w:val="21"/>
        </w:rPr>
        <w:t>计提</w:t>
      </w:r>
      <w:r w:rsidRPr="00501A61">
        <w:rPr>
          <w:rFonts w:asciiTheme="minorEastAsia" w:eastAsiaTheme="minorEastAsia" w:hAnsiTheme="minorEastAsia"/>
          <w:szCs w:val="21"/>
        </w:rPr>
        <w:t>的基金管理费</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E</w:t>
      </w:r>
      <w:r w:rsidRPr="00501A61">
        <w:rPr>
          <w:rFonts w:asciiTheme="minorEastAsia" w:eastAsiaTheme="minorEastAsia" w:hAnsiTheme="minorEastAsia"/>
          <w:szCs w:val="21"/>
        </w:rPr>
        <w:t>为前一日的基金资产净值</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基金管理费每日计算</w:t>
      </w:r>
      <w:r w:rsidRPr="00501A61">
        <w:rPr>
          <w:rFonts w:asciiTheme="minorEastAsia" w:eastAsiaTheme="minorEastAsia" w:hAnsiTheme="minorEastAsia" w:hint="eastAsia"/>
          <w:szCs w:val="21"/>
        </w:rPr>
        <w:t>，逐日累计至每月月末，</w:t>
      </w:r>
      <w:r w:rsidRPr="00501A61">
        <w:rPr>
          <w:rFonts w:asciiTheme="minorEastAsia" w:eastAsiaTheme="minorEastAsia" w:hAnsiTheme="minorEastAsia"/>
          <w:szCs w:val="21"/>
        </w:rPr>
        <w:t>按月支付</w:t>
      </w:r>
      <w:r w:rsidRPr="00501A61">
        <w:rPr>
          <w:rFonts w:asciiTheme="minorEastAsia" w:eastAsiaTheme="minorEastAsia" w:hAnsiTheme="minorEastAsia" w:hint="eastAsia"/>
          <w:szCs w:val="21"/>
        </w:rPr>
        <w:t>，由基金管理人向基金托管人发送基金管理费划款指令，</w:t>
      </w:r>
      <w:r w:rsidRPr="00501A61">
        <w:rPr>
          <w:rFonts w:asciiTheme="minorEastAsia" w:eastAsiaTheme="minorEastAsia" w:hAnsiTheme="minorEastAsia"/>
          <w:szCs w:val="21"/>
        </w:rPr>
        <w:t>基金托管人</w:t>
      </w:r>
      <w:r w:rsidRPr="00501A61">
        <w:rPr>
          <w:rFonts w:asciiTheme="minorEastAsia" w:eastAsiaTheme="minorEastAsia" w:hAnsiTheme="minorEastAsia" w:hint="eastAsia"/>
          <w:szCs w:val="21"/>
        </w:rPr>
        <w:t>复核后</w:t>
      </w:r>
      <w:r w:rsidRPr="00501A61">
        <w:rPr>
          <w:rFonts w:asciiTheme="minorEastAsia" w:eastAsiaTheme="minorEastAsia" w:hAnsiTheme="minorEastAsia"/>
          <w:szCs w:val="21"/>
        </w:rPr>
        <w:t>于次月前</w:t>
      </w:r>
      <w:r w:rsidRPr="00501A61">
        <w:rPr>
          <w:rFonts w:asciiTheme="minorEastAsia" w:eastAsiaTheme="minorEastAsia" w:hAnsiTheme="minorEastAsia" w:hint="eastAsia"/>
          <w:szCs w:val="21"/>
        </w:rPr>
        <w:t>2</w:t>
      </w:r>
      <w:r w:rsidRPr="00501A61">
        <w:rPr>
          <w:rFonts w:asciiTheme="minorEastAsia" w:eastAsiaTheme="minorEastAsia" w:hAnsiTheme="minorEastAsia"/>
          <w:szCs w:val="21"/>
        </w:rPr>
        <w:t>个工作日内从基金</w:t>
      </w:r>
      <w:r w:rsidRPr="00501A61">
        <w:rPr>
          <w:rFonts w:asciiTheme="minorEastAsia" w:eastAsiaTheme="minorEastAsia" w:hAnsiTheme="minorEastAsia" w:hint="eastAsia"/>
          <w:szCs w:val="21"/>
        </w:rPr>
        <w:t>财产</w:t>
      </w:r>
      <w:r w:rsidRPr="00501A61">
        <w:rPr>
          <w:rFonts w:asciiTheme="minorEastAsia" w:eastAsiaTheme="minorEastAsia" w:hAnsiTheme="minorEastAsia"/>
          <w:szCs w:val="21"/>
        </w:rPr>
        <w:t>中一次性支付给基金管理人</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若遇法定节假日、</w:t>
      </w:r>
      <w:r w:rsidRPr="00501A61">
        <w:rPr>
          <w:rFonts w:asciiTheme="minorEastAsia" w:eastAsiaTheme="minorEastAsia" w:hAnsiTheme="minorEastAsia" w:hint="eastAsia"/>
          <w:szCs w:val="21"/>
        </w:rPr>
        <w:t>公休假</w:t>
      </w:r>
      <w:r w:rsidRPr="00501A61">
        <w:rPr>
          <w:rFonts w:asciiTheme="minorEastAsia" w:eastAsiaTheme="minorEastAsia" w:hAnsiTheme="minorEastAsia"/>
          <w:szCs w:val="21"/>
        </w:rPr>
        <w:t>等,支付日期顺延。</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（2）基金托管人的托管费</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w:t>
      </w:r>
      <w:r w:rsidRPr="00501A61">
        <w:rPr>
          <w:rFonts w:asciiTheme="minorEastAsia" w:eastAsiaTheme="minorEastAsia" w:hAnsiTheme="minorEastAsia"/>
          <w:szCs w:val="21"/>
        </w:rPr>
        <w:t>基金的托管费按</w:t>
      </w:r>
      <w:r w:rsidRPr="00501A61">
        <w:rPr>
          <w:rFonts w:asciiTheme="minorEastAsia" w:eastAsiaTheme="minorEastAsia" w:hAnsiTheme="minorEastAsia" w:hint="eastAsia"/>
          <w:szCs w:val="21"/>
        </w:rPr>
        <w:t>前一日</w:t>
      </w:r>
      <w:r w:rsidRPr="00501A61">
        <w:rPr>
          <w:rFonts w:asciiTheme="minorEastAsia" w:eastAsiaTheme="minorEastAsia" w:hAnsiTheme="minorEastAsia"/>
          <w:szCs w:val="21"/>
        </w:rPr>
        <w:t>基金资产净值的2.5‰的年费率计提。</w:t>
      </w:r>
      <w:r w:rsidRPr="00501A61">
        <w:rPr>
          <w:rFonts w:asciiTheme="minorEastAsia" w:eastAsiaTheme="minorEastAsia" w:hAnsiTheme="minorEastAsia" w:hint="eastAsia"/>
          <w:szCs w:val="21"/>
        </w:rPr>
        <w:t>托管费的</w:t>
      </w:r>
      <w:r w:rsidRPr="00501A61">
        <w:rPr>
          <w:rFonts w:asciiTheme="minorEastAsia" w:eastAsiaTheme="minorEastAsia" w:hAnsiTheme="minorEastAsia"/>
          <w:szCs w:val="21"/>
        </w:rPr>
        <w:t>计算方法如下：</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H＝E×2.5‰</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当年天数</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H为每日应</w:t>
      </w:r>
      <w:r w:rsidRPr="00501A61">
        <w:rPr>
          <w:rFonts w:asciiTheme="minorEastAsia" w:eastAsiaTheme="minorEastAsia" w:hAnsiTheme="minorEastAsia" w:hint="eastAsia"/>
          <w:szCs w:val="21"/>
        </w:rPr>
        <w:t>计提</w:t>
      </w:r>
      <w:r w:rsidRPr="00501A61">
        <w:rPr>
          <w:rFonts w:asciiTheme="minorEastAsia" w:eastAsiaTheme="minorEastAsia" w:hAnsiTheme="minorEastAsia"/>
          <w:szCs w:val="21"/>
        </w:rPr>
        <w:t>的基金托管费</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E为前一日的基金资产净值</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基金托管费每日计算</w:t>
      </w:r>
      <w:r w:rsidRPr="00501A61">
        <w:rPr>
          <w:rFonts w:asciiTheme="minorEastAsia" w:eastAsiaTheme="minorEastAsia" w:hAnsiTheme="minorEastAsia" w:hint="eastAsia"/>
          <w:szCs w:val="21"/>
        </w:rPr>
        <w:t>，逐日累计至每月月末，</w:t>
      </w:r>
      <w:r w:rsidRPr="00501A61">
        <w:rPr>
          <w:rFonts w:asciiTheme="minorEastAsia" w:eastAsiaTheme="minorEastAsia" w:hAnsiTheme="minorEastAsia"/>
          <w:szCs w:val="21"/>
        </w:rPr>
        <w:t>按月支付</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由</w:t>
      </w:r>
      <w:r w:rsidRPr="00501A61">
        <w:rPr>
          <w:rFonts w:asciiTheme="minorEastAsia" w:eastAsiaTheme="minorEastAsia" w:hAnsiTheme="minorEastAsia" w:hint="eastAsia"/>
          <w:szCs w:val="21"/>
        </w:rPr>
        <w:t>基金管理人向基金托管人发送基金托管费划款指令，</w:t>
      </w:r>
      <w:r w:rsidRPr="00501A61">
        <w:rPr>
          <w:rFonts w:asciiTheme="minorEastAsia" w:eastAsiaTheme="minorEastAsia" w:hAnsiTheme="minorEastAsia"/>
          <w:szCs w:val="21"/>
        </w:rPr>
        <w:t>基金托管人</w:t>
      </w:r>
      <w:r w:rsidRPr="00501A61">
        <w:rPr>
          <w:rFonts w:asciiTheme="minorEastAsia" w:eastAsiaTheme="minorEastAsia" w:hAnsiTheme="minorEastAsia" w:hint="eastAsia"/>
          <w:szCs w:val="21"/>
        </w:rPr>
        <w:t>复核后</w:t>
      </w:r>
      <w:r w:rsidRPr="00501A61">
        <w:rPr>
          <w:rFonts w:asciiTheme="minorEastAsia" w:eastAsiaTheme="minorEastAsia" w:hAnsiTheme="minorEastAsia"/>
          <w:szCs w:val="21"/>
        </w:rPr>
        <w:t>于次月前</w:t>
      </w:r>
      <w:r w:rsidRPr="00501A61">
        <w:rPr>
          <w:rFonts w:asciiTheme="minorEastAsia" w:eastAsiaTheme="minorEastAsia" w:hAnsiTheme="minorEastAsia" w:hint="eastAsia"/>
          <w:szCs w:val="21"/>
        </w:rPr>
        <w:t>2</w:t>
      </w:r>
      <w:r w:rsidRPr="00501A61">
        <w:rPr>
          <w:rFonts w:asciiTheme="minorEastAsia" w:eastAsiaTheme="minorEastAsia" w:hAnsiTheme="minorEastAsia"/>
          <w:szCs w:val="21"/>
        </w:rPr>
        <w:t>个工作日内从基金财产中一次性支取</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若遇法定节假日、</w:t>
      </w:r>
      <w:r w:rsidRPr="00501A61">
        <w:rPr>
          <w:rFonts w:asciiTheme="minorEastAsia" w:eastAsiaTheme="minorEastAsia" w:hAnsiTheme="minorEastAsia" w:hint="eastAsia"/>
          <w:szCs w:val="21"/>
        </w:rPr>
        <w:t>公休日</w:t>
      </w:r>
      <w:r w:rsidRPr="00501A61">
        <w:rPr>
          <w:rFonts w:asciiTheme="minorEastAsia" w:eastAsiaTheme="minorEastAsia" w:hAnsiTheme="minorEastAsia"/>
          <w:szCs w:val="21"/>
        </w:rPr>
        <w:t>等,支付日期顺延。</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szCs w:val="21"/>
        </w:rPr>
        <w:t>上述一</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基金费用</w:t>
      </w:r>
      <w:r w:rsidRPr="00501A61">
        <w:rPr>
          <w:rFonts w:asciiTheme="minorEastAsia" w:eastAsiaTheme="minorEastAsia" w:hAnsiTheme="minorEastAsia" w:hint="eastAsia"/>
          <w:szCs w:val="21"/>
        </w:rPr>
        <w:t>的种类</w:t>
      </w:r>
      <w:r w:rsidRPr="00501A61">
        <w:rPr>
          <w:rFonts w:asciiTheme="minorEastAsia" w:eastAsiaTheme="minorEastAsia" w:hAnsiTheme="minorEastAsia"/>
          <w:szCs w:val="21"/>
        </w:rPr>
        <w:t>中第</w:t>
      </w:r>
      <w:r w:rsidRPr="00501A61">
        <w:rPr>
          <w:rFonts w:asciiTheme="minorEastAsia" w:eastAsiaTheme="minorEastAsia" w:hAnsiTheme="minorEastAsia" w:hint="eastAsia"/>
          <w:szCs w:val="21"/>
        </w:rPr>
        <w:t>3－8</w:t>
      </w:r>
      <w:r w:rsidRPr="00501A61">
        <w:rPr>
          <w:rFonts w:asciiTheme="minorEastAsia" w:eastAsiaTheme="minorEastAsia" w:hAnsiTheme="minorEastAsia"/>
          <w:szCs w:val="21"/>
        </w:rPr>
        <w:t>项费用</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根据有关法规及相应协议规定</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按费用实际支出金额列入当期费用</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由基金托管人从基金财产中支付。</w:t>
      </w:r>
    </w:p>
    <w:p w:rsidR="0002608C" w:rsidRPr="00501A61" w:rsidRDefault="00CE2F50" w:rsidP="00107648">
      <w:pPr>
        <w:autoSpaceDE w:val="0"/>
        <w:autoSpaceDN w:val="0"/>
        <w:snapToGrid w:val="0"/>
        <w:spacing w:line="360" w:lineRule="auto"/>
        <w:ind w:firstLineChars="200" w:firstLine="422"/>
        <w:jc w:val="left"/>
        <w:rPr>
          <w:rFonts w:asciiTheme="minorEastAsia" w:eastAsiaTheme="minorEastAsia" w:hAnsiTheme="minorEastAsia" w:cs="Arial"/>
          <w:b/>
          <w:kern w:val="0"/>
          <w:szCs w:val="21"/>
        </w:rPr>
      </w:pPr>
      <w:r w:rsidRPr="00501A61">
        <w:rPr>
          <w:rFonts w:asciiTheme="minorEastAsia" w:eastAsiaTheme="minorEastAsia" w:hAnsiTheme="minorEastAsia" w:cs="Arial" w:hint="eastAsia"/>
          <w:b/>
          <w:kern w:val="0"/>
          <w:szCs w:val="21"/>
        </w:rPr>
        <w:t>3、</w:t>
      </w:r>
      <w:r w:rsidR="0002608C" w:rsidRPr="00501A61">
        <w:rPr>
          <w:rFonts w:asciiTheme="minorEastAsia" w:eastAsiaTheme="minorEastAsia" w:hAnsiTheme="minorEastAsia" w:cs="Arial" w:hint="eastAsia"/>
          <w:b/>
          <w:kern w:val="0"/>
          <w:szCs w:val="21"/>
        </w:rPr>
        <w:t>不列入基金费用的项目</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下列费用不列入基金费用：</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（1）基金管理人和基金托管人因未履行或未完全履行义务导致的费用支出或基金财产的损失；</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（2）基金管理人和基金托管人处理与基金运作无关的事项发生的费用；</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（3）基金合同生效前的相关费用，包括但不限于验资费、会计师和律师费、信息披露费用等费用；</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（4）其他根据相关法律法规及中国证监会的有关规定不得列入基金费用的项目。</w:t>
      </w:r>
    </w:p>
    <w:p w:rsidR="0002608C" w:rsidRPr="00501A61" w:rsidRDefault="00CE2F50" w:rsidP="00107648">
      <w:pPr>
        <w:autoSpaceDE w:val="0"/>
        <w:autoSpaceDN w:val="0"/>
        <w:snapToGrid w:val="0"/>
        <w:spacing w:line="360" w:lineRule="auto"/>
        <w:ind w:firstLineChars="200" w:firstLine="422"/>
        <w:jc w:val="left"/>
        <w:rPr>
          <w:rFonts w:asciiTheme="minorEastAsia" w:eastAsiaTheme="minorEastAsia" w:hAnsiTheme="minorEastAsia" w:cs="Arial"/>
          <w:b/>
          <w:kern w:val="0"/>
          <w:szCs w:val="21"/>
        </w:rPr>
      </w:pPr>
      <w:r w:rsidRPr="00501A61">
        <w:rPr>
          <w:rFonts w:asciiTheme="minorEastAsia" w:eastAsiaTheme="minorEastAsia" w:hAnsiTheme="minorEastAsia" w:cs="Arial" w:hint="eastAsia"/>
          <w:b/>
          <w:kern w:val="0"/>
          <w:szCs w:val="21"/>
        </w:rPr>
        <w:t>4、</w:t>
      </w:r>
      <w:r w:rsidR="0002608C" w:rsidRPr="00501A61">
        <w:rPr>
          <w:rFonts w:asciiTheme="minorEastAsia" w:eastAsiaTheme="minorEastAsia" w:hAnsiTheme="minorEastAsia" w:cs="Arial" w:hint="eastAsia"/>
          <w:b/>
          <w:kern w:val="0"/>
          <w:szCs w:val="21"/>
        </w:rPr>
        <w:t>基金费用的调整</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和基金托管人协商一致后，可根据基金发展情况调低基金管理费率或基金托管费率等相关费率。调高基金管理费率、基金托管费率等相关费率须召开基金份额持有人大会审议。基金管理人必须最迟于新的费率实施日前2个工作日在</w:t>
      </w:r>
      <w:r w:rsidR="000C00D1" w:rsidRPr="00501A61">
        <w:rPr>
          <w:rFonts w:asciiTheme="minorEastAsia" w:eastAsiaTheme="minorEastAsia" w:hAnsiTheme="minorEastAsia" w:hint="eastAsia"/>
        </w:rPr>
        <w:t>指定媒介</w:t>
      </w:r>
      <w:r w:rsidRPr="00501A61">
        <w:rPr>
          <w:rFonts w:asciiTheme="minorEastAsia" w:eastAsiaTheme="minorEastAsia" w:hAnsiTheme="minorEastAsia" w:hint="eastAsia"/>
          <w:szCs w:val="21"/>
        </w:rPr>
        <w:t>公告。</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56" w:name="_Toc45632258"/>
      <w:r w:rsidRPr="00501A61">
        <w:rPr>
          <w:rFonts w:asciiTheme="minorEastAsia" w:eastAsiaTheme="minorEastAsia" w:hAnsiTheme="minorEastAsia" w:hint="eastAsia"/>
          <w:b w:val="0"/>
        </w:rPr>
        <w:t>（二）与基金销售有关的费用</w:t>
      </w:r>
      <w:bookmarkEnd w:id="156"/>
    </w:p>
    <w:p w:rsidR="0002608C" w:rsidRPr="00501A61" w:rsidRDefault="00CE2F50" w:rsidP="00107648">
      <w:pPr>
        <w:pStyle w:val="ad"/>
        <w:snapToGrid w:val="0"/>
        <w:spacing w:line="360" w:lineRule="auto"/>
        <w:ind w:firstLineChars="200"/>
        <w:rPr>
          <w:rFonts w:asciiTheme="minorEastAsia" w:eastAsiaTheme="minorEastAsia" w:hAnsiTheme="minorEastAsia"/>
          <w:szCs w:val="21"/>
        </w:rPr>
      </w:pPr>
      <w:bookmarkStart w:id="157" w:name="_Toc84149673"/>
      <w:bookmarkStart w:id="158" w:name="_Toc86584637"/>
      <w:r w:rsidRPr="00501A61">
        <w:rPr>
          <w:rFonts w:asciiTheme="minorEastAsia" w:eastAsiaTheme="minorEastAsia" w:hAnsiTheme="minorEastAsia" w:hint="eastAsia"/>
          <w:szCs w:val="21"/>
        </w:rPr>
        <w:t>1、</w:t>
      </w:r>
      <w:r w:rsidR="00694807" w:rsidRPr="00501A61">
        <w:rPr>
          <w:rFonts w:asciiTheme="minorEastAsia" w:eastAsiaTheme="minorEastAsia" w:hAnsiTheme="minorEastAsia" w:hint="eastAsia"/>
          <w:szCs w:val="21"/>
        </w:rPr>
        <w:t>本基金申购费、赎回费的费率水平、收取方式和计算公式详见本招募说明书“八、基金份额的申购、赎回”中的“（七）申购、赎回的费率”和“（八）申购份额、赎回金额的计算方式”的相关规定。</w:t>
      </w:r>
    </w:p>
    <w:p w:rsidR="0002608C" w:rsidRPr="00501A61" w:rsidRDefault="00694807" w:rsidP="00107648">
      <w:pPr>
        <w:pStyle w:val="ad"/>
        <w:snapToGrid w:val="0"/>
        <w:spacing w:line="360" w:lineRule="auto"/>
        <w:ind w:firstLineChars="200"/>
        <w:rPr>
          <w:rFonts w:asciiTheme="minorEastAsia" w:eastAsiaTheme="minorEastAsia" w:hAnsiTheme="minorEastAsia"/>
          <w:szCs w:val="21"/>
        </w:rPr>
      </w:pPr>
      <w:r w:rsidRPr="00501A61">
        <w:rPr>
          <w:rFonts w:asciiTheme="minorEastAsia" w:eastAsiaTheme="minorEastAsia" w:hAnsiTheme="minorEastAsia" w:hint="eastAsia"/>
          <w:szCs w:val="21"/>
        </w:rPr>
        <w:t>2</w:t>
      </w:r>
      <w:r w:rsidR="00CE2F50" w:rsidRPr="00501A61">
        <w:rPr>
          <w:rFonts w:asciiTheme="minorEastAsia" w:eastAsiaTheme="minorEastAsia" w:hAnsiTheme="minorEastAsia" w:hint="eastAsia"/>
          <w:szCs w:val="21"/>
        </w:rPr>
        <w:t>、</w:t>
      </w:r>
      <w:r w:rsidR="0002608C" w:rsidRPr="00501A61">
        <w:rPr>
          <w:rFonts w:asciiTheme="minorEastAsia" w:eastAsiaTheme="minorEastAsia" w:hAnsiTheme="minorEastAsia"/>
          <w:szCs w:val="21"/>
        </w:rPr>
        <w:t>转换费率</w:t>
      </w:r>
    </w:p>
    <w:p w:rsidR="00035791" w:rsidRPr="00501A61" w:rsidRDefault="00035791" w:rsidP="00107648">
      <w:pPr>
        <w:autoSpaceDE w:val="0"/>
        <w:autoSpaceDN w:val="0"/>
        <w:snapToGrid w:val="0"/>
        <w:spacing w:line="360" w:lineRule="auto"/>
        <w:ind w:firstLineChars="218" w:firstLine="458"/>
        <w:rPr>
          <w:rFonts w:asciiTheme="minorEastAsia" w:eastAsiaTheme="minorEastAsia" w:hAnsiTheme="minorEastAsia"/>
        </w:rPr>
      </w:pPr>
      <w:r w:rsidRPr="00501A61">
        <w:rPr>
          <w:rFonts w:asciiTheme="minorEastAsia" w:eastAsiaTheme="minorEastAsia" w:hAnsiTheme="minorEastAsia" w:hint="eastAsia"/>
        </w:rPr>
        <w:t>基金转换费由基金份额持有人承担，基金转换费用由转出基金赎回费用及基金申购补差费用构成，其中赎回费按照</w:t>
      </w:r>
      <w:r w:rsidR="00D8436F" w:rsidRPr="00501A61">
        <w:rPr>
          <w:rFonts w:asciiTheme="minorEastAsia" w:eastAsiaTheme="minorEastAsia" w:hAnsiTheme="minorEastAsia" w:hint="eastAsia"/>
        </w:rPr>
        <w:t>各基金的</w:t>
      </w:r>
      <w:r w:rsidRPr="00501A61">
        <w:rPr>
          <w:rFonts w:asciiTheme="minorEastAsia" w:eastAsiaTheme="minorEastAsia" w:hAnsiTheme="minorEastAsia" w:hint="eastAsia"/>
        </w:rPr>
        <w:t>基金合同、更新的招募说明书及最新的相关公告约定的比例归入基金财产，其余部分用于支付注册登记费等相关手续费，基金转换费率详见相关公告。</w:t>
      </w:r>
    </w:p>
    <w:p w:rsidR="0002608C" w:rsidRPr="00501A61" w:rsidRDefault="00694807"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hint="eastAsia"/>
          <w:szCs w:val="21"/>
        </w:rPr>
        <w:t>3</w:t>
      </w:r>
      <w:r w:rsidR="00CE2F50" w:rsidRPr="00501A61">
        <w:rPr>
          <w:rFonts w:asciiTheme="minorEastAsia" w:eastAsiaTheme="minorEastAsia" w:hAnsiTheme="minorEastAsia" w:hint="eastAsia"/>
          <w:szCs w:val="21"/>
        </w:rPr>
        <w:t>、</w:t>
      </w:r>
      <w:r w:rsidR="0002608C" w:rsidRPr="00501A61">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02608C" w:rsidRPr="00501A61" w:rsidRDefault="00694807"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hint="eastAsia"/>
          <w:szCs w:val="21"/>
        </w:rPr>
        <w:t>4</w:t>
      </w:r>
      <w:r w:rsidR="00CE2F50" w:rsidRPr="00501A61">
        <w:rPr>
          <w:rFonts w:asciiTheme="minorEastAsia" w:eastAsiaTheme="minorEastAsia" w:hAnsiTheme="minorEastAsia" w:hint="eastAsia"/>
          <w:szCs w:val="21"/>
        </w:rPr>
        <w:t>、</w:t>
      </w:r>
      <w:r w:rsidR="0002608C" w:rsidRPr="00501A61">
        <w:rPr>
          <w:rFonts w:asciiTheme="minorEastAsia" w:eastAsiaTheme="minorEastAsia" w:hAnsiTheme="minorEastAsia"/>
          <w:szCs w:val="21"/>
        </w:rPr>
        <w:t>基金管理人可以从本基金财产中计提销售服务费</w:t>
      </w:r>
      <w:r w:rsidR="0002608C" w:rsidRPr="00501A61">
        <w:rPr>
          <w:rFonts w:asciiTheme="minorEastAsia" w:eastAsiaTheme="minorEastAsia" w:hAnsiTheme="minorEastAsia" w:hint="eastAsia"/>
          <w:szCs w:val="21"/>
        </w:rPr>
        <w:t>，</w:t>
      </w:r>
      <w:r w:rsidR="0002608C" w:rsidRPr="00501A61">
        <w:rPr>
          <w:rFonts w:asciiTheme="minorEastAsia" w:eastAsiaTheme="minorEastAsia" w:hAnsiTheme="minorEastAsia"/>
          <w:szCs w:val="21"/>
        </w:rPr>
        <w:t>用于基金的持续销售和服务基金份额持有人</w:t>
      </w:r>
      <w:r w:rsidR="0002608C" w:rsidRPr="00501A61">
        <w:rPr>
          <w:rFonts w:asciiTheme="minorEastAsia" w:eastAsiaTheme="minorEastAsia" w:hAnsiTheme="minorEastAsia" w:hint="eastAsia"/>
          <w:szCs w:val="21"/>
        </w:rPr>
        <w:t>，</w:t>
      </w:r>
      <w:r w:rsidR="0002608C" w:rsidRPr="00501A61">
        <w:rPr>
          <w:rFonts w:asciiTheme="minorEastAsia" w:eastAsiaTheme="minorEastAsia" w:hAnsiTheme="minorEastAsia"/>
          <w:szCs w:val="21"/>
        </w:rPr>
        <w:t>具体办法按中国证监会有关规定执行。</w:t>
      </w:r>
    </w:p>
    <w:p w:rsidR="0002608C" w:rsidRPr="00501A61" w:rsidRDefault="00694807"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hint="eastAsia"/>
          <w:szCs w:val="21"/>
        </w:rPr>
        <w:t>5</w:t>
      </w:r>
      <w:r w:rsidR="00CE2F50" w:rsidRPr="00501A61">
        <w:rPr>
          <w:rFonts w:asciiTheme="minorEastAsia" w:eastAsiaTheme="minorEastAsia" w:hAnsiTheme="minorEastAsia" w:hint="eastAsia"/>
          <w:szCs w:val="21"/>
        </w:rPr>
        <w:t>、</w:t>
      </w:r>
      <w:r w:rsidR="0002608C" w:rsidRPr="00501A61">
        <w:rPr>
          <w:rFonts w:asciiTheme="minorEastAsia" w:eastAsiaTheme="minorEastAsia" w:hAnsiTheme="minorEastAsia"/>
          <w:szCs w:val="21"/>
        </w:rPr>
        <w:t>基金管理人可以在基金合同规定的范围内调整</w:t>
      </w:r>
      <w:r w:rsidR="0002608C" w:rsidRPr="00501A61">
        <w:rPr>
          <w:rFonts w:asciiTheme="minorEastAsia" w:eastAsiaTheme="minorEastAsia" w:hAnsiTheme="minorEastAsia" w:hint="eastAsia"/>
          <w:szCs w:val="21"/>
        </w:rPr>
        <w:t>上述</w:t>
      </w:r>
      <w:r w:rsidR="0002608C" w:rsidRPr="00501A61">
        <w:rPr>
          <w:rFonts w:asciiTheme="minorEastAsia" w:eastAsiaTheme="minorEastAsia" w:hAnsiTheme="minorEastAsia"/>
          <w:szCs w:val="21"/>
        </w:rPr>
        <w:t>费率</w:t>
      </w:r>
      <w:r w:rsidR="0002608C" w:rsidRPr="00501A61">
        <w:rPr>
          <w:rFonts w:asciiTheme="minorEastAsia" w:eastAsiaTheme="minorEastAsia" w:hAnsiTheme="minorEastAsia" w:hint="eastAsia"/>
          <w:szCs w:val="21"/>
        </w:rPr>
        <w:t>。</w:t>
      </w:r>
      <w:r w:rsidR="0002608C" w:rsidRPr="00501A61">
        <w:rPr>
          <w:rFonts w:asciiTheme="minorEastAsia" w:eastAsiaTheme="minorEastAsia" w:hAnsiTheme="minorEastAsia"/>
          <w:szCs w:val="21"/>
        </w:rPr>
        <w:t>上述费率如发生变更，基金管理人应最迟于新的费率实施前</w:t>
      </w:r>
      <w:r w:rsidR="0002608C" w:rsidRPr="00501A61">
        <w:rPr>
          <w:rFonts w:asciiTheme="minorEastAsia" w:eastAsiaTheme="minorEastAsia" w:hAnsiTheme="minorEastAsia" w:hint="eastAsia"/>
          <w:szCs w:val="21"/>
        </w:rPr>
        <w:t>2</w:t>
      </w:r>
      <w:r w:rsidR="0002608C" w:rsidRPr="00501A61">
        <w:rPr>
          <w:rFonts w:asciiTheme="minorEastAsia" w:eastAsiaTheme="minorEastAsia" w:hAnsiTheme="minorEastAsia"/>
          <w:szCs w:val="21"/>
        </w:rPr>
        <w:t>个工作日在</w:t>
      </w:r>
      <w:r w:rsidR="00DE5F25" w:rsidRPr="00501A61">
        <w:rPr>
          <w:rFonts w:asciiTheme="minorEastAsia" w:eastAsiaTheme="minorEastAsia" w:hAnsiTheme="minorEastAsia" w:hint="eastAsia"/>
          <w:szCs w:val="21"/>
        </w:rPr>
        <w:t>指定媒介</w:t>
      </w:r>
      <w:r w:rsidR="0002608C" w:rsidRPr="00501A61">
        <w:rPr>
          <w:rFonts w:asciiTheme="minorEastAsia" w:eastAsiaTheme="minorEastAsia" w:hAnsiTheme="minorEastAsia"/>
          <w:szCs w:val="21"/>
        </w:rPr>
        <w:t>公告。</w:t>
      </w:r>
    </w:p>
    <w:p w:rsidR="0002608C" w:rsidRPr="00501A61" w:rsidRDefault="00694807"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hint="eastAsia"/>
          <w:szCs w:val="21"/>
        </w:rPr>
        <w:t>6</w:t>
      </w:r>
      <w:r w:rsidR="00CE2F50" w:rsidRPr="00501A61">
        <w:rPr>
          <w:rFonts w:asciiTheme="minorEastAsia" w:eastAsiaTheme="minorEastAsia" w:hAnsiTheme="minorEastAsia" w:hint="eastAsia"/>
          <w:szCs w:val="21"/>
        </w:rPr>
        <w:t>、</w:t>
      </w:r>
      <w:r w:rsidR="0057493F" w:rsidRPr="00501A61">
        <w:rPr>
          <w:rFonts w:asciiTheme="minorEastAsia" w:eastAsiaTheme="minorEastAsia" w:hAnsiTheme="minorEastAsia" w:hint="eastAsia"/>
          <w:szCs w:val="21"/>
        </w:rPr>
        <w:t>基金管理人可以在不违反法律法规规定及《基金合同》约定的情形下根据市场情况制定基金促销计划，针对基金投资者定期或不定期地开展基金促销活动。在基金促销活动期间，基金管理人可以适当调低基金销售费率，或针对特定渠道、特定投资群体开展有差别的费率优惠活动。</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59" w:name="_Toc45632259"/>
      <w:r w:rsidRPr="00501A61">
        <w:rPr>
          <w:rFonts w:asciiTheme="minorEastAsia" w:eastAsiaTheme="minorEastAsia" w:hAnsiTheme="minorEastAsia" w:hint="eastAsia"/>
          <w:b w:val="0"/>
        </w:rPr>
        <w:t>（三）基金税收</w:t>
      </w:r>
      <w:bookmarkEnd w:id="157"/>
      <w:bookmarkEnd w:id="158"/>
      <w:bookmarkEnd w:id="159"/>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hint="eastAsia"/>
          <w:szCs w:val="21"/>
        </w:rPr>
        <w:t>本基金运作过程中涉及的各纳税主体，应按国家税收法律、法规履行其纳税义务。</w:t>
      </w:r>
    </w:p>
    <w:p w:rsidR="00E1094C" w:rsidRPr="00501A61" w:rsidRDefault="00E1094C" w:rsidP="00107648">
      <w:pPr>
        <w:snapToGrid w:val="0"/>
        <w:spacing w:line="360" w:lineRule="auto"/>
        <w:ind w:firstLine="480"/>
        <w:rPr>
          <w:rFonts w:asciiTheme="minorEastAsia" w:eastAsiaTheme="minorEastAsia" w:hAnsiTheme="minorEastAsia"/>
          <w:szCs w:val="21"/>
        </w:rPr>
        <w:sectPr w:rsidR="00E1094C" w:rsidRPr="00501A61" w:rsidSect="003920FC">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Cs/>
        </w:rPr>
      </w:pPr>
      <w:bookmarkStart w:id="160" w:name="_Toc45632260"/>
      <w:r w:rsidRPr="00501A61">
        <w:rPr>
          <w:rFonts w:asciiTheme="minorEastAsia" w:eastAsiaTheme="minorEastAsia" w:hAnsiTheme="minorEastAsia" w:hint="eastAsia"/>
          <w:b/>
          <w:bCs/>
        </w:rPr>
        <w:lastRenderedPageBreak/>
        <w:t>十七、基金的会计与审计</w:t>
      </w:r>
      <w:bookmarkEnd w:id="160"/>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61" w:name="_Toc45632261"/>
      <w:r w:rsidRPr="00501A61">
        <w:rPr>
          <w:rFonts w:asciiTheme="minorEastAsia" w:eastAsiaTheme="minorEastAsia" w:hAnsiTheme="minorEastAsia" w:hint="eastAsia"/>
          <w:b w:val="0"/>
        </w:rPr>
        <w:t>（一）基金会计政策</w:t>
      </w:r>
      <w:bookmarkEnd w:id="161"/>
    </w:p>
    <w:p w:rsidR="0002608C" w:rsidRPr="00501A61" w:rsidRDefault="00CE2F50"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基金管理人为本基金的基金会计责任方；</w:t>
      </w:r>
    </w:p>
    <w:p w:rsidR="0002608C" w:rsidRPr="00501A61" w:rsidRDefault="00CE2F50"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基金的会计年度为公历每年1月1日至12月31日；</w:t>
      </w:r>
      <w:r w:rsidR="0002608C" w:rsidRPr="00501A61">
        <w:rPr>
          <w:rFonts w:asciiTheme="minorEastAsia" w:eastAsiaTheme="minorEastAsia" w:hAnsiTheme="minorEastAsia"/>
          <w:szCs w:val="21"/>
        </w:rPr>
        <w:t>基金首次募集的会计年度按如下原则：如果基金合同生效少于3个月，可以并入下一个会计年度；</w:t>
      </w:r>
    </w:p>
    <w:p w:rsidR="0002608C" w:rsidRPr="00501A61" w:rsidRDefault="00CE2F50"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hint="eastAsia"/>
          <w:szCs w:val="21"/>
        </w:rPr>
        <w:t>3、</w:t>
      </w:r>
      <w:r w:rsidR="0002608C" w:rsidRPr="00501A61">
        <w:rPr>
          <w:rFonts w:asciiTheme="minorEastAsia" w:eastAsiaTheme="minorEastAsia" w:hAnsiTheme="minorEastAsia" w:hint="eastAsia"/>
          <w:szCs w:val="21"/>
        </w:rPr>
        <w:t>基金核算以人民币为记帐本位币，以人民币元为记账单位；</w:t>
      </w:r>
    </w:p>
    <w:p w:rsidR="0002608C" w:rsidRPr="00501A61" w:rsidRDefault="00CE2F50"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hint="eastAsia"/>
          <w:szCs w:val="21"/>
        </w:rPr>
        <w:t>4、</w:t>
      </w:r>
      <w:r w:rsidR="0002608C" w:rsidRPr="00501A61">
        <w:rPr>
          <w:rFonts w:asciiTheme="minorEastAsia" w:eastAsiaTheme="minorEastAsia" w:hAnsiTheme="minorEastAsia" w:hint="eastAsia"/>
          <w:szCs w:val="21"/>
        </w:rPr>
        <w:t>会计制度执行国家有关的会计制度；</w:t>
      </w:r>
    </w:p>
    <w:p w:rsidR="0002608C" w:rsidRPr="00501A61" w:rsidRDefault="00CE2F50"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hint="eastAsia"/>
          <w:szCs w:val="21"/>
        </w:rPr>
        <w:t>5、</w:t>
      </w:r>
      <w:r w:rsidR="0002608C" w:rsidRPr="00501A61">
        <w:rPr>
          <w:rFonts w:asciiTheme="minorEastAsia" w:eastAsiaTheme="minorEastAsia" w:hAnsiTheme="minorEastAsia" w:hint="eastAsia"/>
          <w:szCs w:val="21"/>
        </w:rPr>
        <w:t>本</w:t>
      </w:r>
      <w:r w:rsidR="0002608C" w:rsidRPr="00501A61">
        <w:rPr>
          <w:rFonts w:asciiTheme="minorEastAsia" w:eastAsiaTheme="minorEastAsia" w:hAnsiTheme="minorEastAsia"/>
          <w:szCs w:val="21"/>
        </w:rPr>
        <w:t>基金</w:t>
      </w:r>
      <w:r w:rsidR="0002608C" w:rsidRPr="00501A61">
        <w:rPr>
          <w:rFonts w:asciiTheme="minorEastAsia" w:eastAsiaTheme="minorEastAsia" w:hAnsiTheme="minorEastAsia" w:hint="eastAsia"/>
          <w:szCs w:val="21"/>
        </w:rPr>
        <w:t>独立建帐、独立核算；</w:t>
      </w:r>
    </w:p>
    <w:p w:rsidR="0002608C" w:rsidRPr="00501A61" w:rsidRDefault="00CE2F50"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hint="eastAsia"/>
          <w:szCs w:val="21"/>
        </w:rPr>
        <w:t>6、</w:t>
      </w:r>
      <w:r w:rsidR="0002608C" w:rsidRPr="00501A61">
        <w:rPr>
          <w:rFonts w:asciiTheme="minorEastAsia" w:eastAsiaTheme="minorEastAsia" w:hAnsiTheme="minorEastAsia" w:hint="eastAsia"/>
          <w:szCs w:val="21"/>
        </w:rPr>
        <w:t>基金管理人及基金托管人各自保留完整的基金会计帐目、凭证并进行日常的会计核算，按照有关规定编制基金会计报表；</w:t>
      </w:r>
    </w:p>
    <w:p w:rsidR="0002608C" w:rsidRPr="00501A61" w:rsidRDefault="00CE2F50"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hint="eastAsia"/>
          <w:szCs w:val="21"/>
        </w:rPr>
        <w:t>7、</w:t>
      </w:r>
      <w:r w:rsidR="0002608C" w:rsidRPr="00501A61">
        <w:rPr>
          <w:rFonts w:asciiTheme="minorEastAsia" w:eastAsiaTheme="minorEastAsia" w:hAnsiTheme="minorEastAsia" w:hint="eastAsia"/>
          <w:szCs w:val="21"/>
        </w:rPr>
        <w:t>基金托管人每月与基金管理人就基金的会计核算、报表编制等进行核对并以书面方式确认。</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62" w:name="_Toc45632262"/>
      <w:r w:rsidRPr="00501A61">
        <w:rPr>
          <w:rFonts w:asciiTheme="minorEastAsia" w:eastAsiaTheme="minorEastAsia" w:hAnsiTheme="minorEastAsia" w:hint="eastAsia"/>
          <w:b w:val="0"/>
        </w:rPr>
        <w:t>（二）基金年度审计</w:t>
      </w:r>
      <w:bookmarkEnd w:id="162"/>
    </w:p>
    <w:p w:rsidR="00DE5F25" w:rsidRPr="00501A61" w:rsidRDefault="00DE5F25" w:rsidP="00DE5F25">
      <w:pPr>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1</w:t>
      </w:r>
      <w:r w:rsidRPr="00501A61">
        <w:rPr>
          <w:rFonts w:asciiTheme="minorEastAsia" w:eastAsiaTheme="minorEastAsia" w:hAnsiTheme="minorEastAsia" w:hint="eastAsia"/>
          <w:szCs w:val="21"/>
        </w:rPr>
        <w:t>、本基金管理人聘请与基金管理人、基金托管人相互独立的具有证券、期货相关业务资格的会计师事务所及其注册会计师对本基金的年度财务报表进行审计。</w:t>
      </w:r>
    </w:p>
    <w:p w:rsidR="00DE5F25" w:rsidRPr="00501A61" w:rsidRDefault="00DE5F25" w:rsidP="00DE5F25">
      <w:pPr>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2</w:t>
      </w:r>
      <w:r w:rsidRPr="00501A61">
        <w:rPr>
          <w:rFonts w:asciiTheme="minorEastAsia" w:eastAsiaTheme="minorEastAsia" w:hAnsiTheme="minorEastAsia" w:hint="eastAsia"/>
          <w:szCs w:val="21"/>
        </w:rPr>
        <w:t>、会计师事务所更换经办注册会计师，应事先征得基金管理人和基金托管人同意。</w:t>
      </w:r>
    </w:p>
    <w:p w:rsidR="0002608C" w:rsidRPr="00501A61" w:rsidRDefault="00DE5F25" w:rsidP="009F7BDB">
      <w:pPr>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3</w:t>
      </w:r>
      <w:r w:rsidRPr="00501A61">
        <w:rPr>
          <w:rFonts w:asciiTheme="minorEastAsia" w:eastAsiaTheme="minorEastAsia" w:hAnsiTheme="minorEastAsia" w:hint="eastAsia"/>
          <w:szCs w:val="21"/>
        </w:rPr>
        <w:t>、基金管理人认为有充足理由更换会计师事务所，须通报基金托管人。更换会计师事务所需在</w:t>
      </w:r>
      <w:r w:rsidRPr="00501A61">
        <w:rPr>
          <w:rFonts w:asciiTheme="minorEastAsia" w:eastAsiaTheme="minorEastAsia" w:hAnsiTheme="minorEastAsia"/>
          <w:szCs w:val="21"/>
        </w:rPr>
        <w:t>2日内在</w:t>
      </w:r>
      <w:r w:rsidRPr="00501A61">
        <w:rPr>
          <w:rFonts w:asciiTheme="minorEastAsia" w:eastAsiaTheme="minorEastAsia" w:hAnsiTheme="minorEastAsia" w:hint="eastAsia"/>
          <w:szCs w:val="21"/>
        </w:rPr>
        <w:t>指定媒介</w:t>
      </w:r>
      <w:r w:rsidRPr="00501A61">
        <w:rPr>
          <w:rFonts w:asciiTheme="minorEastAsia" w:eastAsiaTheme="minorEastAsia" w:hAnsiTheme="minorEastAsia"/>
          <w:szCs w:val="21"/>
        </w:rPr>
        <w:t>公告。</w:t>
      </w:r>
    </w:p>
    <w:p w:rsidR="00E1094C" w:rsidRPr="00501A61" w:rsidRDefault="00E1094C" w:rsidP="009F7BDB">
      <w:pPr>
        <w:spacing w:line="360" w:lineRule="auto"/>
        <w:ind w:firstLineChars="200" w:firstLine="420"/>
        <w:rPr>
          <w:rFonts w:asciiTheme="minorEastAsia" w:eastAsiaTheme="minorEastAsia" w:hAnsiTheme="minorEastAsia"/>
          <w:szCs w:val="21"/>
        </w:rPr>
        <w:sectPr w:rsidR="00E1094C" w:rsidRPr="00501A61" w:rsidSect="003920FC">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Cs/>
        </w:rPr>
      </w:pPr>
      <w:bookmarkStart w:id="163" w:name="_Toc45632263"/>
      <w:r w:rsidRPr="00501A61">
        <w:rPr>
          <w:rFonts w:asciiTheme="minorEastAsia" w:eastAsiaTheme="minorEastAsia" w:hAnsiTheme="minorEastAsia" w:hint="eastAsia"/>
          <w:b/>
          <w:bCs/>
        </w:rPr>
        <w:lastRenderedPageBreak/>
        <w:t>十八、基金的信息披露</w:t>
      </w:r>
      <w:bookmarkEnd w:id="163"/>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（一）本基金的信息披露应符合《基金法》、《运作办法》、《信息披露办法》、《基金合同》及其他有关规定。</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（二）信息披露义务人</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本基金信息披露义务人包括基金管理人、基金托管人、召集基金份额持有人大会的基金份额持有人等法律、行政法规和中国证监会规定的自然人、法人和非法人组织。</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本基金信息披露义务人以保护基金份额持有人利益为根本出发点，按照法律法规和中国证监会的规定披露基金信息，并保证所披露信息的真实性、准确性、完整性、及时性、简明性和易得性。</w:t>
      </w:r>
    </w:p>
    <w:p w:rsidR="0002608C" w:rsidRPr="00501A61" w:rsidRDefault="002D15C5"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本基金信息披露义务人应当在中国证监会规定时间内，将应予披露的基金信息通过指定媒介披露，并保证基金投资者能够按照《基金合同》约定的时间和方式查阅或者复制公开披露的信息资料。</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（三）本基金信息披露义务人承诺公开披露的基金信息，不得有下列行为：</w:t>
      </w:r>
    </w:p>
    <w:p w:rsidR="0002608C" w:rsidRPr="00501A61" w:rsidRDefault="0002608C"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szCs w:val="21"/>
        </w:rPr>
        <w:t>1</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虚假记载、误导性陈述或者重大遗漏；</w:t>
      </w:r>
    </w:p>
    <w:p w:rsidR="0002608C" w:rsidRPr="00501A61" w:rsidRDefault="0002608C"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szCs w:val="21"/>
        </w:rPr>
        <w:t>2</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对证券投资业绩进行预测；</w:t>
      </w:r>
    </w:p>
    <w:p w:rsidR="0002608C" w:rsidRPr="00501A61" w:rsidRDefault="0002608C"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szCs w:val="21"/>
        </w:rPr>
        <w:t>3</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违规承诺收益或者承担损失；</w:t>
      </w:r>
    </w:p>
    <w:p w:rsidR="0002608C" w:rsidRPr="00501A61" w:rsidRDefault="0002608C"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szCs w:val="21"/>
        </w:rPr>
        <w:t>4</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诋毁其他基金管理人、基金托管人或者基金份额发售机构；</w:t>
      </w:r>
    </w:p>
    <w:p w:rsidR="0002608C" w:rsidRPr="00501A61" w:rsidRDefault="0002608C"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szCs w:val="21"/>
        </w:rPr>
        <w:t>5</w:t>
      </w:r>
      <w:r w:rsidR="00CE2F50" w:rsidRPr="00501A61">
        <w:rPr>
          <w:rFonts w:asciiTheme="minorEastAsia" w:eastAsiaTheme="minorEastAsia" w:hAnsiTheme="minorEastAsia" w:hint="eastAsia"/>
          <w:szCs w:val="21"/>
        </w:rPr>
        <w:t>、</w:t>
      </w:r>
      <w:r w:rsidR="002D15C5" w:rsidRPr="00501A61">
        <w:rPr>
          <w:rFonts w:asciiTheme="minorEastAsia" w:eastAsiaTheme="minorEastAsia" w:hAnsiTheme="minorEastAsia" w:hint="eastAsia"/>
          <w:szCs w:val="21"/>
        </w:rPr>
        <w:t>登载任何自然人、法人和非法人组织的祝贺性、恭维性或推荐性的文字；</w:t>
      </w:r>
    </w:p>
    <w:p w:rsidR="0002608C" w:rsidRPr="00501A61" w:rsidRDefault="0002608C" w:rsidP="00107648">
      <w:pPr>
        <w:autoSpaceDE w:val="0"/>
        <w:autoSpaceDN w:val="0"/>
        <w:snapToGrid w:val="0"/>
        <w:spacing w:line="360" w:lineRule="auto"/>
        <w:ind w:firstLineChars="218" w:firstLine="458"/>
        <w:rPr>
          <w:rFonts w:asciiTheme="minorEastAsia" w:eastAsiaTheme="minorEastAsia" w:hAnsiTheme="minorEastAsia"/>
          <w:szCs w:val="21"/>
        </w:rPr>
      </w:pPr>
      <w:r w:rsidRPr="00501A61">
        <w:rPr>
          <w:rFonts w:asciiTheme="minorEastAsia" w:eastAsiaTheme="minorEastAsia" w:hAnsiTheme="minorEastAsia"/>
          <w:szCs w:val="21"/>
        </w:rPr>
        <w:t>6</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中国证监会禁止的其他行为。</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（四）本基金公开披露的信息应采用中文文本。如同时采用外文文本的，</w:t>
      </w:r>
      <w:r w:rsidR="002D15C5" w:rsidRPr="00501A61">
        <w:rPr>
          <w:rFonts w:asciiTheme="minorEastAsia" w:eastAsiaTheme="minorEastAsia" w:hAnsiTheme="minorEastAsia" w:hint="eastAsia"/>
          <w:szCs w:val="21"/>
        </w:rPr>
        <w:t>基金信息披露义务人应保证不同文本的内容一致。不同文本之间发生歧义的</w:t>
      </w:r>
      <w:r w:rsidRPr="00501A61">
        <w:rPr>
          <w:rFonts w:asciiTheme="minorEastAsia" w:eastAsiaTheme="minorEastAsia" w:hAnsiTheme="minorEastAsia" w:hint="eastAsia"/>
          <w:szCs w:val="21"/>
        </w:rPr>
        <w:t>。两种文本发生歧义的，以中文文本为准。</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本基金公开披露的信息采用阿拉伯数字；除特别说明外，货币单位为人民币元。</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（五）公开披露的基金信息</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公开披露的基金信息包括：</w:t>
      </w:r>
    </w:p>
    <w:p w:rsidR="0002608C" w:rsidRPr="00501A61" w:rsidRDefault="00CE2F50"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基金招募说明书、基金合同、基金托管协议</w:t>
      </w:r>
      <w:r w:rsidR="002D15C5" w:rsidRPr="00501A61">
        <w:rPr>
          <w:rFonts w:asciiTheme="minorEastAsia" w:eastAsiaTheme="minorEastAsia" w:hAnsiTheme="minorEastAsia" w:hint="eastAsia"/>
          <w:szCs w:val="21"/>
        </w:rPr>
        <w:t>、基金产品资料概要</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szCs w:val="21"/>
        </w:rPr>
        <w:t>基金募集申请经中国证监会核准后，基金管理人在基金份额发售的</w:t>
      </w:r>
      <w:r w:rsidRPr="00501A61">
        <w:rPr>
          <w:rFonts w:asciiTheme="minorEastAsia" w:eastAsiaTheme="minorEastAsia" w:hAnsiTheme="minorEastAsia"/>
          <w:szCs w:val="21"/>
        </w:rPr>
        <w:t>3</w:t>
      </w:r>
      <w:r w:rsidRPr="00501A61">
        <w:rPr>
          <w:rFonts w:asciiTheme="minorEastAsia" w:eastAsiaTheme="minorEastAsia" w:hAnsiTheme="minorEastAsia" w:hint="eastAsia"/>
          <w:szCs w:val="21"/>
        </w:rPr>
        <w:t>日前，将基金招募说明书、基金合同摘要登载在指定报刊和网站上；基金管理人、基金托管人应当将基金合同、</w:t>
      </w:r>
      <w:r w:rsidRPr="00501A61">
        <w:rPr>
          <w:rFonts w:asciiTheme="minorEastAsia" w:eastAsiaTheme="minorEastAsia" w:hAnsiTheme="minorEastAsia" w:hint="eastAsia"/>
        </w:rPr>
        <w:t>基金托管协议登载在网站上。</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（1）基金招募说明书应当最大限度地披露影响基金投资者决策的全部事项，说明基金认购、申购和赎回安排、基金投资、基金产品特性、风险揭示、信息披露及基金份额持有人服务等内容。</w:t>
      </w:r>
      <w:r w:rsidR="002D15C5" w:rsidRPr="00501A61">
        <w:rPr>
          <w:rFonts w:asciiTheme="minorEastAsia" w:eastAsiaTheme="minorEastAsia" w:hAnsiTheme="minorEastAsia" w:hint="eastAsia"/>
        </w:rPr>
        <w:t>基金合同生效后，基金招募说明书的信息发生重大变更的，基金管理人应当在三个工作日内，更新基金招募说明书并登载在指定网站上；基金招募说明书其他信息发生变</w:t>
      </w:r>
      <w:r w:rsidR="002D15C5" w:rsidRPr="00501A61">
        <w:rPr>
          <w:rFonts w:asciiTheme="minorEastAsia" w:eastAsiaTheme="minorEastAsia" w:hAnsiTheme="minorEastAsia" w:hint="eastAsia"/>
        </w:rPr>
        <w:lastRenderedPageBreak/>
        <w:t>更的，基金管理人至少每年更新一次。基金终止运作的，基金管理人不再更新基金招募说明书。</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（2）基金合同是界定基金合同当事人的各项权利、义务关系，明确基金份额持有人大会召开的规则及具体程序，说明基金产品的特性等涉及基金投资者重大利益的事项的法律文件。</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（3）基金托管协议是界定基金托管人和基金管理人在基金财产保管及基金运作监督等活动中的权利、义务关系的法律文件。</w:t>
      </w:r>
    </w:p>
    <w:p w:rsidR="002D15C5" w:rsidRPr="00501A61" w:rsidRDefault="002D15C5"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2、</w:t>
      </w:r>
      <w:r w:rsidR="0002608C" w:rsidRPr="00501A61">
        <w:rPr>
          <w:rFonts w:asciiTheme="minorEastAsia" w:eastAsiaTheme="minorEastAsia" w:hAnsiTheme="minorEastAsia" w:hint="eastAsia"/>
        </w:rPr>
        <w:t>基金份额发售公告</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基金管理人应当就基金份额发售的具体事宜编制基金份额发售公告，并在披露招募说明书的当日登载于指定报刊和网站上。</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3</w:t>
      </w:r>
      <w:r w:rsidR="00CE2F50" w:rsidRPr="00501A61">
        <w:rPr>
          <w:rFonts w:asciiTheme="minorEastAsia" w:eastAsiaTheme="minorEastAsia" w:hAnsiTheme="minorEastAsia" w:hint="eastAsia"/>
        </w:rPr>
        <w:t>、</w:t>
      </w:r>
      <w:r w:rsidRPr="00501A61">
        <w:rPr>
          <w:rFonts w:asciiTheme="minorEastAsia" w:eastAsiaTheme="minorEastAsia" w:hAnsiTheme="minorEastAsia" w:hint="eastAsia"/>
        </w:rPr>
        <w:t>基金合同生效公告</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基金管理人应当在本基金合同生效的次日在指定报刊和网站上登载基金合同生效公告。</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4、基金净值信息</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在开始办理基金份额申购或者赎回后，基金管理人应当在不晚于每个开放日的次日，通过指定网站、基金销售机构网站或者营业网点披露开放日的基金份额净值和基金份额累计净值。</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基金管理人应当在不晚于半年度和年度最后一日的次日，在指定网站披露半年度和年度最后一日的基金份额净值和基金份额累计净值。</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5、基金份额申购、赎回价格</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6、基金定期报告，包括基金年度报告、基金中期报告和基金季度报告</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基金管理人应当在上半年结束之日起两个月内，编制完成基金中期报告，将中期报告登</w:t>
      </w:r>
      <w:r w:rsidRPr="00501A61">
        <w:rPr>
          <w:rFonts w:asciiTheme="minorEastAsia" w:eastAsiaTheme="minorEastAsia" w:hAnsiTheme="minorEastAsia" w:hint="eastAsia"/>
        </w:rPr>
        <w:lastRenderedPageBreak/>
        <w:t>载在指定网站上，并将中期报告提示性公告登载在指定报刊上。</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基金管理人应当在季度结束之日起15个工作日内，编制完成基金季度报告，将季度报告登载在指定网站上，并将季度报告提示性公告登载在指定报刊上。</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《基金合同》生效不足2个月的，基金管理人可以不编制当期季度报告、中期报告或者年度报告。</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基金管理人应当在基金年度报告和中期报告中披露基金组合资产情况及其流动性风险分析等。</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7、临时报告</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本基金发生重大事件，有关信息披露义务人应当在2日内编制临时报告书，并登载在指定报刊和指定网站上。</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前款所称重大事件，是指可能对基金份额持有人权益或者基金份额的价格产生重大影响的下列事件：</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基金份额持有人大会的召开及决定的事项；</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基金合同终止、基金清算；</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转换基金运作方式、基金合并；</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更换基金管理人、基金托管人、基金份额登记机构，基金改聘会计师事务所；</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基金管理人委托基金服务机构代为办理基金的份额登记、核算、估值等事项，基金托管人委托基金服务机构代为办理基金的核算、估值、复核等事项；</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基金管理人、基金托管人的法定名称、住所发生变更；</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基金管理公司变更持有百分之五以上股权的股东、基金管理人的实际控制人变更；</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基金募集期延长或提前结束募集；</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基金管理人的高级管理人员、基金经理和基金托管人专门基金托管部门负责人发生变动；</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基金管理人的董事在最近</w:t>
      </w:r>
      <w:r w:rsidRPr="00501A61">
        <w:rPr>
          <w:rFonts w:asciiTheme="minorEastAsia" w:eastAsiaTheme="minorEastAsia" w:hAnsiTheme="minorEastAsia"/>
        </w:rPr>
        <w:t>12</w:t>
      </w:r>
      <w:r w:rsidRPr="00501A61">
        <w:rPr>
          <w:rFonts w:asciiTheme="minorEastAsia" w:eastAsiaTheme="minorEastAsia" w:hAnsiTheme="minorEastAsia" w:hint="eastAsia"/>
        </w:rPr>
        <w:t>个月内变更超过百分之五十，基金管理人、基金托管人专门基金托管部门的主要业务人员在最近</w:t>
      </w:r>
      <w:r w:rsidRPr="00501A61">
        <w:rPr>
          <w:rFonts w:asciiTheme="minorEastAsia" w:eastAsiaTheme="minorEastAsia" w:hAnsiTheme="minorEastAsia"/>
        </w:rPr>
        <w:t>12</w:t>
      </w:r>
      <w:r w:rsidRPr="00501A61">
        <w:rPr>
          <w:rFonts w:asciiTheme="minorEastAsia" w:eastAsiaTheme="minorEastAsia" w:hAnsiTheme="minorEastAsia" w:hint="eastAsia"/>
        </w:rPr>
        <w:t>个月内变动超过百分之三十；</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涉及基金财产、基金管理业务、基金托管业务的诉讼或仲裁；</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基金管理人或其高级管理人员、基金经理因基金管理业务相关行为受到重大行政处罚、刑事处罚，基金托管人或其专门基金托管部门负责人因基金托管业务相关行为受到重大行政处罚、刑事处罚；</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lastRenderedPageBreak/>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基金收益分配事项；</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管理费、托管费、申购费、赎回费等费用计提标准、计提方式和费率发生变更；</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基金份额净值计价错误达基金份额净值百分之零点五；</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本基金开始办理申购、赎回；</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本基金暂停接受申购、赎回申请或重新接受申购、赎回申请；</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调整基金份额类别的设置；</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基金推出新业务或服务；</w:t>
      </w:r>
    </w:p>
    <w:p w:rsidR="002D15C5" w:rsidRPr="00501A61" w:rsidRDefault="002D15C5" w:rsidP="009F7BDB">
      <w:pPr>
        <w:pStyle w:val="af9"/>
        <w:numPr>
          <w:ilvl w:val="0"/>
          <w:numId w:val="48"/>
        </w:numPr>
        <w:snapToGrid w:val="0"/>
        <w:spacing w:line="360" w:lineRule="auto"/>
        <w:ind w:firstLineChars="0"/>
        <w:rPr>
          <w:rFonts w:asciiTheme="minorEastAsia" w:eastAsiaTheme="minorEastAsia" w:hAnsiTheme="minorEastAsia"/>
        </w:rPr>
      </w:pPr>
      <w:r w:rsidRPr="00501A61">
        <w:rPr>
          <w:rFonts w:asciiTheme="minorEastAsia" w:eastAsiaTheme="minorEastAsia" w:hAnsiTheme="minorEastAsia" w:hint="eastAsia"/>
        </w:rPr>
        <w:t>基金信息披露义务人认为可能对基金份额持有人权益或者基金份额的价格产生重大影响的其他事项或中国证监会规定的其他事项。</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8、澄清公告</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D15C5" w:rsidRPr="00501A61" w:rsidRDefault="002D15C5" w:rsidP="002D15C5">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9、清算报告</w:t>
      </w:r>
    </w:p>
    <w:p w:rsidR="0002608C" w:rsidRPr="00501A61" w:rsidRDefault="002D15C5"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02608C" w:rsidRPr="00501A61" w:rsidRDefault="002D15C5"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rPr>
        <w:t>10</w:t>
      </w:r>
      <w:r w:rsidR="00CE2F50" w:rsidRPr="00501A61">
        <w:rPr>
          <w:rFonts w:asciiTheme="minorEastAsia" w:eastAsiaTheme="minorEastAsia" w:hAnsiTheme="minorEastAsia" w:hint="eastAsia"/>
        </w:rPr>
        <w:t>、</w:t>
      </w:r>
      <w:r w:rsidR="0002608C" w:rsidRPr="00501A61">
        <w:rPr>
          <w:rFonts w:asciiTheme="minorEastAsia" w:eastAsiaTheme="minorEastAsia" w:hAnsiTheme="minorEastAsia" w:hint="eastAsia"/>
        </w:rPr>
        <w:t>基金份额持有人大会决议</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基金份额持有人大会决定的事项，应当依法报中国证监会备案，并予以公告。召开基金份额持有人大会的，召集人应当至少提前4</w:t>
      </w:r>
      <w:r w:rsidRPr="00501A61">
        <w:rPr>
          <w:rFonts w:asciiTheme="minorEastAsia" w:eastAsiaTheme="minorEastAsia" w:hAnsiTheme="minorEastAsia"/>
        </w:rPr>
        <w:t>0</w:t>
      </w:r>
      <w:r w:rsidRPr="00501A61">
        <w:rPr>
          <w:rFonts w:asciiTheme="minorEastAsia" w:eastAsiaTheme="minorEastAsia" w:hAnsiTheme="minorEastAsia" w:hint="eastAsia"/>
        </w:rPr>
        <w:t>日公告基金份额持有人大会的召开时间、会议形式、审议事项、议事程序和表决方式等事项。</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基金份额持有人依法自行召集基金份额持有人大会，本基金管理人、本基金托管人对基金份额持有人大会决定的事项不依法履行信息披露义务的，召集人应当履行相关信息披露义务。</w:t>
      </w:r>
    </w:p>
    <w:p w:rsidR="0002608C" w:rsidRPr="00501A61" w:rsidRDefault="002D15C5"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w:t>
      </w:r>
      <w:r w:rsidRPr="00501A61">
        <w:rPr>
          <w:rFonts w:asciiTheme="minorEastAsia" w:eastAsiaTheme="minorEastAsia" w:hAnsiTheme="minorEastAsia"/>
        </w:rPr>
        <w:t>1</w:t>
      </w:r>
      <w:r w:rsidR="00CE2F50" w:rsidRPr="00501A61">
        <w:rPr>
          <w:rFonts w:asciiTheme="minorEastAsia" w:eastAsiaTheme="minorEastAsia" w:hAnsiTheme="minorEastAsia" w:hint="eastAsia"/>
        </w:rPr>
        <w:t>、</w:t>
      </w:r>
      <w:r w:rsidR="0002608C" w:rsidRPr="00501A61">
        <w:rPr>
          <w:rFonts w:asciiTheme="minorEastAsia" w:eastAsiaTheme="minorEastAsia" w:hAnsiTheme="minorEastAsia" w:hint="eastAsia"/>
        </w:rPr>
        <w:t>中国证监会规定的其他信息。</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（六）信息披露事务管理</w:t>
      </w:r>
    </w:p>
    <w:p w:rsidR="002D15C5" w:rsidRPr="00501A61" w:rsidRDefault="002D15C5" w:rsidP="002D15C5">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基金管理人、基金托管人应当建立健全信息披露管理制度，指定专门部门及高级管理人员负责管理信息披露事务。</w:t>
      </w:r>
    </w:p>
    <w:p w:rsidR="002D15C5" w:rsidRPr="00501A61" w:rsidRDefault="002D15C5" w:rsidP="002D15C5">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基金信息披露义务人公开披露基金信息，应当符合中国证监会相关基金信息披露内容与格式准则等法规的规定。</w:t>
      </w:r>
    </w:p>
    <w:p w:rsidR="002D15C5" w:rsidRPr="00501A61" w:rsidRDefault="002D15C5" w:rsidP="002D15C5">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基金托管人应当按照相关法律法规、中国证监会的规定和《基金合同》的约定，对基金</w:t>
      </w:r>
      <w:r w:rsidRPr="00501A61">
        <w:rPr>
          <w:rFonts w:asciiTheme="minorEastAsia" w:eastAsiaTheme="minorEastAsia" w:hAnsiTheme="minorEastAsia" w:hint="eastAsia"/>
          <w:szCs w:val="21"/>
        </w:rPr>
        <w:lastRenderedPageBreak/>
        <w:t>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2D15C5" w:rsidRPr="00501A61" w:rsidRDefault="002D15C5" w:rsidP="002D15C5">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2D15C5" w:rsidRPr="00501A61" w:rsidRDefault="002D15C5" w:rsidP="002D15C5">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02608C" w:rsidRPr="00501A61" w:rsidRDefault="002D15C5"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（七）信息披露文件的存放与查阅</w:t>
      </w:r>
    </w:p>
    <w:p w:rsidR="0002608C" w:rsidRPr="00501A61" w:rsidRDefault="002D15C5"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szCs w:val="21"/>
        </w:rPr>
        <w:t>依法必须披露的信息发布后，基金管理人、基金托管人应当按照相关法律法规规定将信息置备于公司办公场所，供社会公众查阅、复制。</w:t>
      </w:r>
    </w:p>
    <w:p w:rsidR="003A2EE8" w:rsidRPr="00501A61" w:rsidRDefault="003A2EE8">
      <w:pPr>
        <w:widowControl/>
        <w:jc w:val="left"/>
        <w:rPr>
          <w:rFonts w:asciiTheme="minorEastAsia" w:eastAsiaTheme="minorEastAsia" w:hAnsiTheme="minorEastAsia"/>
        </w:rPr>
      </w:pPr>
      <w:r w:rsidRPr="00501A61">
        <w:rPr>
          <w:rFonts w:asciiTheme="minorEastAsia" w:eastAsiaTheme="minorEastAsia" w:hAnsiTheme="minorEastAsia"/>
        </w:rPr>
        <w:br w:type="page"/>
      </w: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rPr>
      </w:pPr>
      <w:bookmarkStart w:id="164" w:name="_Toc45632264"/>
      <w:r w:rsidRPr="00501A61">
        <w:rPr>
          <w:rFonts w:asciiTheme="minorEastAsia" w:eastAsiaTheme="minorEastAsia" w:hAnsiTheme="minorEastAsia" w:hint="eastAsia"/>
          <w:b/>
          <w:bCs/>
        </w:rPr>
        <w:lastRenderedPageBreak/>
        <w:t>十九、风险揭示</w:t>
      </w:r>
      <w:bookmarkEnd w:id="164"/>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65" w:name="_Toc45632265"/>
      <w:r w:rsidRPr="00501A61">
        <w:rPr>
          <w:rFonts w:asciiTheme="minorEastAsia" w:eastAsiaTheme="minorEastAsia" w:hAnsiTheme="minorEastAsia" w:hint="eastAsia"/>
          <w:b w:val="0"/>
        </w:rPr>
        <w:t>（一）市场风险</w:t>
      </w:r>
      <w:bookmarkEnd w:id="165"/>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本</w:t>
      </w:r>
      <w:r w:rsidRPr="00501A61">
        <w:rPr>
          <w:rFonts w:asciiTheme="minorEastAsia" w:eastAsiaTheme="minorEastAsia" w:hAnsiTheme="minorEastAsia"/>
        </w:rPr>
        <w:t>基金主要投资于证券市场，而证券市场价格因受到经济因素、政治因素、投资者心理和交易制度等各种因素的影响而产生波动，从而导致基金收益水平发生变化，产生风险。主要的风险因素包括：</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w:t>
      </w:r>
      <w:r w:rsidR="0002608C" w:rsidRPr="00501A61">
        <w:rPr>
          <w:rFonts w:asciiTheme="minorEastAsia" w:eastAsiaTheme="minorEastAsia" w:hAnsiTheme="minorEastAsia"/>
        </w:rPr>
        <w:t>政策风险</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rPr>
        <w:t>因财政政策、货币政策、产业政策、地区发展政策等国家宏观政策发生变化，导致市场价格波动，影响基金收益而产生风险。</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2、</w:t>
      </w:r>
      <w:r w:rsidR="0002608C" w:rsidRPr="00501A61">
        <w:rPr>
          <w:rFonts w:asciiTheme="minorEastAsia" w:eastAsiaTheme="minorEastAsia" w:hAnsiTheme="minorEastAsia"/>
        </w:rPr>
        <w:t>经济周期风险</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rPr>
        <w:t>随着经济运行的周期性变化，证券市场的收益水平也呈周期性变化，基金投资的收益水平也会随之变化，从而产生风险。</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3、</w:t>
      </w:r>
      <w:r w:rsidR="0002608C" w:rsidRPr="00501A61">
        <w:rPr>
          <w:rFonts w:asciiTheme="minorEastAsia" w:eastAsiaTheme="minorEastAsia" w:hAnsiTheme="minorEastAsia"/>
        </w:rPr>
        <w:t>利率风险</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rPr>
        <w:t>金融市场利率的波动会导致证券市场价格和收益率的变动。利率直接影响着债券的价格和收益率，影响着企业的融资成本和利润。基金投资于债券和股票，其收益水平可能会受到利率变化的影响。</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4、</w:t>
      </w:r>
      <w:r w:rsidR="0002608C" w:rsidRPr="00501A61">
        <w:rPr>
          <w:rFonts w:asciiTheme="minorEastAsia" w:eastAsiaTheme="minorEastAsia" w:hAnsiTheme="minorEastAsia"/>
        </w:rPr>
        <w:t>上市公司经营风险</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5、</w:t>
      </w:r>
      <w:r w:rsidR="0002608C" w:rsidRPr="00501A61">
        <w:rPr>
          <w:rFonts w:asciiTheme="minorEastAsia" w:eastAsiaTheme="minorEastAsia" w:hAnsiTheme="minorEastAsia"/>
        </w:rPr>
        <w:t>购买力风险</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rPr>
        <w:t>基金</w:t>
      </w:r>
      <w:r w:rsidRPr="00501A61">
        <w:rPr>
          <w:rFonts w:asciiTheme="minorEastAsia" w:eastAsiaTheme="minorEastAsia" w:hAnsiTheme="minorEastAsia" w:hint="eastAsia"/>
        </w:rPr>
        <w:t>份额</w:t>
      </w:r>
      <w:r w:rsidRPr="00501A61">
        <w:rPr>
          <w:rFonts w:asciiTheme="minorEastAsia" w:eastAsiaTheme="minorEastAsia" w:hAnsiTheme="minorEastAsia"/>
        </w:rPr>
        <w:t>持有人收益将主要通过现金形式来分配，而现金可能因为通货膨胀因素而使其购买力下降,从而使基金的实际收益下降。</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66" w:name="_Toc45632266"/>
      <w:r w:rsidRPr="00501A61">
        <w:rPr>
          <w:rFonts w:asciiTheme="minorEastAsia" w:eastAsiaTheme="minorEastAsia" w:hAnsiTheme="minorEastAsia"/>
          <w:b w:val="0"/>
        </w:rPr>
        <w:t>（</w:t>
      </w:r>
      <w:r w:rsidRPr="00501A61">
        <w:rPr>
          <w:rFonts w:asciiTheme="minorEastAsia" w:eastAsiaTheme="minorEastAsia" w:hAnsiTheme="minorEastAsia" w:hint="eastAsia"/>
          <w:b w:val="0"/>
        </w:rPr>
        <w:t>二</w:t>
      </w:r>
      <w:r w:rsidRPr="00501A61">
        <w:rPr>
          <w:rFonts w:asciiTheme="minorEastAsia" w:eastAsiaTheme="minorEastAsia" w:hAnsiTheme="minorEastAsia"/>
          <w:b w:val="0"/>
        </w:rPr>
        <w:t>）管理风险</w:t>
      </w:r>
      <w:bookmarkEnd w:id="166"/>
    </w:p>
    <w:p w:rsidR="0002608C" w:rsidRPr="00501A61" w:rsidRDefault="00CE2F50"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1、</w:t>
      </w:r>
      <w:r w:rsidR="0002608C" w:rsidRPr="00501A61">
        <w:rPr>
          <w:rFonts w:asciiTheme="minorEastAsia" w:eastAsiaTheme="minorEastAsia" w:hAnsiTheme="minorEastAsia"/>
        </w:rPr>
        <w:t>在基金管理运作过程中，基金管理人的知识、经验、判断、决策、技能等，会影响其对信息的占有以及对经济形势、证券价格走势的判断，从而影响基金收益水平；</w:t>
      </w:r>
    </w:p>
    <w:p w:rsidR="0002608C" w:rsidRPr="00501A61" w:rsidRDefault="00CE2F50"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2、</w:t>
      </w:r>
      <w:r w:rsidR="0002608C" w:rsidRPr="00501A61">
        <w:rPr>
          <w:rFonts w:asciiTheme="minorEastAsia" w:eastAsiaTheme="minorEastAsia" w:hAnsiTheme="minorEastAsia"/>
        </w:rPr>
        <w:t>基金管理人和基金托管人的管理手段和管理技术等因素的变化也会影响基金收益水平。</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67" w:name="_Toc45632267"/>
      <w:r w:rsidRPr="00501A61">
        <w:rPr>
          <w:rFonts w:asciiTheme="minorEastAsia" w:eastAsiaTheme="minorEastAsia" w:hAnsiTheme="minorEastAsia"/>
          <w:b w:val="0"/>
        </w:rPr>
        <w:t>（</w:t>
      </w:r>
      <w:r w:rsidRPr="00501A61">
        <w:rPr>
          <w:rFonts w:asciiTheme="minorEastAsia" w:eastAsiaTheme="minorEastAsia" w:hAnsiTheme="minorEastAsia" w:hint="eastAsia"/>
          <w:b w:val="0"/>
        </w:rPr>
        <w:t>三</w:t>
      </w:r>
      <w:r w:rsidRPr="00501A61">
        <w:rPr>
          <w:rFonts w:asciiTheme="minorEastAsia" w:eastAsiaTheme="minorEastAsia" w:hAnsiTheme="minorEastAsia"/>
          <w:b w:val="0"/>
        </w:rPr>
        <w:t>）流动性风险</w:t>
      </w:r>
      <w:bookmarkEnd w:id="167"/>
    </w:p>
    <w:p w:rsidR="00E56C3D" w:rsidRPr="00501A61" w:rsidRDefault="00E56C3D" w:rsidP="00E56C3D">
      <w:pPr>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1、流动性风险评估</w:t>
      </w:r>
    </w:p>
    <w:p w:rsidR="00E56C3D" w:rsidRPr="00501A61" w:rsidRDefault="00E56C3D" w:rsidP="00E56C3D">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本基金为混合型基金，主要投资于股票</w:t>
      </w:r>
      <w:r w:rsidRPr="00501A61">
        <w:rPr>
          <w:rFonts w:asciiTheme="minorEastAsia" w:eastAsiaTheme="minorEastAsia" w:hAnsiTheme="minorEastAsia"/>
        </w:rPr>
        <w:t>、</w:t>
      </w:r>
      <w:r w:rsidRPr="00501A61">
        <w:rPr>
          <w:rFonts w:asciiTheme="minorEastAsia" w:eastAsiaTheme="minorEastAsia" w:hAnsiTheme="minorEastAsia" w:hint="eastAsia"/>
        </w:rPr>
        <w:t>债券、货币市场工具等，一般情况下，这些资产市场流动性较好。</w:t>
      </w:r>
    </w:p>
    <w:p w:rsidR="00E56C3D" w:rsidRPr="00501A61" w:rsidRDefault="00E56C3D" w:rsidP="00E56C3D">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lastRenderedPageBreak/>
        <w:t>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或其他资产。两者均可能使基金净值受到不利影响。</w:t>
      </w:r>
    </w:p>
    <w:p w:rsidR="00E56C3D" w:rsidRPr="00501A61" w:rsidRDefault="00E56C3D" w:rsidP="00E56C3D">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2、巨额赎回情形下的流动性风险管理措施</w:t>
      </w:r>
    </w:p>
    <w:p w:rsidR="00E56C3D" w:rsidRPr="00501A61" w:rsidRDefault="00E56C3D" w:rsidP="00E56C3D">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当本基金发生巨额赎回时</w:t>
      </w:r>
      <w:r w:rsidR="002846B1" w:rsidRPr="00501A61">
        <w:rPr>
          <w:rFonts w:asciiTheme="minorEastAsia" w:eastAsiaTheme="minorEastAsia" w:hAnsiTheme="minorEastAsia" w:hint="eastAsia"/>
        </w:rPr>
        <w:t>，基金管理人可以根据基金当时的资产组合状况决定全额赎回或部分顺延</w:t>
      </w:r>
      <w:r w:rsidRPr="00501A61">
        <w:rPr>
          <w:rFonts w:asciiTheme="minorEastAsia" w:eastAsiaTheme="minorEastAsia" w:hAnsiTheme="minorEastAsia" w:hint="eastAsia"/>
        </w:rPr>
        <w:t>赎回；此外，如出现</w:t>
      </w:r>
      <w:r w:rsidR="002846B1" w:rsidRPr="00501A61">
        <w:rPr>
          <w:rFonts w:asciiTheme="minorEastAsia" w:eastAsiaTheme="minorEastAsia" w:hAnsiTheme="minorEastAsia" w:hint="eastAsia"/>
        </w:rPr>
        <w:t>连续2个开放日以上发生巨额赎回</w:t>
      </w:r>
      <w:r w:rsidRPr="00501A61">
        <w:rPr>
          <w:rFonts w:asciiTheme="minorEastAsia" w:eastAsiaTheme="minorEastAsia" w:hAnsiTheme="minorEastAsia" w:hint="eastAsia"/>
        </w:rPr>
        <w:t>，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之“（十）巨额赎回的认定及处理方式。”</w:t>
      </w:r>
    </w:p>
    <w:p w:rsidR="00E56C3D" w:rsidRPr="00501A61" w:rsidRDefault="00E56C3D" w:rsidP="00E56C3D">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E56C3D" w:rsidRPr="00501A61" w:rsidRDefault="00E56C3D" w:rsidP="00E56C3D">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3、除巨额赎回情形外实施备用的流动性风险管理工具的情形、程序及对投资者的潜在影响</w:t>
      </w:r>
    </w:p>
    <w:p w:rsidR="00E56C3D" w:rsidRPr="00501A61" w:rsidRDefault="00E56C3D" w:rsidP="00E56C3D">
      <w:pPr>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除巨额赎回情形外，本基金备用流动性风险管理工具包括但不限于暂停接受赎回申请、延缓支付赎回款项、收取短期赎回费、暂停基金估值以及证监会认定的其他措施。</w:t>
      </w:r>
    </w:p>
    <w:p w:rsidR="00E56C3D" w:rsidRPr="00501A61" w:rsidRDefault="00E56C3D" w:rsidP="002846B1">
      <w:pPr>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szCs w:val="21"/>
        </w:rPr>
        <w:t>暂停接受赎回申请、延缓支付赎回款项等工具的情形、程序见招募说明书“八、基金份额的申购、赎回”之“</w:t>
      </w:r>
      <w:r w:rsidR="002846B1" w:rsidRPr="00501A61">
        <w:rPr>
          <w:rFonts w:asciiTheme="minorEastAsia" w:eastAsiaTheme="minorEastAsia" w:hAnsiTheme="minorEastAsia" w:hint="eastAsia"/>
          <w:szCs w:val="21"/>
        </w:rPr>
        <w:t>（十一）拒绝或暂停申购、赎回的情形及处理方式</w:t>
      </w:r>
      <w:r w:rsidRPr="00501A61">
        <w:rPr>
          <w:rFonts w:asciiTheme="minorEastAsia" w:eastAsiaTheme="minorEastAsia" w:hAnsiTheme="minorEastAsia" w:hint="eastAsia"/>
        </w:rPr>
        <w:t>”的相关规定。</w:t>
      </w:r>
      <w:r w:rsidRPr="00501A61">
        <w:rPr>
          <w:rFonts w:asciiTheme="minorEastAsia" w:eastAsiaTheme="minorEastAsia" w:hAnsiTheme="minorEastAsia" w:hint="eastAsia"/>
          <w:szCs w:val="21"/>
        </w:rPr>
        <w:t>若本基金暂停赎回申请，投</w:t>
      </w:r>
      <w:r w:rsidRPr="00501A61">
        <w:rPr>
          <w:rFonts w:asciiTheme="minorEastAsia" w:eastAsiaTheme="minorEastAsia" w:hAnsiTheme="minorEastAsia" w:hint="eastAsia"/>
        </w:rPr>
        <w:t>资者在暂停赎回期间将无法赎回其持有的基金份额。若</w:t>
      </w:r>
      <w:r w:rsidRPr="00501A61">
        <w:rPr>
          <w:rFonts w:asciiTheme="minorEastAsia" w:eastAsiaTheme="minorEastAsia" w:hAnsiTheme="minorEastAsia" w:hint="eastAsia"/>
          <w:szCs w:val="21"/>
        </w:rPr>
        <w:t>本基金延缓支付赎回款项，赎回款支付时间将后延，可能对投资者的资金安排带来不利影响。</w:t>
      </w:r>
    </w:p>
    <w:p w:rsidR="00E56C3D" w:rsidRPr="00501A61" w:rsidRDefault="00E56C3D" w:rsidP="00E56C3D">
      <w:pPr>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02608C" w:rsidRPr="00501A61" w:rsidRDefault="00E56C3D" w:rsidP="00E56C3D">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暂停基金估值的情形、程序见招募说明书“十四、基金资产的估值”之“（六）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w:t>
      </w:r>
      <w:r w:rsidRPr="00501A61">
        <w:rPr>
          <w:rFonts w:asciiTheme="minorEastAsia" w:eastAsiaTheme="minorEastAsia" w:hAnsiTheme="minorEastAsia" w:hint="eastAsia"/>
          <w:szCs w:val="21"/>
        </w:rPr>
        <w:lastRenderedPageBreak/>
        <w:t>基金。</w:t>
      </w:r>
    </w:p>
    <w:p w:rsidR="00AD6F54" w:rsidRPr="00501A61" w:rsidRDefault="00AD6F54" w:rsidP="009F7BDB">
      <w:pPr>
        <w:pStyle w:val="20"/>
        <w:snapToGrid w:val="0"/>
        <w:spacing w:beforeLines="0" w:afterLines="0" w:line="360" w:lineRule="auto"/>
        <w:ind w:firstLineChars="0" w:firstLine="0"/>
        <w:rPr>
          <w:rFonts w:asciiTheme="minorEastAsia" w:eastAsiaTheme="minorEastAsia" w:hAnsiTheme="minorEastAsia"/>
        </w:rPr>
      </w:pPr>
      <w:bookmarkStart w:id="168" w:name="_Toc45632268"/>
      <w:r w:rsidRPr="00501A61">
        <w:rPr>
          <w:rFonts w:asciiTheme="minorEastAsia" w:eastAsiaTheme="minorEastAsia" w:hAnsiTheme="minorEastAsia" w:hint="eastAsia"/>
          <w:b w:val="0"/>
        </w:rPr>
        <w:t>（四）本基金法律文件中涉及基金风险特征的表述与销售机构对基金的风险评级可能不一致的风险</w:t>
      </w:r>
      <w:bookmarkEnd w:id="168"/>
    </w:p>
    <w:p w:rsidR="00AD6F54" w:rsidRPr="00501A61" w:rsidRDefault="00AD6F54" w:rsidP="00AD6F54">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69" w:name="_Toc45632269"/>
      <w:r w:rsidRPr="00501A61">
        <w:rPr>
          <w:rFonts w:asciiTheme="minorEastAsia" w:eastAsiaTheme="minorEastAsia" w:hAnsiTheme="minorEastAsia"/>
          <w:b w:val="0"/>
        </w:rPr>
        <w:t>（</w:t>
      </w:r>
      <w:r w:rsidR="00AD6F54" w:rsidRPr="00501A61">
        <w:rPr>
          <w:rFonts w:asciiTheme="minorEastAsia" w:eastAsiaTheme="minorEastAsia" w:hAnsiTheme="minorEastAsia" w:hint="eastAsia"/>
          <w:b w:val="0"/>
        </w:rPr>
        <w:t>五</w:t>
      </w:r>
      <w:r w:rsidRPr="00501A61">
        <w:rPr>
          <w:rFonts w:asciiTheme="minorEastAsia" w:eastAsiaTheme="minorEastAsia" w:hAnsiTheme="minorEastAsia"/>
          <w:b w:val="0"/>
        </w:rPr>
        <w:t>）本基金特有的风险</w:t>
      </w:r>
      <w:bookmarkEnd w:id="169"/>
    </w:p>
    <w:p w:rsidR="0002608C" w:rsidRPr="00501A61" w:rsidRDefault="00874053"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w:t>
      </w:r>
      <w:r w:rsidR="0002608C" w:rsidRPr="00501A61">
        <w:rPr>
          <w:rFonts w:asciiTheme="minorEastAsia" w:eastAsiaTheme="minorEastAsia" w:hAnsiTheme="minorEastAsia" w:hint="eastAsia"/>
        </w:rPr>
        <w:t>本基金主要投资于具有中长期持续增长或阶段性高速增长能力的优秀企业，投资策略上也相对以中长期持有为主，保持股票仓位的相对稳定。因此本基金特有的风险主要包括：首先，在选股策略上本基金特有的风险主要来自两个方面：一是</w:t>
      </w:r>
      <w:r w:rsidR="0002608C" w:rsidRPr="00501A61">
        <w:rPr>
          <w:rFonts w:asciiTheme="minorEastAsia" w:eastAsiaTheme="minorEastAsia" w:hAnsiTheme="minorEastAsia"/>
        </w:rPr>
        <w:t>对</w:t>
      </w:r>
      <w:r w:rsidR="0002608C" w:rsidRPr="00501A61">
        <w:rPr>
          <w:rFonts w:asciiTheme="minorEastAsia" w:eastAsiaTheme="minorEastAsia" w:hAnsiTheme="minorEastAsia" w:hint="eastAsia"/>
        </w:rPr>
        <w:t>行业及</w:t>
      </w:r>
      <w:r w:rsidR="0002608C" w:rsidRPr="00501A61">
        <w:rPr>
          <w:rFonts w:asciiTheme="minorEastAsia" w:eastAsiaTheme="minorEastAsia" w:hAnsiTheme="minorEastAsia"/>
        </w:rPr>
        <w:t>上市公司的</w:t>
      </w:r>
      <w:r w:rsidR="0002608C" w:rsidRPr="00501A61">
        <w:rPr>
          <w:rFonts w:asciiTheme="minorEastAsia" w:eastAsiaTheme="minorEastAsia" w:hAnsiTheme="minorEastAsia" w:hint="eastAsia"/>
        </w:rPr>
        <w:t>基本面研究</w:t>
      </w:r>
      <w:r w:rsidR="0002608C" w:rsidRPr="00501A61">
        <w:rPr>
          <w:rFonts w:asciiTheme="minorEastAsia" w:eastAsiaTheme="minorEastAsia" w:hAnsiTheme="minorEastAsia"/>
        </w:rPr>
        <w:t>是否准确、深入，</w:t>
      </w:r>
      <w:r w:rsidR="0002608C" w:rsidRPr="00501A61">
        <w:rPr>
          <w:rFonts w:asciiTheme="minorEastAsia" w:eastAsiaTheme="minorEastAsia" w:hAnsiTheme="minorEastAsia" w:hint="eastAsia"/>
        </w:rPr>
        <w:t>二是所采用的估值方法是否科学、合理。基本面研究及估值过程中存在的缺陷及错误均可能导致所选择的证券不能完全符合本基金的预期目标。其次，在投资策略方面本基金特有的风险主要在于：不同时期市场可能会有不同的偏好和热点，本基金相对侧重于中长期持有的投资策略可能使基金表现在特定时期落后于大市或其它股票基金。</w:t>
      </w:r>
    </w:p>
    <w:p w:rsidR="00874053" w:rsidRPr="00501A61" w:rsidRDefault="00874053" w:rsidP="00874053">
      <w:pPr>
        <w:snapToGrid w:val="0"/>
        <w:spacing w:line="360" w:lineRule="auto"/>
        <w:ind w:firstLineChars="200" w:firstLine="420"/>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2、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874053" w:rsidRPr="00501A61" w:rsidRDefault="00874053" w:rsidP="00874053">
      <w:pPr>
        <w:snapToGrid w:val="0"/>
        <w:spacing w:line="360" w:lineRule="auto"/>
        <w:ind w:firstLineChars="200" w:firstLine="420"/>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科创板股票在发行、上市、交易、退市等方面的规则与其他板块存在差异，基金投资科创板股票的风险包括但不限于：</w:t>
      </w:r>
    </w:p>
    <w:p w:rsidR="00874053" w:rsidRPr="00501A61" w:rsidRDefault="00874053" w:rsidP="00874053">
      <w:pPr>
        <w:snapToGrid w:val="0"/>
        <w:spacing w:line="360" w:lineRule="auto"/>
        <w:ind w:firstLineChars="200" w:firstLine="420"/>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（1）科创板企业退市风险</w:t>
      </w:r>
    </w:p>
    <w:p w:rsidR="00874053" w:rsidRPr="00501A61" w:rsidRDefault="00874053" w:rsidP="00874053">
      <w:pPr>
        <w:snapToGrid w:val="0"/>
        <w:spacing w:line="360" w:lineRule="auto"/>
        <w:ind w:firstLineChars="200" w:firstLine="420"/>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874053" w:rsidRPr="00501A61" w:rsidRDefault="00874053" w:rsidP="00874053">
      <w:pPr>
        <w:snapToGrid w:val="0"/>
        <w:spacing w:line="360" w:lineRule="auto"/>
        <w:ind w:firstLineChars="200" w:firstLine="420"/>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（2）市场风险</w:t>
      </w:r>
    </w:p>
    <w:p w:rsidR="00874053" w:rsidRPr="00501A61" w:rsidRDefault="00874053" w:rsidP="00874053">
      <w:pPr>
        <w:snapToGrid w:val="0"/>
        <w:spacing w:line="360" w:lineRule="auto"/>
        <w:ind w:firstLineChars="200" w:firstLine="420"/>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科创板企业相对集中于新一代信息技术、高端装备、新材料、新能源、节能环保及生物</w:t>
      </w:r>
      <w:r w:rsidRPr="00501A61">
        <w:rPr>
          <w:rFonts w:asciiTheme="minorEastAsia" w:eastAsiaTheme="minorEastAsia" w:hAnsiTheme="minorEastAsia" w:hint="eastAsia"/>
          <w:kern w:val="0"/>
          <w:szCs w:val="21"/>
        </w:rPr>
        <w:lastRenderedPageBreak/>
        <w:t>医药等高新技术和战略新兴产业领域，大多数企业为初创型公司，上市门槛略低于A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5个交易日不设涨跌幅限制，其后涨跌幅限制为20%）、科创板股票上市首日即可作为融资融券标的，可能导致较大的股票价格波动。</w:t>
      </w:r>
    </w:p>
    <w:p w:rsidR="00874053" w:rsidRPr="00501A61" w:rsidRDefault="00874053" w:rsidP="00874053">
      <w:pPr>
        <w:snapToGrid w:val="0"/>
        <w:spacing w:line="360" w:lineRule="auto"/>
        <w:ind w:firstLineChars="200" w:firstLine="420"/>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（3）流动性风险</w:t>
      </w:r>
    </w:p>
    <w:p w:rsidR="00874053" w:rsidRPr="00501A61" w:rsidRDefault="00874053" w:rsidP="00874053">
      <w:pPr>
        <w:snapToGrid w:val="0"/>
        <w:spacing w:line="360" w:lineRule="auto"/>
        <w:ind w:firstLineChars="200" w:firstLine="420"/>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874053" w:rsidRPr="00501A61" w:rsidRDefault="00874053" w:rsidP="00874053">
      <w:pPr>
        <w:snapToGrid w:val="0"/>
        <w:spacing w:line="360" w:lineRule="auto"/>
        <w:ind w:firstLineChars="200" w:firstLine="420"/>
        <w:rPr>
          <w:rFonts w:asciiTheme="minorEastAsia" w:eastAsiaTheme="minorEastAsia" w:hAnsiTheme="minorEastAsia"/>
          <w:kern w:val="0"/>
          <w:szCs w:val="21"/>
        </w:rPr>
      </w:pPr>
      <w:r w:rsidRPr="00501A61">
        <w:rPr>
          <w:rFonts w:asciiTheme="minorEastAsia" w:eastAsiaTheme="minorEastAsia" w:hAnsiTheme="minorEastAsia" w:hint="eastAsia"/>
          <w:kern w:val="0"/>
          <w:szCs w:val="21"/>
        </w:rPr>
        <w:t>（4）监管规则变化的风险</w:t>
      </w:r>
    </w:p>
    <w:p w:rsidR="00874053" w:rsidRPr="00501A61" w:rsidRDefault="00874053" w:rsidP="00874053">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kern w:val="0"/>
          <w:szCs w:val="21"/>
        </w:rPr>
        <w:t>科创板股票相关法律、行政法规、部门规章、规范性文件和交易所业务规则，可能根据市场情况进行修改完善，或者补充制定新的法律法规和业务规则，导致基金投资运作产生相应调整变化。</w:t>
      </w:r>
    </w:p>
    <w:p w:rsidR="0002608C" w:rsidRPr="00501A61" w:rsidRDefault="00AD6F54" w:rsidP="009F7BDB">
      <w:pPr>
        <w:pStyle w:val="20"/>
        <w:snapToGrid w:val="0"/>
        <w:spacing w:beforeLines="0" w:afterLines="0" w:line="360" w:lineRule="auto"/>
        <w:ind w:firstLineChars="0" w:firstLine="0"/>
        <w:rPr>
          <w:rFonts w:asciiTheme="minorEastAsia" w:eastAsiaTheme="minorEastAsia" w:hAnsiTheme="minorEastAsia"/>
          <w:b w:val="0"/>
        </w:rPr>
      </w:pPr>
      <w:bookmarkStart w:id="170" w:name="_Toc45632270"/>
      <w:r w:rsidRPr="00501A61">
        <w:rPr>
          <w:rFonts w:asciiTheme="minorEastAsia" w:eastAsiaTheme="minorEastAsia" w:hAnsiTheme="minorEastAsia" w:hint="eastAsia"/>
          <w:b w:val="0"/>
        </w:rPr>
        <w:t>（六</w:t>
      </w:r>
      <w:r w:rsidRPr="00501A61">
        <w:rPr>
          <w:rFonts w:asciiTheme="minorEastAsia" w:eastAsiaTheme="minorEastAsia" w:hAnsiTheme="minorEastAsia"/>
          <w:b w:val="0"/>
        </w:rPr>
        <w:t>）</w:t>
      </w:r>
      <w:r w:rsidR="0002608C" w:rsidRPr="00501A61">
        <w:rPr>
          <w:rFonts w:asciiTheme="minorEastAsia" w:eastAsiaTheme="minorEastAsia" w:hAnsiTheme="minorEastAsia"/>
          <w:b w:val="0"/>
        </w:rPr>
        <w:t>其他风险</w:t>
      </w:r>
      <w:bookmarkEnd w:id="170"/>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w:t>
      </w:r>
      <w:r w:rsidR="00CE2F50" w:rsidRPr="00501A61">
        <w:rPr>
          <w:rFonts w:asciiTheme="minorEastAsia" w:eastAsiaTheme="minorEastAsia" w:hAnsiTheme="minorEastAsia" w:hint="eastAsia"/>
        </w:rPr>
        <w:t>、</w:t>
      </w:r>
      <w:r w:rsidRPr="00501A61">
        <w:rPr>
          <w:rFonts w:asciiTheme="minorEastAsia" w:eastAsiaTheme="minorEastAsia" w:hAnsiTheme="minorEastAsia"/>
        </w:rPr>
        <w:t>因技术因素而产生的风险，如电脑系统不可靠产生的风险；</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2</w:t>
      </w:r>
      <w:r w:rsidR="00CE2F50" w:rsidRPr="00501A61">
        <w:rPr>
          <w:rFonts w:asciiTheme="minorEastAsia" w:eastAsiaTheme="minorEastAsia" w:hAnsiTheme="minorEastAsia" w:hint="eastAsia"/>
        </w:rPr>
        <w:t>、</w:t>
      </w:r>
      <w:r w:rsidRPr="00501A61">
        <w:rPr>
          <w:rFonts w:asciiTheme="minorEastAsia" w:eastAsiaTheme="minorEastAsia" w:hAnsiTheme="minorEastAsia" w:hint="eastAsia"/>
        </w:rPr>
        <w:t>因战争、自然灾害等不可抗力导致的基金管理人、基金托管人、基金</w:t>
      </w:r>
      <w:r w:rsidR="0014219A" w:rsidRPr="00501A61">
        <w:rPr>
          <w:rFonts w:asciiTheme="minorEastAsia" w:eastAsiaTheme="minorEastAsia" w:hAnsiTheme="minorEastAsia" w:hint="eastAsia"/>
        </w:rPr>
        <w:t>服务</w:t>
      </w:r>
      <w:r w:rsidRPr="00501A61">
        <w:rPr>
          <w:rFonts w:asciiTheme="minorEastAsia" w:eastAsiaTheme="minorEastAsia" w:hAnsiTheme="minorEastAsia" w:hint="eastAsia"/>
        </w:rPr>
        <w:t>机构等机构无法正常工作，从而影响基金运作的风险；</w:t>
      </w:r>
    </w:p>
    <w:p w:rsidR="0002608C" w:rsidRPr="00501A61" w:rsidRDefault="0002608C"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3</w:t>
      </w:r>
      <w:r w:rsidR="00CE2F50" w:rsidRPr="00501A61">
        <w:rPr>
          <w:rFonts w:asciiTheme="minorEastAsia" w:eastAsiaTheme="minorEastAsia" w:hAnsiTheme="minorEastAsia" w:hint="eastAsia"/>
        </w:rPr>
        <w:t>、</w:t>
      </w:r>
      <w:r w:rsidRPr="00501A61">
        <w:rPr>
          <w:rFonts w:asciiTheme="minorEastAsia" w:eastAsiaTheme="minorEastAsia" w:hAnsiTheme="minorEastAsia" w:hint="eastAsia"/>
        </w:rPr>
        <w:t>因金融市场危机、代理商违约、基金托管人违约等超出基金管理人自身控制能力的因素出现，可能导致基金或者基金份额持有人利益受损的风险。</w:t>
      </w:r>
    </w:p>
    <w:p w:rsidR="00E1094C" w:rsidRPr="00501A61" w:rsidRDefault="00E1094C" w:rsidP="00107648">
      <w:pPr>
        <w:snapToGrid w:val="0"/>
        <w:spacing w:line="360" w:lineRule="auto"/>
        <w:ind w:firstLine="420"/>
        <w:rPr>
          <w:rFonts w:asciiTheme="minorEastAsia" w:eastAsiaTheme="minorEastAsia" w:hAnsiTheme="minorEastAsia"/>
        </w:rPr>
        <w:sectPr w:rsidR="00E1094C" w:rsidRPr="00501A61" w:rsidSect="003920FC">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Cs/>
        </w:rPr>
      </w:pPr>
      <w:bookmarkStart w:id="171" w:name="_Toc45632271"/>
      <w:r w:rsidRPr="00501A61">
        <w:rPr>
          <w:rFonts w:asciiTheme="minorEastAsia" w:eastAsiaTheme="minorEastAsia" w:hAnsiTheme="minorEastAsia" w:hint="eastAsia"/>
          <w:b/>
          <w:bCs/>
        </w:rPr>
        <w:lastRenderedPageBreak/>
        <w:t>二十、基金合同的终止与基金财产的清算</w:t>
      </w:r>
      <w:bookmarkEnd w:id="171"/>
    </w:p>
    <w:p w:rsidR="0002608C" w:rsidRPr="00501A61" w:rsidRDefault="0002608C" w:rsidP="00107648">
      <w:pPr>
        <w:pStyle w:val="20"/>
        <w:snapToGrid w:val="0"/>
        <w:spacing w:beforeLines="0" w:afterLines="0" w:line="360" w:lineRule="auto"/>
        <w:ind w:firstLineChars="0"/>
        <w:rPr>
          <w:rFonts w:asciiTheme="minorEastAsia" w:eastAsiaTheme="minorEastAsia" w:hAnsiTheme="minorEastAsia"/>
          <w:b w:val="0"/>
        </w:rPr>
      </w:pPr>
      <w:bookmarkStart w:id="172" w:name="_Toc97031319"/>
      <w:bookmarkStart w:id="173" w:name="_Toc97107279"/>
      <w:bookmarkStart w:id="174" w:name="_Toc86584659"/>
      <w:bookmarkStart w:id="175" w:name="_Toc45632272"/>
      <w:bookmarkEnd w:id="172"/>
      <w:bookmarkEnd w:id="173"/>
      <w:r w:rsidRPr="00501A61">
        <w:rPr>
          <w:rFonts w:asciiTheme="minorEastAsia" w:eastAsiaTheme="minorEastAsia" w:hAnsiTheme="minorEastAsia" w:hint="eastAsia"/>
          <w:b w:val="0"/>
        </w:rPr>
        <w:t>（一）基金合同的终止</w:t>
      </w:r>
      <w:bookmarkEnd w:id="174"/>
      <w:bookmarkEnd w:id="175"/>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出现下列情形之一的，基金合同</w:t>
      </w:r>
      <w:r w:rsidR="00E374EA" w:rsidRPr="00501A61">
        <w:rPr>
          <w:rFonts w:asciiTheme="minorEastAsia" w:eastAsiaTheme="minorEastAsia" w:hAnsiTheme="minorEastAsia" w:hint="eastAsia"/>
          <w:szCs w:val="21"/>
        </w:rPr>
        <w:t>应当</w:t>
      </w:r>
      <w:r w:rsidRPr="00501A61">
        <w:rPr>
          <w:rFonts w:asciiTheme="minorEastAsia" w:eastAsiaTheme="minorEastAsia" w:hAnsiTheme="minorEastAsia" w:hint="eastAsia"/>
          <w:szCs w:val="21"/>
        </w:rPr>
        <w:t>终止：</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w:t>
      </w:r>
      <w:r w:rsidR="0002608C" w:rsidRPr="00501A61">
        <w:rPr>
          <w:rFonts w:asciiTheme="minorEastAsia" w:eastAsiaTheme="minorEastAsia" w:hAnsiTheme="minorEastAsia" w:hint="eastAsia"/>
        </w:rPr>
        <w:t>基金份额持有人大会决定终止的；</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2、</w:t>
      </w:r>
      <w:r w:rsidR="0002608C" w:rsidRPr="00501A61">
        <w:rPr>
          <w:rFonts w:asciiTheme="minorEastAsia" w:eastAsiaTheme="minorEastAsia" w:hAnsiTheme="minorEastAsia" w:hint="eastAsia"/>
        </w:rPr>
        <w:t>基金管理人、基金托管人职责终止，在6个月内没有新基金管理人、新基金托管人承接的；</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3、</w:t>
      </w:r>
      <w:r w:rsidR="0002608C" w:rsidRPr="00501A61">
        <w:rPr>
          <w:rFonts w:asciiTheme="minorEastAsia" w:eastAsiaTheme="minorEastAsia" w:hAnsiTheme="minorEastAsia" w:hint="eastAsia"/>
        </w:rPr>
        <w:t>《基金合同》约定的其他情形；</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4、</w:t>
      </w:r>
      <w:r w:rsidR="0002608C" w:rsidRPr="00501A61">
        <w:rPr>
          <w:rFonts w:asciiTheme="minorEastAsia" w:eastAsiaTheme="minorEastAsia" w:hAnsiTheme="minorEastAsia" w:hint="eastAsia"/>
        </w:rPr>
        <w:t>相关法律法规和中国证监会规定的其他情况。</w:t>
      </w:r>
    </w:p>
    <w:p w:rsidR="0002608C"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基金合同终止后，基金管理人和基金托管人依照《基金法》、《运作办法》、基金合同及其他有关规定，行使请求给付报酬、从基金资产中获得补偿的权利时，可以留置基金资产或者对基金资产的权利归属人提出请求。</w:t>
      </w:r>
    </w:p>
    <w:p w:rsidR="0002608C" w:rsidRPr="00501A61" w:rsidRDefault="0002608C" w:rsidP="00107648">
      <w:pPr>
        <w:pStyle w:val="20"/>
        <w:snapToGrid w:val="0"/>
        <w:spacing w:beforeLines="0" w:afterLines="0" w:line="360" w:lineRule="auto"/>
        <w:ind w:firstLineChars="0"/>
        <w:rPr>
          <w:rFonts w:asciiTheme="minorEastAsia" w:eastAsiaTheme="minorEastAsia" w:hAnsiTheme="minorEastAsia"/>
          <w:b w:val="0"/>
        </w:rPr>
      </w:pPr>
      <w:bookmarkStart w:id="176" w:name="_Toc86584660"/>
      <w:bookmarkStart w:id="177" w:name="_Toc45632273"/>
      <w:r w:rsidRPr="00501A61">
        <w:rPr>
          <w:rFonts w:asciiTheme="minorEastAsia" w:eastAsiaTheme="minorEastAsia" w:hAnsiTheme="minorEastAsia" w:hint="eastAsia"/>
          <w:b w:val="0"/>
        </w:rPr>
        <w:t>（二）基金财产的清算</w:t>
      </w:r>
      <w:bookmarkEnd w:id="176"/>
      <w:bookmarkEnd w:id="177"/>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1、</w:t>
      </w:r>
      <w:r w:rsidR="0002608C" w:rsidRPr="00501A61">
        <w:rPr>
          <w:rFonts w:asciiTheme="minorEastAsia" w:eastAsiaTheme="minorEastAsia" w:hAnsiTheme="minorEastAsia" w:hint="eastAsia"/>
        </w:rPr>
        <w:t>清算小组</w:t>
      </w:r>
    </w:p>
    <w:p w:rsidR="0002608C" w:rsidRPr="00501A61" w:rsidRDefault="0002608C" w:rsidP="00107648">
      <w:pPr>
        <w:numPr>
          <w:ilvl w:val="0"/>
          <w:numId w:val="27"/>
        </w:numPr>
        <w:snapToGrid w:val="0"/>
        <w:spacing w:line="360" w:lineRule="auto"/>
        <w:ind w:left="0"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自基金合同终止之日起30个工作日内成立清算小组，清算小组在中国证监会的监督下进行清算。</w:t>
      </w:r>
    </w:p>
    <w:p w:rsidR="0002608C" w:rsidRPr="00501A61" w:rsidRDefault="0002608C" w:rsidP="00107648">
      <w:pPr>
        <w:numPr>
          <w:ilvl w:val="0"/>
          <w:numId w:val="27"/>
        </w:numPr>
        <w:snapToGrid w:val="0"/>
        <w:spacing w:line="360" w:lineRule="auto"/>
        <w:ind w:left="0"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清算小组成员由基金管理人、基金托管人、具有从事证券相关业务资格的注册会计师、律师以及中国证监会指定的人员组成。清算小组可以聘用必要的工作人员。清算小组在成立后五个工作日内应当公告。</w:t>
      </w:r>
    </w:p>
    <w:p w:rsidR="0002608C" w:rsidRPr="00501A61" w:rsidRDefault="0002608C" w:rsidP="00107648">
      <w:pPr>
        <w:numPr>
          <w:ilvl w:val="0"/>
          <w:numId w:val="27"/>
        </w:numPr>
        <w:snapToGrid w:val="0"/>
        <w:spacing w:line="360" w:lineRule="auto"/>
        <w:ind w:left="0"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清算小组负责基金资产的保管、清理、估价、变现和分配。清算小组可以依法以基金的名义进行必要的民事活动。</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2、</w:t>
      </w:r>
      <w:r w:rsidR="0002608C" w:rsidRPr="00501A61">
        <w:rPr>
          <w:rFonts w:asciiTheme="minorEastAsia" w:eastAsiaTheme="minorEastAsia" w:hAnsiTheme="minorEastAsia" w:hint="eastAsia"/>
        </w:rPr>
        <w:t>清算程序</w:t>
      </w:r>
    </w:p>
    <w:p w:rsidR="0002608C"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（1）基金合同终止后，由基金财产清算小组统一接管基金；</w:t>
      </w:r>
    </w:p>
    <w:p w:rsidR="0002608C"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（2）对基金财产和债权债务进行清理和确认；</w:t>
      </w:r>
    </w:p>
    <w:p w:rsidR="0002608C"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（3）对基金财产进行估值和变现；</w:t>
      </w:r>
    </w:p>
    <w:p w:rsidR="0002608C"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（4）制作清算报告；</w:t>
      </w:r>
    </w:p>
    <w:p w:rsidR="0002608C"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（5）聘请会计师事务所对清算报告进行外部审计，聘请律师事务所对清算报告出具法律意见书；</w:t>
      </w:r>
    </w:p>
    <w:p w:rsidR="0002608C"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（6）将清算报告报中国证监会备案并公告；</w:t>
      </w:r>
    </w:p>
    <w:p w:rsidR="0002608C" w:rsidRPr="00501A61" w:rsidRDefault="0002608C" w:rsidP="00107648">
      <w:pPr>
        <w:autoSpaceDE w:val="0"/>
        <w:autoSpaceDN w:val="0"/>
        <w:snapToGrid w:val="0"/>
        <w:spacing w:line="360" w:lineRule="auto"/>
        <w:ind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（7）对基金财产进行分配。</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3、</w:t>
      </w:r>
      <w:r w:rsidR="0002608C" w:rsidRPr="00501A61">
        <w:rPr>
          <w:rFonts w:asciiTheme="minorEastAsia" w:eastAsiaTheme="minorEastAsia" w:hAnsiTheme="minorEastAsia" w:hint="eastAsia"/>
        </w:rPr>
        <w:t>清算费用</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清算费用是指清算小组在进行基金财产清算过程中发生的所有合理费用，清算费用由清算小组优先从基金资产中支付。</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4、</w:t>
      </w:r>
      <w:r w:rsidR="0002608C" w:rsidRPr="00501A61">
        <w:rPr>
          <w:rFonts w:asciiTheme="minorEastAsia" w:eastAsiaTheme="minorEastAsia" w:hAnsiTheme="minorEastAsia" w:hint="eastAsia"/>
        </w:rPr>
        <w:t>基金财产清算剩余资产的分配</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依据基金财产清算的分配方案，将基金财产清算后的全部剩余资产扣除基金财产清算费用后，按基金份额持有人持有的基金份额比例进行分配。</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5、</w:t>
      </w:r>
      <w:r w:rsidR="0002608C" w:rsidRPr="00501A61">
        <w:rPr>
          <w:rFonts w:asciiTheme="minorEastAsia" w:eastAsiaTheme="minorEastAsia" w:hAnsiTheme="minorEastAsia" w:hint="eastAsia"/>
        </w:rPr>
        <w:t>基金财产清算的公告</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清算过程中的有关重大事项须及时公告；基金财产清算报告经会计师事务所审计并由律师事务所出具法律意见书后报中国证监会备案并公告。</w:t>
      </w:r>
    </w:p>
    <w:p w:rsidR="0002608C" w:rsidRPr="00501A61" w:rsidRDefault="00CE2F50"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6、</w:t>
      </w:r>
      <w:r w:rsidR="0002608C" w:rsidRPr="00501A61">
        <w:rPr>
          <w:rFonts w:asciiTheme="minorEastAsia" w:eastAsiaTheme="minorEastAsia" w:hAnsiTheme="minorEastAsia" w:hint="eastAsia"/>
        </w:rPr>
        <w:t>清算帐册及文件的保存</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清算帐册及有关文件由基金托管人保存</w:t>
      </w:r>
      <w:r w:rsidRPr="00501A61">
        <w:rPr>
          <w:rFonts w:asciiTheme="minorEastAsia" w:eastAsiaTheme="minorEastAsia" w:hAnsiTheme="minorEastAsia"/>
          <w:szCs w:val="21"/>
        </w:rPr>
        <w:t>15</w:t>
      </w:r>
      <w:r w:rsidRPr="00501A61">
        <w:rPr>
          <w:rFonts w:asciiTheme="minorEastAsia" w:eastAsiaTheme="minorEastAsia" w:hAnsiTheme="minorEastAsia" w:hint="eastAsia"/>
          <w:szCs w:val="21"/>
        </w:rPr>
        <w:t>年以上。</w:t>
      </w:r>
    </w:p>
    <w:p w:rsidR="00E1094C" w:rsidRPr="00501A61" w:rsidRDefault="00E1094C" w:rsidP="00107648">
      <w:pPr>
        <w:snapToGrid w:val="0"/>
        <w:spacing w:line="360" w:lineRule="auto"/>
        <w:ind w:firstLine="420"/>
        <w:rPr>
          <w:rFonts w:asciiTheme="minorEastAsia" w:eastAsiaTheme="minorEastAsia" w:hAnsiTheme="minorEastAsia"/>
          <w:szCs w:val="21"/>
        </w:rPr>
        <w:sectPr w:rsidR="00E1094C" w:rsidRPr="00501A61" w:rsidSect="003920FC">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Cs/>
        </w:rPr>
      </w:pPr>
      <w:bookmarkStart w:id="178" w:name="_Toc45632274"/>
      <w:r w:rsidRPr="00501A61">
        <w:rPr>
          <w:rFonts w:asciiTheme="minorEastAsia" w:eastAsiaTheme="minorEastAsia" w:hAnsiTheme="minorEastAsia" w:hint="eastAsia"/>
          <w:b/>
          <w:bCs/>
        </w:rPr>
        <w:lastRenderedPageBreak/>
        <w:t>二十一、基金合同内容摘要</w:t>
      </w:r>
      <w:bookmarkEnd w:id="178"/>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szCs w:val="21"/>
        </w:rPr>
      </w:pPr>
      <w:bookmarkStart w:id="179" w:name="_Toc45632275"/>
      <w:r w:rsidRPr="00501A61">
        <w:rPr>
          <w:rFonts w:asciiTheme="minorEastAsia" w:eastAsiaTheme="minorEastAsia" w:hAnsiTheme="minorEastAsia" w:hint="eastAsia"/>
          <w:b w:val="0"/>
          <w:bCs/>
        </w:rPr>
        <w:t>（一）前言</w:t>
      </w:r>
      <w:bookmarkEnd w:id="179"/>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为保护基金投资者合法权益，明确基金合同当事人的权利与义务，规范</w:t>
      </w:r>
      <w:r w:rsidR="00906A80" w:rsidRPr="00501A61">
        <w:rPr>
          <w:rFonts w:asciiTheme="minorEastAsia" w:eastAsiaTheme="minorEastAsia" w:hAnsiTheme="minorEastAsia" w:hint="eastAsia"/>
          <w:szCs w:val="21"/>
        </w:rPr>
        <w:t>易方达价值精选混合型证券投资基金</w:t>
      </w:r>
      <w:r w:rsidRPr="00501A61">
        <w:rPr>
          <w:rFonts w:asciiTheme="minorEastAsia" w:eastAsiaTheme="minorEastAsia" w:hAnsiTheme="minorEastAsia" w:hint="eastAsia"/>
          <w:szCs w:val="21"/>
        </w:rPr>
        <w:t>（以下简称“本基金”或“基金”）的运作，依照《中华人民共和国合同法》、《中华人民共和国证券投资基金法》（以下简称“《基金法》”）、《</w:t>
      </w:r>
      <w:r w:rsidR="00BA1AA4" w:rsidRPr="00501A61">
        <w:rPr>
          <w:rFonts w:asciiTheme="minorEastAsia" w:eastAsiaTheme="minorEastAsia" w:hAnsiTheme="minorEastAsia" w:hint="eastAsia"/>
          <w:szCs w:val="21"/>
        </w:rPr>
        <w:t>公开募集</w:t>
      </w:r>
      <w:r w:rsidRPr="00501A61">
        <w:rPr>
          <w:rFonts w:asciiTheme="minorEastAsia" w:eastAsiaTheme="minorEastAsia" w:hAnsiTheme="minorEastAsia" w:hint="eastAsia"/>
          <w:szCs w:val="21"/>
        </w:rPr>
        <w:t>证券投资基金运作管理办法》（以下简称“《运作办法》”）、《证券投资基金销售管理办法》（以下简称“《销售办法》”）、《</w:t>
      </w:r>
      <w:r w:rsidR="00AD6F54" w:rsidRPr="00501A61">
        <w:rPr>
          <w:rFonts w:asciiTheme="minorEastAsia" w:eastAsiaTheme="minorEastAsia" w:hAnsiTheme="minorEastAsia" w:hint="eastAsia"/>
          <w:szCs w:val="21"/>
        </w:rPr>
        <w:t>公开募集</w:t>
      </w:r>
      <w:r w:rsidRPr="00501A61">
        <w:rPr>
          <w:rFonts w:asciiTheme="minorEastAsia" w:eastAsiaTheme="minorEastAsia" w:hAnsiTheme="minorEastAsia" w:hint="eastAsia"/>
          <w:szCs w:val="21"/>
        </w:rPr>
        <w:t>证券投资基金信息披露管理办法》（以下简称“《信息披露办法》”）及其他有关规定，在平等自愿、诚实信用、充分保护基金投资者及相关当事人的合法权益的原则基础上，特订立《</w:t>
      </w:r>
      <w:r w:rsidR="00906A80" w:rsidRPr="00501A61">
        <w:rPr>
          <w:rFonts w:asciiTheme="minorEastAsia" w:eastAsiaTheme="minorEastAsia" w:hAnsiTheme="minorEastAsia" w:hint="eastAsia"/>
          <w:szCs w:val="21"/>
        </w:rPr>
        <w:t>易方达价值精选混合型证券投资基金</w:t>
      </w:r>
      <w:r w:rsidRPr="00501A61">
        <w:rPr>
          <w:rFonts w:asciiTheme="minorEastAsia" w:eastAsiaTheme="minorEastAsia" w:hAnsiTheme="minorEastAsia" w:hint="eastAsia"/>
          <w:szCs w:val="21"/>
        </w:rPr>
        <w:t>基金合同》（以下简称“本合同”或“《基金合同》”）。</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合同》是规定基金合同当事人之间权利义务的基本法律文件，其他与本基金相关的涉及基金合同当事人之间权利义务关系的任何文件或表述，均以本合同为准。《基金合同》的当事人包括基金管理人、基金托管人和基金份额持有人。基金投资者自依《基金合同》取得基金份额，即成为基金份额持有人和《基金合同》的当事人，其持有基金份额的行为本身即表明其对《基金合同》的承认和接受。《基金合同》的当事人按照法律法规和《基金合同》的规定享有权利，同时需承担相应的义务。</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由基金管理人按照法律法规和《基金合同》的规定募集，并经中国证监会核准。中国证监会对基金募集的核准并不表明其对本基金的价值和收益作出实质性判断或保证，也不表明投资于本基金没有风险。投资者投资于本基金，必须自担风险。</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基金管理人依照恪尽职守、诚实信用、谨慎勤勉的原则管理和运用基金财产，但不保证</w:t>
      </w:r>
      <w:r w:rsidRPr="00501A61">
        <w:rPr>
          <w:rFonts w:asciiTheme="minorEastAsia" w:eastAsiaTheme="minorEastAsia" w:hAnsiTheme="minorEastAsia"/>
          <w:szCs w:val="21"/>
        </w:rPr>
        <w:t>投资</w:t>
      </w:r>
      <w:r w:rsidRPr="00501A61">
        <w:rPr>
          <w:rFonts w:asciiTheme="minorEastAsia" w:eastAsiaTheme="minorEastAsia" w:hAnsiTheme="minorEastAsia" w:hint="eastAsia"/>
          <w:szCs w:val="21"/>
        </w:rPr>
        <w:t>本基金一定盈利，也不保证基金份额持有人的最低收益。</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合同》应当适用《基金法》及相应法律法规之规定，若因法律法规的修改或更新导致《基金合同》的内容与届时有效的法律法规的规定不一致，应当以届时有效的法律法规的规定为准，及时作出相应的变更和调整，同时就该等变更或调整进行公告。</w:t>
      </w:r>
    </w:p>
    <w:p w:rsidR="00AD6F54" w:rsidRPr="00501A61" w:rsidRDefault="00AD6F54" w:rsidP="00107648">
      <w:pPr>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rPr>
        <w:t>本基金合同约定的基金产品资料概要编制、披露与更新要求，自《信息披露办法》实施之日起一年后开始执行。</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rPr>
      </w:pPr>
      <w:bookmarkStart w:id="180" w:name="_Toc45632276"/>
      <w:r w:rsidRPr="00501A61">
        <w:rPr>
          <w:rFonts w:asciiTheme="minorEastAsia" w:eastAsiaTheme="minorEastAsia" w:hAnsiTheme="minorEastAsia" w:hint="eastAsia"/>
          <w:b w:val="0"/>
          <w:bCs/>
        </w:rPr>
        <w:t>（二）基金管理人的权利与义务</w:t>
      </w:r>
      <w:bookmarkEnd w:id="180"/>
    </w:p>
    <w:p w:rsidR="0002608C" w:rsidRPr="00501A61" w:rsidRDefault="00CE2F50"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根据《基金法》、《运作办法》及其他有关规定，基金管理人的权利包括但不限于：</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Pr="00501A61">
        <w:rPr>
          <w:rFonts w:asciiTheme="minorEastAsia" w:eastAsiaTheme="minorEastAsia" w:hAnsiTheme="minorEastAsia" w:hint="eastAsia"/>
          <w:szCs w:val="21"/>
        </w:rPr>
        <w:tab/>
        <w:t>依法募集基金；</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Pr="00501A61">
        <w:rPr>
          <w:rFonts w:asciiTheme="minorEastAsia" w:eastAsiaTheme="minorEastAsia" w:hAnsiTheme="minorEastAsia" w:hint="eastAsia"/>
          <w:szCs w:val="21"/>
        </w:rPr>
        <w:tab/>
        <w:t>自《基金合同》生效之日起，根据法律法规和《基金合同》独立运用并管理基金财产；</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Pr="00501A61">
        <w:rPr>
          <w:rFonts w:asciiTheme="minorEastAsia" w:eastAsiaTheme="minorEastAsia" w:hAnsiTheme="minorEastAsia" w:hint="eastAsia"/>
          <w:szCs w:val="21"/>
        </w:rPr>
        <w:tab/>
        <w:t>依照《基金合同》收取基金管理费以及法律法规规定或中国证监会批准的其他费用；</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（4）</w:t>
      </w:r>
      <w:r w:rsidRPr="00501A61">
        <w:rPr>
          <w:rFonts w:asciiTheme="minorEastAsia" w:eastAsiaTheme="minorEastAsia" w:hAnsiTheme="minorEastAsia" w:hint="eastAsia"/>
          <w:szCs w:val="21"/>
        </w:rPr>
        <w:tab/>
        <w:t>销售基金份额；</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w:t>
      </w:r>
      <w:r w:rsidRPr="00501A61">
        <w:rPr>
          <w:rFonts w:asciiTheme="minorEastAsia" w:eastAsiaTheme="minorEastAsia" w:hAnsiTheme="minorEastAsia" w:hint="eastAsia"/>
          <w:szCs w:val="21"/>
        </w:rPr>
        <w:tab/>
        <w:t>召集基金份额持有人大会；</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（6）</w:t>
      </w:r>
      <w:r w:rsidRPr="00501A61">
        <w:rPr>
          <w:rFonts w:asciiTheme="minorEastAsia" w:eastAsiaTheme="minorEastAsia" w:hAnsiTheme="minorEastAsia" w:hint="eastAsia"/>
          <w:szCs w:val="21"/>
        </w:rPr>
        <w:tab/>
        <w:t>依据《基金合同》及有关法律规定监督基金托管人，如认为基金托管人违反了《基金合同》及国家有关法律规定，应呈报中国证监会和其他监管部门，并采取必要措施保护基金投资者的利益；</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（7）</w:t>
      </w:r>
      <w:r w:rsidRPr="00501A61">
        <w:rPr>
          <w:rFonts w:asciiTheme="minorEastAsia" w:eastAsiaTheme="minorEastAsia" w:hAnsiTheme="minorEastAsia" w:hint="eastAsia"/>
          <w:szCs w:val="21"/>
        </w:rPr>
        <w:tab/>
        <w:t>在基金托管人更换时，提名新的基金托管人；</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（8）</w:t>
      </w:r>
      <w:r w:rsidRPr="00501A61">
        <w:rPr>
          <w:rFonts w:asciiTheme="minorEastAsia" w:eastAsiaTheme="minorEastAsia" w:hAnsiTheme="minorEastAsia" w:hint="eastAsia"/>
          <w:szCs w:val="21"/>
        </w:rPr>
        <w:tab/>
        <w:t>选择、委托、更换基金代销机构，对基金代销机构的相关行为进行监督和处理；</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（9）</w:t>
      </w:r>
      <w:r w:rsidRPr="00501A61">
        <w:rPr>
          <w:rFonts w:asciiTheme="minorEastAsia" w:eastAsiaTheme="minorEastAsia" w:hAnsiTheme="minorEastAsia" w:hint="eastAsia"/>
          <w:szCs w:val="21"/>
        </w:rPr>
        <w:tab/>
        <w:t>依据《基金合同》及有关法律规定决定基金收益的分配方案；</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（10）</w:t>
      </w:r>
      <w:r w:rsidRPr="00501A61">
        <w:rPr>
          <w:rFonts w:asciiTheme="minorEastAsia" w:eastAsiaTheme="minorEastAsia" w:hAnsiTheme="minorEastAsia" w:hint="eastAsia"/>
          <w:szCs w:val="21"/>
        </w:rPr>
        <w:tab/>
        <w:t>在《基金合同》约定的范围内，拒绝或暂停受理申购与赎回申请；</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（11）</w:t>
      </w:r>
      <w:r w:rsidRPr="00501A61">
        <w:rPr>
          <w:rFonts w:asciiTheme="minorEastAsia" w:eastAsiaTheme="minorEastAsia" w:hAnsiTheme="minorEastAsia" w:hint="eastAsia"/>
          <w:szCs w:val="21"/>
        </w:rPr>
        <w:tab/>
        <w:t>在符合有关法律法规和《基金合同》的前提下，制订和调整开放式基金业务规则，决定和调整除托管费率之外的基金相关费率结构和收费方式；</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（12）</w:t>
      </w:r>
      <w:r w:rsidRPr="00501A61">
        <w:rPr>
          <w:rFonts w:asciiTheme="minorEastAsia" w:eastAsiaTheme="minorEastAsia" w:hAnsiTheme="minorEastAsia" w:hint="eastAsia"/>
          <w:szCs w:val="21"/>
        </w:rPr>
        <w:tab/>
        <w:t>依照法律法规为基金的利益对被投资公司行使股东权利，为基金的利益行使因基金财产投资于证券所产生的权利；</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（13）</w:t>
      </w:r>
      <w:r w:rsidRPr="00501A61">
        <w:rPr>
          <w:rFonts w:asciiTheme="minorEastAsia" w:eastAsiaTheme="minorEastAsia" w:hAnsiTheme="minorEastAsia" w:hint="eastAsia"/>
          <w:szCs w:val="21"/>
        </w:rPr>
        <w:tab/>
        <w:t>在法律法规允许的前提下，为基金的利益依法为基金进行融资；</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（14）</w:t>
      </w:r>
      <w:r w:rsidRPr="00501A61">
        <w:rPr>
          <w:rFonts w:asciiTheme="minorEastAsia" w:eastAsiaTheme="minorEastAsia" w:hAnsiTheme="minorEastAsia" w:hint="eastAsia"/>
          <w:szCs w:val="21"/>
        </w:rPr>
        <w:tab/>
        <w:t>以基金管理人的名义，代表基金份额持有人的利益行使诉讼权利或者实施其他法律行为；</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（15）</w:t>
      </w:r>
      <w:r w:rsidRPr="00501A61">
        <w:rPr>
          <w:rFonts w:asciiTheme="minorEastAsia" w:eastAsiaTheme="minorEastAsia" w:hAnsiTheme="minorEastAsia" w:hint="eastAsia"/>
          <w:szCs w:val="21"/>
        </w:rPr>
        <w:tab/>
        <w:t>选择、更换律师、审计师、证券经纪商或其他为基金提供服务的外部机构；</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（16）</w:t>
      </w:r>
      <w:r w:rsidRPr="00501A61">
        <w:rPr>
          <w:rFonts w:asciiTheme="minorEastAsia" w:eastAsiaTheme="minorEastAsia" w:hAnsiTheme="minorEastAsia" w:hint="eastAsia"/>
          <w:szCs w:val="21"/>
        </w:rPr>
        <w:tab/>
        <w:t>法律法规和《基金合同》规定的其他权利。</w:t>
      </w:r>
    </w:p>
    <w:p w:rsidR="0002608C" w:rsidRPr="00501A61" w:rsidRDefault="00CE2F50"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根据《基金法》、《运作办法》及其他有关规定，基金管理人的义务包括但不限于：</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Pr="00501A61">
        <w:rPr>
          <w:rFonts w:asciiTheme="minorEastAsia" w:eastAsiaTheme="minorEastAsia" w:hAnsiTheme="minorEastAsia" w:hint="eastAsia"/>
          <w:szCs w:val="21"/>
        </w:rPr>
        <w:tab/>
        <w:t>依法募集基金，办理基金备案手续；</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Pr="00501A61">
        <w:rPr>
          <w:rFonts w:asciiTheme="minorEastAsia" w:eastAsiaTheme="minorEastAsia" w:hAnsiTheme="minorEastAsia" w:hint="eastAsia"/>
          <w:szCs w:val="21"/>
        </w:rPr>
        <w:tab/>
        <w:t>自基金合同生效之日起</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以诚实信用、谨慎勤勉的原则管理和运用基金财产；</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Pr="00501A61">
        <w:rPr>
          <w:rFonts w:asciiTheme="minorEastAsia" w:eastAsiaTheme="minorEastAsia" w:hAnsiTheme="minorEastAsia" w:hint="eastAsia"/>
          <w:szCs w:val="21"/>
        </w:rPr>
        <w:tab/>
        <w:t>配备足够的具有专业资格的人员进行基金投资分析、决策，以专业化的经营方式管理和运作基金财产；</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w:t>
      </w:r>
      <w:r w:rsidRPr="00501A61">
        <w:rPr>
          <w:rFonts w:asciiTheme="minorEastAsia" w:eastAsiaTheme="minorEastAsia" w:hAnsiTheme="minorEastAsia" w:hint="eastAsia"/>
          <w:szCs w:val="21"/>
        </w:rPr>
        <w:tab/>
        <w:t>办理或者委托经国务院证券监督管理机构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w:t>
      </w:r>
      <w:r w:rsidRPr="00501A61">
        <w:rPr>
          <w:rFonts w:asciiTheme="minorEastAsia" w:eastAsiaTheme="minorEastAsia" w:hAnsiTheme="minorEastAsia" w:hint="eastAsia"/>
          <w:szCs w:val="21"/>
        </w:rPr>
        <w:tab/>
        <w:t>建立健全内部风险控制、监察与稽核、财务管理及人事管理等制度，保证所管理的基金财产和基金管理人的财产相互独立</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对所管理的不同基金分别管理，分别记账，进行证券投资；</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（6）</w:t>
      </w:r>
      <w:r w:rsidRPr="00501A61">
        <w:rPr>
          <w:rFonts w:asciiTheme="minorEastAsia" w:eastAsiaTheme="minorEastAsia" w:hAnsiTheme="minorEastAsia" w:hint="eastAsia"/>
          <w:szCs w:val="21"/>
        </w:rPr>
        <w:tab/>
        <w:t>除依据《基金法》、《基金合同》及其他有关规定外</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不得利用基金财产为自己及任何第三人谋取利益，不得委托第三人运作基金财产；</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（7）</w:t>
      </w:r>
      <w:r w:rsidRPr="00501A61">
        <w:rPr>
          <w:rFonts w:asciiTheme="minorEastAsia" w:eastAsiaTheme="minorEastAsia" w:hAnsiTheme="minorEastAsia" w:hint="eastAsia"/>
          <w:szCs w:val="21"/>
        </w:rPr>
        <w:tab/>
        <w:t>依法接受基金托管人的监督；</w:t>
      </w:r>
    </w:p>
    <w:p w:rsidR="00AD6F54" w:rsidRPr="00501A61" w:rsidRDefault="00AD6F54" w:rsidP="00AD6F54">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（8）</w:t>
      </w:r>
      <w:r w:rsidRPr="00501A61">
        <w:rPr>
          <w:rFonts w:asciiTheme="minorEastAsia" w:eastAsiaTheme="minorEastAsia" w:hAnsiTheme="minorEastAsia" w:hint="eastAsia"/>
          <w:szCs w:val="21"/>
        </w:rPr>
        <w:tab/>
        <w:t>采取适当合理的措施使计算基金份额认购、申购、赎回和注销价格的方法符合</w:t>
      </w:r>
      <w:r w:rsidRPr="00501A61">
        <w:rPr>
          <w:rFonts w:asciiTheme="minorEastAsia" w:eastAsiaTheme="minorEastAsia" w:hAnsiTheme="minorEastAsia" w:hint="eastAsia"/>
          <w:szCs w:val="21"/>
        </w:rPr>
        <w:lastRenderedPageBreak/>
        <w:t>《基金合同》等法律文件的规定，按有关规定计算并公告基金净值信息，确定基金份额申购、赎回的价格；</w:t>
      </w:r>
    </w:p>
    <w:p w:rsidR="00AD6F54" w:rsidRPr="00501A61" w:rsidRDefault="00AD6F54" w:rsidP="00AD6F54">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（9）</w:t>
      </w:r>
      <w:r w:rsidRPr="00501A61">
        <w:rPr>
          <w:rFonts w:asciiTheme="minorEastAsia" w:eastAsiaTheme="minorEastAsia" w:hAnsiTheme="minorEastAsia" w:hint="eastAsia"/>
          <w:szCs w:val="21"/>
        </w:rPr>
        <w:tab/>
        <w:t>进行基金会计核算并编制基金财务会计报告；</w:t>
      </w:r>
    </w:p>
    <w:p w:rsidR="0002608C" w:rsidRPr="00501A61" w:rsidRDefault="00AD6F54"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（10）</w:t>
      </w:r>
      <w:r w:rsidRPr="00501A61">
        <w:rPr>
          <w:rFonts w:asciiTheme="minorEastAsia" w:eastAsiaTheme="minorEastAsia" w:hAnsiTheme="minorEastAsia" w:hint="eastAsia"/>
          <w:szCs w:val="21"/>
        </w:rPr>
        <w:tab/>
        <w:t>编制季度报告、中期报告和年度报告；</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（11）</w:t>
      </w:r>
      <w:r w:rsidRPr="00501A61">
        <w:rPr>
          <w:rFonts w:asciiTheme="minorEastAsia" w:eastAsiaTheme="minorEastAsia" w:hAnsiTheme="minorEastAsia" w:hint="eastAsia"/>
          <w:szCs w:val="21"/>
        </w:rPr>
        <w:tab/>
        <w:t>严格按照《基金法》、《基金合同》及其他有关规定，履行信息披露及报告义务；</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（12）</w:t>
      </w:r>
      <w:r w:rsidRPr="00501A61">
        <w:rPr>
          <w:rFonts w:asciiTheme="minorEastAsia" w:eastAsiaTheme="minorEastAsia" w:hAnsiTheme="minorEastAsia" w:hint="eastAsia"/>
          <w:szCs w:val="21"/>
        </w:rPr>
        <w:tab/>
        <w:t>保守基金商业秘密，不泄露基金投资计划、投资意向等。除《基金法》、《基金合同》及其他有关规定另有规定外，在基金信息公开披露前应予保密，不向他人泄露；</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（13）</w:t>
      </w:r>
      <w:r w:rsidRPr="00501A61">
        <w:rPr>
          <w:rFonts w:asciiTheme="minorEastAsia" w:eastAsiaTheme="minorEastAsia" w:hAnsiTheme="minorEastAsia" w:hint="eastAsia"/>
          <w:szCs w:val="21"/>
        </w:rPr>
        <w:tab/>
        <w:t>按《基金合同》的约定确定基金收益分配方案，及时向基金份额持有人分配基金收益；</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（14）</w:t>
      </w:r>
      <w:r w:rsidRPr="00501A61">
        <w:rPr>
          <w:rFonts w:asciiTheme="minorEastAsia" w:eastAsiaTheme="minorEastAsia" w:hAnsiTheme="minorEastAsia" w:hint="eastAsia"/>
          <w:szCs w:val="21"/>
        </w:rPr>
        <w:tab/>
        <w:t>按规定受理申购与赎回申请，及时、足额支付赎回款项；</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（15）</w:t>
      </w:r>
      <w:r w:rsidRPr="00501A61">
        <w:rPr>
          <w:rFonts w:asciiTheme="minorEastAsia" w:eastAsiaTheme="minorEastAsia" w:hAnsiTheme="minorEastAsia" w:hint="eastAsia"/>
          <w:szCs w:val="21"/>
        </w:rPr>
        <w:tab/>
        <w:t>依据《基金法》、《基金合同》及其他有关规定召集基金份额持有人大会</w:t>
      </w:r>
      <w:r w:rsidRPr="00501A61">
        <w:rPr>
          <w:rFonts w:asciiTheme="minorEastAsia" w:eastAsiaTheme="minorEastAsia" w:hAnsiTheme="minorEastAsia"/>
          <w:szCs w:val="21"/>
        </w:rPr>
        <w:t>或配合基金托管人、基金份额持有人依法召集基金份额持有人大会</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（16）</w:t>
      </w:r>
      <w:r w:rsidRPr="00501A61">
        <w:rPr>
          <w:rFonts w:asciiTheme="minorEastAsia" w:eastAsiaTheme="minorEastAsia" w:hAnsiTheme="minorEastAsia" w:hint="eastAsia"/>
          <w:szCs w:val="21"/>
        </w:rPr>
        <w:tab/>
        <w:t>按规定保存基金财产管理业务活动的会计账册、报表、记录和其他相关资料15年以上；</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（17）</w:t>
      </w:r>
      <w:r w:rsidRPr="00501A61">
        <w:rPr>
          <w:rFonts w:asciiTheme="minorEastAsia" w:eastAsiaTheme="minorEastAsia" w:hAnsiTheme="minorEastAsia" w:hint="eastAsia"/>
          <w:szCs w:val="21"/>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（18）</w:t>
      </w:r>
      <w:r w:rsidRPr="00501A61">
        <w:rPr>
          <w:rFonts w:asciiTheme="minorEastAsia" w:eastAsiaTheme="minorEastAsia" w:hAnsiTheme="minorEastAsia" w:hint="eastAsia"/>
          <w:szCs w:val="21"/>
        </w:rPr>
        <w:tab/>
        <w:t>组织并参加基金财产清算小组</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参与基金财产的保管、清理、估价、变现和分配；</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（19）</w:t>
      </w:r>
      <w:r w:rsidRPr="00501A61">
        <w:rPr>
          <w:rFonts w:asciiTheme="minorEastAsia" w:eastAsiaTheme="minorEastAsia" w:hAnsiTheme="minorEastAsia" w:hint="eastAsia"/>
          <w:szCs w:val="21"/>
        </w:rPr>
        <w:tab/>
        <w:t>面临解散、依法被撤销或者被依法宣告破产时，及时报告中国证监会并通知基金托管人；</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（20）</w:t>
      </w:r>
      <w:r w:rsidRPr="00501A61">
        <w:rPr>
          <w:rFonts w:asciiTheme="minorEastAsia" w:eastAsiaTheme="minorEastAsia" w:hAnsiTheme="minorEastAsia" w:hint="eastAsia"/>
          <w:szCs w:val="21"/>
        </w:rPr>
        <w:tab/>
        <w:t>因违反《基金合同》导致基金财产的损失</w:t>
      </w:r>
      <w:r w:rsidRPr="00501A61">
        <w:rPr>
          <w:rFonts w:asciiTheme="minorEastAsia" w:eastAsiaTheme="minorEastAsia" w:hAnsiTheme="minorEastAsia"/>
          <w:szCs w:val="21"/>
        </w:rPr>
        <w:t>或损害基金份额持有人合法权益</w:t>
      </w:r>
      <w:r w:rsidRPr="00501A61">
        <w:rPr>
          <w:rFonts w:asciiTheme="minorEastAsia" w:eastAsiaTheme="minorEastAsia" w:hAnsiTheme="minorEastAsia" w:hint="eastAsia"/>
          <w:szCs w:val="21"/>
        </w:rPr>
        <w:t>时，应当承担赔偿责任，其赔偿责任不因其退任而免除；</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（21）监督基金托管人按法律法规和基金合同规定履行自己的义务，基金托管人违反基金合同造成基金财产损失时，基金管理人应为基金份额持有人利益向基金托管人追偿；</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（22）</w:t>
      </w:r>
      <w:r w:rsidRPr="00501A61">
        <w:rPr>
          <w:rFonts w:asciiTheme="minorEastAsia" w:eastAsiaTheme="minorEastAsia" w:hAnsiTheme="minorEastAsia" w:hint="eastAsia"/>
          <w:szCs w:val="21"/>
        </w:rPr>
        <w:tab/>
        <w:t>以基金管理人名义，代表基金份额持有人利益行使诉讼权利或实施其他法律行为；</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（23）</w:t>
      </w:r>
      <w:r w:rsidRPr="00501A61">
        <w:rPr>
          <w:rFonts w:asciiTheme="minorEastAsia" w:eastAsiaTheme="minorEastAsia" w:hAnsiTheme="minorEastAsia" w:hint="eastAsia"/>
          <w:szCs w:val="21"/>
        </w:rPr>
        <w:tab/>
        <w:t>基金管理人在募集期间未能达到基金的备案条件，《基金合同》不能生效，基金管理人承担全部募集费用和债务，在基金募集期限届满后30日内返还投资者已缴纳的款项并加计银行同期存款利息；</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（24）</w:t>
      </w:r>
      <w:r w:rsidRPr="00501A61">
        <w:rPr>
          <w:rFonts w:asciiTheme="minorEastAsia" w:eastAsiaTheme="minorEastAsia" w:hAnsiTheme="minorEastAsia" w:hint="eastAsia"/>
          <w:szCs w:val="21"/>
        </w:rPr>
        <w:tab/>
      </w:r>
      <w:r w:rsidRPr="00501A61">
        <w:rPr>
          <w:rFonts w:asciiTheme="minorEastAsia" w:eastAsiaTheme="minorEastAsia" w:hAnsiTheme="minorEastAsia"/>
          <w:szCs w:val="21"/>
        </w:rPr>
        <w:t>执行生效的基金份额持有人大会的决定</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（25）</w:t>
      </w:r>
      <w:r w:rsidRPr="00501A61">
        <w:rPr>
          <w:rFonts w:asciiTheme="minorEastAsia" w:eastAsiaTheme="minorEastAsia" w:hAnsiTheme="minorEastAsia" w:hint="eastAsia"/>
          <w:szCs w:val="21"/>
        </w:rPr>
        <w:tab/>
        <w:t>法律法规和《基金合同》规定的其他义务。</w:t>
      </w:r>
    </w:p>
    <w:p w:rsidR="0002608C" w:rsidRPr="00501A61" w:rsidRDefault="0002608C" w:rsidP="00107648">
      <w:pPr>
        <w:pStyle w:val="20"/>
        <w:adjustRightInd w:val="0"/>
        <w:snapToGrid w:val="0"/>
        <w:spacing w:beforeLines="0" w:afterLines="0" w:line="360" w:lineRule="auto"/>
        <w:ind w:firstLineChars="0" w:firstLine="0"/>
        <w:rPr>
          <w:rFonts w:asciiTheme="minorEastAsia" w:eastAsiaTheme="minorEastAsia" w:hAnsiTheme="minorEastAsia"/>
          <w:b w:val="0"/>
          <w:bCs/>
          <w:szCs w:val="21"/>
        </w:rPr>
      </w:pPr>
      <w:bookmarkStart w:id="181" w:name="_Toc45632277"/>
      <w:r w:rsidRPr="00501A61">
        <w:rPr>
          <w:rFonts w:asciiTheme="minorEastAsia" w:eastAsiaTheme="minorEastAsia" w:hAnsiTheme="minorEastAsia" w:hint="eastAsia"/>
          <w:b w:val="0"/>
          <w:bCs/>
        </w:rPr>
        <w:t>（三）基金托管人的权利与义务</w:t>
      </w:r>
      <w:bookmarkEnd w:id="181"/>
    </w:p>
    <w:p w:rsidR="0002608C" w:rsidRPr="00501A61" w:rsidRDefault="00CE2F50"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根据《基金法》、《运作办法》及其他有关规定，基金托管人的权利包括但不限于：</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（1）自本基金合同生效之日起，依法律法规和《基金合同》的规定安全保管基金财产；</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（2）依《基金合同》约定获得基金托管费以及法律法规规定或监管部门批准的其他收入；</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监督基金管理人对本基金的投资运作，如发现基金管理人有违反《基金合同》及国家法律法规行为，应呈报中国证监会，并采取必要措施保护基金投资者的利益；</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w:t>
      </w:r>
      <w:r w:rsidRPr="00501A61">
        <w:rPr>
          <w:rFonts w:asciiTheme="minorEastAsia" w:eastAsiaTheme="minorEastAsia" w:hAnsiTheme="minorEastAsia"/>
          <w:szCs w:val="21"/>
        </w:rPr>
        <w:t>以基金托管人和基金联名的方式在中国证券登记结算有限公司上海分公司和深圳分公司开设证券账户；</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w:t>
      </w:r>
      <w:r w:rsidRPr="00501A61">
        <w:rPr>
          <w:rFonts w:asciiTheme="minorEastAsia" w:eastAsiaTheme="minorEastAsia" w:hAnsiTheme="minorEastAsia"/>
          <w:szCs w:val="21"/>
        </w:rPr>
        <w:t>以基金托管人名义开立证券交易资金账户，用于证券交易资金清算；</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（6）</w:t>
      </w:r>
      <w:r w:rsidRPr="00501A61">
        <w:rPr>
          <w:rFonts w:asciiTheme="minorEastAsia" w:eastAsiaTheme="minorEastAsia" w:hAnsiTheme="minorEastAsia"/>
          <w:szCs w:val="21"/>
        </w:rPr>
        <w:t>以基金的名义在中央国债登记结算有限公司开设</w:t>
      </w:r>
      <w:r w:rsidRPr="00501A61">
        <w:rPr>
          <w:rFonts w:asciiTheme="minorEastAsia" w:eastAsiaTheme="minorEastAsia" w:hAnsiTheme="minorEastAsia" w:hint="eastAsia"/>
          <w:szCs w:val="21"/>
        </w:rPr>
        <w:t>银行间</w:t>
      </w:r>
      <w:r w:rsidRPr="00501A61">
        <w:rPr>
          <w:rFonts w:asciiTheme="minorEastAsia" w:eastAsiaTheme="minorEastAsia" w:hAnsiTheme="minorEastAsia"/>
          <w:szCs w:val="21"/>
        </w:rPr>
        <w:t>债券托管账户</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负责基金</w:t>
      </w:r>
      <w:r w:rsidRPr="00501A61">
        <w:rPr>
          <w:rFonts w:asciiTheme="minorEastAsia" w:eastAsiaTheme="minorEastAsia" w:hAnsiTheme="minorEastAsia" w:hint="eastAsia"/>
          <w:szCs w:val="21"/>
        </w:rPr>
        <w:t>投资</w:t>
      </w:r>
      <w:r w:rsidRPr="00501A61">
        <w:rPr>
          <w:rFonts w:asciiTheme="minorEastAsia" w:eastAsiaTheme="minorEastAsia" w:hAnsiTheme="minorEastAsia"/>
          <w:szCs w:val="21"/>
        </w:rPr>
        <w:t>债券</w:t>
      </w:r>
      <w:r w:rsidRPr="00501A61">
        <w:rPr>
          <w:rFonts w:asciiTheme="minorEastAsia" w:eastAsiaTheme="minorEastAsia" w:hAnsiTheme="minorEastAsia" w:hint="eastAsia"/>
          <w:szCs w:val="21"/>
        </w:rPr>
        <w:t>的后台匹配</w:t>
      </w:r>
      <w:r w:rsidRPr="00501A61">
        <w:rPr>
          <w:rFonts w:asciiTheme="minorEastAsia" w:eastAsiaTheme="minorEastAsia" w:hAnsiTheme="minorEastAsia"/>
          <w:szCs w:val="21"/>
        </w:rPr>
        <w:t>及资金的清算；</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（7）提议召开基金份额持有人大会；</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（8）在基金管理人更换时，提名新的基金管理人；</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（9）法律法规和《基金合同》规定的其他权利。</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2.根据《基金法》、《运作办法》及其他有关规定，基金托管人的义务包括但不限于：</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Pr="00501A61">
        <w:rPr>
          <w:rFonts w:asciiTheme="minorEastAsia" w:eastAsiaTheme="minorEastAsia" w:hAnsiTheme="minorEastAsia" w:hint="eastAsia"/>
          <w:szCs w:val="21"/>
        </w:rPr>
        <w:tab/>
        <w:t>以诚实信用、勤勉尽责的原则持有并安全保管基金财产；</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Pr="00501A61">
        <w:rPr>
          <w:rFonts w:asciiTheme="minorEastAsia" w:eastAsiaTheme="minorEastAsia" w:hAnsiTheme="minorEastAsia" w:hint="eastAsia"/>
          <w:szCs w:val="21"/>
        </w:rPr>
        <w:tab/>
        <w:t>设立专门的基金托管部门，具有符合要求的营业场所，配备足够的、合格的熟悉基金托管业务的专职人员，负责基金财产托管事宜；</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Pr="00501A61">
        <w:rPr>
          <w:rFonts w:asciiTheme="minorEastAsia" w:eastAsiaTheme="minorEastAsia" w:hAnsiTheme="minorEastAsia" w:hint="eastAsia"/>
          <w:szCs w:val="21"/>
        </w:rPr>
        <w:tab/>
        <w:t>建立健全内部风险控制、监察与稽核、财务管理及人事管理等制度，确保基金财产的安全，保证其托管的基金财产与基金托管人自有财产以及不同的基金财产相互独立；对不同的基金分别设置账户，独立核算，分账管理，保证不同基金之间在名册登记、账户设置、资金划拨、账册记录等方面相互独立；</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w:t>
      </w:r>
      <w:r w:rsidRPr="00501A61">
        <w:rPr>
          <w:rFonts w:asciiTheme="minorEastAsia" w:eastAsiaTheme="minorEastAsia" w:hAnsiTheme="minorEastAsia" w:hint="eastAsia"/>
          <w:szCs w:val="21"/>
        </w:rPr>
        <w:tab/>
        <w:t>除依据《基金法》、《基金合同》及其他有关规定外，不得利用基金财产为自己及任何第三人谋取利益，不得委托第三人托管基金财产；</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w:t>
      </w:r>
      <w:r w:rsidRPr="00501A61">
        <w:rPr>
          <w:rFonts w:asciiTheme="minorEastAsia" w:eastAsiaTheme="minorEastAsia" w:hAnsiTheme="minorEastAsia" w:hint="eastAsia"/>
          <w:szCs w:val="21"/>
        </w:rPr>
        <w:tab/>
        <w:t>保管由基金管理人代表基金签订的与基金有关的重大合同及有关凭证；</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（6）</w:t>
      </w:r>
      <w:r w:rsidRPr="00501A61">
        <w:rPr>
          <w:rFonts w:asciiTheme="minorEastAsia" w:eastAsiaTheme="minorEastAsia" w:hAnsiTheme="minorEastAsia" w:hint="eastAsia"/>
          <w:szCs w:val="21"/>
        </w:rPr>
        <w:tab/>
        <w:t>按规定开设基金财产的资金账户和证券账户</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按照《基金合同》的约定，根据基金管理人的投资指令，及时办理清算、交割事宜；</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（7）</w:t>
      </w:r>
      <w:r w:rsidRPr="00501A61">
        <w:rPr>
          <w:rFonts w:asciiTheme="minorEastAsia" w:eastAsiaTheme="minorEastAsia" w:hAnsiTheme="minorEastAsia" w:hint="eastAsia"/>
          <w:szCs w:val="21"/>
        </w:rPr>
        <w:tab/>
        <w:t>保守基金商业秘密，除《基金法》、《基金合同》及其他有关规定另有规定外，在基金信息公开披露前予以保密，不得向他人泄露；</w:t>
      </w:r>
    </w:p>
    <w:p w:rsidR="00AD6F54" w:rsidRPr="00501A61" w:rsidRDefault="00AD6F54" w:rsidP="00AD6F54">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（8）</w:t>
      </w:r>
      <w:r w:rsidRPr="00501A61">
        <w:rPr>
          <w:rFonts w:asciiTheme="minorEastAsia" w:eastAsiaTheme="minorEastAsia" w:hAnsiTheme="minorEastAsia" w:hint="eastAsia"/>
          <w:szCs w:val="21"/>
        </w:rPr>
        <w:tab/>
        <w:t>复核、审查基金管理人计算的基金资产净值、基金份额净值、基金份额申购、赎回价格；</w:t>
      </w:r>
    </w:p>
    <w:p w:rsidR="00AD6F54" w:rsidRPr="00501A61" w:rsidRDefault="00AD6F54" w:rsidP="00AD6F54">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（9）</w:t>
      </w:r>
      <w:r w:rsidRPr="00501A61">
        <w:rPr>
          <w:rFonts w:asciiTheme="minorEastAsia" w:eastAsiaTheme="minorEastAsia" w:hAnsiTheme="minorEastAsia" w:hint="eastAsia"/>
          <w:szCs w:val="21"/>
        </w:rPr>
        <w:tab/>
        <w:t>办理与基金托管业务活动有关的信息披露事项；</w:t>
      </w:r>
    </w:p>
    <w:p w:rsidR="0002608C" w:rsidRPr="00501A61" w:rsidRDefault="00AD6F54"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（10）</w:t>
      </w:r>
      <w:r w:rsidRPr="00501A61">
        <w:rPr>
          <w:rFonts w:asciiTheme="minorEastAsia" w:eastAsiaTheme="minorEastAsia" w:hAnsiTheme="minorEastAsia" w:hint="eastAsia"/>
          <w:szCs w:val="21"/>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（11）</w:t>
      </w:r>
      <w:r w:rsidRPr="00501A61">
        <w:rPr>
          <w:rFonts w:asciiTheme="minorEastAsia" w:eastAsiaTheme="minorEastAsia" w:hAnsiTheme="minorEastAsia" w:hint="eastAsia"/>
          <w:szCs w:val="21"/>
        </w:rPr>
        <w:tab/>
        <w:t>按有关规定，保存基金托管业务活动的记录、账册、报表和其他相关资料15年以上；</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（12）</w:t>
      </w:r>
      <w:r w:rsidRPr="00501A61">
        <w:rPr>
          <w:rFonts w:asciiTheme="minorEastAsia" w:eastAsiaTheme="minorEastAsia" w:hAnsiTheme="minorEastAsia" w:hint="eastAsia"/>
          <w:szCs w:val="21"/>
        </w:rPr>
        <w:tab/>
      </w:r>
      <w:r w:rsidRPr="00501A61">
        <w:rPr>
          <w:rFonts w:asciiTheme="minorEastAsia" w:eastAsiaTheme="minorEastAsia" w:hAnsiTheme="minorEastAsia"/>
          <w:szCs w:val="21"/>
        </w:rPr>
        <w:t>建立并保存基金份额持有人名册</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（13）</w:t>
      </w:r>
      <w:r w:rsidRPr="00501A61">
        <w:rPr>
          <w:rFonts w:asciiTheme="minorEastAsia" w:eastAsiaTheme="minorEastAsia" w:hAnsiTheme="minorEastAsia" w:hint="eastAsia"/>
          <w:szCs w:val="21"/>
        </w:rPr>
        <w:tab/>
        <w:t>按规定制作相关账册并与基金管理人核对；</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（14）</w:t>
      </w:r>
      <w:r w:rsidRPr="00501A61">
        <w:rPr>
          <w:rFonts w:asciiTheme="minorEastAsia" w:eastAsiaTheme="minorEastAsia" w:hAnsiTheme="minorEastAsia" w:hint="eastAsia"/>
          <w:szCs w:val="21"/>
        </w:rPr>
        <w:tab/>
        <w:t>依据基金管理人的指令或有关规定向基金份额持有人支付基金收益和赎回款项；</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（15）</w:t>
      </w:r>
      <w:r w:rsidRPr="00501A61">
        <w:rPr>
          <w:rFonts w:asciiTheme="minorEastAsia" w:eastAsiaTheme="minorEastAsia" w:hAnsiTheme="minorEastAsia" w:hint="eastAsia"/>
          <w:szCs w:val="21"/>
        </w:rPr>
        <w:tab/>
        <w:t>按照规定召集基金份额持有人大会或配合基金份额持有人依法自行召集基金份额持有人大会；</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（16）</w:t>
      </w:r>
      <w:r w:rsidRPr="00501A61">
        <w:rPr>
          <w:rFonts w:asciiTheme="minorEastAsia" w:eastAsiaTheme="minorEastAsia" w:hAnsiTheme="minorEastAsia" w:hint="eastAsia"/>
          <w:szCs w:val="21"/>
        </w:rPr>
        <w:tab/>
        <w:t>按照法律法规和基金合同的规定监督基金管理人的投资运作；</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（17）</w:t>
      </w:r>
      <w:r w:rsidRPr="00501A61">
        <w:rPr>
          <w:rFonts w:asciiTheme="minorEastAsia" w:eastAsiaTheme="minorEastAsia" w:hAnsiTheme="minorEastAsia" w:hint="eastAsia"/>
          <w:szCs w:val="21"/>
        </w:rPr>
        <w:tab/>
        <w:t>参加基金财产清算小组，参与基金财产的保管、清理、估价、变现和分配；</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（18）</w:t>
      </w:r>
      <w:r w:rsidRPr="00501A61">
        <w:rPr>
          <w:rFonts w:asciiTheme="minorEastAsia" w:eastAsiaTheme="minorEastAsia" w:hAnsiTheme="minorEastAsia" w:hint="eastAsia"/>
          <w:szCs w:val="21"/>
        </w:rPr>
        <w:tab/>
        <w:t>面临解散、依法被撤销或者被依法宣告破产时，及时报告中国证监会和银行监管机构，并通知基金管理人；</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（19）</w:t>
      </w:r>
      <w:r w:rsidRPr="00501A61">
        <w:rPr>
          <w:rFonts w:asciiTheme="minorEastAsia" w:eastAsiaTheme="minorEastAsia" w:hAnsiTheme="minorEastAsia" w:hint="eastAsia"/>
          <w:szCs w:val="21"/>
        </w:rPr>
        <w:tab/>
        <w:t>因违反《基金合同》导致基金财产损失时，应承担赔偿责任，其赔偿责任不因其退任而免除；</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（20）</w:t>
      </w:r>
      <w:r w:rsidRPr="00501A61">
        <w:rPr>
          <w:rFonts w:asciiTheme="minorEastAsia" w:eastAsiaTheme="minorEastAsia" w:hAnsiTheme="minorEastAsia" w:hint="eastAsia"/>
          <w:szCs w:val="21"/>
        </w:rPr>
        <w:tab/>
        <w:t>监督基金管理人按法律法规和基金合同规定履行自己的义务，基金管理人因违反《基金合同》造成基金财产损失时，应为基金利益向基金管理人追偿；</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（21）</w:t>
      </w:r>
      <w:r w:rsidRPr="00501A61">
        <w:rPr>
          <w:rFonts w:asciiTheme="minorEastAsia" w:eastAsiaTheme="minorEastAsia" w:hAnsiTheme="minorEastAsia" w:hint="eastAsia"/>
          <w:szCs w:val="21"/>
        </w:rPr>
        <w:tab/>
      </w:r>
      <w:r w:rsidRPr="00501A61">
        <w:rPr>
          <w:rFonts w:asciiTheme="minorEastAsia" w:eastAsiaTheme="minorEastAsia" w:hAnsiTheme="minorEastAsia"/>
          <w:szCs w:val="21"/>
        </w:rPr>
        <w:t>执行生效的基金份额持有人大会的决定</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（22）</w:t>
      </w:r>
      <w:r w:rsidRPr="00501A61">
        <w:rPr>
          <w:rFonts w:asciiTheme="minorEastAsia" w:eastAsiaTheme="minorEastAsia" w:hAnsiTheme="minorEastAsia" w:hint="eastAsia"/>
          <w:szCs w:val="21"/>
        </w:rPr>
        <w:tab/>
        <w:t>法律法规和《基金合同》规定的其他义务。</w:t>
      </w:r>
    </w:p>
    <w:p w:rsidR="0002608C" w:rsidRPr="00501A61" w:rsidRDefault="0002608C" w:rsidP="00107648">
      <w:pPr>
        <w:pStyle w:val="20"/>
        <w:adjustRightInd w:val="0"/>
        <w:snapToGrid w:val="0"/>
        <w:spacing w:beforeLines="0" w:afterLines="0" w:line="360" w:lineRule="auto"/>
        <w:ind w:firstLineChars="0" w:firstLine="0"/>
        <w:rPr>
          <w:rFonts w:asciiTheme="minorEastAsia" w:eastAsiaTheme="minorEastAsia" w:hAnsiTheme="minorEastAsia"/>
          <w:szCs w:val="21"/>
        </w:rPr>
      </w:pPr>
      <w:bookmarkStart w:id="182" w:name="_Toc45632278"/>
      <w:r w:rsidRPr="00501A61">
        <w:rPr>
          <w:rFonts w:asciiTheme="minorEastAsia" w:eastAsiaTheme="minorEastAsia" w:hAnsiTheme="minorEastAsia" w:hint="eastAsia"/>
          <w:b w:val="0"/>
          <w:bCs/>
        </w:rPr>
        <w:t>（四）基金份额持有人的权利与义务</w:t>
      </w:r>
      <w:bookmarkEnd w:id="182"/>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本《基金合同》当事人并不以在《基金合同》上书面签章或签字为必要条件。</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每份基金份额具有同等的合法权益。</w:t>
      </w:r>
    </w:p>
    <w:p w:rsidR="0002608C" w:rsidRPr="00501A61" w:rsidRDefault="00CE2F50"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根据《基金法》、《运作办法》及其他有关规定，基金份额持有人的权利包括但不限于：</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Pr="00501A61">
        <w:rPr>
          <w:rFonts w:asciiTheme="minorEastAsia" w:eastAsiaTheme="minorEastAsia" w:hAnsiTheme="minorEastAsia" w:hint="eastAsia"/>
          <w:szCs w:val="21"/>
        </w:rPr>
        <w:tab/>
        <w:t>分享基金财产收益；</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Pr="00501A61">
        <w:rPr>
          <w:rFonts w:asciiTheme="minorEastAsia" w:eastAsiaTheme="minorEastAsia" w:hAnsiTheme="minorEastAsia" w:hint="eastAsia"/>
          <w:szCs w:val="21"/>
        </w:rPr>
        <w:tab/>
      </w:r>
      <w:r w:rsidRPr="00501A61">
        <w:rPr>
          <w:rFonts w:asciiTheme="minorEastAsia" w:eastAsiaTheme="minorEastAsia" w:hAnsiTheme="minorEastAsia"/>
          <w:szCs w:val="21"/>
        </w:rPr>
        <w:t>参与分配清算后的剩余基金财产</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Pr="00501A61">
        <w:rPr>
          <w:rFonts w:asciiTheme="minorEastAsia" w:eastAsiaTheme="minorEastAsia" w:hAnsiTheme="minorEastAsia" w:hint="eastAsia"/>
          <w:szCs w:val="21"/>
        </w:rPr>
        <w:tab/>
        <w:t>依法申请赎回其持有的基金份额</w:t>
      </w:r>
      <w:r w:rsidRPr="00501A61">
        <w:rPr>
          <w:rFonts w:asciiTheme="minorEastAsia" w:eastAsiaTheme="minorEastAsia" w:hAnsiTheme="minor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w:t>
      </w:r>
      <w:r w:rsidRPr="00501A61">
        <w:rPr>
          <w:rFonts w:asciiTheme="minorEastAsia" w:eastAsiaTheme="minorEastAsia" w:hAnsiTheme="minorEastAsia" w:hint="eastAsia"/>
          <w:szCs w:val="21"/>
        </w:rPr>
        <w:tab/>
      </w:r>
      <w:r w:rsidRPr="00501A61">
        <w:rPr>
          <w:rFonts w:asciiTheme="minorEastAsia" w:eastAsiaTheme="minorEastAsia" w:hAnsiTheme="minorEastAsia"/>
          <w:szCs w:val="21"/>
        </w:rPr>
        <w:t>按照规定要求召开基金份额持有人大会</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w:t>
      </w:r>
      <w:r w:rsidRPr="00501A61">
        <w:rPr>
          <w:rFonts w:asciiTheme="minorEastAsia" w:eastAsiaTheme="minorEastAsia" w:hAnsiTheme="minorEastAsia" w:hint="eastAsia"/>
          <w:szCs w:val="21"/>
        </w:rPr>
        <w:tab/>
        <w:t>出席或者委派代表出席基金</w:t>
      </w:r>
      <w:r w:rsidRPr="00501A61">
        <w:rPr>
          <w:rFonts w:asciiTheme="minorEastAsia" w:eastAsiaTheme="minorEastAsia" w:hAnsiTheme="minorEastAsia"/>
          <w:szCs w:val="21"/>
        </w:rPr>
        <w:t>份额</w:t>
      </w:r>
      <w:r w:rsidRPr="00501A61">
        <w:rPr>
          <w:rFonts w:asciiTheme="minorEastAsia" w:eastAsiaTheme="minorEastAsia" w:hAnsiTheme="minorEastAsia" w:hint="eastAsia"/>
          <w:szCs w:val="21"/>
        </w:rPr>
        <w:t>持有人大会，</w:t>
      </w:r>
      <w:r w:rsidRPr="00501A61">
        <w:rPr>
          <w:rFonts w:asciiTheme="minorEastAsia" w:eastAsiaTheme="minorEastAsia" w:hAnsiTheme="minorEastAsia"/>
          <w:szCs w:val="21"/>
        </w:rPr>
        <w:t>对基金份额持有人大会审议事项行使表决权</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（6）</w:t>
      </w:r>
      <w:r w:rsidRPr="00501A61">
        <w:rPr>
          <w:rFonts w:asciiTheme="minorEastAsia" w:eastAsiaTheme="minorEastAsia" w:hAnsiTheme="minorEastAsia" w:hint="eastAsia"/>
          <w:szCs w:val="21"/>
        </w:rPr>
        <w:tab/>
      </w:r>
      <w:r w:rsidRPr="00501A61">
        <w:rPr>
          <w:rFonts w:asciiTheme="minorEastAsia" w:eastAsiaTheme="minorEastAsia" w:hAnsiTheme="minorEastAsia"/>
          <w:szCs w:val="21"/>
        </w:rPr>
        <w:t>查阅或者复制公开披露的基金信息资料；</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（7）</w:t>
      </w:r>
      <w:r w:rsidRPr="00501A61">
        <w:rPr>
          <w:rFonts w:asciiTheme="minorEastAsia" w:eastAsiaTheme="minorEastAsia" w:hAnsiTheme="minorEastAsia" w:hint="eastAsia"/>
          <w:szCs w:val="21"/>
        </w:rPr>
        <w:tab/>
      </w:r>
      <w:r w:rsidRPr="00501A61">
        <w:rPr>
          <w:rFonts w:asciiTheme="minorEastAsia" w:eastAsiaTheme="minorEastAsia" w:hAnsiTheme="minorEastAsia"/>
          <w:szCs w:val="21"/>
        </w:rPr>
        <w:t>监督基金管理人的投资运作</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（8）</w:t>
      </w:r>
      <w:r w:rsidRPr="00501A61">
        <w:rPr>
          <w:rFonts w:asciiTheme="minorEastAsia" w:eastAsiaTheme="minorEastAsia" w:hAnsiTheme="minorEastAsia" w:hint="eastAsia"/>
          <w:szCs w:val="21"/>
        </w:rPr>
        <w:tab/>
        <w:t>对基金管理人、基金托管人、基金份额发售机构损害其合法权益的行为依法提起诉讼；</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（9）</w:t>
      </w:r>
      <w:r w:rsidRPr="00501A61">
        <w:rPr>
          <w:rFonts w:asciiTheme="minorEastAsia" w:eastAsiaTheme="minorEastAsia" w:hAnsiTheme="minorEastAsia" w:hint="eastAsia"/>
          <w:szCs w:val="21"/>
        </w:rPr>
        <w:tab/>
        <w:t>法律法规和《基金合同》规定的其他权利。</w:t>
      </w:r>
    </w:p>
    <w:p w:rsidR="0002608C" w:rsidRPr="00501A61" w:rsidRDefault="00CE2F50"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根据《基金法》、《运作办法》及其他有关规定，基金份额持有人的义务包括但不限于：</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Pr="00501A61">
        <w:rPr>
          <w:rFonts w:asciiTheme="minorEastAsia" w:eastAsiaTheme="minorEastAsia" w:hAnsiTheme="minorEastAsia" w:hint="eastAsia"/>
          <w:szCs w:val="21"/>
        </w:rPr>
        <w:tab/>
        <w:t>遵守《基金合同》；</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Pr="00501A61">
        <w:rPr>
          <w:rFonts w:asciiTheme="minorEastAsia" w:eastAsiaTheme="minorEastAsia" w:hAnsiTheme="minorEastAsia" w:hint="eastAsia"/>
          <w:szCs w:val="21"/>
        </w:rPr>
        <w:tab/>
        <w:t>缴纳基金认购、申购、赎回款项及法律法规和《基金合同》所规定的费用；</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Pr="00501A61">
        <w:rPr>
          <w:rFonts w:asciiTheme="minorEastAsia" w:eastAsiaTheme="minorEastAsia" w:hAnsiTheme="minorEastAsia" w:hint="eastAsia"/>
          <w:szCs w:val="21"/>
        </w:rPr>
        <w:tab/>
        <w:t>在其持有的基金份额范围内，承担基金亏损或者《基金合同》终止的有限责任；</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w:t>
      </w:r>
      <w:r w:rsidRPr="00501A61">
        <w:rPr>
          <w:rFonts w:asciiTheme="minorEastAsia" w:eastAsiaTheme="minorEastAsia" w:hAnsiTheme="minorEastAsia" w:hint="eastAsia"/>
          <w:szCs w:val="21"/>
        </w:rPr>
        <w:tab/>
        <w:t>不从事任何有损基金及其他《基金合同》当事人</w:t>
      </w:r>
      <w:r w:rsidRPr="00501A61">
        <w:rPr>
          <w:rFonts w:asciiTheme="minorEastAsia" w:eastAsiaTheme="minorEastAsia" w:hAnsiTheme="minorEastAsia"/>
          <w:szCs w:val="21"/>
        </w:rPr>
        <w:t>合法权益</w:t>
      </w:r>
      <w:r w:rsidRPr="00501A61">
        <w:rPr>
          <w:rFonts w:asciiTheme="minorEastAsia" w:eastAsiaTheme="minorEastAsia" w:hAnsiTheme="minorEastAsia" w:hint="eastAsia"/>
          <w:szCs w:val="21"/>
        </w:rPr>
        <w:t>的活动；</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w:t>
      </w:r>
      <w:r w:rsidRPr="00501A61">
        <w:rPr>
          <w:rFonts w:asciiTheme="minorEastAsia" w:eastAsiaTheme="minorEastAsia" w:hAnsiTheme="minorEastAsia" w:hint="eastAsia"/>
          <w:szCs w:val="21"/>
        </w:rPr>
        <w:tab/>
        <w:t>返还在基金交易过程中因任何原因，自基金管理人、基金托管人及代销机构处获得的不当得利；</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（6）执行生效的基金份额持有人大会的决定；</w:t>
      </w:r>
    </w:p>
    <w:p w:rsidR="0002608C" w:rsidRPr="00501A61" w:rsidRDefault="0002608C" w:rsidP="00107648">
      <w:pPr>
        <w:snapToGrid w:val="0"/>
        <w:spacing w:line="360" w:lineRule="auto"/>
        <w:ind w:firstLineChars="200" w:firstLine="420"/>
        <w:rPr>
          <w:rFonts w:asciiTheme="minorEastAsia" w:eastAsiaTheme="minorEastAsia" w:hAnsiTheme="minorEastAsia"/>
          <w:b/>
          <w:bCs/>
          <w:szCs w:val="21"/>
        </w:rPr>
      </w:pPr>
      <w:r w:rsidRPr="00501A61">
        <w:rPr>
          <w:rFonts w:asciiTheme="minorEastAsia" w:eastAsiaTheme="minorEastAsia" w:hAnsiTheme="minorEastAsia" w:hint="eastAsia"/>
          <w:szCs w:val="21"/>
        </w:rPr>
        <w:t>（7）</w:t>
      </w:r>
      <w:r w:rsidRPr="00501A61">
        <w:rPr>
          <w:rFonts w:asciiTheme="minorEastAsia" w:eastAsiaTheme="minorEastAsia" w:hAnsiTheme="minorEastAsia" w:hint="eastAsia"/>
          <w:szCs w:val="21"/>
        </w:rPr>
        <w:tab/>
        <w:t>法律法规和《基金合同》规定的其他义务。</w:t>
      </w:r>
    </w:p>
    <w:p w:rsidR="0002608C" w:rsidRPr="00501A61" w:rsidRDefault="0002608C" w:rsidP="00107648">
      <w:pPr>
        <w:pStyle w:val="20"/>
        <w:adjustRightInd w:val="0"/>
        <w:snapToGrid w:val="0"/>
        <w:spacing w:beforeLines="0" w:afterLines="0" w:line="360" w:lineRule="auto"/>
        <w:ind w:firstLineChars="0" w:firstLine="0"/>
        <w:rPr>
          <w:rFonts w:asciiTheme="minorEastAsia" w:eastAsiaTheme="minorEastAsia" w:hAnsiTheme="minorEastAsia"/>
        </w:rPr>
      </w:pPr>
      <w:bookmarkStart w:id="183" w:name="_Toc45632279"/>
      <w:r w:rsidRPr="00501A61">
        <w:rPr>
          <w:rFonts w:asciiTheme="minorEastAsia" w:eastAsiaTheme="minorEastAsia" w:hAnsiTheme="minorEastAsia" w:hint="eastAsia"/>
          <w:b w:val="0"/>
          <w:bCs/>
        </w:rPr>
        <w:t>（五）基金份额持有人大会</w:t>
      </w:r>
      <w:bookmarkEnd w:id="183"/>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基金份额持有人大会由基金份额持有人或基金份额持有人的合法授权代表共同组成。基金份额持有人持有的每一基金份额拥有平等的投票权。</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召开事由</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（1）当出现或需要决定下列事由之一的，应当召开基金份额持有人大会：</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1）终止《基金合同》；</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2）更换基金管理人；</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3）更换基金托管人；</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4）转换基金运作方式；</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5）提高基金管理人、基金托管人的报酬标准；</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6）</w:t>
      </w:r>
      <w:r w:rsidRPr="00501A61">
        <w:rPr>
          <w:rFonts w:asciiTheme="minorEastAsia" w:eastAsiaTheme="minorEastAsia" w:hAnsiTheme="minorEastAsia"/>
          <w:szCs w:val="21"/>
        </w:rPr>
        <w:t>变更基金类别</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7）</w:t>
      </w:r>
      <w:r w:rsidRPr="00501A61">
        <w:rPr>
          <w:rFonts w:asciiTheme="minorEastAsia" w:eastAsiaTheme="minorEastAsia" w:hAnsiTheme="minorEastAsia"/>
          <w:szCs w:val="21"/>
        </w:rPr>
        <w:t>变更基金投资目标、范围或策略</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8）</w:t>
      </w:r>
      <w:r w:rsidRPr="00501A61">
        <w:rPr>
          <w:rFonts w:asciiTheme="minorEastAsia" w:eastAsiaTheme="minorEastAsia" w:hAnsiTheme="minorEastAsia"/>
          <w:szCs w:val="21"/>
        </w:rPr>
        <w:t>变更基金份额持有人大会程序</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9）对基金当事人权利和义务产生重大影响的事项；</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10）基金管理人或基金托管人要求召开基金份额持有人大会；</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11）单独或合计持有本基金总份额10％以上（含10％）基金份额的基金份额持有人（以基金管理人收到提议当日的基金份额计算，下同）就涉及本基金的同一事项书面要求召开基金份额持有人大会；</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12）法律法规、《基金合同》或中国证监会规定的其他应当召开基金份额持有人大会的事项。</w:t>
      </w:r>
    </w:p>
    <w:p w:rsidR="0002608C" w:rsidRPr="00501A61" w:rsidRDefault="0002608C" w:rsidP="00107648">
      <w:pPr>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（2）以下情况可由基金管理人和基金托管人协商后修改，不需召开基金份额持有人大</w:t>
      </w:r>
      <w:r w:rsidRPr="00501A61">
        <w:rPr>
          <w:rFonts w:asciiTheme="minorEastAsia" w:eastAsiaTheme="minorEastAsia" w:hAnsiTheme="minorEastAsia" w:hint="eastAsia"/>
          <w:szCs w:val="21"/>
        </w:rPr>
        <w:lastRenderedPageBreak/>
        <w:t>会：</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1）调低基金管理费、基金托管费；</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2）法律法规允许增加的基金费用的收取；</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3）调低本基金的申购费率、赎回费率或在《基金合同》规定的范围内调整收费方式；</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4）因相应的法律法规发生变动而应当对《基金合同》进行修改；</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5）对《基金合同》的修改对基金份额持有人利益无实质性不利影响或修改不涉及基金合同当事人的权利义务；</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szCs w:val="21"/>
        </w:rPr>
        <w:t>6）除按照法律法规和《基金合同》规定应当召开基金份额持有人大会的以外的其他情形。</w:t>
      </w:r>
    </w:p>
    <w:p w:rsidR="0002608C" w:rsidRPr="00501A61" w:rsidRDefault="0002608C" w:rsidP="00107648">
      <w:pPr>
        <w:adjustRightInd w:val="0"/>
        <w:snapToGrid w:val="0"/>
        <w:spacing w:line="360" w:lineRule="auto"/>
        <w:ind w:firstLine="420"/>
        <w:rPr>
          <w:rFonts w:asciiTheme="minorEastAsia" w:eastAsiaTheme="minorEastAsia" w:hAnsiTheme="minorEastAsia"/>
        </w:rPr>
      </w:pPr>
      <w:r w:rsidRPr="00501A61">
        <w:rPr>
          <w:rFonts w:asciiTheme="minorEastAsia" w:eastAsiaTheme="minorEastAsia" w:hAnsiTheme="minorEastAsia" w:hint="eastAsia"/>
          <w:szCs w:val="21"/>
        </w:rPr>
        <w:t>3</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会议召集人及召集方式</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1）除法律法规规定或《基金合同》另有约定外，基金份额持有人大会由基金管理人召集；</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2）基金管理人未按规定召集或不能召集时，由基金托管人召集；</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Pr="00501A61">
        <w:rPr>
          <w:rFonts w:asciiTheme="minorEastAsia" w:eastAsiaTheme="minorEastAsia" w:hAnsiTheme="minorEastAsia"/>
          <w:szCs w:val="21"/>
        </w:rPr>
        <w:t>基金托管人认为有必要召开基金份额持有人大会的，应当向基金管理人提出书面提议。基金管理人应当自收到书面提议之日起</w:t>
      </w:r>
      <w:r w:rsidRPr="00501A61">
        <w:rPr>
          <w:rFonts w:asciiTheme="minorEastAsia" w:eastAsiaTheme="minorEastAsia" w:hAnsiTheme="minorEastAsia" w:hint="eastAsia"/>
          <w:szCs w:val="21"/>
        </w:rPr>
        <w:t>10</w:t>
      </w:r>
      <w:r w:rsidRPr="00501A61">
        <w:rPr>
          <w:rFonts w:asciiTheme="minorEastAsia" w:eastAsiaTheme="minorEastAsia" w:hAnsiTheme="minorEastAsia"/>
          <w:szCs w:val="21"/>
        </w:rPr>
        <w:t>日内决定是否召集，并书面告知基金托管人。基金管理人决定召集的，应当自出具书面决定之日起</w:t>
      </w:r>
      <w:r w:rsidRPr="00501A61">
        <w:rPr>
          <w:rFonts w:asciiTheme="minorEastAsia" w:eastAsiaTheme="minorEastAsia" w:hAnsiTheme="minorEastAsia" w:hint="eastAsia"/>
          <w:szCs w:val="21"/>
        </w:rPr>
        <w:t>60</w:t>
      </w:r>
      <w:r w:rsidRPr="00501A61">
        <w:rPr>
          <w:rFonts w:asciiTheme="minorEastAsia" w:eastAsiaTheme="minorEastAsia" w:hAnsiTheme="minorEastAsia"/>
          <w:szCs w:val="21"/>
        </w:rPr>
        <w:t>日内召开；基金管理人决定不召集，基金托管人仍认为有必要召开的，应当</w:t>
      </w:r>
      <w:r w:rsidRPr="00501A61">
        <w:rPr>
          <w:rFonts w:asciiTheme="minorEastAsia" w:eastAsiaTheme="minorEastAsia" w:hAnsiTheme="minorEastAsia" w:hint="eastAsia"/>
          <w:szCs w:val="21"/>
        </w:rPr>
        <w:t>由基金托管人</w:t>
      </w:r>
      <w:r w:rsidRPr="00501A61">
        <w:rPr>
          <w:rFonts w:asciiTheme="minorEastAsia" w:eastAsiaTheme="minorEastAsia" w:hAnsiTheme="minorEastAsia"/>
          <w:szCs w:val="21"/>
        </w:rPr>
        <w:t>自行召集</w:t>
      </w:r>
      <w:r w:rsidR="00B148D8" w:rsidRPr="00501A61">
        <w:rPr>
          <w:rFonts w:asciiTheme="minorEastAsia" w:eastAsiaTheme="minorEastAsia" w:hAnsiTheme="minorEastAsia" w:hint="eastAsia"/>
          <w:szCs w:val="21"/>
        </w:rPr>
        <w:t>，并自出具书面决定之日起六十日内召开并告知基金管理人，基金管理人应当配合</w:t>
      </w:r>
      <w:r w:rsidRPr="00501A61">
        <w:rPr>
          <w:rFonts w:asciiTheme="minorEastAsia" w:eastAsiaTheme="minorEastAsia" w:hAnsiTheme="minor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4）代表基金份额10%以上（含10%）的基金份额持有人就同一事项书面要求召开基金份额持有人大会，</w:t>
      </w:r>
      <w:r w:rsidRPr="00501A61">
        <w:rPr>
          <w:rFonts w:asciiTheme="minorEastAsia" w:eastAsiaTheme="minorEastAsia" w:hAnsiTheme="minorEastAsia"/>
          <w:szCs w:val="21"/>
        </w:rPr>
        <w:t>应当向基金管理人提出书面提议。基金管理人应当自收到书面提议之日起</w:t>
      </w:r>
      <w:r w:rsidRPr="00501A61">
        <w:rPr>
          <w:rFonts w:asciiTheme="minorEastAsia" w:eastAsiaTheme="minorEastAsia" w:hAnsiTheme="minorEastAsia" w:hint="eastAsia"/>
          <w:szCs w:val="21"/>
        </w:rPr>
        <w:t>10</w:t>
      </w:r>
      <w:r w:rsidRPr="00501A61">
        <w:rPr>
          <w:rFonts w:asciiTheme="minorEastAsia" w:eastAsiaTheme="minorEastAsia" w:hAnsiTheme="minorEastAsia"/>
          <w:szCs w:val="21"/>
        </w:rPr>
        <w:t>日内决定是否召集，并书面告知提出提议的基金份额持有人代表和基金托管人。基金管理人决定召集的，应当自出具书面决定之日起</w:t>
      </w:r>
      <w:r w:rsidRPr="00501A61">
        <w:rPr>
          <w:rFonts w:asciiTheme="minorEastAsia" w:eastAsiaTheme="minorEastAsia" w:hAnsiTheme="minorEastAsia" w:hint="eastAsia"/>
          <w:szCs w:val="21"/>
        </w:rPr>
        <w:t>60</w:t>
      </w:r>
      <w:r w:rsidRPr="00501A61">
        <w:rPr>
          <w:rFonts w:asciiTheme="minorEastAsia" w:eastAsiaTheme="minorEastAsia" w:hAnsiTheme="minorEastAsia"/>
          <w:szCs w:val="21"/>
        </w:rPr>
        <w:t>日内召开；基金管理人决定不召集，代表基金份额</w:t>
      </w:r>
      <w:r w:rsidRPr="00501A61">
        <w:rPr>
          <w:rFonts w:asciiTheme="minorEastAsia" w:eastAsiaTheme="minorEastAsia" w:hAnsiTheme="minorEastAsia" w:hint="eastAsia"/>
          <w:szCs w:val="21"/>
        </w:rPr>
        <w:t>10%</w:t>
      </w:r>
      <w:r w:rsidRPr="00501A61">
        <w:rPr>
          <w:rFonts w:asciiTheme="minorEastAsia" w:eastAsiaTheme="minorEastAsia" w:hAnsiTheme="minorEastAsia"/>
          <w:szCs w:val="21"/>
        </w:rPr>
        <w:t>以上</w:t>
      </w:r>
      <w:r w:rsidRPr="00501A61">
        <w:rPr>
          <w:rFonts w:asciiTheme="minorEastAsia" w:eastAsiaTheme="minorEastAsia" w:hAnsiTheme="minorEastAsia" w:hint="eastAsia"/>
          <w:szCs w:val="21"/>
        </w:rPr>
        <w:t>（含10%）</w:t>
      </w:r>
      <w:r w:rsidRPr="00501A61">
        <w:rPr>
          <w:rFonts w:asciiTheme="minorEastAsia" w:eastAsiaTheme="minorEastAsia" w:hAnsiTheme="minorEastAsia"/>
          <w:szCs w:val="21"/>
        </w:rPr>
        <w:t>的基金份额持有人仍认为有必要召开的，应当向基金托管人提出书面提议。基金托管人应当自收到书面提议之日起</w:t>
      </w:r>
      <w:r w:rsidRPr="00501A61">
        <w:rPr>
          <w:rFonts w:asciiTheme="minorEastAsia" w:eastAsiaTheme="minorEastAsia" w:hAnsiTheme="minorEastAsia" w:hint="eastAsia"/>
          <w:szCs w:val="21"/>
        </w:rPr>
        <w:t>10</w:t>
      </w:r>
      <w:r w:rsidRPr="00501A61">
        <w:rPr>
          <w:rFonts w:asciiTheme="minorEastAsia" w:eastAsiaTheme="minorEastAsia" w:hAnsiTheme="minorEastAsia"/>
          <w:szCs w:val="21"/>
        </w:rPr>
        <w:t>日内决定是否召集，并书面告知提出提议的基金份额持有人代表和基金管理人；基金托管人决定召集的，应当自出具书面决定之日起</w:t>
      </w:r>
      <w:r w:rsidRPr="00501A61">
        <w:rPr>
          <w:rFonts w:asciiTheme="minorEastAsia" w:eastAsiaTheme="minorEastAsia" w:hAnsiTheme="minorEastAsia" w:hint="eastAsia"/>
          <w:szCs w:val="21"/>
        </w:rPr>
        <w:t>60</w:t>
      </w:r>
      <w:r w:rsidRPr="00501A61">
        <w:rPr>
          <w:rFonts w:asciiTheme="minorEastAsia" w:eastAsiaTheme="minorEastAsia" w:hAnsiTheme="minorEastAsia"/>
          <w:szCs w:val="21"/>
        </w:rPr>
        <w:t>日内召开。</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5）如在上述第4条情况下，基金管理人、基金托管人都不召集的，单独或合计代表基金份额10%以上（含10%）的基金份额持有人有权自行召集，并至少提前30日报中国证监会备案。</w:t>
      </w:r>
      <w:r w:rsidRPr="00501A61">
        <w:rPr>
          <w:rFonts w:asciiTheme="minorEastAsia" w:eastAsiaTheme="minorEastAsia" w:hAnsiTheme="minorEastAsia" w:hint="eastAsia"/>
          <w:sz w:val="24"/>
          <w:szCs w:val="21"/>
        </w:rPr>
        <w:t>基金份额持有人依法自行召集基金份额持有人大会的，基金管理人、基金托管人应当配合，不得阻碍、干扰。</w:t>
      </w:r>
    </w:p>
    <w:p w:rsidR="0002608C" w:rsidRPr="00501A61" w:rsidRDefault="0002608C" w:rsidP="00107648">
      <w:pPr>
        <w:adjustRightInd w:val="0"/>
        <w:snapToGrid w:val="0"/>
        <w:spacing w:line="360" w:lineRule="auto"/>
        <w:rPr>
          <w:rFonts w:asciiTheme="minorEastAsia" w:eastAsiaTheme="minorEastAsia" w:hAnsiTheme="minorEastAsia"/>
          <w:szCs w:val="21"/>
        </w:rPr>
      </w:pPr>
      <w:r w:rsidRPr="00501A61">
        <w:rPr>
          <w:rFonts w:asciiTheme="minorEastAsia" w:eastAsiaTheme="minorEastAsia" w:hAnsiTheme="minorEastAsia" w:hint="eastAsia"/>
          <w:szCs w:val="21"/>
        </w:rPr>
        <w:t>6）基金份额持有人会议的召集人负责选择确定开会时间、地点、方式和权益登记日。</w:t>
      </w:r>
    </w:p>
    <w:p w:rsidR="0002608C" w:rsidRPr="00501A61" w:rsidRDefault="0002608C" w:rsidP="00107648">
      <w:pPr>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4</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召开基金份额持有人大会的通知时间、通知内容、通知方式</w:t>
      </w:r>
    </w:p>
    <w:p w:rsidR="0002608C" w:rsidRPr="00501A61" w:rsidRDefault="0002608C" w:rsidP="00107648">
      <w:pPr>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（1）召开基金份额持有人大会，召集人应于会议召开前4</w:t>
      </w:r>
      <w:r w:rsidRPr="00501A61">
        <w:rPr>
          <w:rFonts w:asciiTheme="minorEastAsia" w:eastAsiaTheme="minorEastAsia" w:hAnsiTheme="minorEastAsia"/>
          <w:szCs w:val="21"/>
        </w:rPr>
        <w:t>0</w:t>
      </w:r>
      <w:r w:rsidRPr="00501A61">
        <w:rPr>
          <w:rFonts w:asciiTheme="minorEastAsia" w:eastAsiaTheme="minorEastAsia" w:hAnsiTheme="minorEastAsia" w:hint="eastAsia"/>
          <w:szCs w:val="21"/>
        </w:rPr>
        <w:t>天，在</w:t>
      </w:r>
      <w:r w:rsidR="00AD6F54" w:rsidRPr="00501A61">
        <w:rPr>
          <w:rFonts w:asciiTheme="minorEastAsia" w:eastAsiaTheme="minorEastAsia" w:hAnsiTheme="minorEastAsia" w:hint="eastAsia"/>
          <w:szCs w:val="21"/>
        </w:rPr>
        <w:t>指定媒介</w:t>
      </w:r>
      <w:r w:rsidRPr="00501A61">
        <w:rPr>
          <w:rFonts w:asciiTheme="minorEastAsia" w:eastAsiaTheme="minorEastAsia" w:hAnsiTheme="minorEastAsia" w:hint="eastAsia"/>
          <w:szCs w:val="21"/>
        </w:rPr>
        <w:t>公告。基金份额持有人大会通知应至少载明以下内容：</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1）会议召开的时间、地点、方式；</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2）会议拟审议的事项、议事程序；</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3）有权出席基金份额持有人大会的基金份额持有人的权益登记日；</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4）代理投票授权委托书送达时间和地点；</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5）会务常设联系人姓名及联系电话。</w:t>
      </w:r>
    </w:p>
    <w:p w:rsidR="0002608C" w:rsidRPr="00501A61" w:rsidRDefault="0002608C" w:rsidP="00107648">
      <w:pPr>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（2）采</w:t>
      </w:r>
      <w:r w:rsidRPr="00501A61">
        <w:rPr>
          <w:rFonts w:asciiTheme="minorEastAsia" w:eastAsiaTheme="minorEastAsia" w:hAnsiTheme="minorEastAsia"/>
          <w:szCs w:val="21"/>
        </w:rPr>
        <w:t>取通讯开会方式并进行表决的情况下，</w:t>
      </w:r>
      <w:r w:rsidRPr="00501A61">
        <w:rPr>
          <w:rFonts w:asciiTheme="minorEastAsia" w:eastAsiaTheme="minorEastAsia" w:hAnsiTheme="minorEastAsia" w:hint="eastAsia"/>
          <w:szCs w:val="21"/>
        </w:rPr>
        <w:t>由会议召集人决定通讯方式和书面表决方式，并在会议通知中说明本次基金份额持有人大会所采取的具体通讯方式、委托的公证机关及其联系方式和联系人、书面表决意见寄交的截止时间和收取方式。</w:t>
      </w:r>
    </w:p>
    <w:p w:rsidR="0002608C" w:rsidRPr="00501A61" w:rsidRDefault="0002608C" w:rsidP="00107648">
      <w:pPr>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5</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基金份额持有人出席</w:t>
      </w:r>
      <w:r w:rsidRPr="00501A61">
        <w:rPr>
          <w:rFonts w:asciiTheme="minorEastAsia" w:eastAsiaTheme="minorEastAsia" w:hAnsiTheme="minorEastAsia"/>
          <w:szCs w:val="21"/>
        </w:rPr>
        <w:t>会议</w:t>
      </w:r>
      <w:r w:rsidRPr="00501A61">
        <w:rPr>
          <w:rFonts w:asciiTheme="minorEastAsia" w:eastAsiaTheme="minorEastAsia" w:hAnsiTheme="minorEastAsia" w:hint="eastAsia"/>
          <w:szCs w:val="21"/>
        </w:rPr>
        <w:t>的</w:t>
      </w:r>
      <w:r w:rsidRPr="00501A61">
        <w:rPr>
          <w:rFonts w:asciiTheme="minorEastAsia" w:eastAsiaTheme="minorEastAsia" w:hAnsiTheme="minorEastAsia"/>
          <w:szCs w:val="21"/>
        </w:rPr>
        <w:t>方式</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基金份额持有人大会</w:t>
      </w:r>
      <w:r w:rsidRPr="00501A61">
        <w:rPr>
          <w:rFonts w:asciiTheme="minorEastAsia" w:eastAsiaTheme="minorEastAsia" w:hAnsiTheme="minorEastAsia" w:hint="eastAsia"/>
          <w:szCs w:val="21"/>
        </w:rPr>
        <w:t>可通过现场开会方式或通讯开会方式召开。</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会议的召开方式由</w:t>
      </w:r>
      <w:r w:rsidRPr="00501A61">
        <w:rPr>
          <w:rFonts w:asciiTheme="minorEastAsia" w:eastAsiaTheme="minorEastAsia" w:hAnsiTheme="minorEastAsia" w:hint="eastAsia"/>
          <w:szCs w:val="21"/>
        </w:rPr>
        <w:t>会议</w:t>
      </w:r>
      <w:r w:rsidRPr="00501A61">
        <w:rPr>
          <w:rFonts w:asciiTheme="minorEastAsia" w:eastAsiaTheme="minorEastAsia" w:hAnsiTheme="minorEastAsia"/>
          <w:szCs w:val="21"/>
        </w:rPr>
        <w:t>召集人确定，但更换基金管理人和基金托管人必须以现场开会方式召开。</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现场开会。由基金份额持有人本人出席或以代理投票授权委托书委派代表出席，现场开会时基金管理人和基金托管人的授权代表应当</w:t>
      </w:r>
      <w:r w:rsidRPr="00501A61">
        <w:rPr>
          <w:rFonts w:asciiTheme="minorEastAsia" w:eastAsiaTheme="minorEastAsia" w:hAnsiTheme="minorEastAsia" w:hint="eastAsia"/>
          <w:szCs w:val="21"/>
        </w:rPr>
        <w:t>列席</w:t>
      </w:r>
      <w:r w:rsidRPr="00501A61">
        <w:rPr>
          <w:rFonts w:asciiTheme="minorEastAsia" w:eastAsiaTheme="minorEastAsia" w:hAnsiTheme="minorEastAsia"/>
          <w:szCs w:val="21"/>
        </w:rPr>
        <w:t>基金份额持有人大会</w:t>
      </w:r>
      <w:r w:rsidRPr="00501A61">
        <w:rPr>
          <w:rFonts w:asciiTheme="minorEastAsia" w:eastAsiaTheme="minorEastAsia" w:hAnsiTheme="minorEastAsia" w:hint="eastAsia"/>
          <w:szCs w:val="21"/>
        </w:rPr>
        <w:t>，基金管理人或托管人不派代表列席的，不影响表决效力</w:t>
      </w:r>
      <w:r w:rsidRPr="00501A61">
        <w:rPr>
          <w:rFonts w:asciiTheme="minorEastAsia" w:eastAsiaTheme="minorEastAsia" w:hAnsiTheme="minorEastAsia"/>
          <w:szCs w:val="21"/>
        </w:rPr>
        <w:t>。现场开会同时符合以下条件时，可以进行基金份额持有人大会议程：</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亲自出席会议者持有基金份额的凭证、受托出席会议者出具的委托人持有基金份额的凭证及委托人的代理投票授权委托书符合法律法规、《基金合同》和会议通知的规定；</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Pr="00501A61">
        <w:rPr>
          <w:rFonts w:asciiTheme="minorEastAsia" w:eastAsiaTheme="minorEastAsia" w:hAnsiTheme="minorEastAsia"/>
          <w:szCs w:val="21"/>
        </w:rPr>
        <w:t>经核对，汇总到会者出示的在</w:t>
      </w:r>
      <w:r w:rsidRPr="00501A61">
        <w:rPr>
          <w:rFonts w:asciiTheme="minorEastAsia" w:eastAsiaTheme="minorEastAsia" w:hAnsiTheme="minorEastAsia" w:hint="eastAsia"/>
          <w:szCs w:val="21"/>
        </w:rPr>
        <w:t>权益</w:t>
      </w:r>
      <w:r w:rsidRPr="00501A61">
        <w:rPr>
          <w:rFonts w:asciiTheme="minorEastAsia" w:eastAsiaTheme="minorEastAsia" w:hAnsiTheme="minorEastAsia"/>
          <w:szCs w:val="21"/>
        </w:rPr>
        <w:t>登记日持有基金份额的凭证显示，有效的基金份额</w:t>
      </w:r>
      <w:r w:rsidRPr="00501A61">
        <w:rPr>
          <w:rFonts w:asciiTheme="minorEastAsia" w:eastAsiaTheme="minorEastAsia" w:hAnsiTheme="minorEastAsia" w:hint="eastAsia"/>
          <w:szCs w:val="21"/>
        </w:rPr>
        <w:t>不少</w:t>
      </w:r>
      <w:r w:rsidRPr="00501A61">
        <w:rPr>
          <w:rFonts w:asciiTheme="minorEastAsia" w:eastAsiaTheme="minorEastAsia" w:hAnsiTheme="minorEastAsia"/>
          <w:szCs w:val="21"/>
        </w:rPr>
        <w:t>于本基金在</w:t>
      </w:r>
      <w:r w:rsidRPr="00501A61">
        <w:rPr>
          <w:rFonts w:asciiTheme="minorEastAsia" w:eastAsiaTheme="minorEastAsia" w:hAnsiTheme="minorEastAsia" w:hint="eastAsia"/>
          <w:szCs w:val="21"/>
        </w:rPr>
        <w:t>权益</w:t>
      </w:r>
      <w:r w:rsidRPr="00501A61">
        <w:rPr>
          <w:rFonts w:asciiTheme="minorEastAsia" w:eastAsiaTheme="minorEastAsia" w:hAnsiTheme="minorEastAsia"/>
          <w:szCs w:val="21"/>
        </w:rPr>
        <w:t>登记日基金总</w:t>
      </w:r>
      <w:r w:rsidRPr="00501A61">
        <w:rPr>
          <w:rFonts w:asciiTheme="minorEastAsia" w:eastAsiaTheme="minorEastAsia" w:hAnsiTheme="minorEastAsia" w:hint="eastAsia"/>
          <w:szCs w:val="21"/>
        </w:rPr>
        <w:t>份</w:t>
      </w:r>
      <w:r w:rsidRPr="00501A61">
        <w:rPr>
          <w:rFonts w:asciiTheme="minorEastAsia" w:eastAsiaTheme="minorEastAsia" w:hAnsiTheme="minorEastAsia"/>
          <w:szCs w:val="21"/>
        </w:rPr>
        <w:t>额的</w:t>
      </w:r>
      <w:r w:rsidRPr="00501A61">
        <w:rPr>
          <w:rFonts w:asciiTheme="minorEastAsia" w:eastAsiaTheme="minorEastAsia" w:hAnsiTheme="minorEastAsia" w:hint="eastAsia"/>
          <w:szCs w:val="21"/>
        </w:rPr>
        <w:t>50</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（含50%）</w:t>
      </w:r>
      <w:r w:rsidRPr="00501A61">
        <w:rPr>
          <w:rFonts w:asciiTheme="minorEastAsia" w:eastAsiaTheme="minorEastAsia" w:hAnsiTheme="minor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Pr="00501A61">
        <w:rPr>
          <w:rFonts w:asciiTheme="minorEastAsia" w:eastAsiaTheme="minorEastAsia" w:hAnsiTheme="minorEastAsia"/>
          <w:szCs w:val="21"/>
        </w:rPr>
        <w:t>通讯开会。</w:t>
      </w:r>
      <w:r w:rsidRPr="00501A61">
        <w:rPr>
          <w:rFonts w:asciiTheme="minorEastAsia" w:eastAsiaTheme="minorEastAsia" w:hAnsiTheme="minorEastAsia" w:hint="eastAsia"/>
          <w:szCs w:val="21"/>
        </w:rPr>
        <w:t>通讯开会系指基金份额持有人将其对表决事项的投票以书面形式在表决截止日以前送达至召集人指定的地址。</w:t>
      </w:r>
      <w:r w:rsidRPr="00501A61">
        <w:rPr>
          <w:rFonts w:asciiTheme="minorEastAsia" w:eastAsiaTheme="minorEastAsia" w:hAnsiTheme="minorEastAsia"/>
          <w:szCs w:val="21"/>
        </w:rPr>
        <w:t>通讯开会应以书面方式进行表决。</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在</w:t>
      </w:r>
      <w:r w:rsidRPr="00501A61">
        <w:rPr>
          <w:rFonts w:asciiTheme="minorEastAsia" w:eastAsiaTheme="minorEastAsia" w:hAnsiTheme="minorEastAsia" w:hint="eastAsia"/>
          <w:szCs w:val="21"/>
        </w:rPr>
        <w:t>同时</w:t>
      </w:r>
      <w:r w:rsidRPr="00501A61">
        <w:rPr>
          <w:rFonts w:asciiTheme="minorEastAsia" w:eastAsiaTheme="minorEastAsia" w:hAnsiTheme="minorEastAsia"/>
          <w:szCs w:val="21"/>
        </w:rPr>
        <w:t>符合以下条件时，通讯开会的方式视为有效：</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1）会议召集人</w:t>
      </w:r>
      <w:r w:rsidRPr="00501A61">
        <w:rPr>
          <w:rFonts w:asciiTheme="minorEastAsia" w:eastAsiaTheme="minorEastAsia" w:hAnsiTheme="minorEastAsia"/>
          <w:szCs w:val="21"/>
        </w:rPr>
        <w:t>按《基金合同》规定公布会议通知后，在</w:t>
      </w:r>
      <w:r w:rsidRPr="00501A61">
        <w:rPr>
          <w:rFonts w:asciiTheme="minorEastAsia" w:eastAsiaTheme="minorEastAsia" w:hAnsiTheme="minorEastAsia" w:hint="eastAsia"/>
          <w:szCs w:val="21"/>
        </w:rPr>
        <w:t>2</w:t>
      </w:r>
      <w:r w:rsidRPr="00501A61">
        <w:rPr>
          <w:rFonts w:asciiTheme="minorEastAsia" w:eastAsiaTheme="minorEastAsia" w:hAnsiTheme="minorEastAsia"/>
          <w:szCs w:val="21"/>
        </w:rPr>
        <w:t>个工作日内连续公布相关提示性公告；</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2）会议召集人</w:t>
      </w:r>
      <w:r w:rsidRPr="00501A61">
        <w:rPr>
          <w:rFonts w:asciiTheme="minorEastAsia" w:eastAsiaTheme="minorEastAsia" w:hAnsiTheme="minorEastAsia"/>
          <w:szCs w:val="21"/>
        </w:rPr>
        <w:t>在基金托管人</w:t>
      </w:r>
      <w:r w:rsidRPr="00501A61">
        <w:rPr>
          <w:rFonts w:asciiTheme="minorEastAsia" w:eastAsiaTheme="minorEastAsia" w:hAnsiTheme="minorEastAsia" w:hint="eastAsia"/>
          <w:szCs w:val="21"/>
        </w:rPr>
        <w:t>（如果基金托管人为召集人，则为基金管理人）</w:t>
      </w:r>
      <w:r w:rsidRPr="00501A61">
        <w:rPr>
          <w:rFonts w:asciiTheme="minorEastAsia" w:eastAsiaTheme="minorEastAsia" w:hAnsiTheme="minorEastAsia"/>
          <w:szCs w:val="21"/>
        </w:rPr>
        <w:t>和公证机关的监督下按照会议通知规定的方式收取基金份额持有人的书面表决意见；</w:t>
      </w:r>
      <w:r w:rsidRPr="00501A61">
        <w:rPr>
          <w:rFonts w:asciiTheme="minorEastAsia" w:eastAsiaTheme="minorEastAsia" w:hAnsiTheme="minorEastAsia" w:hint="eastAsia"/>
          <w:szCs w:val="21"/>
        </w:rPr>
        <w:t>基金托管人或基金管理人经通知不参加收取书面表决意见的，不影响表决效力</w:t>
      </w:r>
      <w:r w:rsidRPr="00501A61">
        <w:rPr>
          <w:rFonts w:asciiTheme="minorEastAsia" w:eastAsiaTheme="minorEastAsia" w:hAnsiTheme="minor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Pr="00501A61">
        <w:rPr>
          <w:rFonts w:asciiTheme="minorEastAsia" w:eastAsiaTheme="minorEastAsia" w:hAnsiTheme="minorEastAsia"/>
          <w:szCs w:val="21"/>
        </w:rPr>
        <w:t>本人直接出具书面意见或授权他人代表出具书面意见的，基金份额持有人所持有的基金份额</w:t>
      </w:r>
      <w:r w:rsidRPr="00501A61">
        <w:rPr>
          <w:rFonts w:asciiTheme="minorEastAsia" w:eastAsiaTheme="minorEastAsia" w:hAnsiTheme="minorEastAsia" w:hint="eastAsia"/>
          <w:szCs w:val="21"/>
        </w:rPr>
        <w:t>不小</w:t>
      </w:r>
      <w:r w:rsidRPr="00501A61">
        <w:rPr>
          <w:rFonts w:asciiTheme="minorEastAsia" w:eastAsiaTheme="minorEastAsia" w:hAnsiTheme="minorEastAsia"/>
          <w:szCs w:val="21"/>
        </w:rPr>
        <w:t>于在</w:t>
      </w:r>
      <w:r w:rsidRPr="00501A61">
        <w:rPr>
          <w:rFonts w:asciiTheme="minorEastAsia" w:eastAsiaTheme="minorEastAsia" w:hAnsiTheme="minorEastAsia" w:hint="eastAsia"/>
          <w:szCs w:val="21"/>
        </w:rPr>
        <w:t>权益</w:t>
      </w:r>
      <w:r w:rsidRPr="00501A61">
        <w:rPr>
          <w:rFonts w:asciiTheme="minorEastAsia" w:eastAsiaTheme="minorEastAsia" w:hAnsiTheme="minorEastAsia"/>
          <w:szCs w:val="21"/>
        </w:rPr>
        <w:t>登记日基金总份额的</w:t>
      </w:r>
      <w:r w:rsidRPr="00501A61">
        <w:rPr>
          <w:rFonts w:asciiTheme="minorEastAsia" w:eastAsiaTheme="minorEastAsia" w:hAnsiTheme="minorEastAsia" w:hint="eastAsia"/>
          <w:szCs w:val="21"/>
        </w:rPr>
        <w:t>50%（含50%）</w:t>
      </w:r>
      <w:r w:rsidRPr="00501A61">
        <w:rPr>
          <w:rFonts w:asciiTheme="minorEastAsia" w:eastAsiaTheme="minorEastAsia" w:hAnsiTheme="minor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4）上述第3）项中</w:t>
      </w:r>
      <w:r w:rsidRPr="00501A61">
        <w:rPr>
          <w:rFonts w:asciiTheme="minorEastAsia" w:eastAsiaTheme="minorEastAsia" w:hAnsiTheme="minorEastAsia"/>
          <w:szCs w:val="21"/>
        </w:rPr>
        <w:t>直接出具书面意见的基金份额持有人或受托代表他人出具书面意见的代理人，同时提交的持有基金份额的凭证、受托</w:t>
      </w:r>
      <w:r w:rsidRPr="00501A61">
        <w:rPr>
          <w:rFonts w:asciiTheme="minorEastAsia" w:eastAsiaTheme="minorEastAsia" w:hAnsiTheme="minorEastAsia" w:hint="eastAsia"/>
          <w:szCs w:val="21"/>
        </w:rPr>
        <w:t>出具书面意见的代理人</w:t>
      </w:r>
      <w:r w:rsidRPr="00501A61">
        <w:rPr>
          <w:rFonts w:asciiTheme="minorEastAsia" w:eastAsiaTheme="minorEastAsia" w:hAnsiTheme="minorEastAsia"/>
          <w:szCs w:val="21"/>
        </w:rPr>
        <w:t>出具的委托人持有基金份额的凭证及委托人的代理投票授权委托书符合法律法规、《基金合同》和会议通知的规定；</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5）</w:t>
      </w:r>
      <w:r w:rsidRPr="00501A61">
        <w:rPr>
          <w:rFonts w:asciiTheme="minorEastAsia" w:eastAsiaTheme="minorEastAsia" w:hAnsiTheme="minorEastAsia"/>
          <w:szCs w:val="21"/>
        </w:rPr>
        <w:t>会议通知公布前报中国证监会备案。</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6</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议事内容与程序</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议事内容及提案权</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议事内容为关系基金份额持有人利益的重大事项，如</w:t>
      </w:r>
      <w:r w:rsidRPr="00501A61">
        <w:rPr>
          <w:rFonts w:asciiTheme="minorEastAsia" w:eastAsiaTheme="minorEastAsia" w:hAnsiTheme="minorEastAsia" w:hint="eastAsia"/>
          <w:szCs w:val="21"/>
        </w:rPr>
        <w:t>《基金合同》的重大修改</w:t>
      </w:r>
      <w:r w:rsidRPr="00501A61">
        <w:rPr>
          <w:rFonts w:asciiTheme="minorEastAsia" w:eastAsiaTheme="minorEastAsia" w:hAnsiTheme="minorEastAsia"/>
          <w:szCs w:val="21"/>
        </w:rPr>
        <w:t>、决定终止</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基金</w:t>
      </w:r>
      <w:r w:rsidRPr="00501A61">
        <w:rPr>
          <w:rFonts w:asciiTheme="minorEastAsia" w:eastAsiaTheme="minorEastAsia" w:hAnsiTheme="minorEastAsia" w:hint="eastAsia"/>
          <w:szCs w:val="21"/>
        </w:rPr>
        <w:t>合同》</w:t>
      </w:r>
      <w:r w:rsidRPr="00501A61">
        <w:rPr>
          <w:rFonts w:asciiTheme="minorEastAsia" w:eastAsiaTheme="minorEastAsia" w:hAnsiTheme="minorEastAsia"/>
          <w:szCs w:val="21"/>
        </w:rPr>
        <w:t>、更换基金管理人、更换基金托管人、与其他基金合并</w:t>
      </w:r>
      <w:r w:rsidRPr="00501A61">
        <w:rPr>
          <w:rFonts w:asciiTheme="minorEastAsia" w:eastAsiaTheme="minorEastAsia" w:hAnsiTheme="minorEastAsia" w:hint="eastAsia"/>
          <w:szCs w:val="21"/>
        </w:rPr>
        <w:t>、法律法规及《基金合同》规定的其他事项</w:t>
      </w:r>
      <w:r w:rsidRPr="00501A61">
        <w:rPr>
          <w:rFonts w:asciiTheme="minorEastAsia" w:eastAsiaTheme="minorEastAsia" w:hAnsiTheme="minorEastAsia"/>
          <w:szCs w:val="21"/>
        </w:rPr>
        <w:t>以及</w:t>
      </w:r>
      <w:r w:rsidRPr="00501A61">
        <w:rPr>
          <w:rFonts w:asciiTheme="minorEastAsia" w:eastAsiaTheme="minorEastAsia" w:hAnsiTheme="minorEastAsia" w:hint="eastAsia"/>
          <w:szCs w:val="21"/>
        </w:rPr>
        <w:t>会议</w:t>
      </w:r>
      <w:r w:rsidRPr="00501A61">
        <w:rPr>
          <w:rFonts w:asciiTheme="minorEastAsia" w:eastAsiaTheme="minorEastAsia" w:hAnsiTheme="minorEastAsia"/>
          <w:szCs w:val="21"/>
        </w:rPr>
        <w:t>召集人认为需提交基金份额持有人大会讨论的其他事项。</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基金管理人、基金托管人、单独或合并持有权</w:t>
      </w:r>
      <w:r w:rsidRPr="00501A61">
        <w:rPr>
          <w:rFonts w:asciiTheme="minorEastAsia" w:eastAsiaTheme="minorEastAsia" w:hAnsiTheme="minorEastAsia" w:hint="eastAsia"/>
          <w:szCs w:val="21"/>
        </w:rPr>
        <w:t>益</w:t>
      </w:r>
      <w:r w:rsidRPr="00501A61">
        <w:rPr>
          <w:rFonts w:asciiTheme="minorEastAsia" w:eastAsiaTheme="minorEastAsia" w:hAnsiTheme="minorEastAsia"/>
          <w:szCs w:val="21"/>
        </w:rPr>
        <w:t>登记日基金总份额10%</w:t>
      </w:r>
      <w:r w:rsidRPr="00501A61">
        <w:rPr>
          <w:rFonts w:asciiTheme="minorEastAsia" w:eastAsiaTheme="minorEastAsia" w:hAnsiTheme="minorEastAsia" w:hint="eastAsia"/>
          <w:szCs w:val="21"/>
        </w:rPr>
        <w:t>（含10%）</w:t>
      </w:r>
      <w:r w:rsidRPr="00501A61">
        <w:rPr>
          <w:rFonts w:asciiTheme="minorEastAsia" w:eastAsiaTheme="minorEastAsia" w:hAnsiTheme="minorEastAsia"/>
          <w:szCs w:val="21"/>
        </w:rPr>
        <w:t>以上的基金份额持有人可以在大会召集人发出会议通知前向大会召集人提交需由基金份额持有人大会审议表决的提案；也可以在会议通知发出后向大会召集人提交临时提案，临时提案应当在大会召开日</w:t>
      </w:r>
      <w:r w:rsidRPr="00501A61">
        <w:rPr>
          <w:rFonts w:asciiTheme="minorEastAsia" w:eastAsiaTheme="minorEastAsia" w:hAnsiTheme="minorEastAsia" w:hint="eastAsia"/>
          <w:szCs w:val="21"/>
        </w:rPr>
        <w:t>至少35</w:t>
      </w:r>
      <w:r w:rsidRPr="00501A61">
        <w:rPr>
          <w:rFonts w:asciiTheme="minorEastAsia" w:eastAsiaTheme="minorEastAsia" w:hAnsiTheme="minorEastAsia"/>
          <w:szCs w:val="21"/>
        </w:rPr>
        <w:t>天</w:t>
      </w:r>
      <w:r w:rsidRPr="00501A61">
        <w:rPr>
          <w:rFonts w:asciiTheme="minorEastAsia" w:eastAsiaTheme="minorEastAsia" w:hAnsiTheme="minorEastAsia" w:hint="eastAsia"/>
          <w:szCs w:val="21"/>
        </w:rPr>
        <w:t>前</w:t>
      </w:r>
      <w:r w:rsidRPr="00501A61">
        <w:rPr>
          <w:rFonts w:asciiTheme="minorEastAsia" w:eastAsiaTheme="minorEastAsia" w:hAnsiTheme="minorEastAsia"/>
          <w:szCs w:val="21"/>
        </w:rPr>
        <w:t>提交召集人</w:t>
      </w:r>
      <w:r w:rsidRPr="00501A61">
        <w:rPr>
          <w:rFonts w:asciiTheme="minorEastAsia" w:eastAsiaTheme="minorEastAsia" w:hAnsiTheme="minorEastAsia" w:hint="eastAsia"/>
          <w:szCs w:val="21"/>
        </w:rPr>
        <w:t>并由召集人公告</w:t>
      </w:r>
      <w:r w:rsidRPr="00501A61">
        <w:rPr>
          <w:rFonts w:asciiTheme="minorEastAsia" w:eastAsiaTheme="minorEastAsia" w:hAnsiTheme="minor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基金份额持有人大会的召集人发出召集会议的通知后，对原有提案的修改应当在基金份额持有人大会召开日</w:t>
      </w:r>
      <w:r w:rsidRPr="00501A61">
        <w:rPr>
          <w:rFonts w:asciiTheme="minorEastAsia" w:eastAsiaTheme="minorEastAsia" w:hAnsiTheme="minorEastAsia" w:hint="eastAsia"/>
          <w:szCs w:val="21"/>
        </w:rPr>
        <w:t>30</w:t>
      </w:r>
      <w:r w:rsidRPr="00501A61">
        <w:rPr>
          <w:rFonts w:asciiTheme="minorEastAsia" w:eastAsiaTheme="minorEastAsia" w:hAnsiTheme="minorEastAsia"/>
          <w:szCs w:val="21"/>
        </w:rPr>
        <w:t>天</w:t>
      </w:r>
      <w:r w:rsidRPr="00501A61">
        <w:rPr>
          <w:rFonts w:asciiTheme="minorEastAsia" w:eastAsiaTheme="minorEastAsia" w:hAnsiTheme="minorEastAsia" w:hint="eastAsia"/>
          <w:szCs w:val="21"/>
        </w:rPr>
        <w:t>前</w:t>
      </w:r>
      <w:r w:rsidRPr="00501A61">
        <w:rPr>
          <w:rFonts w:asciiTheme="minorEastAsia" w:eastAsiaTheme="minorEastAsia" w:hAnsiTheme="minorEastAsia"/>
          <w:szCs w:val="21"/>
        </w:rPr>
        <w:t>公告。</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基金份额持有人大会不得对未事先公告的议事内容进行表决。</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召集人对于基金管理人</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基金托管人和</w:t>
      </w:r>
      <w:r w:rsidRPr="00501A61">
        <w:rPr>
          <w:rFonts w:asciiTheme="minorEastAsia" w:eastAsiaTheme="minorEastAsia" w:hAnsiTheme="minorEastAsia" w:hint="eastAsia"/>
          <w:szCs w:val="21"/>
        </w:rPr>
        <w:t>基金份额持有人</w:t>
      </w:r>
      <w:r w:rsidRPr="00501A61">
        <w:rPr>
          <w:rFonts w:asciiTheme="minorEastAsia" w:eastAsiaTheme="minorEastAsia" w:hAnsiTheme="minorEastAsia"/>
          <w:szCs w:val="21"/>
        </w:rPr>
        <w:t>提交的临时提案</w:t>
      </w:r>
      <w:r w:rsidRPr="00501A61">
        <w:rPr>
          <w:rFonts w:asciiTheme="minorEastAsia" w:eastAsiaTheme="minorEastAsia" w:hAnsiTheme="minorEastAsia" w:hint="eastAsia"/>
          <w:szCs w:val="21"/>
        </w:rPr>
        <w:t>进行审核，符合条件的</w:t>
      </w:r>
      <w:r w:rsidRPr="00501A61">
        <w:rPr>
          <w:rFonts w:asciiTheme="minorEastAsia" w:eastAsiaTheme="minorEastAsia" w:hAnsiTheme="minorEastAsia"/>
          <w:szCs w:val="21"/>
        </w:rPr>
        <w:t>应当在大会召开日</w:t>
      </w:r>
      <w:r w:rsidRPr="00501A61">
        <w:rPr>
          <w:rFonts w:asciiTheme="minorEastAsia" w:eastAsiaTheme="minorEastAsia" w:hAnsiTheme="minorEastAsia" w:hint="eastAsia"/>
          <w:szCs w:val="21"/>
        </w:rPr>
        <w:t>30</w:t>
      </w:r>
      <w:r w:rsidRPr="00501A61">
        <w:rPr>
          <w:rFonts w:asciiTheme="minorEastAsia" w:eastAsiaTheme="minorEastAsia" w:hAnsiTheme="minorEastAsia"/>
          <w:szCs w:val="21"/>
        </w:rPr>
        <w:t>天前公告。大会召集人应当按照以下原则对提案进行审核：</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关联性。大会召集人对于提案涉及事项与基金有直接关系，并且不超出法律法规和</w:t>
      </w:r>
      <w:r w:rsidRPr="00501A61">
        <w:rPr>
          <w:rFonts w:asciiTheme="minorEastAsia" w:eastAsiaTheme="minorEastAsia" w:hAnsiTheme="minorEastAsia" w:hint="eastAsia"/>
          <w:szCs w:val="21"/>
        </w:rPr>
        <w:t>《基金合同》</w:t>
      </w:r>
      <w:r w:rsidRPr="00501A61">
        <w:rPr>
          <w:rFonts w:asciiTheme="minorEastAsia" w:eastAsiaTheme="minorEastAsia" w:hAnsiTheme="minorEastAsia"/>
          <w:szCs w:val="21"/>
        </w:rPr>
        <w:t>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Pr="00501A61">
        <w:rPr>
          <w:rFonts w:asciiTheme="minorEastAsia" w:eastAsiaTheme="minorEastAsia" w:hAnsiTheme="minorEastAsia"/>
          <w:szCs w:val="21"/>
        </w:rPr>
        <w:t>程序性。大会召集人可以对提案涉及的程序性问题</w:t>
      </w:r>
      <w:r w:rsidRPr="00501A61">
        <w:rPr>
          <w:rFonts w:asciiTheme="minorEastAsia" w:eastAsiaTheme="minorEastAsia" w:hAnsiTheme="minorEastAsia" w:hint="eastAsia"/>
          <w:szCs w:val="21"/>
        </w:rPr>
        <w:t>做</w:t>
      </w:r>
      <w:r w:rsidRPr="00501A61">
        <w:rPr>
          <w:rFonts w:asciiTheme="minorEastAsia" w:eastAsiaTheme="minorEastAsia" w:hAnsiTheme="minorEastAsia"/>
          <w:szCs w:val="21"/>
        </w:rPr>
        <w:t>出决定。如将提案进行分拆或合并表决，需征得原提案人同意；原提案人不同意变更的，大会主持人可以就程序性问题提请基金份额持有人大会</w:t>
      </w:r>
      <w:r w:rsidRPr="00501A61">
        <w:rPr>
          <w:rFonts w:asciiTheme="minorEastAsia" w:eastAsiaTheme="minorEastAsia" w:hAnsiTheme="minorEastAsia" w:hint="eastAsia"/>
          <w:szCs w:val="21"/>
        </w:rPr>
        <w:t>做</w:t>
      </w:r>
      <w:r w:rsidRPr="00501A61">
        <w:rPr>
          <w:rFonts w:asciiTheme="minorEastAsia" w:eastAsiaTheme="minorEastAsia" w:hAnsiTheme="minorEastAsia"/>
          <w:szCs w:val="21"/>
        </w:rPr>
        <w:t>出决定，并按照基金份额持有人大会决定的程序进行审议。</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Pr="00501A61">
        <w:rPr>
          <w:rFonts w:asciiTheme="minorEastAsia" w:eastAsiaTheme="minorEastAsia" w:hAnsiTheme="minorEastAsia"/>
          <w:szCs w:val="21"/>
        </w:rPr>
        <w:t>议事程序</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现场开会</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在现场开会的方式下，首先由大会主持人按照下列第七</w:t>
      </w:r>
      <w:r w:rsidRPr="00501A61">
        <w:rPr>
          <w:rFonts w:asciiTheme="minorEastAsia" w:eastAsiaTheme="minorEastAsia" w:hAnsiTheme="minorEastAsia" w:hint="eastAsia"/>
          <w:szCs w:val="21"/>
        </w:rPr>
        <w:t>条</w:t>
      </w:r>
      <w:r w:rsidRPr="00501A61">
        <w:rPr>
          <w:rFonts w:asciiTheme="minorEastAsia" w:eastAsiaTheme="minorEastAsia" w:hAnsiTheme="minorEastAsia"/>
          <w:szCs w:val="21"/>
        </w:rPr>
        <w:t>规定程序确定和公布监票人，然后由大会主持人宣读提案，经讨论后进行表决，并形成大会决议。大会主持人为基金管理</w:t>
      </w:r>
      <w:r w:rsidRPr="00501A61">
        <w:rPr>
          <w:rFonts w:asciiTheme="minorEastAsia" w:eastAsiaTheme="minorEastAsia" w:hAnsiTheme="minorEastAsia"/>
          <w:szCs w:val="21"/>
        </w:rPr>
        <w:lastRenderedPageBreak/>
        <w:t>人授权出席会议的代表，在基金管理人</w:t>
      </w:r>
      <w:r w:rsidRPr="00501A61">
        <w:rPr>
          <w:rFonts w:asciiTheme="minorEastAsia" w:eastAsiaTheme="minorEastAsia" w:hAnsiTheme="minorEastAsia" w:hint="eastAsia"/>
          <w:szCs w:val="21"/>
        </w:rPr>
        <w:t>授权代表</w:t>
      </w:r>
      <w:r w:rsidRPr="00501A61">
        <w:rPr>
          <w:rFonts w:asciiTheme="minorEastAsia" w:eastAsiaTheme="minorEastAsia" w:hAnsiTheme="minorEastAsia"/>
          <w:szCs w:val="21"/>
        </w:rPr>
        <w:t>未能主持大会的情况下，由基金托管人授权其出席会议的代表主持；如果基金管理人</w:t>
      </w:r>
      <w:r w:rsidRPr="00501A61">
        <w:rPr>
          <w:rFonts w:asciiTheme="minorEastAsia" w:eastAsiaTheme="minorEastAsia" w:hAnsiTheme="minorEastAsia" w:hint="eastAsia"/>
          <w:szCs w:val="21"/>
        </w:rPr>
        <w:t>授权代表</w:t>
      </w:r>
      <w:r w:rsidRPr="00501A61">
        <w:rPr>
          <w:rFonts w:asciiTheme="minorEastAsia" w:eastAsiaTheme="minorEastAsia" w:hAnsiTheme="minorEastAsia"/>
          <w:szCs w:val="21"/>
        </w:rPr>
        <w:t>和基金托管人</w:t>
      </w:r>
      <w:r w:rsidRPr="00501A61">
        <w:rPr>
          <w:rFonts w:asciiTheme="minorEastAsia" w:eastAsiaTheme="minorEastAsia" w:hAnsiTheme="minorEastAsia" w:hint="eastAsia"/>
          <w:szCs w:val="21"/>
        </w:rPr>
        <w:t>授权代表</w:t>
      </w:r>
      <w:r w:rsidRPr="00501A61">
        <w:rPr>
          <w:rFonts w:asciiTheme="minorEastAsia" w:eastAsiaTheme="minorEastAsia" w:hAnsiTheme="minorEastAsia"/>
          <w:szCs w:val="21"/>
        </w:rPr>
        <w:t>均未能主持大会，则由出席大会的基金份额持有人</w:t>
      </w:r>
      <w:r w:rsidRPr="00501A61">
        <w:rPr>
          <w:rFonts w:asciiTheme="minorEastAsia" w:eastAsiaTheme="minorEastAsia" w:hAnsiTheme="minorEastAsia" w:hint="eastAsia"/>
          <w:szCs w:val="21"/>
        </w:rPr>
        <w:t>所持表决权的</w:t>
      </w:r>
      <w:r w:rsidRPr="00501A61">
        <w:rPr>
          <w:rFonts w:asciiTheme="minorEastAsia" w:eastAsiaTheme="minorEastAsia" w:hAnsiTheme="minorEastAsia"/>
          <w:szCs w:val="21"/>
        </w:rPr>
        <w:t>50%以上（含50%）</w:t>
      </w:r>
      <w:r w:rsidRPr="00501A61">
        <w:rPr>
          <w:rFonts w:asciiTheme="minorEastAsia" w:eastAsiaTheme="minorEastAsia" w:hAnsiTheme="minorEastAsia" w:hint="eastAsia"/>
          <w:szCs w:val="21"/>
        </w:rPr>
        <w:t>选举</w:t>
      </w:r>
      <w:r w:rsidRPr="00501A61">
        <w:rPr>
          <w:rFonts w:asciiTheme="minorEastAsia" w:eastAsiaTheme="minorEastAsia" w:hAnsiTheme="minorEastAsia"/>
          <w:szCs w:val="21"/>
        </w:rPr>
        <w:t>产生一名基金份额持有人作为该次基金份额持有人大会的主持人。</w:t>
      </w:r>
      <w:r w:rsidRPr="00501A61">
        <w:rPr>
          <w:rFonts w:asciiTheme="minorEastAsia" w:eastAsiaTheme="minorEastAsia" w:hAnsiTheme="minorEastAsia" w:hint="eastAsia"/>
          <w:szCs w:val="21"/>
        </w:rPr>
        <w:t>基金管理人和基金托管人不出席或主持基金份额持有人大会，不影响基金份额持有人大会作出的决议的效力。</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Pr="00501A61">
        <w:rPr>
          <w:rFonts w:asciiTheme="minorEastAsia" w:eastAsiaTheme="minorEastAsia" w:hAnsiTheme="minorEastAsia"/>
          <w:szCs w:val="21"/>
        </w:rPr>
        <w:t>通讯开会</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在通讯开会的情况下，</w:t>
      </w:r>
      <w:r w:rsidRPr="00501A61">
        <w:rPr>
          <w:rFonts w:asciiTheme="minorEastAsia" w:eastAsiaTheme="minorEastAsia" w:hAnsiTheme="minorEastAsia" w:hint="eastAsia"/>
          <w:szCs w:val="21"/>
        </w:rPr>
        <w:t>公告会议通知时应当同时</w:t>
      </w:r>
      <w:r w:rsidRPr="00501A61">
        <w:rPr>
          <w:rFonts w:asciiTheme="minorEastAsia" w:eastAsiaTheme="minorEastAsia" w:hAnsiTheme="minorEastAsia"/>
          <w:szCs w:val="21"/>
        </w:rPr>
        <w:t>公布提案，在所通知的表决截止日期</w:t>
      </w:r>
      <w:r w:rsidRPr="00501A61">
        <w:rPr>
          <w:rFonts w:asciiTheme="minorEastAsia" w:eastAsiaTheme="minorEastAsia" w:hAnsiTheme="minorEastAsia" w:hint="eastAsia"/>
          <w:szCs w:val="21"/>
        </w:rPr>
        <w:t>后2个工作日内</w:t>
      </w:r>
      <w:r w:rsidRPr="00501A61">
        <w:rPr>
          <w:rFonts w:asciiTheme="minorEastAsia" w:eastAsiaTheme="minorEastAsia" w:hAnsiTheme="minorEastAsia"/>
          <w:szCs w:val="21"/>
        </w:rPr>
        <w:t>统计全部有效表决，在公证</w:t>
      </w:r>
      <w:r w:rsidRPr="00501A61">
        <w:rPr>
          <w:rFonts w:asciiTheme="minorEastAsia" w:eastAsiaTheme="minorEastAsia" w:hAnsiTheme="minorEastAsia" w:hint="eastAsia"/>
          <w:szCs w:val="21"/>
        </w:rPr>
        <w:t>机关</w:t>
      </w:r>
      <w:r w:rsidRPr="00501A61">
        <w:rPr>
          <w:rFonts w:asciiTheme="minorEastAsia" w:eastAsiaTheme="minorEastAsia" w:hAnsiTheme="minorEastAsia"/>
          <w:szCs w:val="21"/>
        </w:rPr>
        <w:t>监督下形成决议。</w:t>
      </w:r>
    </w:p>
    <w:p w:rsidR="0002608C" w:rsidRPr="00501A61" w:rsidRDefault="0002608C" w:rsidP="00107648">
      <w:pPr>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7</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表决</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基金份额持有人所持每份基金份额有一票表决权。</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基金份额持有人大会决议分为一般决议和特别决议：</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Pr="00501A61">
        <w:rPr>
          <w:rFonts w:asciiTheme="minorEastAsia" w:eastAsiaTheme="minorEastAsia" w:hAnsiTheme="minorEastAsia"/>
          <w:szCs w:val="21"/>
        </w:rPr>
        <w:t>一般决议，一般决议须经参加大会的基金份额持有人</w:t>
      </w:r>
      <w:r w:rsidRPr="00501A61">
        <w:rPr>
          <w:rFonts w:asciiTheme="minorEastAsia" w:eastAsiaTheme="minorEastAsia" w:hAnsiTheme="minorEastAsia" w:hint="eastAsia"/>
        </w:rPr>
        <w:t>或其代理人</w:t>
      </w:r>
      <w:r w:rsidRPr="00501A61">
        <w:rPr>
          <w:rFonts w:asciiTheme="minorEastAsia" w:eastAsiaTheme="minorEastAsia" w:hAnsiTheme="minorEastAsia"/>
          <w:szCs w:val="21"/>
        </w:rPr>
        <w:t>所持表决权的</w:t>
      </w:r>
      <w:r w:rsidRPr="00501A61">
        <w:rPr>
          <w:rFonts w:asciiTheme="minorEastAsia" w:eastAsiaTheme="minorEastAsia" w:hAnsiTheme="minorEastAsia" w:hint="eastAsia"/>
          <w:szCs w:val="21"/>
        </w:rPr>
        <w:t>50%</w:t>
      </w:r>
      <w:r w:rsidRPr="00501A61">
        <w:rPr>
          <w:rFonts w:asciiTheme="minorEastAsia" w:eastAsiaTheme="minorEastAsia" w:hAnsiTheme="minorEastAsia"/>
          <w:szCs w:val="21"/>
        </w:rPr>
        <w:t>以上（含</w:t>
      </w:r>
      <w:r w:rsidRPr="00501A61">
        <w:rPr>
          <w:rFonts w:asciiTheme="minorEastAsia" w:eastAsiaTheme="minorEastAsia" w:hAnsiTheme="minorEastAsia" w:hint="eastAsia"/>
          <w:szCs w:val="21"/>
        </w:rPr>
        <w:t>50%</w:t>
      </w:r>
      <w:r w:rsidRPr="00501A61">
        <w:rPr>
          <w:rFonts w:asciiTheme="minorEastAsia" w:eastAsiaTheme="minorEastAsia" w:hAnsiTheme="minorEastAsia"/>
          <w:szCs w:val="21"/>
        </w:rPr>
        <w:t>）通过方为有效；除下列</w:t>
      </w:r>
      <w:r w:rsidRPr="00501A61">
        <w:rPr>
          <w:rFonts w:asciiTheme="minorEastAsia" w:eastAsiaTheme="minorEastAsia" w:hAnsiTheme="minorEastAsia" w:hint="eastAsia"/>
          <w:szCs w:val="21"/>
        </w:rPr>
        <w:t>第2项</w:t>
      </w:r>
      <w:r w:rsidRPr="00501A61">
        <w:rPr>
          <w:rFonts w:asciiTheme="minorEastAsia" w:eastAsiaTheme="minorEastAsia" w:hAnsiTheme="minorEastAsia"/>
          <w:szCs w:val="21"/>
        </w:rPr>
        <w:t>所规定的须以特别决议通过事项以外的其他事项均以一般决议的方式通过。</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Pr="00501A61">
        <w:rPr>
          <w:rFonts w:asciiTheme="minorEastAsia" w:eastAsiaTheme="minorEastAsia" w:hAnsiTheme="minorEastAsia"/>
          <w:szCs w:val="21"/>
        </w:rPr>
        <w:t>特别决议，特别决议应当经参加大会的基金份额持有人</w:t>
      </w:r>
      <w:r w:rsidRPr="00501A61">
        <w:rPr>
          <w:rFonts w:asciiTheme="minorEastAsia" w:eastAsiaTheme="minorEastAsia" w:hAnsiTheme="minorEastAsia" w:hint="eastAsia"/>
          <w:szCs w:val="21"/>
        </w:rPr>
        <w:t>或其代理人</w:t>
      </w:r>
      <w:r w:rsidRPr="00501A61">
        <w:rPr>
          <w:rFonts w:asciiTheme="minorEastAsia" w:eastAsiaTheme="minorEastAsia" w:hAnsiTheme="minorEastAsia"/>
          <w:szCs w:val="21"/>
        </w:rPr>
        <w:t>所持表决权的三分之二</w:t>
      </w:r>
      <w:r w:rsidRPr="00501A61">
        <w:rPr>
          <w:rFonts w:asciiTheme="minorEastAsia" w:eastAsiaTheme="minorEastAsia" w:hAnsiTheme="minorEastAsia" w:hint="eastAsia"/>
          <w:szCs w:val="21"/>
        </w:rPr>
        <w:t>以上（含</w:t>
      </w:r>
      <w:r w:rsidRPr="00501A61">
        <w:rPr>
          <w:rFonts w:asciiTheme="minorEastAsia" w:eastAsiaTheme="minorEastAsia" w:hAnsiTheme="minorEastAsia"/>
          <w:szCs w:val="21"/>
        </w:rPr>
        <w:t>三分之二</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通过方可</w:t>
      </w:r>
      <w:r w:rsidRPr="00501A61">
        <w:rPr>
          <w:rFonts w:asciiTheme="minorEastAsia" w:eastAsiaTheme="minorEastAsia" w:hAnsiTheme="minorEastAsia" w:hint="eastAsia"/>
          <w:szCs w:val="21"/>
        </w:rPr>
        <w:t>做</w:t>
      </w:r>
      <w:r w:rsidRPr="00501A61">
        <w:rPr>
          <w:rFonts w:asciiTheme="minorEastAsia" w:eastAsiaTheme="minorEastAsia" w:hAnsiTheme="minorEastAsia"/>
          <w:szCs w:val="21"/>
        </w:rPr>
        <w:t>出。转换基金运作方式、更换基金管理人或者基金托管人、终止</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基金合同</w:t>
      </w:r>
      <w:r w:rsidRPr="00501A61">
        <w:rPr>
          <w:rFonts w:asciiTheme="minorEastAsia" w:eastAsiaTheme="minorEastAsia" w:hAnsiTheme="minorEastAsia" w:hint="eastAsia"/>
          <w:szCs w:val="21"/>
        </w:rPr>
        <w:t>》</w:t>
      </w:r>
      <w:r w:rsidR="00B148D8" w:rsidRPr="00501A61">
        <w:rPr>
          <w:rFonts w:asciiTheme="minorEastAsia" w:eastAsiaTheme="minorEastAsia" w:hAnsiTheme="minorEastAsia" w:hint="eastAsia"/>
          <w:szCs w:val="21"/>
        </w:rPr>
        <w:t>、本基金与其他基金合并</w:t>
      </w:r>
      <w:r w:rsidRPr="00501A61">
        <w:rPr>
          <w:rFonts w:asciiTheme="minorEastAsia" w:eastAsiaTheme="minorEastAsia" w:hAnsiTheme="minorEastAsia"/>
          <w:szCs w:val="21"/>
        </w:rPr>
        <w:t>以特别决议通过方为有效。</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基金份额持有人大会采取记名方式进行投票表决。</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采取通讯方式进行表决时，</w:t>
      </w:r>
      <w:r w:rsidRPr="00501A61">
        <w:rPr>
          <w:rFonts w:asciiTheme="minorEastAsia" w:eastAsiaTheme="minorEastAsia" w:hAnsiTheme="minorEastAsia" w:hint="eastAsia"/>
          <w:szCs w:val="21"/>
        </w:rPr>
        <w:t>除非在计票时有充分的相反证据证明，提交符合会议通知中规定的确认投资者身份文件的表决视为有效出席的投资者，</w:t>
      </w:r>
      <w:r w:rsidRPr="00501A61">
        <w:rPr>
          <w:rFonts w:asciiTheme="minorEastAsia" w:eastAsiaTheme="minorEastAsia" w:hAnsiTheme="minorEastAsia"/>
          <w:szCs w:val="21"/>
        </w:rPr>
        <w:t>符合会议通知规定的书面表决意见视为有效表决</w:t>
      </w:r>
      <w:r w:rsidRPr="00501A61">
        <w:rPr>
          <w:rFonts w:asciiTheme="minorEastAsia" w:eastAsiaTheme="minorEastAsia" w:hAnsiTheme="minorEastAsia" w:hint="eastAsia"/>
          <w:szCs w:val="21"/>
        </w:rPr>
        <w:t>，表决意见模糊不清或相互矛盾的视为弃权表决，但应当计入出具书面意见的基金份额持有人所代表的基金份额总数。</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基金份额持有人大会的各项提案或同一项提案内并列的各项议题应当分开审议、逐项表决。</w:t>
      </w:r>
    </w:p>
    <w:p w:rsidR="0002608C" w:rsidRPr="00501A61" w:rsidRDefault="0002608C" w:rsidP="00107648">
      <w:pPr>
        <w:adjustRightInd w:val="0"/>
        <w:snapToGrid w:val="0"/>
        <w:spacing w:line="360" w:lineRule="auto"/>
        <w:ind w:firstLine="480"/>
        <w:rPr>
          <w:rFonts w:asciiTheme="minorEastAsia" w:eastAsiaTheme="minorEastAsia" w:hAnsiTheme="minorEastAsia"/>
        </w:rPr>
      </w:pPr>
      <w:r w:rsidRPr="00501A61">
        <w:rPr>
          <w:rFonts w:asciiTheme="minorEastAsia" w:eastAsiaTheme="minorEastAsia" w:hAnsiTheme="minorEastAsia" w:hint="eastAsia"/>
        </w:rPr>
        <w:t>8</w:t>
      </w:r>
      <w:r w:rsidR="00CE2F50" w:rsidRPr="00501A61">
        <w:rPr>
          <w:rFonts w:asciiTheme="minorEastAsia" w:eastAsiaTheme="minorEastAsia" w:hAnsiTheme="minorEastAsia" w:hint="eastAsia"/>
        </w:rPr>
        <w:t>、</w:t>
      </w:r>
      <w:r w:rsidRPr="00501A61">
        <w:rPr>
          <w:rFonts w:asciiTheme="minorEastAsia" w:eastAsiaTheme="minorEastAsia" w:hAnsiTheme="minorEastAsia" w:hint="eastAsia"/>
        </w:rPr>
        <w:t>计票</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w:t>
      </w:r>
      <w:r w:rsidRPr="00501A61">
        <w:rPr>
          <w:rFonts w:asciiTheme="minorEastAsia" w:eastAsiaTheme="minorEastAsia" w:hAnsiTheme="minorEastAsia"/>
        </w:rPr>
        <w:t>1</w:t>
      </w:r>
      <w:r w:rsidRPr="00501A61">
        <w:rPr>
          <w:rFonts w:asciiTheme="minorEastAsia" w:eastAsiaTheme="minorEastAsia" w:hAnsiTheme="minorEastAsia" w:hint="eastAsia"/>
        </w:rPr>
        <w:t>）现场开会</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1</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r w:rsidRPr="00501A61">
        <w:rPr>
          <w:rFonts w:asciiTheme="minorEastAsia" w:eastAsiaTheme="minorEastAsia" w:hAnsiTheme="minorEastAsia" w:hint="eastAsia"/>
          <w:szCs w:val="21"/>
        </w:rPr>
        <w:t>或大会虽然由基金管理人或基金托管人召集，但是基金管理人或基金托管人未出席大会的</w:t>
      </w:r>
      <w:r w:rsidRPr="00501A61">
        <w:rPr>
          <w:rFonts w:asciiTheme="minorEastAsia" w:eastAsiaTheme="minorEastAsia" w:hAnsiTheme="minorEastAsia"/>
          <w:szCs w:val="21"/>
        </w:rPr>
        <w:t>，基金份额持有人大会的主持人应当在会议开始后宣布在出席会议的基金份额持有人中选举三名基金份额持有人代表担任监票人。</w:t>
      </w:r>
      <w:r w:rsidRPr="00501A61">
        <w:rPr>
          <w:rFonts w:asciiTheme="minorEastAsia" w:eastAsiaTheme="minorEastAsia" w:hAnsiTheme="minorEastAsia" w:hint="eastAsia"/>
          <w:szCs w:val="21"/>
        </w:rPr>
        <w:t>基金管理人或基金托管人不出席大会的，不影响计票的效力。</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Pr="00501A61">
        <w:rPr>
          <w:rFonts w:asciiTheme="minorEastAsia" w:eastAsiaTheme="minorEastAsia" w:hAnsiTheme="minorEastAsia"/>
          <w:szCs w:val="21"/>
        </w:rPr>
        <w:t>监票人应当在基金份额持有人表决后立即进行清点并由大会主持人当场公布计票结果。</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3）</w:t>
      </w:r>
      <w:r w:rsidRPr="00501A61">
        <w:rPr>
          <w:rFonts w:asciiTheme="minorEastAsia" w:eastAsiaTheme="minorEastAsia" w:hAnsiTheme="minorEastAsia"/>
          <w:szCs w:val="21"/>
        </w:rPr>
        <w:t>如果会议主持人</w:t>
      </w:r>
      <w:r w:rsidRPr="00501A61">
        <w:rPr>
          <w:rFonts w:asciiTheme="minorEastAsia" w:eastAsiaTheme="minorEastAsia" w:hAnsiTheme="minorEastAsia" w:hint="eastAsia"/>
          <w:szCs w:val="21"/>
        </w:rPr>
        <w:t>或</w:t>
      </w:r>
      <w:r w:rsidRPr="00501A61">
        <w:rPr>
          <w:rFonts w:asciiTheme="minorEastAsia" w:eastAsiaTheme="minorEastAsia" w:hAnsiTheme="minorEastAsia"/>
          <w:szCs w:val="21"/>
        </w:rPr>
        <w:t>基金份额持有人对于提交的表决结果有怀疑，可以在宣布表决结果后立即对所投票数</w:t>
      </w:r>
      <w:r w:rsidRPr="00501A61">
        <w:rPr>
          <w:rFonts w:asciiTheme="minorEastAsia" w:eastAsiaTheme="minorEastAsia" w:hAnsiTheme="minorEastAsia" w:hint="eastAsia"/>
          <w:szCs w:val="21"/>
        </w:rPr>
        <w:t>要求</w:t>
      </w:r>
      <w:r w:rsidRPr="00501A61">
        <w:rPr>
          <w:rFonts w:asciiTheme="minorEastAsia" w:eastAsiaTheme="minorEastAsia" w:hAnsiTheme="minorEastAsia"/>
          <w:szCs w:val="21"/>
        </w:rPr>
        <w:t>进行重新清点</w:t>
      </w:r>
      <w:r w:rsidRPr="00501A61">
        <w:rPr>
          <w:rFonts w:asciiTheme="minorEastAsia" w:eastAsiaTheme="minorEastAsia" w:hAnsiTheme="minorEastAsia" w:hint="eastAsia"/>
          <w:szCs w:val="21"/>
        </w:rPr>
        <w:t>。监票人应当进行重新清点，重新清点以一次为限。重新清点后，大会主持人应当当场公布重新清点结果。</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4）计票过程应由公证机关予以公证。</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Pr="00501A61">
        <w:rPr>
          <w:rFonts w:asciiTheme="minorEastAsia" w:eastAsiaTheme="minorEastAsia" w:hAnsiTheme="minorEastAsia"/>
          <w:szCs w:val="21"/>
        </w:rPr>
        <w:t>通讯开会</w:t>
      </w:r>
    </w:p>
    <w:p w:rsidR="0002608C" w:rsidRPr="00501A61" w:rsidRDefault="0002608C" w:rsidP="00107648">
      <w:pPr>
        <w:snapToGrid w:val="0"/>
        <w:spacing w:line="360" w:lineRule="auto"/>
        <w:ind w:firstLine="480"/>
        <w:rPr>
          <w:rFonts w:asciiTheme="minorEastAsia" w:eastAsiaTheme="minorEastAsia" w:hAnsiTheme="minorEastAsia"/>
          <w:szCs w:val="21"/>
        </w:rPr>
      </w:pPr>
      <w:r w:rsidRPr="00501A61">
        <w:rPr>
          <w:rFonts w:asciiTheme="minorEastAsia" w:eastAsiaTheme="minorEastAsia" w:hAnsiTheme="minorEastAsia"/>
          <w:szCs w:val="21"/>
        </w:rPr>
        <w:t>在通讯开会的情况下，计票方式为：由大会召集人授权的两名监督员在基金托管人授权代表</w:t>
      </w:r>
      <w:r w:rsidRPr="00501A61">
        <w:rPr>
          <w:rFonts w:asciiTheme="minorEastAsia" w:eastAsiaTheme="minorEastAsia" w:hAnsiTheme="minorEastAsia" w:hint="eastAsia"/>
          <w:szCs w:val="21"/>
        </w:rPr>
        <w:t>（若由基金托管人召集，则为基金管理人</w:t>
      </w:r>
      <w:r w:rsidRPr="00501A61">
        <w:rPr>
          <w:rFonts w:asciiTheme="minorEastAsia" w:eastAsiaTheme="minorEastAsia" w:hAnsiTheme="minorEastAsia"/>
          <w:szCs w:val="21"/>
        </w:rPr>
        <w:t>授权代表</w:t>
      </w:r>
      <w:r w:rsidRPr="00501A61">
        <w:rPr>
          <w:rFonts w:asciiTheme="minorEastAsia" w:eastAsiaTheme="minorEastAsia" w:hAnsiTheme="minorEastAsia" w:hint="eastAsia"/>
          <w:szCs w:val="21"/>
        </w:rPr>
        <w:t>）</w:t>
      </w:r>
      <w:r w:rsidRPr="00501A61">
        <w:rPr>
          <w:rFonts w:asciiTheme="minorEastAsia" w:eastAsiaTheme="minorEastAsia" w:hAnsiTheme="minorEastAsia"/>
          <w:szCs w:val="21"/>
        </w:rPr>
        <w:t>的监督下进行计票，并由公证机关对其计票过程予以公证。</w:t>
      </w:r>
      <w:r w:rsidRPr="00501A61">
        <w:rPr>
          <w:rFonts w:asciiTheme="minorEastAsia" w:eastAsiaTheme="minorEastAsia" w:hAnsiTheme="minorEastAsia" w:hint="eastAsia"/>
          <w:szCs w:val="21"/>
        </w:rPr>
        <w:t>基金管理人或托管人不派代表监督计票的，不影响计票效力。基金管理人或托管人不派代表监督计票时，应由召集人邀请无直接利害关系的第三方担任监督计票人员。</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9</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生效与公告</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基金份额持有人大会表决通过的事项，召集人应当自通过之日起5日内报中国证监会备案。</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基金份额持有人大会决定的事项自</w:t>
      </w:r>
      <w:r w:rsidR="00B148D8" w:rsidRPr="00501A61">
        <w:rPr>
          <w:rFonts w:asciiTheme="minorEastAsia" w:eastAsiaTheme="minorEastAsia" w:hAnsiTheme="minorEastAsia" w:hint="eastAsia"/>
          <w:szCs w:val="21"/>
        </w:rPr>
        <w:t>表决通过</w:t>
      </w:r>
      <w:r w:rsidRPr="00501A61">
        <w:rPr>
          <w:rFonts w:asciiTheme="minorEastAsia" w:eastAsiaTheme="minorEastAsia" w:hAnsiTheme="minorEastAsia" w:hint="eastAsia"/>
          <w:szCs w:val="21"/>
        </w:rPr>
        <w:t>之日起生效。</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基金份额持有人大会决议自生效之日起</w:t>
      </w:r>
      <w:r w:rsidR="00AD6F54" w:rsidRPr="00501A61">
        <w:rPr>
          <w:rFonts w:asciiTheme="minorEastAsia" w:eastAsiaTheme="minorEastAsia" w:hAnsiTheme="minorEastAsia" w:hint="eastAsia"/>
          <w:szCs w:val="21"/>
        </w:rPr>
        <w:t>2日内在指定媒介上公告</w:t>
      </w:r>
      <w:r w:rsidRPr="00501A61">
        <w:rPr>
          <w:rFonts w:asciiTheme="minorEastAsia" w:eastAsiaTheme="minorEastAsia" w:hAnsiTheme="minorEastAsia"/>
          <w:szCs w:val="21"/>
        </w:rPr>
        <w:t>。</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基金管理人、基金托管人和基金份额持有人应当执行生效的基金份额持有人大会的决定。</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szCs w:val="21"/>
        </w:rPr>
        <w:t>基金份额持有人大会决议对全体基金份额持有人、基金管理人、基金托管人均有约束力。</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sz w:val="21"/>
          <w:szCs w:val="21"/>
        </w:rPr>
      </w:pPr>
      <w:bookmarkStart w:id="184" w:name="_Toc45632280"/>
      <w:r w:rsidRPr="00501A61">
        <w:rPr>
          <w:rFonts w:asciiTheme="minorEastAsia" w:eastAsiaTheme="minorEastAsia" w:hAnsiTheme="minorEastAsia" w:hint="eastAsia"/>
          <w:b w:val="0"/>
          <w:bCs/>
          <w:sz w:val="21"/>
        </w:rPr>
        <w:t>（六）基金合同的变更和终止</w:t>
      </w:r>
      <w:bookmarkEnd w:id="184"/>
    </w:p>
    <w:p w:rsidR="0002608C" w:rsidRPr="00501A61" w:rsidRDefault="0002608C" w:rsidP="00107648">
      <w:pPr>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《基金合同》的变更</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（1）除非法律法规和《基金合同》另有规定，对《基金合同》的变更应当召开基金份额持有人大会的，《基金合同》变更的内容应经基金份额持有人大会决议通过，并报中国证监会备案。</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（2）依现行有效的有关法律法规，对《基金合同》的变更自</w:t>
      </w:r>
      <w:r w:rsidR="00B148D8" w:rsidRPr="00501A61">
        <w:rPr>
          <w:rFonts w:asciiTheme="minorEastAsia" w:eastAsiaTheme="minorEastAsia" w:hAnsiTheme="minorEastAsia" w:hint="eastAsia"/>
          <w:szCs w:val="21"/>
        </w:rPr>
        <w:t>表决通过</w:t>
      </w:r>
      <w:r w:rsidRPr="00501A61">
        <w:rPr>
          <w:rFonts w:asciiTheme="minorEastAsia" w:eastAsiaTheme="minorEastAsia" w:hAnsiTheme="minorEastAsia" w:hint="eastAsia"/>
          <w:szCs w:val="21"/>
        </w:rPr>
        <w:t>之日起生效。</w:t>
      </w:r>
    </w:p>
    <w:p w:rsidR="0002608C" w:rsidRPr="00501A61" w:rsidRDefault="0002608C" w:rsidP="00107648">
      <w:pPr>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（3）除依本《基金合同》和/或依现行有效的有关法律法规，对《基金合同》的变更须基金份额持有人大会决议通过和/或须报中国证监会</w:t>
      </w:r>
      <w:r w:rsidR="00954FC9" w:rsidRPr="00501A61">
        <w:rPr>
          <w:rFonts w:asciiTheme="minorEastAsia" w:eastAsiaTheme="minorEastAsia" w:hAnsiTheme="minorEastAsia" w:hint="eastAsia"/>
          <w:szCs w:val="21"/>
        </w:rPr>
        <w:t>备案</w:t>
      </w:r>
      <w:r w:rsidRPr="00501A61">
        <w:rPr>
          <w:rFonts w:asciiTheme="minorEastAsia" w:eastAsiaTheme="minorEastAsia" w:hAnsiTheme="minorEastAsia" w:hint="eastAsia"/>
          <w:szCs w:val="21"/>
        </w:rPr>
        <w:t>以外的情形，经基金管理人和基金托管人同意可对《基金合同》进行变更后公布，并报中国证监会备案。</w:t>
      </w:r>
    </w:p>
    <w:p w:rsidR="0002608C" w:rsidRPr="00501A61" w:rsidRDefault="0002608C" w:rsidP="00107648">
      <w:pPr>
        <w:adjustRightInd w:val="0"/>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CE2F50"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《基金合同》的终止</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有下列情形之一的，基金合同应当终止：</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（1）基金份额持有人大会决定终止的；</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（2）基金管理人、基金托管人职责终止，在6个月内没有新基金管理人、新基金托管人承接的；</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（3）《基金合同》约定的其他情形；</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（4）相关法律法规和中国证监会规定的其他情况。</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sz w:val="21"/>
        </w:rPr>
      </w:pPr>
      <w:bookmarkStart w:id="185" w:name="_Toc38437218"/>
      <w:bookmarkStart w:id="186" w:name="_Toc38437354"/>
      <w:bookmarkStart w:id="187" w:name="_Toc38437490"/>
      <w:bookmarkStart w:id="188" w:name="_Toc38437626"/>
      <w:bookmarkStart w:id="189" w:name="_Toc38437772"/>
      <w:bookmarkStart w:id="190" w:name="_Toc38437918"/>
      <w:bookmarkStart w:id="191" w:name="_Toc38438064"/>
      <w:bookmarkStart w:id="192" w:name="_Toc38438210"/>
      <w:bookmarkStart w:id="193" w:name="_Toc38438547"/>
      <w:bookmarkStart w:id="194" w:name="_Toc38438884"/>
      <w:bookmarkStart w:id="195" w:name="_Toc38439221"/>
      <w:bookmarkStart w:id="196" w:name="_Toc38439558"/>
      <w:bookmarkStart w:id="197" w:name="_Toc38439895"/>
      <w:bookmarkStart w:id="198" w:name="_Toc38440232"/>
      <w:bookmarkStart w:id="199" w:name="_Toc38440569"/>
      <w:bookmarkStart w:id="200" w:name="_Toc38440768"/>
      <w:bookmarkStart w:id="201" w:name="_Toc38441101"/>
      <w:bookmarkStart w:id="202" w:name="_Toc38441433"/>
      <w:bookmarkStart w:id="203" w:name="_Toc38441765"/>
      <w:bookmarkStart w:id="204" w:name="_Toc38442093"/>
      <w:bookmarkStart w:id="205" w:name="_Toc38442425"/>
      <w:bookmarkStart w:id="206" w:name="_Toc38442757"/>
      <w:bookmarkStart w:id="207" w:name="_Toc38443088"/>
      <w:bookmarkStart w:id="208" w:name="_Toc38443419"/>
      <w:bookmarkStart w:id="209" w:name="_Toc38443750"/>
      <w:bookmarkStart w:id="210" w:name="_Toc38433500"/>
      <w:bookmarkStart w:id="211" w:name="_Toc38433635"/>
      <w:bookmarkStart w:id="212" w:name="_Toc38433769"/>
      <w:bookmarkStart w:id="213" w:name="_Toc38433919"/>
      <w:bookmarkStart w:id="214" w:name="_Toc38434067"/>
      <w:bookmarkStart w:id="215" w:name="_Toc38434215"/>
      <w:bookmarkStart w:id="216" w:name="_Toc38434361"/>
      <w:bookmarkStart w:id="217" w:name="_Toc38434504"/>
      <w:bookmarkStart w:id="218" w:name="_Toc38434647"/>
      <w:bookmarkStart w:id="219" w:name="_Toc38434790"/>
      <w:bookmarkStart w:id="220" w:name="_Toc38434934"/>
      <w:bookmarkStart w:id="221" w:name="_Toc38437630"/>
      <w:bookmarkStart w:id="222" w:name="_Toc38437776"/>
      <w:bookmarkStart w:id="223" w:name="_Toc38437922"/>
      <w:bookmarkStart w:id="224" w:name="_Toc38438068"/>
      <w:bookmarkStart w:id="225" w:name="_Toc38438214"/>
      <w:bookmarkStart w:id="226" w:name="_Toc38438551"/>
      <w:bookmarkStart w:id="227" w:name="_Toc38438888"/>
      <w:bookmarkStart w:id="228" w:name="_Toc38439225"/>
      <w:bookmarkStart w:id="229" w:name="_Toc38439562"/>
      <w:bookmarkStart w:id="230" w:name="_Toc38439899"/>
      <w:bookmarkStart w:id="231" w:name="_Toc38440236"/>
      <w:bookmarkStart w:id="232" w:name="_Toc38440573"/>
      <w:bookmarkStart w:id="233" w:name="_Toc38440772"/>
      <w:bookmarkStart w:id="234" w:name="_Toc38441105"/>
      <w:bookmarkStart w:id="235" w:name="_Toc38441437"/>
      <w:bookmarkStart w:id="236" w:name="_Toc38441769"/>
      <w:bookmarkStart w:id="237" w:name="_Toc38442097"/>
      <w:bookmarkStart w:id="238" w:name="_Toc38442429"/>
      <w:bookmarkStart w:id="239" w:name="_Toc38442761"/>
      <w:bookmarkStart w:id="240" w:name="_Toc38443092"/>
      <w:bookmarkStart w:id="241" w:name="_Toc38443423"/>
      <w:bookmarkStart w:id="242" w:name="_Toc38443754"/>
      <w:bookmarkStart w:id="243" w:name="_Toc38433501"/>
      <w:bookmarkStart w:id="244" w:name="_Toc38433636"/>
      <w:bookmarkStart w:id="245" w:name="_Toc38433770"/>
      <w:bookmarkStart w:id="246" w:name="_Toc38433920"/>
      <w:bookmarkStart w:id="247" w:name="_Toc38434068"/>
      <w:bookmarkStart w:id="248" w:name="_Toc38434216"/>
      <w:bookmarkStart w:id="249" w:name="_Toc38434362"/>
      <w:bookmarkStart w:id="250" w:name="_Toc38434505"/>
      <w:bookmarkStart w:id="251" w:name="_Toc38434648"/>
      <w:bookmarkStart w:id="252" w:name="_Toc38434791"/>
      <w:bookmarkStart w:id="253" w:name="_Toc38434935"/>
      <w:bookmarkStart w:id="254" w:name="_Toc38437631"/>
      <w:bookmarkStart w:id="255" w:name="_Toc38437777"/>
      <w:bookmarkStart w:id="256" w:name="_Toc38437923"/>
      <w:bookmarkStart w:id="257" w:name="_Toc38438069"/>
      <w:bookmarkStart w:id="258" w:name="_Toc38438215"/>
      <w:bookmarkStart w:id="259" w:name="_Toc38438552"/>
      <w:bookmarkStart w:id="260" w:name="_Toc38438889"/>
      <w:bookmarkStart w:id="261" w:name="_Toc38439226"/>
      <w:bookmarkStart w:id="262" w:name="_Toc38439563"/>
      <w:bookmarkStart w:id="263" w:name="_Toc38439900"/>
      <w:bookmarkStart w:id="264" w:name="_Toc38440237"/>
      <w:bookmarkStart w:id="265" w:name="_Toc38440574"/>
      <w:bookmarkStart w:id="266" w:name="_Toc38440773"/>
      <w:bookmarkStart w:id="267" w:name="_Toc38441106"/>
      <w:bookmarkStart w:id="268" w:name="_Toc38441438"/>
      <w:bookmarkStart w:id="269" w:name="_Toc38441770"/>
      <w:bookmarkStart w:id="270" w:name="_Toc38442098"/>
      <w:bookmarkStart w:id="271" w:name="_Toc38442430"/>
      <w:bookmarkStart w:id="272" w:name="_Toc38442762"/>
      <w:bookmarkStart w:id="273" w:name="_Toc38443093"/>
      <w:bookmarkStart w:id="274" w:name="_Toc38443424"/>
      <w:bookmarkStart w:id="275" w:name="_Toc38443755"/>
      <w:bookmarkStart w:id="276" w:name="_Toc38433502"/>
      <w:bookmarkStart w:id="277" w:name="_Toc38433637"/>
      <w:bookmarkStart w:id="278" w:name="_Toc38433771"/>
      <w:bookmarkStart w:id="279" w:name="_Toc38433921"/>
      <w:bookmarkStart w:id="280" w:name="_Toc38434069"/>
      <w:bookmarkStart w:id="281" w:name="_Toc38434217"/>
      <w:bookmarkStart w:id="282" w:name="_Toc38434363"/>
      <w:bookmarkStart w:id="283" w:name="_Toc38434506"/>
      <w:bookmarkStart w:id="284" w:name="_Toc38434649"/>
      <w:bookmarkStart w:id="285" w:name="_Toc38434792"/>
      <w:bookmarkStart w:id="286" w:name="_Toc38434936"/>
      <w:bookmarkStart w:id="287" w:name="_Toc38437632"/>
      <w:bookmarkStart w:id="288" w:name="_Toc38437778"/>
      <w:bookmarkStart w:id="289" w:name="_Toc38437924"/>
      <w:bookmarkStart w:id="290" w:name="_Toc38438070"/>
      <w:bookmarkStart w:id="291" w:name="_Toc38438216"/>
      <w:bookmarkStart w:id="292" w:name="_Toc38438553"/>
      <w:bookmarkStart w:id="293" w:name="_Toc38438890"/>
      <w:bookmarkStart w:id="294" w:name="_Toc38439227"/>
      <w:bookmarkStart w:id="295" w:name="_Toc38439564"/>
      <w:bookmarkStart w:id="296" w:name="_Toc38439901"/>
      <w:bookmarkStart w:id="297" w:name="_Toc38440238"/>
      <w:bookmarkStart w:id="298" w:name="_Toc38440575"/>
      <w:bookmarkStart w:id="299" w:name="_Toc38440774"/>
      <w:bookmarkStart w:id="300" w:name="_Toc38441107"/>
      <w:bookmarkStart w:id="301" w:name="_Toc38441439"/>
      <w:bookmarkStart w:id="302" w:name="_Toc38441771"/>
      <w:bookmarkStart w:id="303" w:name="_Toc38442099"/>
      <w:bookmarkStart w:id="304" w:name="_Toc38442431"/>
      <w:bookmarkStart w:id="305" w:name="_Toc38442763"/>
      <w:bookmarkStart w:id="306" w:name="_Toc38443094"/>
      <w:bookmarkStart w:id="307" w:name="_Toc38443425"/>
      <w:bookmarkStart w:id="308" w:name="_Toc38443756"/>
      <w:bookmarkStart w:id="309" w:name="_Toc38433503"/>
      <w:bookmarkStart w:id="310" w:name="_Toc38433638"/>
      <w:bookmarkStart w:id="311" w:name="_Toc38433772"/>
      <w:bookmarkStart w:id="312" w:name="_Toc38433922"/>
      <w:bookmarkStart w:id="313" w:name="_Toc38434070"/>
      <w:bookmarkStart w:id="314" w:name="_Toc38434218"/>
      <w:bookmarkStart w:id="315" w:name="_Toc38434364"/>
      <w:bookmarkStart w:id="316" w:name="_Toc38434507"/>
      <w:bookmarkStart w:id="317" w:name="_Toc38434650"/>
      <w:bookmarkStart w:id="318" w:name="_Toc38434793"/>
      <w:bookmarkStart w:id="319" w:name="_Toc38434937"/>
      <w:bookmarkStart w:id="320" w:name="_Toc38437633"/>
      <w:bookmarkStart w:id="321" w:name="_Toc38437779"/>
      <w:bookmarkStart w:id="322" w:name="_Toc38437925"/>
      <w:bookmarkStart w:id="323" w:name="_Toc38438071"/>
      <w:bookmarkStart w:id="324" w:name="_Toc38438217"/>
      <w:bookmarkStart w:id="325" w:name="_Toc38438554"/>
      <w:bookmarkStart w:id="326" w:name="_Toc38438891"/>
      <w:bookmarkStart w:id="327" w:name="_Toc38439228"/>
      <w:bookmarkStart w:id="328" w:name="_Toc38439565"/>
      <w:bookmarkStart w:id="329" w:name="_Toc38439902"/>
      <w:bookmarkStart w:id="330" w:name="_Toc38440239"/>
      <w:bookmarkStart w:id="331" w:name="_Toc38440576"/>
      <w:bookmarkStart w:id="332" w:name="_Toc38440775"/>
      <w:bookmarkStart w:id="333" w:name="_Toc38441108"/>
      <w:bookmarkStart w:id="334" w:name="_Toc38441440"/>
      <w:bookmarkStart w:id="335" w:name="_Toc38441772"/>
      <w:bookmarkStart w:id="336" w:name="_Toc38442100"/>
      <w:bookmarkStart w:id="337" w:name="_Toc38442432"/>
      <w:bookmarkStart w:id="338" w:name="_Toc38442764"/>
      <w:bookmarkStart w:id="339" w:name="_Toc38443095"/>
      <w:bookmarkStart w:id="340" w:name="_Toc38443426"/>
      <w:bookmarkStart w:id="341" w:name="_Toc38443757"/>
      <w:bookmarkStart w:id="342" w:name="_Toc38433504"/>
      <w:bookmarkStart w:id="343" w:name="_Toc38433639"/>
      <w:bookmarkStart w:id="344" w:name="_Toc38433773"/>
      <w:bookmarkStart w:id="345" w:name="_Toc38433923"/>
      <w:bookmarkStart w:id="346" w:name="_Toc38434071"/>
      <w:bookmarkStart w:id="347" w:name="_Toc38434219"/>
      <w:bookmarkStart w:id="348" w:name="_Toc38434365"/>
      <w:bookmarkStart w:id="349" w:name="_Toc38434508"/>
      <w:bookmarkStart w:id="350" w:name="_Toc38434651"/>
      <w:bookmarkStart w:id="351" w:name="_Toc38434794"/>
      <w:bookmarkStart w:id="352" w:name="_Toc38434938"/>
      <w:bookmarkStart w:id="353" w:name="_Toc38437634"/>
      <w:bookmarkStart w:id="354" w:name="_Toc38437780"/>
      <w:bookmarkStart w:id="355" w:name="_Toc38437926"/>
      <w:bookmarkStart w:id="356" w:name="_Toc38438072"/>
      <w:bookmarkStart w:id="357" w:name="_Toc38438218"/>
      <w:bookmarkStart w:id="358" w:name="_Toc38438555"/>
      <w:bookmarkStart w:id="359" w:name="_Toc38438892"/>
      <w:bookmarkStart w:id="360" w:name="_Toc38439229"/>
      <w:bookmarkStart w:id="361" w:name="_Toc38439566"/>
      <w:bookmarkStart w:id="362" w:name="_Toc38439903"/>
      <w:bookmarkStart w:id="363" w:name="_Toc38440240"/>
      <w:bookmarkStart w:id="364" w:name="_Toc38440577"/>
      <w:bookmarkStart w:id="365" w:name="_Toc38440776"/>
      <w:bookmarkStart w:id="366" w:name="_Toc38441109"/>
      <w:bookmarkStart w:id="367" w:name="_Toc38441441"/>
      <w:bookmarkStart w:id="368" w:name="_Toc38441773"/>
      <w:bookmarkStart w:id="369" w:name="_Toc38442101"/>
      <w:bookmarkStart w:id="370" w:name="_Toc38442433"/>
      <w:bookmarkStart w:id="371" w:name="_Toc38442765"/>
      <w:bookmarkStart w:id="372" w:name="_Toc38443096"/>
      <w:bookmarkStart w:id="373" w:name="_Toc38443427"/>
      <w:bookmarkStart w:id="374" w:name="_Toc38443758"/>
      <w:bookmarkStart w:id="375" w:name="_Toc38433505"/>
      <w:bookmarkStart w:id="376" w:name="_Toc38433640"/>
      <w:bookmarkStart w:id="377" w:name="_Toc38433774"/>
      <w:bookmarkStart w:id="378" w:name="_Toc38433924"/>
      <w:bookmarkStart w:id="379" w:name="_Toc38434072"/>
      <w:bookmarkStart w:id="380" w:name="_Toc38434220"/>
      <w:bookmarkStart w:id="381" w:name="_Toc38434366"/>
      <w:bookmarkStart w:id="382" w:name="_Toc38434509"/>
      <w:bookmarkStart w:id="383" w:name="_Toc38434652"/>
      <w:bookmarkStart w:id="384" w:name="_Toc38434795"/>
      <w:bookmarkStart w:id="385" w:name="_Toc38434939"/>
      <w:bookmarkStart w:id="386" w:name="_Toc38437635"/>
      <w:bookmarkStart w:id="387" w:name="_Toc38437781"/>
      <w:bookmarkStart w:id="388" w:name="_Toc38437927"/>
      <w:bookmarkStart w:id="389" w:name="_Toc38438073"/>
      <w:bookmarkStart w:id="390" w:name="_Toc38438219"/>
      <w:bookmarkStart w:id="391" w:name="_Toc38438556"/>
      <w:bookmarkStart w:id="392" w:name="_Toc38438893"/>
      <w:bookmarkStart w:id="393" w:name="_Toc38439230"/>
      <w:bookmarkStart w:id="394" w:name="_Toc38439567"/>
      <w:bookmarkStart w:id="395" w:name="_Toc38439904"/>
      <w:bookmarkStart w:id="396" w:name="_Toc38440241"/>
      <w:bookmarkStart w:id="397" w:name="_Toc38440578"/>
      <w:bookmarkStart w:id="398" w:name="_Toc38440777"/>
      <w:bookmarkStart w:id="399" w:name="_Toc38441110"/>
      <w:bookmarkStart w:id="400" w:name="_Toc38441442"/>
      <w:bookmarkStart w:id="401" w:name="_Toc38441774"/>
      <w:bookmarkStart w:id="402" w:name="_Toc38442102"/>
      <w:bookmarkStart w:id="403" w:name="_Toc38442434"/>
      <w:bookmarkStart w:id="404" w:name="_Toc38442766"/>
      <w:bookmarkStart w:id="405" w:name="_Toc38443097"/>
      <w:bookmarkStart w:id="406" w:name="_Toc38443428"/>
      <w:bookmarkStart w:id="407" w:name="_Toc38443759"/>
      <w:bookmarkStart w:id="408" w:name="_Toc38433506"/>
      <w:bookmarkStart w:id="409" w:name="_Toc38433641"/>
      <w:bookmarkStart w:id="410" w:name="_Toc38433775"/>
      <w:bookmarkStart w:id="411" w:name="_Toc38433925"/>
      <w:bookmarkStart w:id="412" w:name="_Toc38434073"/>
      <w:bookmarkStart w:id="413" w:name="_Toc38434221"/>
      <w:bookmarkStart w:id="414" w:name="_Toc38434367"/>
      <w:bookmarkStart w:id="415" w:name="_Toc38434510"/>
      <w:bookmarkStart w:id="416" w:name="_Toc38434653"/>
      <w:bookmarkStart w:id="417" w:name="_Toc38434796"/>
      <w:bookmarkStart w:id="418" w:name="_Toc38434940"/>
      <w:bookmarkStart w:id="419" w:name="_Toc38437636"/>
      <w:bookmarkStart w:id="420" w:name="_Toc38437782"/>
      <w:bookmarkStart w:id="421" w:name="_Toc38437928"/>
      <w:bookmarkStart w:id="422" w:name="_Toc38438074"/>
      <w:bookmarkStart w:id="423" w:name="_Toc38438220"/>
      <w:bookmarkStart w:id="424" w:name="_Toc38438557"/>
      <w:bookmarkStart w:id="425" w:name="_Toc38438894"/>
      <w:bookmarkStart w:id="426" w:name="_Toc38439231"/>
      <w:bookmarkStart w:id="427" w:name="_Toc38439568"/>
      <w:bookmarkStart w:id="428" w:name="_Toc38439905"/>
      <w:bookmarkStart w:id="429" w:name="_Toc38440242"/>
      <w:bookmarkStart w:id="430" w:name="_Toc38440579"/>
      <w:bookmarkStart w:id="431" w:name="_Toc38440778"/>
      <w:bookmarkStart w:id="432" w:name="_Toc38441111"/>
      <w:bookmarkStart w:id="433" w:name="_Toc38441443"/>
      <w:bookmarkStart w:id="434" w:name="_Toc38441775"/>
      <w:bookmarkStart w:id="435" w:name="_Toc38442103"/>
      <w:bookmarkStart w:id="436" w:name="_Toc38442435"/>
      <w:bookmarkStart w:id="437" w:name="_Toc38442767"/>
      <w:bookmarkStart w:id="438" w:name="_Toc38443098"/>
      <w:bookmarkStart w:id="439" w:name="_Toc38443429"/>
      <w:bookmarkStart w:id="440" w:name="_Toc38443760"/>
      <w:bookmarkStart w:id="441" w:name="_Toc38433507"/>
      <w:bookmarkStart w:id="442" w:name="_Toc38433642"/>
      <w:bookmarkStart w:id="443" w:name="_Toc38433776"/>
      <w:bookmarkStart w:id="444" w:name="_Toc38433926"/>
      <w:bookmarkStart w:id="445" w:name="_Toc38434074"/>
      <w:bookmarkStart w:id="446" w:name="_Toc38434222"/>
      <w:bookmarkStart w:id="447" w:name="_Toc38434368"/>
      <w:bookmarkStart w:id="448" w:name="_Toc38434511"/>
      <w:bookmarkStart w:id="449" w:name="_Toc38434654"/>
      <w:bookmarkStart w:id="450" w:name="_Toc38434797"/>
      <w:bookmarkStart w:id="451" w:name="_Toc38434941"/>
      <w:bookmarkStart w:id="452" w:name="_Toc38437637"/>
      <w:bookmarkStart w:id="453" w:name="_Toc38437783"/>
      <w:bookmarkStart w:id="454" w:name="_Toc38437929"/>
      <w:bookmarkStart w:id="455" w:name="_Toc38438075"/>
      <w:bookmarkStart w:id="456" w:name="_Toc38438221"/>
      <w:bookmarkStart w:id="457" w:name="_Toc38438558"/>
      <w:bookmarkStart w:id="458" w:name="_Toc38438895"/>
      <w:bookmarkStart w:id="459" w:name="_Toc38439232"/>
      <w:bookmarkStart w:id="460" w:name="_Toc38439569"/>
      <w:bookmarkStart w:id="461" w:name="_Toc38439906"/>
      <w:bookmarkStart w:id="462" w:name="_Toc38440243"/>
      <w:bookmarkStart w:id="463" w:name="_Toc38440580"/>
      <w:bookmarkStart w:id="464" w:name="_Toc38440779"/>
      <w:bookmarkStart w:id="465" w:name="_Toc38441112"/>
      <w:bookmarkStart w:id="466" w:name="_Toc38441444"/>
      <w:bookmarkStart w:id="467" w:name="_Toc38441776"/>
      <w:bookmarkStart w:id="468" w:name="_Toc38442104"/>
      <w:bookmarkStart w:id="469" w:name="_Toc38442436"/>
      <w:bookmarkStart w:id="470" w:name="_Toc38442768"/>
      <w:bookmarkStart w:id="471" w:name="_Toc38443099"/>
      <w:bookmarkStart w:id="472" w:name="_Toc38443430"/>
      <w:bookmarkStart w:id="473" w:name="_Toc38443761"/>
      <w:bookmarkStart w:id="474" w:name="_Toc38433508"/>
      <w:bookmarkStart w:id="475" w:name="_Toc38433643"/>
      <w:bookmarkStart w:id="476" w:name="_Toc38433777"/>
      <w:bookmarkStart w:id="477" w:name="_Toc38433927"/>
      <w:bookmarkStart w:id="478" w:name="_Toc38434075"/>
      <w:bookmarkStart w:id="479" w:name="_Toc38434223"/>
      <w:bookmarkStart w:id="480" w:name="_Toc38434369"/>
      <w:bookmarkStart w:id="481" w:name="_Toc38434512"/>
      <w:bookmarkStart w:id="482" w:name="_Toc38434655"/>
      <w:bookmarkStart w:id="483" w:name="_Toc38434798"/>
      <w:bookmarkStart w:id="484" w:name="_Toc38434942"/>
      <w:bookmarkStart w:id="485" w:name="_Toc38437638"/>
      <w:bookmarkStart w:id="486" w:name="_Toc38437784"/>
      <w:bookmarkStart w:id="487" w:name="_Toc38437930"/>
      <w:bookmarkStart w:id="488" w:name="_Toc38438076"/>
      <w:bookmarkStart w:id="489" w:name="_Toc38438222"/>
      <w:bookmarkStart w:id="490" w:name="_Toc38438559"/>
      <w:bookmarkStart w:id="491" w:name="_Toc38438896"/>
      <w:bookmarkStart w:id="492" w:name="_Toc38439233"/>
      <w:bookmarkStart w:id="493" w:name="_Toc38439570"/>
      <w:bookmarkStart w:id="494" w:name="_Toc38439907"/>
      <w:bookmarkStart w:id="495" w:name="_Toc38440244"/>
      <w:bookmarkStart w:id="496" w:name="_Toc38440581"/>
      <w:bookmarkStart w:id="497" w:name="_Toc38440780"/>
      <w:bookmarkStart w:id="498" w:name="_Toc38441113"/>
      <w:bookmarkStart w:id="499" w:name="_Toc38441445"/>
      <w:bookmarkStart w:id="500" w:name="_Toc38441777"/>
      <w:bookmarkStart w:id="501" w:name="_Toc38442105"/>
      <w:bookmarkStart w:id="502" w:name="_Toc38442437"/>
      <w:bookmarkStart w:id="503" w:name="_Toc38442769"/>
      <w:bookmarkStart w:id="504" w:name="_Toc38443100"/>
      <w:bookmarkStart w:id="505" w:name="_Toc38443431"/>
      <w:bookmarkStart w:id="506" w:name="_Toc38443762"/>
      <w:bookmarkStart w:id="507" w:name="_Toc38433510"/>
      <w:bookmarkStart w:id="508" w:name="_Toc38433645"/>
      <w:bookmarkStart w:id="509" w:name="_Toc38433779"/>
      <w:bookmarkStart w:id="510" w:name="_Toc38433929"/>
      <w:bookmarkStart w:id="511" w:name="_Toc38434077"/>
      <w:bookmarkStart w:id="512" w:name="_Toc38434225"/>
      <w:bookmarkStart w:id="513" w:name="_Toc38434371"/>
      <w:bookmarkStart w:id="514" w:name="_Toc38434514"/>
      <w:bookmarkStart w:id="515" w:name="_Toc38434657"/>
      <w:bookmarkStart w:id="516" w:name="_Toc38434800"/>
      <w:bookmarkStart w:id="517" w:name="_Toc38434944"/>
      <w:bookmarkStart w:id="518" w:name="_Toc38437640"/>
      <w:bookmarkStart w:id="519" w:name="_Toc38437786"/>
      <w:bookmarkStart w:id="520" w:name="_Toc38437932"/>
      <w:bookmarkStart w:id="521" w:name="_Toc38438078"/>
      <w:bookmarkStart w:id="522" w:name="_Toc38438224"/>
      <w:bookmarkStart w:id="523" w:name="_Toc38438561"/>
      <w:bookmarkStart w:id="524" w:name="_Toc38438898"/>
      <w:bookmarkStart w:id="525" w:name="_Toc38439235"/>
      <w:bookmarkStart w:id="526" w:name="_Toc38439572"/>
      <w:bookmarkStart w:id="527" w:name="_Toc38439909"/>
      <w:bookmarkStart w:id="528" w:name="_Toc38440246"/>
      <w:bookmarkStart w:id="529" w:name="_Toc38440583"/>
      <w:bookmarkStart w:id="530" w:name="_Toc38440782"/>
      <w:bookmarkStart w:id="531" w:name="_Toc38441115"/>
      <w:bookmarkStart w:id="532" w:name="_Toc38441447"/>
      <w:bookmarkStart w:id="533" w:name="_Toc38441779"/>
      <w:bookmarkStart w:id="534" w:name="_Toc38442107"/>
      <w:bookmarkStart w:id="535" w:name="_Toc38442439"/>
      <w:bookmarkStart w:id="536" w:name="_Toc38442771"/>
      <w:bookmarkStart w:id="537" w:name="_Toc38443102"/>
      <w:bookmarkStart w:id="538" w:name="_Toc38443433"/>
      <w:bookmarkStart w:id="539" w:name="_Toc38443764"/>
      <w:bookmarkStart w:id="540" w:name="_Toc13148353"/>
      <w:bookmarkStart w:id="541" w:name="_Toc13150581"/>
      <w:bookmarkStart w:id="542" w:name="_Toc13291966"/>
      <w:bookmarkStart w:id="543" w:name="_Toc13504692"/>
      <w:bookmarkStart w:id="544" w:name="_Toc13504808"/>
      <w:bookmarkStart w:id="545" w:name="_Toc13556301"/>
      <w:bookmarkStart w:id="546" w:name="_Toc14337423"/>
      <w:bookmarkStart w:id="547" w:name="_Toc13148354"/>
      <w:bookmarkStart w:id="548" w:name="_Toc13150582"/>
      <w:bookmarkStart w:id="549" w:name="_Toc13291967"/>
      <w:bookmarkStart w:id="550" w:name="_Toc13504693"/>
      <w:bookmarkStart w:id="551" w:name="_Toc13504809"/>
      <w:bookmarkStart w:id="552" w:name="_Toc13556302"/>
      <w:bookmarkStart w:id="553" w:name="_Toc14337424"/>
      <w:bookmarkStart w:id="554" w:name="_Toc13148355"/>
      <w:bookmarkStart w:id="555" w:name="_Toc13150583"/>
      <w:bookmarkStart w:id="556" w:name="_Toc13291968"/>
      <w:bookmarkStart w:id="557" w:name="_Toc13504694"/>
      <w:bookmarkStart w:id="558" w:name="_Toc13504810"/>
      <w:bookmarkStart w:id="559" w:name="_Toc13556303"/>
      <w:bookmarkStart w:id="560" w:name="_Toc14337425"/>
      <w:bookmarkStart w:id="561" w:name="_Toc13148356"/>
      <w:bookmarkStart w:id="562" w:name="_Toc13150584"/>
      <w:bookmarkStart w:id="563" w:name="_Toc13291969"/>
      <w:bookmarkStart w:id="564" w:name="_Toc13504695"/>
      <w:bookmarkStart w:id="565" w:name="_Toc13504811"/>
      <w:bookmarkStart w:id="566" w:name="_Toc13556304"/>
      <w:bookmarkStart w:id="567" w:name="_Toc14337426"/>
      <w:bookmarkStart w:id="568" w:name="_Toc13148357"/>
      <w:bookmarkStart w:id="569" w:name="_Toc13150585"/>
      <w:bookmarkStart w:id="570" w:name="_Toc13291970"/>
      <w:bookmarkStart w:id="571" w:name="_Toc13504696"/>
      <w:bookmarkStart w:id="572" w:name="_Toc13504812"/>
      <w:bookmarkStart w:id="573" w:name="_Toc13556305"/>
      <w:bookmarkStart w:id="574" w:name="_Toc14337427"/>
      <w:bookmarkStart w:id="575" w:name="_Toc13148358"/>
      <w:bookmarkStart w:id="576" w:name="_Toc13150586"/>
      <w:bookmarkStart w:id="577" w:name="_Toc13291971"/>
      <w:bookmarkStart w:id="578" w:name="_Toc13504697"/>
      <w:bookmarkStart w:id="579" w:name="_Toc13504813"/>
      <w:bookmarkStart w:id="580" w:name="_Toc13556306"/>
      <w:bookmarkStart w:id="581" w:name="_Toc14337428"/>
      <w:bookmarkStart w:id="582" w:name="_Toc13148359"/>
      <w:bookmarkStart w:id="583" w:name="_Toc13150587"/>
      <w:bookmarkStart w:id="584" w:name="_Toc13291972"/>
      <w:bookmarkStart w:id="585" w:name="_Toc13504698"/>
      <w:bookmarkStart w:id="586" w:name="_Toc13504814"/>
      <w:bookmarkStart w:id="587" w:name="_Toc13556307"/>
      <w:bookmarkStart w:id="588" w:name="_Toc14337429"/>
      <w:bookmarkStart w:id="589" w:name="_Toc13148360"/>
      <w:bookmarkStart w:id="590" w:name="_Toc13150588"/>
      <w:bookmarkStart w:id="591" w:name="_Toc13291973"/>
      <w:bookmarkStart w:id="592" w:name="_Toc13504699"/>
      <w:bookmarkStart w:id="593" w:name="_Toc13504815"/>
      <w:bookmarkStart w:id="594" w:name="_Toc13556308"/>
      <w:bookmarkStart w:id="595" w:name="_Toc14337430"/>
      <w:bookmarkStart w:id="596" w:name="_Toc13148361"/>
      <w:bookmarkStart w:id="597" w:name="_Toc13150589"/>
      <w:bookmarkStart w:id="598" w:name="_Toc13291974"/>
      <w:bookmarkStart w:id="599" w:name="_Toc13504700"/>
      <w:bookmarkStart w:id="600" w:name="_Toc13504816"/>
      <w:bookmarkStart w:id="601" w:name="_Toc13556309"/>
      <w:bookmarkStart w:id="602" w:name="_Toc14337431"/>
      <w:bookmarkStart w:id="603" w:name="_Toc13148362"/>
      <w:bookmarkStart w:id="604" w:name="_Toc13150590"/>
      <w:bookmarkStart w:id="605" w:name="_Toc13291975"/>
      <w:bookmarkStart w:id="606" w:name="_Toc13504701"/>
      <w:bookmarkStart w:id="607" w:name="_Toc13504817"/>
      <w:bookmarkStart w:id="608" w:name="_Toc13556310"/>
      <w:bookmarkStart w:id="609" w:name="_Toc14337432"/>
      <w:bookmarkStart w:id="610" w:name="_Toc13148369"/>
      <w:bookmarkStart w:id="611" w:name="_Toc13150597"/>
      <w:bookmarkStart w:id="612" w:name="_Toc13291982"/>
      <w:bookmarkStart w:id="613" w:name="_Toc13504708"/>
      <w:bookmarkStart w:id="614" w:name="_Toc13504824"/>
      <w:bookmarkStart w:id="615" w:name="_Toc13556317"/>
      <w:bookmarkStart w:id="616" w:name="_Toc14337439"/>
      <w:bookmarkStart w:id="617" w:name="_Toc13148370"/>
      <w:bookmarkStart w:id="618" w:name="_Toc13150598"/>
      <w:bookmarkStart w:id="619" w:name="_Toc13291983"/>
      <w:bookmarkStart w:id="620" w:name="_Toc13504709"/>
      <w:bookmarkStart w:id="621" w:name="_Toc13504825"/>
      <w:bookmarkStart w:id="622" w:name="_Toc13556318"/>
      <w:bookmarkStart w:id="623" w:name="_Toc14337440"/>
      <w:bookmarkStart w:id="624" w:name="_Toc13148371"/>
      <w:bookmarkStart w:id="625" w:name="_Toc13150599"/>
      <w:bookmarkStart w:id="626" w:name="_Toc13291984"/>
      <w:bookmarkStart w:id="627" w:name="_Toc13504710"/>
      <w:bookmarkStart w:id="628" w:name="_Toc13504826"/>
      <w:bookmarkStart w:id="629" w:name="_Toc13556319"/>
      <w:bookmarkStart w:id="630" w:name="_Toc14337441"/>
      <w:bookmarkStart w:id="631" w:name="_Toc13148372"/>
      <w:bookmarkStart w:id="632" w:name="_Toc13150600"/>
      <w:bookmarkStart w:id="633" w:name="_Toc13291985"/>
      <w:bookmarkStart w:id="634" w:name="_Toc13504711"/>
      <w:bookmarkStart w:id="635" w:name="_Toc13504827"/>
      <w:bookmarkStart w:id="636" w:name="_Toc13556320"/>
      <w:bookmarkStart w:id="637" w:name="_Toc14337442"/>
      <w:bookmarkStart w:id="638" w:name="_Toc13148373"/>
      <w:bookmarkStart w:id="639" w:name="_Toc13150601"/>
      <w:bookmarkStart w:id="640" w:name="_Toc13291986"/>
      <w:bookmarkStart w:id="641" w:name="_Toc13504712"/>
      <w:bookmarkStart w:id="642" w:name="_Toc13504828"/>
      <w:bookmarkStart w:id="643" w:name="_Toc13556321"/>
      <w:bookmarkStart w:id="644" w:name="_Toc14337443"/>
      <w:bookmarkStart w:id="645" w:name="_Toc13148374"/>
      <w:bookmarkStart w:id="646" w:name="_Toc13150602"/>
      <w:bookmarkStart w:id="647" w:name="_Toc13291987"/>
      <w:bookmarkStart w:id="648" w:name="_Toc13504713"/>
      <w:bookmarkStart w:id="649" w:name="_Toc13504829"/>
      <w:bookmarkStart w:id="650" w:name="_Toc13556322"/>
      <w:bookmarkStart w:id="651" w:name="_Toc14337444"/>
      <w:bookmarkStart w:id="652" w:name="_Toc13148376"/>
      <w:bookmarkStart w:id="653" w:name="_Toc13150604"/>
      <w:bookmarkStart w:id="654" w:name="_Toc13291989"/>
      <w:bookmarkStart w:id="655" w:name="_Toc13504715"/>
      <w:bookmarkStart w:id="656" w:name="_Toc13504831"/>
      <w:bookmarkStart w:id="657" w:name="_Toc13556324"/>
      <w:bookmarkStart w:id="658" w:name="_Toc14337446"/>
      <w:bookmarkStart w:id="659" w:name="_Toc13148377"/>
      <w:bookmarkStart w:id="660" w:name="_Toc13150605"/>
      <w:bookmarkStart w:id="661" w:name="_Toc13291990"/>
      <w:bookmarkStart w:id="662" w:name="_Toc13504716"/>
      <w:bookmarkStart w:id="663" w:name="_Toc13504832"/>
      <w:bookmarkStart w:id="664" w:name="_Toc13556325"/>
      <w:bookmarkStart w:id="665" w:name="_Toc14337447"/>
      <w:bookmarkStart w:id="666" w:name="_Toc13148379"/>
      <w:bookmarkStart w:id="667" w:name="_Toc13150607"/>
      <w:bookmarkStart w:id="668" w:name="_Toc13291992"/>
      <w:bookmarkStart w:id="669" w:name="_Toc13504718"/>
      <w:bookmarkStart w:id="670" w:name="_Toc13504834"/>
      <w:bookmarkStart w:id="671" w:name="_Toc13556327"/>
      <w:bookmarkStart w:id="672" w:name="_Toc14337449"/>
      <w:bookmarkStart w:id="673" w:name="_Toc13148381"/>
      <w:bookmarkStart w:id="674" w:name="_Toc13150609"/>
      <w:bookmarkStart w:id="675" w:name="_Toc13291994"/>
      <w:bookmarkStart w:id="676" w:name="_Toc13504720"/>
      <w:bookmarkStart w:id="677" w:name="_Toc13504836"/>
      <w:bookmarkStart w:id="678" w:name="_Toc13556329"/>
      <w:bookmarkStart w:id="679" w:name="_Toc14337451"/>
      <w:bookmarkStart w:id="680" w:name="_Toc13148384"/>
      <w:bookmarkStart w:id="681" w:name="_Toc13150612"/>
      <w:bookmarkStart w:id="682" w:name="_Toc13291997"/>
      <w:bookmarkStart w:id="683" w:name="_Toc13504723"/>
      <w:bookmarkStart w:id="684" w:name="_Toc13504839"/>
      <w:bookmarkStart w:id="685" w:name="_Toc13556332"/>
      <w:bookmarkStart w:id="686" w:name="_Toc14337454"/>
      <w:bookmarkStart w:id="687" w:name="_Toc13148385"/>
      <w:bookmarkStart w:id="688" w:name="_Toc13150613"/>
      <w:bookmarkStart w:id="689" w:name="_Toc13291998"/>
      <w:bookmarkStart w:id="690" w:name="_Toc13504724"/>
      <w:bookmarkStart w:id="691" w:name="_Toc13504840"/>
      <w:bookmarkStart w:id="692" w:name="_Toc13556333"/>
      <w:bookmarkStart w:id="693" w:name="_Toc14337455"/>
      <w:bookmarkStart w:id="694" w:name="_Toc13148390"/>
      <w:bookmarkStart w:id="695" w:name="_Toc13150618"/>
      <w:bookmarkStart w:id="696" w:name="_Toc13292003"/>
      <w:bookmarkStart w:id="697" w:name="_Toc13504729"/>
      <w:bookmarkStart w:id="698" w:name="_Toc13504845"/>
      <w:bookmarkStart w:id="699" w:name="_Toc13556338"/>
      <w:bookmarkStart w:id="700" w:name="_Toc14337460"/>
      <w:bookmarkStart w:id="701" w:name="_Toc13148391"/>
      <w:bookmarkStart w:id="702" w:name="_Toc13150619"/>
      <w:bookmarkStart w:id="703" w:name="_Toc13292004"/>
      <w:bookmarkStart w:id="704" w:name="_Toc13504730"/>
      <w:bookmarkStart w:id="705" w:name="_Toc13504846"/>
      <w:bookmarkStart w:id="706" w:name="_Toc13556339"/>
      <w:bookmarkStart w:id="707" w:name="_Toc14337461"/>
      <w:bookmarkStart w:id="708" w:name="_Toc13148392"/>
      <w:bookmarkStart w:id="709" w:name="_Toc13150620"/>
      <w:bookmarkStart w:id="710" w:name="_Toc13292005"/>
      <w:bookmarkStart w:id="711" w:name="_Toc13504731"/>
      <w:bookmarkStart w:id="712" w:name="_Toc13504847"/>
      <w:bookmarkStart w:id="713" w:name="_Toc13556340"/>
      <w:bookmarkStart w:id="714" w:name="_Toc14337462"/>
      <w:bookmarkStart w:id="715" w:name="_Toc13148393"/>
      <w:bookmarkStart w:id="716" w:name="_Toc13150621"/>
      <w:bookmarkStart w:id="717" w:name="_Toc13292006"/>
      <w:bookmarkStart w:id="718" w:name="_Toc13504732"/>
      <w:bookmarkStart w:id="719" w:name="_Toc13504848"/>
      <w:bookmarkStart w:id="720" w:name="_Toc13556341"/>
      <w:bookmarkStart w:id="721" w:name="_Toc14337463"/>
      <w:bookmarkStart w:id="722" w:name="_Toc13148394"/>
      <w:bookmarkStart w:id="723" w:name="_Toc13150622"/>
      <w:bookmarkStart w:id="724" w:name="_Toc13292007"/>
      <w:bookmarkStart w:id="725" w:name="_Toc13504733"/>
      <w:bookmarkStart w:id="726" w:name="_Toc13504849"/>
      <w:bookmarkStart w:id="727" w:name="_Toc13556342"/>
      <w:bookmarkStart w:id="728" w:name="_Toc14337464"/>
      <w:bookmarkStart w:id="729" w:name="_Toc13148395"/>
      <w:bookmarkStart w:id="730" w:name="_Toc13150623"/>
      <w:bookmarkStart w:id="731" w:name="_Toc13292008"/>
      <w:bookmarkStart w:id="732" w:name="_Toc13504734"/>
      <w:bookmarkStart w:id="733" w:name="_Toc13504850"/>
      <w:bookmarkStart w:id="734" w:name="_Toc13556343"/>
      <w:bookmarkStart w:id="735" w:name="_Toc14337465"/>
      <w:bookmarkStart w:id="736" w:name="_Toc13148396"/>
      <w:bookmarkStart w:id="737" w:name="_Toc13150624"/>
      <w:bookmarkStart w:id="738" w:name="_Toc13292009"/>
      <w:bookmarkStart w:id="739" w:name="_Toc13504735"/>
      <w:bookmarkStart w:id="740" w:name="_Toc13504851"/>
      <w:bookmarkStart w:id="741" w:name="_Toc13556344"/>
      <w:bookmarkStart w:id="742" w:name="_Toc14337466"/>
      <w:bookmarkStart w:id="743" w:name="_Toc13148397"/>
      <w:bookmarkStart w:id="744" w:name="_Toc13150625"/>
      <w:bookmarkStart w:id="745" w:name="_Toc13292010"/>
      <w:bookmarkStart w:id="746" w:name="_Toc13504736"/>
      <w:bookmarkStart w:id="747" w:name="_Toc13504852"/>
      <w:bookmarkStart w:id="748" w:name="_Toc13556345"/>
      <w:bookmarkStart w:id="749" w:name="_Toc14337467"/>
      <w:bookmarkStart w:id="750" w:name="_Toc13148398"/>
      <w:bookmarkStart w:id="751" w:name="_Toc13150626"/>
      <w:bookmarkStart w:id="752" w:name="_Toc13292011"/>
      <w:bookmarkStart w:id="753" w:name="_Toc13504737"/>
      <w:bookmarkStart w:id="754" w:name="_Toc13504853"/>
      <w:bookmarkStart w:id="755" w:name="_Toc13556346"/>
      <w:bookmarkStart w:id="756" w:name="_Toc14337468"/>
      <w:bookmarkStart w:id="757" w:name="_Toc13148399"/>
      <w:bookmarkStart w:id="758" w:name="_Toc13150627"/>
      <w:bookmarkStart w:id="759" w:name="_Toc13292012"/>
      <w:bookmarkStart w:id="760" w:name="_Toc13504738"/>
      <w:bookmarkStart w:id="761" w:name="_Toc13504854"/>
      <w:bookmarkStart w:id="762" w:name="_Toc13556347"/>
      <w:bookmarkStart w:id="763" w:name="_Toc14337469"/>
      <w:bookmarkStart w:id="764" w:name="_Toc13148400"/>
      <w:bookmarkStart w:id="765" w:name="_Toc13150628"/>
      <w:bookmarkStart w:id="766" w:name="_Toc13292013"/>
      <w:bookmarkStart w:id="767" w:name="_Toc13504739"/>
      <w:bookmarkStart w:id="768" w:name="_Toc13504855"/>
      <w:bookmarkStart w:id="769" w:name="_Toc13556348"/>
      <w:bookmarkStart w:id="770" w:name="_Toc14337470"/>
      <w:bookmarkStart w:id="771" w:name="_Toc13148401"/>
      <w:bookmarkStart w:id="772" w:name="_Toc13150629"/>
      <w:bookmarkStart w:id="773" w:name="_Toc13292014"/>
      <w:bookmarkStart w:id="774" w:name="_Toc13504740"/>
      <w:bookmarkStart w:id="775" w:name="_Toc13504856"/>
      <w:bookmarkStart w:id="776" w:name="_Toc13556349"/>
      <w:bookmarkStart w:id="777" w:name="_Toc14337471"/>
      <w:bookmarkStart w:id="778" w:name="_Toc13148402"/>
      <w:bookmarkStart w:id="779" w:name="_Toc13150630"/>
      <w:bookmarkStart w:id="780" w:name="_Toc13292015"/>
      <w:bookmarkStart w:id="781" w:name="_Toc13504741"/>
      <w:bookmarkStart w:id="782" w:name="_Toc13504857"/>
      <w:bookmarkStart w:id="783" w:name="_Toc13556350"/>
      <w:bookmarkStart w:id="784" w:name="_Toc14337472"/>
      <w:bookmarkStart w:id="785" w:name="_Toc13148408"/>
      <w:bookmarkStart w:id="786" w:name="_Toc13150636"/>
      <w:bookmarkStart w:id="787" w:name="_Toc13292021"/>
      <w:bookmarkStart w:id="788" w:name="_Toc13504747"/>
      <w:bookmarkStart w:id="789" w:name="_Toc13504863"/>
      <w:bookmarkStart w:id="790" w:name="_Toc13556356"/>
      <w:bookmarkStart w:id="791" w:name="_Toc14337478"/>
      <w:bookmarkStart w:id="792" w:name="_Toc13148409"/>
      <w:bookmarkStart w:id="793" w:name="_Toc13150637"/>
      <w:bookmarkStart w:id="794" w:name="_Toc13292022"/>
      <w:bookmarkStart w:id="795" w:name="_Toc13504748"/>
      <w:bookmarkStart w:id="796" w:name="_Toc13504864"/>
      <w:bookmarkStart w:id="797" w:name="_Toc13556357"/>
      <w:bookmarkStart w:id="798" w:name="_Toc14337479"/>
      <w:bookmarkStart w:id="799" w:name="_Toc13148411"/>
      <w:bookmarkStart w:id="800" w:name="_Toc13150639"/>
      <w:bookmarkStart w:id="801" w:name="_Toc13292024"/>
      <w:bookmarkStart w:id="802" w:name="_Toc13504750"/>
      <w:bookmarkStart w:id="803" w:name="_Toc13504866"/>
      <w:bookmarkStart w:id="804" w:name="_Toc13556359"/>
      <w:bookmarkStart w:id="805" w:name="_Toc14337481"/>
      <w:bookmarkStart w:id="806" w:name="_Toc13148412"/>
      <w:bookmarkStart w:id="807" w:name="_Toc13150640"/>
      <w:bookmarkStart w:id="808" w:name="_Toc13292025"/>
      <w:bookmarkStart w:id="809" w:name="_Toc13504751"/>
      <w:bookmarkStart w:id="810" w:name="_Toc13504867"/>
      <w:bookmarkStart w:id="811" w:name="_Toc13556360"/>
      <w:bookmarkStart w:id="812" w:name="_Toc14337482"/>
      <w:bookmarkStart w:id="813" w:name="_Toc13148413"/>
      <w:bookmarkStart w:id="814" w:name="_Toc13150641"/>
      <w:bookmarkStart w:id="815" w:name="_Toc13292026"/>
      <w:bookmarkStart w:id="816" w:name="_Toc13504752"/>
      <w:bookmarkStart w:id="817" w:name="_Toc13504868"/>
      <w:bookmarkStart w:id="818" w:name="_Toc13556361"/>
      <w:bookmarkStart w:id="819" w:name="_Toc14337483"/>
      <w:bookmarkStart w:id="820" w:name="_Toc45632281"/>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501A61">
        <w:rPr>
          <w:rFonts w:asciiTheme="minorEastAsia" w:eastAsiaTheme="minorEastAsia" w:hAnsiTheme="minorEastAsia" w:hint="eastAsia"/>
          <w:b w:val="0"/>
          <w:bCs/>
          <w:sz w:val="21"/>
        </w:rPr>
        <w:lastRenderedPageBreak/>
        <w:t>（七）争议的处理</w:t>
      </w:r>
      <w:bookmarkStart w:id="821" w:name="_Toc38438236"/>
      <w:bookmarkStart w:id="822" w:name="_Toc38438573"/>
      <w:bookmarkStart w:id="823" w:name="_Toc38438910"/>
      <w:bookmarkStart w:id="824" w:name="_Toc38439247"/>
      <w:bookmarkStart w:id="825" w:name="_Toc38439584"/>
      <w:bookmarkStart w:id="826" w:name="_Toc38439921"/>
      <w:bookmarkStart w:id="827" w:name="_Toc38440258"/>
      <w:bookmarkStart w:id="828" w:name="_Toc38440595"/>
      <w:bookmarkStart w:id="829" w:name="_Toc38440794"/>
      <w:bookmarkStart w:id="830" w:name="_Toc38441127"/>
      <w:bookmarkStart w:id="831" w:name="_Toc38441459"/>
      <w:bookmarkStart w:id="832" w:name="_Toc38441791"/>
      <w:bookmarkStart w:id="833" w:name="_Toc38442119"/>
      <w:bookmarkStart w:id="834" w:name="_Toc38442451"/>
      <w:bookmarkStart w:id="835" w:name="_Toc38442783"/>
      <w:bookmarkStart w:id="836" w:name="_Toc38443114"/>
      <w:bookmarkStart w:id="837" w:name="_Toc38443445"/>
      <w:bookmarkStart w:id="838" w:name="_Toc38443776"/>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rsidR="0002608C" w:rsidRPr="00501A61" w:rsidRDefault="0002608C" w:rsidP="00107648">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各方当事人同意，因《基金合同》而产生的或与《基金合同》有关的一切争议，如经友好协商未能解决的，应提交中国国际经济贸易仲裁委员会根据该会当时有效的仲裁规则进行仲裁，仲裁的地点在北京，仲裁裁决是终局性的并对各方当事人具有约束力，仲裁费由败诉方承担。</w:t>
      </w:r>
    </w:p>
    <w:p w:rsidR="0002608C" w:rsidRPr="00501A61" w:rsidRDefault="0002608C" w:rsidP="00107648">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本《基金合同》受中国法律管辖。</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sz w:val="21"/>
        </w:rPr>
      </w:pPr>
      <w:bookmarkStart w:id="839" w:name="_Toc110945633"/>
      <w:bookmarkStart w:id="840" w:name="_Toc45632282"/>
      <w:r w:rsidRPr="00501A61">
        <w:rPr>
          <w:rFonts w:asciiTheme="minorEastAsia" w:eastAsiaTheme="minorEastAsia" w:hAnsiTheme="minorEastAsia" w:hint="eastAsia"/>
          <w:b w:val="0"/>
          <w:bCs/>
          <w:sz w:val="21"/>
        </w:rPr>
        <w:t>（八）基金合同的存放及查阅方式</w:t>
      </w:r>
      <w:bookmarkEnd w:id="839"/>
      <w:bookmarkEnd w:id="840"/>
    </w:p>
    <w:p w:rsidR="0002608C" w:rsidRPr="00501A61" w:rsidRDefault="0002608C" w:rsidP="00107648">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501A61">
        <w:rPr>
          <w:rFonts w:asciiTheme="minorEastAsia" w:eastAsiaTheme="minorEastAsia" w:hAnsiTheme="minorEastAsia" w:hint="eastAsia"/>
          <w:szCs w:val="21"/>
        </w:rPr>
        <w:t>《基金合同》</w:t>
      </w:r>
      <w:r w:rsidRPr="00501A61">
        <w:rPr>
          <w:rFonts w:asciiTheme="minorEastAsia" w:eastAsiaTheme="minorEastAsia" w:hAnsiTheme="minorEastAsia"/>
          <w:szCs w:val="21"/>
        </w:rPr>
        <w:t>可印制成册</w:t>
      </w:r>
      <w:r w:rsidRPr="00501A61">
        <w:rPr>
          <w:rFonts w:asciiTheme="minorEastAsia" w:eastAsiaTheme="minorEastAsia" w:hAnsiTheme="minorEastAsia" w:hint="eastAsia"/>
          <w:szCs w:val="21"/>
        </w:rPr>
        <w:t>，供投资者在基金管理人、基金托管人、代销机构的办公场所和营业场所查阅；投资者也可按工本费购买《基金合同》复制件或复印件，但内容应以本基金合同正本为准。</w:t>
      </w:r>
    </w:p>
    <w:p w:rsidR="00E1094C" w:rsidRPr="00501A61" w:rsidRDefault="00E1094C" w:rsidP="00107648">
      <w:pPr>
        <w:autoSpaceDE w:val="0"/>
        <w:autoSpaceDN w:val="0"/>
        <w:snapToGrid w:val="0"/>
        <w:spacing w:line="360" w:lineRule="auto"/>
        <w:ind w:firstLineChars="200" w:firstLine="420"/>
        <w:textAlignment w:val="bottom"/>
        <w:rPr>
          <w:rFonts w:asciiTheme="minorEastAsia" w:eastAsiaTheme="minorEastAsia" w:hAnsiTheme="minorEastAsia"/>
          <w:szCs w:val="21"/>
        </w:rPr>
        <w:sectPr w:rsidR="00E1094C" w:rsidRPr="00501A61" w:rsidSect="003920FC">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Cs/>
        </w:rPr>
      </w:pPr>
      <w:bookmarkStart w:id="841" w:name="_Toc45632283"/>
      <w:r w:rsidRPr="00501A61">
        <w:rPr>
          <w:rFonts w:asciiTheme="minorEastAsia" w:eastAsiaTheme="minorEastAsia" w:hAnsiTheme="minorEastAsia" w:hint="eastAsia"/>
          <w:b/>
          <w:bCs/>
        </w:rPr>
        <w:lastRenderedPageBreak/>
        <w:t>二十二、基金托管协议的内容摘要</w:t>
      </w:r>
      <w:bookmarkEnd w:id="841"/>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842" w:name="_Toc40511576"/>
      <w:bookmarkStart w:id="843" w:name="_Toc45632284"/>
      <w:r w:rsidRPr="00501A61">
        <w:rPr>
          <w:rFonts w:asciiTheme="minorEastAsia" w:eastAsiaTheme="minorEastAsia" w:hAnsiTheme="minorEastAsia" w:hint="eastAsia"/>
          <w:b w:val="0"/>
          <w:bCs/>
        </w:rPr>
        <w:t>（一）基金托管协议当事人</w:t>
      </w:r>
      <w:bookmarkEnd w:id="842"/>
      <w:bookmarkEnd w:id="843"/>
    </w:p>
    <w:p w:rsidR="0002608C" w:rsidRPr="00501A61" w:rsidRDefault="00CE2F50" w:rsidP="00107648">
      <w:pPr>
        <w:pStyle w:val="ae"/>
        <w:snapToGrid w:val="0"/>
        <w:spacing w:line="360" w:lineRule="auto"/>
        <w:ind w:firstLineChars="192" w:firstLine="403"/>
        <w:rPr>
          <w:rFonts w:asciiTheme="minorEastAsia" w:eastAsiaTheme="minorEastAsia" w:hAnsiTheme="minorEastAsia"/>
        </w:rPr>
      </w:pPr>
      <w:r w:rsidRPr="00501A61">
        <w:rPr>
          <w:rFonts w:asciiTheme="minorEastAsia" w:eastAsiaTheme="minorEastAsia" w:hAnsiTheme="minorEastAsia" w:hint="eastAsia"/>
        </w:rPr>
        <w:t>1、</w:t>
      </w:r>
      <w:r w:rsidR="0002608C" w:rsidRPr="00501A61">
        <w:rPr>
          <w:rFonts w:asciiTheme="minorEastAsia" w:eastAsiaTheme="minorEastAsia" w:hAnsiTheme="minorEastAsia" w:hint="eastAsia"/>
        </w:rPr>
        <w:t>基金管理人</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名称：易方达基金管理有限公司</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住所：</w:t>
      </w:r>
      <w:r w:rsidR="00C90DD4" w:rsidRPr="00501A61">
        <w:rPr>
          <w:rFonts w:asciiTheme="minorEastAsia" w:eastAsiaTheme="minorEastAsia" w:hAnsiTheme="minorEastAsia" w:hint="eastAsia"/>
          <w:szCs w:val="21"/>
        </w:rPr>
        <w:t>广东省珠海市横琴新区宝华路6号105室－42891（集中办公区）</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法定代表人：</w:t>
      </w:r>
      <w:r w:rsidR="00404A63" w:rsidRPr="00501A61">
        <w:rPr>
          <w:rFonts w:asciiTheme="minorEastAsia" w:eastAsiaTheme="minorEastAsia" w:hAnsiTheme="minorEastAsia" w:hint="eastAsia"/>
          <w:szCs w:val="21"/>
        </w:rPr>
        <w:t>刘晓艳</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成立时间：2001年4月17日</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批准设立机关及批准设立文号：中国证</w:t>
      </w:r>
      <w:r w:rsidR="00A80777" w:rsidRPr="00501A61">
        <w:rPr>
          <w:rFonts w:asciiTheme="minorEastAsia" w:eastAsiaTheme="minorEastAsia" w:hAnsiTheme="minorEastAsia" w:hint="eastAsia"/>
          <w:szCs w:val="21"/>
        </w:rPr>
        <w:t>券监督管理委员</w:t>
      </w:r>
      <w:r w:rsidRPr="00501A61">
        <w:rPr>
          <w:rFonts w:asciiTheme="minorEastAsia" w:eastAsiaTheme="minorEastAsia" w:hAnsiTheme="minorEastAsia" w:hint="eastAsia"/>
          <w:szCs w:val="21"/>
        </w:rPr>
        <w:t>会，证监基金字[2001]4号</w:t>
      </w:r>
    </w:p>
    <w:p w:rsidR="0002608C" w:rsidRPr="00501A61" w:rsidRDefault="00B33D9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注册资本：13,244.2万元人民币</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组织形式：有限责任公司</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经营范围：</w:t>
      </w:r>
      <w:r w:rsidR="00D37D82" w:rsidRPr="00501A61">
        <w:rPr>
          <w:rFonts w:asciiTheme="minorEastAsia" w:eastAsiaTheme="minorEastAsia" w:hAnsiTheme="minorEastAsia" w:hint="eastAsia"/>
          <w:szCs w:val="21"/>
        </w:rPr>
        <w:t>公开募集证券投资基金管理、基金销售、特定客户资产管理</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存续期间：持续经营</w:t>
      </w:r>
    </w:p>
    <w:p w:rsidR="0002608C" w:rsidRPr="00501A61" w:rsidRDefault="00CE2F50" w:rsidP="00107648">
      <w:pPr>
        <w:pStyle w:val="ae"/>
        <w:snapToGrid w:val="0"/>
        <w:spacing w:line="360" w:lineRule="auto"/>
        <w:ind w:firstLineChars="192" w:firstLine="403"/>
        <w:rPr>
          <w:rFonts w:asciiTheme="minorEastAsia" w:eastAsiaTheme="minorEastAsia" w:hAnsiTheme="minorEastAsia"/>
        </w:rPr>
      </w:pPr>
      <w:r w:rsidRPr="00501A61">
        <w:rPr>
          <w:rFonts w:asciiTheme="minorEastAsia" w:eastAsiaTheme="minorEastAsia" w:hAnsiTheme="minorEastAsia" w:hint="eastAsia"/>
        </w:rPr>
        <w:t>2、</w:t>
      </w:r>
      <w:r w:rsidR="0002608C" w:rsidRPr="00501A61">
        <w:rPr>
          <w:rFonts w:asciiTheme="minorEastAsia" w:eastAsiaTheme="minorEastAsia" w:hAnsiTheme="minorEastAsia" w:hint="eastAsia"/>
        </w:rPr>
        <w:t>基金托管人</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基金托管人名称：中国工商银行股份有限公司</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注册地址：北京市西城区复兴门内大街55号</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法定代表人：</w:t>
      </w:r>
      <w:r w:rsidR="0002792D" w:rsidRPr="00501A61">
        <w:rPr>
          <w:rFonts w:asciiTheme="minorEastAsia" w:eastAsiaTheme="minorEastAsia" w:hAnsiTheme="minorEastAsia" w:hint="eastAsia"/>
          <w:szCs w:val="21"/>
        </w:rPr>
        <w:t>陈四清</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szCs w:val="21"/>
        </w:rPr>
        <w:t>成立时间：1984年1月1日</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szCs w:val="21"/>
        </w:rPr>
        <w:t>批准设立机关及批准设立文号：</w:t>
      </w:r>
      <w:r w:rsidRPr="00501A61">
        <w:rPr>
          <w:rFonts w:asciiTheme="minorEastAsia" w:eastAsiaTheme="minorEastAsia" w:hAnsiTheme="minorEastAsia" w:hint="eastAsia"/>
          <w:szCs w:val="21"/>
        </w:rPr>
        <w:t>国务院《关于中国人民银行专门行使中央银行职能的决定》（国发[1983]146号）</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组织形式：股份有限公司</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注册资本：</w:t>
      </w:r>
      <w:r w:rsidR="00294711" w:rsidRPr="00501A61">
        <w:rPr>
          <w:rFonts w:asciiTheme="minorEastAsia" w:eastAsiaTheme="minorEastAsia" w:hAnsiTheme="minorEastAsia" w:hint="eastAsia"/>
          <w:szCs w:val="21"/>
        </w:rPr>
        <w:t>人民币35,640,625.7089万元</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存续期间：持续经营</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sz w:val="24"/>
        </w:rPr>
      </w:pPr>
      <w:bookmarkStart w:id="844" w:name="_Toc40511578"/>
      <w:bookmarkStart w:id="845" w:name="_Toc45632285"/>
      <w:r w:rsidRPr="00501A61">
        <w:rPr>
          <w:rFonts w:asciiTheme="minorEastAsia" w:eastAsiaTheme="minorEastAsia" w:hAnsiTheme="minorEastAsia" w:hint="eastAsia"/>
          <w:b w:val="0"/>
          <w:bCs/>
        </w:rPr>
        <w:lastRenderedPageBreak/>
        <w:t>（二）基金托管人和基金管理人之间的业务监督、核查</w:t>
      </w:r>
      <w:bookmarkEnd w:id="844"/>
      <w:bookmarkEnd w:id="845"/>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基金托管人对基金管理人的投资行为行使监督权</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（1）基金托管人根据有关法律法规的规定和基金合同的约定，对下述基金投资范围、投资对象进行监督。</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本基金将投资于以下金融工具：</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将投资于具有良好流动性的金融工具，包括投资于国内依法公开发行、上市的股票和债券以及法律、法规或中国证监会允许基金投资的其它金融工具。股票部分主要投资于具有中长期持续增长能力或阶段性高速成长能力、价值被低估的优势企业。</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（2）基金托管人根据有关法律法规的规定及基金合同的约定对下述基金投融资比例进行监督：</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1）按法律法规的规定及基金合同的约定，本基金的投资资产配置比例为：</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股票资产占基金资产的比例为60-95%，债券资产占基金资产的比例为0-35%。</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基金托管人对上述投资资产配置比例的监督与检查自本基金合同生效之日起满六个月开始。</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2）根据法律法规的规定及基金合同的约定，本基金投资组合遵循以下投资限制：</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①</w:t>
      </w:r>
      <w:r w:rsidRPr="00501A61">
        <w:rPr>
          <w:rFonts w:asciiTheme="minorEastAsia" w:eastAsiaTheme="minorEastAsia" w:hAnsiTheme="minorEastAsia"/>
          <w:szCs w:val="21"/>
        </w:rPr>
        <w:t>持有一家</w:t>
      </w:r>
      <w:r w:rsidRPr="00501A61">
        <w:rPr>
          <w:rFonts w:asciiTheme="minorEastAsia" w:eastAsiaTheme="minorEastAsia" w:hAnsiTheme="minorEastAsia" w:hint="eastAsia"/>
          <w:szCs w:val="21"/>
        </w:rPr>
        <w:t>上市</w:t>
      </w:r>
      <w:r w:rsidRPr="00501A61">
        <w:rPr>
          <w:rFonts w:asciiTheme="minorEastAsia" w:eastAsiaTheme="minorEastAsia" w:hAnsiTheme="minorEastAsia"/>
          <w:szCs w:val="21"/>
        </w:rPr>
        <w:t>公司的股票，</w:t>
      </w:r>
      <w:r w:rsidRPr="00501A61">
        <w:rPr>
          <w:rFonts w:asciiTheme="minorEastAsia" w:eastAsiaTheme="minorEastAsia" w:hAnsiTheme="minorEastAsia" w:hint="eastAsia"/>
          <w:szCs w:val="21"/>
        </w:rPr>
        <w:t>其市值</w:t>
      </w:r>
      <w:r w:rsidRPr="00501A61">
        <w:rPr>
          <w:rFonts w:asciiTheme="minorEastAsia" w:eastAsiaTheme="minorEastAsia" w:hAnsiTheme="minorEastAsia"/>
          <w:szCs w:val="21"/>
        </w:rPr>
        <w:t>不得超过基金资产净值的10%；</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②</w:t>
      </w:r>
      <w:r w:rsidR="00B148D8" w:rsidRPr="00501A61">
        <w:rPr>
          <w:rFonts w:asciiTheme="minorEastAsia" w:eastAsiaTheme="minorEastAsia" w:hAnsiTheme="minorEastAsia" w:hint="eastAsia"/>
          <w:szCs w:val="21"/>
        </w:rPr>
        <w:t>基金管理人管理且由基金托管人托管的全部基金</w:t>
      </w:r>
      <w:r w:rsidRPr="00501A61">
        <w:rPr>
          <w:rFonts w:asciiTheme="minorEastAsia" w:eastAsiaTheme="minorEastAsia" w:hAnsiTheme="minorEastAsia" w:hint="eastAsia"/>
          <w:szCs w:val="21"/>
        </w:rPr>
        <w:t>共同</w:t>
      </w:r>
      <w:r w:rsidRPr="00501A61">
        <w:rPr>
          <w:rFonts w:asciiTheme="minorEastAsia" w:eastAsiaTheme="minorEastAsia" w:hAnsiTheme="minorEastAsia"/>
          <w:szCs w:val="21"/>
        </w:rPr>
        <w:t>持有一家公司发行的证券，不得超过该证券的10%；</w:t>
      </w:r>
    </w:p>
    <w:p w:rsidR="00F3254E"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③本基金投资股权分置改革中产生的权证，在任何交易日买入的总金额，不超过上一交易日基金资产净值的0.5%，基金持有的全部权证的市值不超过基金资产净值的3%，</w:t>
      </w:r>
      <w:r w:rsidR="00B148D8" w:rsidRPr="00501A61">
        <w:rPr>
          <w:rFonts w:asciiTheme="minorEastAsia" w:eastAsiaTheme="minorEastAsia" w:hAnsiTheme="minorEastAsia" w:hint="eastAsia"/>
          <w:szCs w:val="21"/>
        </w:rPr>
        <w:t>基金管理人管理且由基金托管人托管的全部基金</w:t>
      </w:r>
      <w:r w:rsidRPr="00501A61">
        <w:rPr>
          <w:rFonts w:asciiTheme="minorEastAsia" w:eastAsiaTheme="minorEastAsia" w:hAnsiTheme="minorEastAsia" w:hint="eastAsia"/>
          <w:szCs w:val="21"/>
        </w:rPr>
        <w:t>持有同一权证的比例不超过该权证的10%</w:t>
      </w:r>
      <w:r w:rsidR="009724FB"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④现金和到期日不超过1年的政府债券不低于5%</w:t>
      </w:r>
      <w:r w:rsidR="002846B1" w:rsidRPr="00501A61">
        <w:rPr>
          <w:rFonts w:asciiTheme="minorEastAsia" w:eastAsiaTheme="minorEastAsia" w:hAnsiTheme="minorEastAsia" w:hint="eastAsia"/>
          <w:szCs w:val="21"/>
        </w:rPr>
        <w:t>，现金不包括结算备付金、存出保证金、应收申购款等</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⑤本基金财产参与股票发行申购，所申报的金额不得超过本基金的总资产，所申报的股票数量不得超过拟发行股票公司本次发行股票的总量；</w:t>
      </w:r>
    </w:p>
    <w:p w:rsidR="002846B1" w:rsidRPr="00501A61" w:rsidRDefault="0002608C" w:rsidP="002846B1">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⑥</w:t>
      </w:r>
      <w:r w:rsidR="002846B1" w:rsidRPr="00501A61">
        <w:rPr>
          <w:rFonts w:asciiTheme="minorEastAsia" w:eastAsiaTheme="minorEastAsia" w:hAnsiTheme="minorEastAsia" w:hint="eastAsia"/>
          <w:szCs w:val="21"/>
        </w:rPr>
        <w:t>本基金管理人管理且由基金托管人托管的全部开放式基金持有一家上市公司发行的可流通股票，不得超过该上市公司可流通股票的15%；本基金管理人管理且由基金托管人托管的全部投资组合持有一家上市公司发行的可流通股票，不得超过该上市公司可流通股票的30%。</w:t>
      </w:r>
    </w:p>
    <w:p w:rsidR="002846B1" w:rsidRPr="00501A61" w:rsidRDefault="002846B1" w:rsidP="002846B1">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⑦本基金主动投资于流动性受限资产的市值合计不得超过该基金资产净值的15%。</w:t>
      </w:r>
    </w:p>
    <w:p w:rsidR="0002608C" w:rsidRPr="00501A61" w:rsidRDefault="002846B1" w:rsidP="002846B1">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⑧</w:t>
      </w:r>
      <w:r w:rsidR="0002608C" w:rsidRPr="00501A61">
        <w:rPr>
          <w:rFonts w:asciiTheme="minorEastAsia" w:eastAsiaTheme="minorEastAsia" w:hAnsiTheme="minorEastAsia" w:hint="eastAsia"/>
          <w:szCs w:val="21"/>
        </w:rPr>
        <w:t>本基金不得违反本基金合同关于投资范围、投资策略和投资比例的约定；</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szCs w:val="21"/>
        </w:rPr>
        <w:t>《基金法》及其他有关法律法规或监管部门</w:t>
      </w:r>
      <w:r w:rsidRPr="00501A61">
        <w:rPr>
          <w:rFonts w:asciiTheme="minorEastAsia" w:eastAsiaTheme="minorEastAsia" w:hAnsiTheme="minorEastAsia" w:hint="eastAsia"/>
          <w:szCs w:val="21"/>
        </w:rPr>
        <w:t>取消</w:t>
      </w:r>
      <w:r w:rsidRPr="00501A61">
        <w:rPr>
          <w:rFonts w:asciiTheme="minorEastAsia" w:eastAsiaTheme="minorEastAsia" w:hAnsiTheme="minorEastAsia"/>
          <w:szCs w:val="21"/>
        </w:rPr>
        <w:t>上述限制</w:t>
      </w:r>
      <w:r w:rsidRPr="00501A61">
        <w:rPr>
          <w:rFonts w:asciiTheme="minorEastAsia" w:eastAsiaTheme="minorEastAsia" w:hAnsiTheme="minorEastAsia" w:hint="eastAsia"/>
          <w:szCs w:val="21"/>
        </w:rPr>
        <w:t>的</w:t>
      </w:r>
      <w:r w:rsidRPr="00501A61">
        <w:rPr>
          <w:rFonts w:asciiTheme="minorEastAsia" w:eastAsiaTheme="minorEastAsia" w:hAnsiTheme="minorEastAsia"/>
          <w:szCs w:val="21"/>
        </w:rPr>
        <w:t>，</w:t>
      </w:r>
      <w:r w:rsidRPr="00501A61">
        <w:rPr>
          <w:rFonts w:asciiTheme="minorEastAsia" w:eastAsiaTheme="minorEastAsia" w:hAnsiTheme="minorEastAsia" w:hint="eastAsia"/>
          <w:szCs w:val="21"/>
        </w:rPr>
        <w:t>基金不受上述限制</w:t>
      </w:r>
      <w:r w:rsidRPr="00501A61">
        <w:rPr>
          <w:rFonts w:asciiTheme="minorEastAsia" w:eastAsiaTheme="minorEastAsia" w:hAnsiTheme="minorEastAsia"/>
          <w:szCs w:val="21"/>
        </w:rPr>
        <w:t>。</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3）法规允许的基金投资比例调整期限</w:t>
      </w:r>
    </w:p>
    <w:p w:rsidR="0002608C" w:rsidRPr="00501A61" w:rsidRDefault="002846B1"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除上述④、⑤、⑦以外，</w:t>
      </w:r>
      <w:r w:rsidR="0002608C" w:rsidRPr="00501A61">
        <w:rPr>
          <w:rFonts w:asciiTheme="minorEastAsia" w:eastAsiaTheme="minorEastAsia" w:hAnsiTheme="minorEastAsia"/>
          <w:szCs w:val="21"/>
        </w:rPr>
        <w:t>由于</w:t>
      </w:r>
      <w:r w:rsidR="0002608C" w:rsidRPr="00501A61">
        <w:rPr>
          <w:rFonts w:asciiTheme="minorEastAsia" w:eastAsiaTheme="minorEastAsia" w:hAnsiTheme="minorEastAsia" w:hint="eastAsia"/>
          <w:szCs w:val="21"/>
        </w:rPr>
        <w:t>证券市场波动、上市公司合并</w:t>
      </w:r>
      <w:r w:rsidR="0002608C" w:rsidRPr="00501A61">
        <w:rPr>
          <w:rFonts w:asciiTheme="minorEastAsia" w:eastAsiaTheme="minorEastAsia" w:hAnsiTheme="minorEastAsia"/>
          <w:szCs w:val="21"/>
        </w:rPr>
        <w:t>或</w:t>
      </w:r>
      <w:r w:rsidR="0002608C" w:rsidRPr="00501A61">
        <w:rPr>
          <w:rFonts w:asciiTheme="minorEastAsia" w:eastAsiaTheme="minorEastAsia" w:hAnsiTheme="minorEastAsia" w:hint="eastAsia"/>
          <w:szCs w:val="21"/>
        </w:rPr>
        <w:t>基金规模变动等基金管</w:t>
      </w:r>
      <w:r w:rsidR="0002608C" w:rsidRPr="00501A61">
        <w:rPr>
          <w:rFonts w:asciiTheme="minorEastAsia" w:eastAsiaTheme="minorEastAsia" w:hAnsiTheme="minorEastAsia" w:hint="eastAsia"/>
          <w:szCs w:val="21"/>
        </w:rPr>
        <w:lastRenderedPageBreak/>
        <w:t>理人之外的原因</w:t>
      </w:r>
      <w:r w:rsidR="0002608C" w:rsidRPr="00501A61">
        <w:rPr>
          <w:rFonts w:asciiTheme="minorEastAsia" w:eastAsiaTheme="minorEastAsia" w:hAnsiTheme="minorEastAsia"/>
          <w:szCs w:val="21"/>
        </w:rPr>
        <w:t>导致的投资组合</w:t>
      </w:r>
      <w:r w:rsidR="0002608C" w:rsidRPr="00501A61">
        <w:rPr>
          <w:rFonts w:asciiTheme="minorEastAsia" w:eastAsiaTheme="minorEastAsia" w:hAnsiTheme="minorEastAsia" w:hint="eastAsia"/>
          <w:szCs w:val="21"/>
        </w:rPr>
        <w:t>不符合</w:t>
      </w:r>
      <w:r w:rsidR="0002608C" w:rsidRPr="00501A61">
        <w:rPr>
          <w:rFonts w:asciiTheme="minorEastAsia" w:eastAsiaTheme="minorEastAsia" w:hAnsiTheme="minorEastAsia"/>
          <w:szCs w:val="21"/>
        </w:rPr>
        <w:t>上述约定的比例</w:t>
      </w:r>
      <w:r w:rsidR="0002608C" w:rsidRPr="00501A61">
        <w:rPr>
          <w:rFonts w:asciiTheme="minorEastAsia" w:eastAsiaTheme="minorEastAsia" w:hAnsiTheme="minorEastAsia" w:hint="eastAsia"/>
          <w:szCs w:val="21"/>
        </w:rPr>
        <w:t>，</w:t>
      </w:r>
      <w:r w:rsidR="0002608C" w:rsidRPr="00501A61">
        <w:rPr>
          <w:rFonts w:asciiTheme="minorEastAsia" w:eastAsiaTheme="minorEastAsia" w:hAnsiTheme="minorEastAsia"/>
          <w:szCs w:val="21"/>
        </w:rPr>
        <w:t>不在限制之内，但基金管理人应在</w:t>
      </w:r>
      <w:r w:rsidR="0002608C" w:rsidRPr="00501A61">
        <w:rPr>
          <w:rFonts w:asciiTheme="minorEastAsia" w:eastAsiaTheme="minorEastAsia" w:hAnsiTheme="minorEastAsia" w:hint="eastAsia"/>
          <w:szCs w:val="21"/>
        </w:rPr>
        <w:t>10个交易日</w:t>
      </w:r>
      <w:r w:rsidR="0002608C" w:rsidRPr="00501A61">
        <w:rPr>
          <w:rFonts w:asciiTheme="minorEastAsia" w:eastAsiaTheme="minorEastAsia" w:hAnsiTheme="minorEastAsia"/>
          <w:szCs w:val="21"/>
        </w:rPr>
        <w:t>内进行调整，以达到</w:t>
      </w:r>
      <w:r w:rsidR="0002608C" w:rsidRPr="00501A61">
        <w:rPr>
          <w:rFonts w:asciiTheme="minorEastAsia" w:eastAsiaTheme="minorEastAsia" w:hAnsiTheme="minorEastAsia" w:hint="eastAsia"/>
          <w:szCs w:val="21"/>
        </w:rPr>
        <w:t>规定的投资比例限制要求。法律法规另有规定的从其规定。</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4）本基金可以按照国家的有关规定进行融资。</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5）相关法律、法规或部门规章规定的其他比例限制。</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除投资资产配置比例外，基金托管人对基金的投资比例的监督和检查自本基金合同生效之日起开始。</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（3）基金托管人根据有关法律法规的规定及基金合同的约定对下述基金投资禁止行为进行监督：</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根据法律法规的规定及基金合同的约定，本基金禁止从事下列行为：</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1）承销证券；</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2）向他人贷款或提供担保；</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00B148D8" w:rsidRPr="00501A61">
        <w:rPr>
          <w:rFonts w:asciiTheme="minorEastAsia" w:eastAsiaTheme="minorEastAsia" w:hAnsiTheme="minorEastAsia" w:hint="eastAsia"/>
          <w:szCs w:val="21"/>
        </w:rPr>
        <w:t>从事承担无限责任的投资</w:t>
      </w:r>
      <w:r w:rsidRPr="00501A61">
        <w:rPr>
          <w:rFonts w:asciiTheme="minorEastAsia" w:eastAsiaTheme="minorEastAsia" w:hAnsiTheme="minorEastAsia"/>
          <w:szCs w:val="21"/>
        </w:rPr>
        <w:t>；</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4）买卖其他基金份额，但国务院另有规定的除外；</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5）向基金管理人、基金托管人出资或者买卖其基金管理人、基金托管人发行的股票或债券；</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6）买卖与基金管理人、基金托管人有控股关系的股东或者与基金管理人、基金托管人有其他重大利害关系的公司发行的证券或者承销期内承销的证券；</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7）从事内幕交易、操纵证券价格及其他不正当的证券交易活动；</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8）当时有效的法律法规、中国证监会及《基金合同》规定禁止从事的其他行为。</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（4）基金托管人依据有关法律法规的规定和基金合同的约定对于基金关联投资限制进行监督。</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关联交易，基金托管人无法阻止该关联交易的发生，只能进行结算，同时向中国证监会报告。</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（5）基金托管人依据有关法律法规的规定和基金合同的约定对基金管理人参与银行间债券市场进行监督。</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1）基金托管人依据有关法律法规的规定和基金合同的约定对于基金管理人参与银行间市场交易时面临的交易对手资信风险进行监督。</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发出书面通知，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2）基金托管人对于基金管理人参与银行间市场交易的交易方式的控制</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基金管理人参与银行间市场交易时，有责任控制交易对手的资信风险，由于交易对手资信风险引起的损失先由基金管理人承担，其后有权要求相关责任人进行赔偿，如果基金托管人在运作中严格遵循了上述监督流程，则对于由于交易对手资信风险引起的损失，不承担赔偿责任。</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6）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7）基金托管人发现基金管理人的投资运作及其他运作违反《基金法》、基金合同、基金托管协议及其他有关规定时，应及时以书面形式通知基金管理人限期纠正，基金管理人收到通知后应最晚于下一个工作日核对，并以书面形式向基金托管人发出回函，进行解释或举证。</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基金托管人发现基金管理人有重大违规行为，应立即报告中国证监会，同时通知基金管理人限期纠正。</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基金管理人对基金托管人的业务核查</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最晚于下一个工作日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基金管理人发现基金托管人有重大违规行为，应立即报告中国证监会和银行业监督管理机构，同时通知基金托管人限期纠正。</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基金托管人应积极配合基金管理人的核查行为，包括但不限于：提交相关资料以供基金管理人核查托管财产的完整性和真实性，在规定时间内答复基金管理人并改正。</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846" w:name="_Toc40511579"/>
      <w:bookmarkStart w:id="847" w:name="_Toc45632286"/>
      <w:r w:rsidRPr="00501A61">
        <w:rPr>
          <w:rFonts w:asciiTheme="minorEastAsia" w:eastAsiaTheme="minorEastAsia" w:hAnsiTheme="minorEastAsia" w:hint="eastAsia"/>
          <w:b w:val="0"/>
          <w:bCs/>
        </w:rPr>
        <w:t>（三）</w:t>
      </w:r>
      <w:bookmarkStart w:id="848" w:name="_Toc466788854"/>
      <w:bookmarkStart w:id="849" w:name="_Toc523829995"/>
      <w:bookmarkStart w:id="850" w:name="_Toc22454437"/>
      <w:bookmarkStart w:id="851" w:name="_Toc48703889"/>
      <w:bookmarkStart w:id="852" w:name="_Toc123626171"/>
      <w:bookmarkStart w:id="853" w:name="_Toc124749229"/>
      <w:bookmarkStart w:id="854" w:name="_Toc124749940"/>
      <w:bookmarkStart w:id="855" w:name="_Toc131334283"/>
      <w:r w:rsidRPr="00501A61">
        <w:rPr>
          <w:rFonts w:asciiTheme="minorEastAsia" w:eastAsiaTheme="minorEastAsia" w:hAnsiTheme="minorEastAsia" w:hint="eastAsia"/>
          <w:b w:val="0"/>
          <w:bCs/>
        </w:rPr>
        <w:t>基金财产保管</w:t>
      </w:r>
      <w:bookmarkEnd w:id="846"/>
      <w:bookmarkEnd w:id="847"/>
      <w:bookmarkEnd w:id="848"/>
      <w:bookmarkEnd w:id="849"/>
      <w:bookmarkEnd w:id="850"/>
      <w:bookmarkEnd w:id="851"/>
      <w:bookmarkEnd w:id="852"/>
      <w:bookmarkEnd w:id="853"/>
      <w:bookmarkEnd w:id="854"/>
      <w:bookmarkEnd w:id="855"/>
    </w:p>
    <w:p w:rsidR="0002608C" w:rsidRPr="00501A61" w:rsidRDefault="00CE2F50" w:rsidP="00107648">
      <w:pPr>
        <w:pStyle w:val="CharCharCharCharCharCharChar"/>
        <w:snapToGrid w:val="0"/>
        <w:spacing w:after="0" w:line="360" w:lineRule="auto"/>
        <w:ind w:firstLineChars="200" w:firstLine="420"/>
        <w:rPr>
          <w:rFonts w:asciiTheme="minorEastAsia" w:eastAsiaTheme="minorEastAsia" w:hAnsiTheme="minorEastAsia"/>
          <w:sz w:val="21"/>
          <w:szCs w:val="21"/>
        </w:rPr>
      </w:pPr>
      <w:r w:rsidRPr="00501A61">
        <w:rPr>
          <w:rFonts w:asciiTheme="minorEastAsia" w:eastAsiaTheme="minorEastAsia" w:hAnsiTheme="minorEastAsia" w:hint="eastAsia"/>
          <w:sz w:val="21"/>
          <w:szCs w:val="21"/>
        </w:rPr>
        <w:t>1、</w:t>
      </w:r>
      <w:r w:rsidR="0002608C" w:rsidRPr="00501A61">
        <w:rPr>
          <w:rFonts w:asciiTheme="minorEastAsia" w:eastAsiaTheme="minorEastAsia" w:hAnsiTheme="minorEastAsia" w:hint="eastAsia"/>
          <w:sz w:val="21"/>
          <w:szCs w:val="21"/>
        </w:rPr>
        <w:t>基金财产保管的原则</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（1）基金财产应独立于基金管理人、基金托管人的固有财产。</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（2）基金托管人应安全保管基金财产。未经基金管理人的正当指令，不得自行运用、处分、分配基金的任何财产。</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（3）基金托管人按照规定开设基金财产的资金账户和证券账户。</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（4）基金托管人对所托管的不同基金财产分别设置账户，与基金托管人的其他业务和</w:t>
      </w:r>
      <w:r w:rsidRPr="00501A61">
        <w:rPr>
          <w:rFonts w:asciiTheme="minorEastAsia" w:eastAsiaTheme="minorEastAsia" w:hAnsiTheme="minorEastAsia" w:hint="eastAsia"/>
          <w:szCs w:val="21"/>
        </w:rPr>
        <w:lastRenderedPageBreak/>
        <w:t>其他基金的托管业务实行严格的分账管理，确保基金财产的完整与独立。</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对于因基金认（申）购、基金投资过程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基金托管人对此不承担责任。</w:t>
      </w:r>
    </w:p>
    <w:p w:rsidR="0002608C" w:rsidRPr="00501A61" w:rsidRDefault="00CE2F50" w:rsidP="00107648">
      <w:pPr>
        <w:pStyle w:val="CharCharCharCharCharCharChar"/>
        <w:snapToGrid w:val="0"/>
        <w:spacing w:after="0" w:line="360" w:lineRule="auto"/>
        <w:ind w:left="320"/>
        <w:rPr>
          <w:rFonts w:asciiTheme="minorEastAsia" w:eastAsiaTheme="minorEastAsia" w:hAnsiTheme="minorEastAsia"/>
          <w:sz w:val="21"/>
          <w:szCs w:val="21"/>
        </w:rPr>
      </w:pPr>
      <w:r w:rsidRPr="00501A61">
        <w:rPr>
          <w:rFonts w:asciiTheme="minorEastAsia" w:eastAsiaTheme="minorEastAsia" w:hAnsiTheme="minorEastAsia" w:hint="eastAsia"/>
          <w:sz w:val="21"/>
          <w:szCs w:val="21"/>
        </w:rPr>
        <w:t>2、</w:t>
      </w:r>
      <w:r w:rsidR="0002608C" w:rsidRPr="00501A61">
        <w:rPr>
          <w:rFonts w:asciiTheme="minorEastAsia" w:eastAsiaTheme="minorEastAsia" w:hAnsiTheme="minorEastAsia" w:hint="eastAsia"/>
          <w:sz w:val="21"/>
          <w:szCs w:val="21"/>
        </w:rPr>
        <w:t>募集资金的验证</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募集期内销售机构按销售与服务代理协议的约定，将认购资金划入基金管理人在具有托管资格的商业银行开设的“易方达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501A61">
        <w:rPr>
          <w:rFonts w:asciiTheme="minorEastAsia" w:eastAsiaTheme="minorEastAsia" w:hAnsiTheme="minorEastAsia"/>
          <w:szCs w:val="21"/>
        </w:rPr>
        <w:t>2</w:t>
      </w:r>
      <w:r w:rsidRPr="00501A61">
        <w:rPr>
          <w:rFonts w:asciiTheme="minorEastAsia" w:eastAsiaTheme="minorEastAsia" w:hAnsiTheme="minorEastAsia" w:hint="eastAsia"/>
          <w:szCs w:val="21"/>
        </w:rPr>
        <w:t>名以上（含</w:t>
      </w:r>
      <w:r w:rsidRPr="00501A61">
        <w:rPr>
          <w:rFonts w:asciiTheme="minorEastAsia" w:eastAsiaTheme="minorEastAsia" w:hAnsiTheme="minorEastAsia"/>
          <w:szCs w:val="21"/>
        </w:rPr>
        <w:t>2</w:t>
      </w:r>
      <w:r w:rsidRPr="00501A61">
        <w:rPr>
          <w:rFonts w:asciiTheme="minorEastAsia" w:eastAsiaTheme="minorEastAsia" w:hAnsiTheme="minorEastAsia" w:hint="eastAsia"/>
          <w:szCs w:val="21"/>
        </w:rPr>
        <w:t>名）中国注册会计师签字有效。验资完成，基金管理人应将募集的属于本基金财产的全部资金划入基金托管人为基金开立的基金托管专户中，基金托管人在收到资金当日出具确认文件。</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若基金募集期限届满，未能达到基金合同生效的条件，由基金管理人按规定办理退款事宜。</w:t>
      </w:r>
    </w:p>
    <w:p w:rsidR="0002608C" w:rsidRPr="00501A61" w:rsidRDefault="00CE2F50" w:rsidP="00107648">
      <w:pPr>
        <w:pStyle w:val="CharCharCharCharCharCharChar"/>
        <w:snapToGrid w:val="0"/>
        <w:spacing w:after="0" w:line="360" w:lineRule="auto"/>
        <w:ind w:left="320"/>
        <w:rPr>
          <w:rFonts w:asciiTheme="minorEastAsia" w:eastAsiaTheme="minorEastAsia" w:hAnsiTheme="minorEastAsia"/>
          <w:sz w:val="21"/>
          <w:szCs w:val="21"/>
        </w:rPr>
      </w:pPr>
      <w:r w:rsidRPr="00501A61">
        <w:rPr>
          <w:rFonts w:asciiTheme="minorEastAsia" w:eastAsiaTheme="minorEastAsia" w:hAnsiTheme="minorEastAsia" w:hint="eastAsia"/>
          <w:sz w:val="21"/>
          <w:szCs w:val="21"/>
        </w:rPr>
        <w:t>3、</w:t>
      </w:r>
      <w:r w:rsidR="0002608C" w:rsidRPr="00501A61">
        <w:rPr>
          <w:rFonts w:asciiTheme="minorEastAsia" w:eastAsiaTheme="minorEastAsia" w:hAnsiTheme="minorEastAsia" w:hint="eastAsia"/>
          <w:sz w:val="21"/>
          <w:szCs w:val="21"/>
        </w:rPr>
        <w:t>基金的银行账户的开立和管理</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托管人以基金托管人的名义在其营业机构开设基金托管专户，保管基金的银行存款。该基金托管专户是指基金托管人在集中托管模式下，代表所托管的基金与中国证券登记结算有限责任公司进行一级结算的专用账户。该账户的开设和管理由基金托管人承担。本基金的一切货币收支活动，均需通过基金托管人的基金托管专户进行。</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基金托管专户的开立和使用，限于满足开展本基金业务的需要。基金托管人和基金管理人不得假借本基金的名义开立其他任何银行账户；亦不得使用基金的任何银行账户进行本基金业务以外的活动。</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基金托管专户的管理应符合《银行账户管理办法》、《现金管理条例》、《中国人民银行利率管理的有关规定》、《关于大额现金支付管理的通知》、《支付结算办法》以及银行业监督管理机构的其他规定。</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w:t>
      </w:r>
      <w:r w:rsidR="0002608C" w:rsidRPr="00501A61">
        <w:rPr>
          <w:rFonts w:asciiTheme="minorEastAsia" w:eastAsiaTheme="minorEastAsia" w:hAnsiTheme="minorEastAsia" w:hint="eastAsia"/>
          <w:szCs w:val="21"/>
        </w:rPr>
        <w:t>基金证券账户与证券交易资金账户的开设和管理</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基金托管人以基金托管人和本基金联名的方式在中国证券登记结算有限公司上海分公司/深圳分公司开设证券账户。</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基金托管人</w:t>
      </w:r>
      <w:r w:rsidRPr="00501A61">
        <w:rPr>
          <w:rFonts w:asciiTheme="minorEastAsia" w:eastAsiaTheme="minorEastAsia" w:hAnsiTheme="minorEastAsia"/>
          <w:szCs w:val="21"/>
        </w:rPr>
        <w:t>以</w:t>
      </w:r>
      <w:r w:rsidRPr="00501A61">
        <w:rPr>
          <w:rFonts w:asciiTheme="minorEastAsia" w:eastAsiaTheme="minorEastAsia" w:hAnsiTheme="minorEastAsia" w:hint="eastAsia"/>
          <w:szCs w:val="21"/>
        </w:rPr>
        <w:t>基金托管人的名义在中国证券登记结算有限责任公司上海分公司/深圳分公司开立基金证券交易资金账户，用于证券清算。</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基金证券账户的开立和使用，限于满足开展本基金业务的需要。基金托管人和基金管理人不得出借和未经对方同意擅自转让基金的任何证券账户；亦不得使用基金的任何账户</w:t>
      </w:r>
      <w:r w:rsidRPr="00501A61">
        <w:rPr>
          <w:rFonts w:asciiTheme="minorEastAsia" w:eastAsiaTheme="minorEastAsia" w:hAnsiTheme="minorEastAsia" w:hint="eastAsia"/>
          <w:szCs w:val="21"/>
        </w:rPr>
        <w:lastRenderedPageBreak/>
        <w:t>进行本基金业务以外的活动。</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5、</w:t>
      </w:r>
      <w:r w:rsidR="0002608C" w:rsidRPr="00501A61">
        <w:rPr>
          <w:rFonts w:asciiTheme="minorEastAsia" w:eastAsiaTheme="minorEastAsia" w:hAnsiTheme="minorEastAsia" w:hint="eastAsia"/>
          <w:szCs w:val="21"/>
        </w:rPr>
        <w:t>债券托管账户的开立和管理</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（2）基金管理人和基金托管人应一起负责为基金对外签订全国银行间国债市场回购主协议，正本由基金托管人保管，基金管理人保存副本。</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6、</w:t>
      </w:r>
      <w:r w:rsidR="0002608C" w:rsidRPr="00501A61">
        <w:rPr>
          <w:rFonts w:asciiTheme="minorEastAsia" w:eastAsiaTheme="minorEastAsia" w:hAnsiTheme="minorEastAsia" w:hint="eastAsia"/>
          <w:szCs w:val="21"/>
        </w:rPr>
        <w:t>其他账户的开设和管理</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7、</w:t>
      </w:r>
      <w:r w:rsidR="0002608C" w:rsidRPr="00501A61">
        <w:rPr>
          <w:rFonts w:asciiTheme="minorEastAsia" w:eastAsiaTheme="minorEastAsia" w:hAnsiTheme="minorEastAsia" w:hint="eastAsia"/>
          <w:szCs w:val="21"/>
        </w:rPr>
        <w:t>基金财产投资的有关实物证券等有价凭证的保管</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财产投资的有关实物证券由基金托管人存放于托管银行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托管人对上述托管人以外机构实际有效控制的实物证券不承担保管责任。</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bookmarkStart w:id="856" w:name="_Toc37159180"/>
      <w:r w:rsidRPr="00501A61">
        <w:rPr>
          <w:rFonts w:asciiTheme="minorEastAsia" w:eastAsiaTheme="minorEastAsia" w:hAnsiTheme="minorEastAsia" w:hint="eastAsia"/>
          <w:szCs w:val="21"/>
        </w:rPr>
        <w:t>8、</w:t>
      </w:r>
      <w:r w:rsidR="0002608C" w:rsidRPr="00501A61">
        <w:rPr>
          <w:rFonts w:asciiTheme="minorEastAsia" w:eastAsiaTheme="minorEastAsia" w:hAnsiTheme="minorEastAsia" w:hint="eastAsia"/>
          <w:szCs w:val="21"/>
        </w:rPr>
        <w:t>与基金财产有关的重大合同的保管</w:t>
      </w:r>
      <w:bookmarkEnd w:id="856"/>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10个工作日内通过专人送达、挂号邮寄等安全方式将合同原件送达基金托管人处。合同原件应存放于基金管理人和基金托管人各自文件保管部门15年以上。</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857" w:name="_Toc45632287"/>
      <w:r w:rsidRPr="00501A61">
        <w:rPr>
          <w:rFonts w:asciiTheme="minorEastAsia" w:eastAsiaTheme="minorEastAsia" w:hAnsiTheme="minorEastAsia" w:hint="eastAsia"/>
          <w:b w:val="0"/>
          <w:bCs/>
        </w:rPr>
        <w:t>（四）基金资产净值计算与复核</w:t>
      </w:r>
      <w:bookmarkEnd w:id="857"/>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基金资产净值的计算</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基金资产净值是指基金资产总值减去负债后的价值。基金份额净值是指计算日基金资产净值除以该计算日基金份额总份额后的数值。基金份额净值的计算保留到小数点后4位，小数点后第5位四舍五入。</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基金管理人应每工作日对基金资产估值。估值原则应符合《基金合同》、《</w:t>
      </w:r>
      <w:r w:rsidR="00B148D8" w:rsidRPr="00501A61">
        <w:rPr>
          <w:rFonts w:asciiTheme="minorEastAsia" w:eastAsiaTheme="minorEastAsia" w:hAnsiTheme="minorEastAsia" w:hint="eastAsia"/>
          <w:szCs w:val="21"/>
        </w:rPr>
        <w:t>证券投资基金会计核算业务指引</w:t>
      </w:r>
      <w:r w:rsidRPr="00501A61">
        <w:rPr>
          <w:rFonts w:asciiTheme="minorEastAsia" w:eastAsiaTheme="minorEastAsia" w:hAnsiTheme="minorEastAsia" w:hint="eastAsia"/>
          <w:szCs w:val="21"/>
        </w:rPr>
        <w:t>》及其他法律、法规的规定。用于基金信息披露的基金资产净值和基金份额净值由基金管理人负责计算，基金托管人复核。基金管理人应于每个工作日交易结</w:t>
      </w:r>
      <w:r w:rsidRPr="00501A61">
        <w:rPr>
          <w:rFonts w:asciiTheme="minorEastAsia" w:eastAsiaTheme="minorEastAsia" w:hAnsiTheme="minorEastAsia" w:hint="eastAsia"/>
          <w:szCs w:val="21"/>
        </w:rPr>
        <w:lastRenderedPageBreak/>
        <w:t>束后计算当日的基金份额净值并以加密传真方式发送给基金托管人。基金托管人对净值计算结果复核后，签名、盖章并以加密传真方式传送给基金管理人，由基金管理人对基金净值予以公布。</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基金资产估值方法</w:t>
      </w:r>
    </w:p>
    <w:p w:rsidR="0002608C" w:rsidRPr="00501A61" w:rsidRDefault="0002608C" w:rsidP="00107648">
      <w:pPr>
        <w:widowControl/>
        <w:snapToGrid w:val="0"/>
        <w:spacing w:line="360" w:lineRule="auto"/>
        <w:ind w:firstLineChars="200" w:firstLine="420"/>
        <w:jc w:val="left"/>
        <w:rPr>
          <w:rFonts w:asciiTheme="minorEastAsia" w:eastAsiaTheme="minorEastAsia" w:hAnsiTheme="minorEastAsia" w:cs="宋体"/>
          <w:kern w:val="0"/>
          <w:szCs w:val="21"/>
        </w:rPr>
      </w:pPr>
      <w:r w:rsidRPr="00501A61">
        <w:rPr>
          <w:rFonts w:asciiTheme="minorEastAsia" w:eastAsiaTheme="minorEastAsia" w:hAnsiTheme="minorEastAsia" w:cs="宋体" w:hint="eastAsia"/>
          <w:kern w:val="0"/>
          <w:szCs w:val="21"/>
        </w:rPr>
        <w:t>(1)证券交易所上市的有价证券的估值</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0002608C" w:rsidRPr="00501A61">
        <w:rPr>
          <w:rFonts w:asciiTheme="minorEastAsia" w:eastAsiaTheme="minorEastAsia" w:hAnsiTheme="minorEastAsia" w:hint="eastAsia"/>
          <w:szCs w:val="21"/>
        </w:rPr>
        <w:t>交易所上市未实行净价交易的债券按估值日收盘价减去债券收盘价中所含的债券应收利息得到的净价进行估值；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w:t>
      </w:r>
      <w:r w:rsidR="0002608C" w:rsidRPr="00501A61">
        <w:rPr>
          <w:rFonts w:asciiTheme="minorEastAsia" w:eastAsiaTheme="minorEastAsia" w:hAnsiTheme="minorEastAsia" w:hint="eastAsia"/>
          <w:szCs w:val="21"/>
        </w:rPr>
        <w:t>交易所上市不存在活跃市场的有价证券，采用估值技术确定公允价值。交易所上市的资产支持证券，采用估值技术确定公允价值，在估值技术难以可靠计量公允价值的情况下，按成本估值。</w:t>
      </w:r>
    </w:p>
    <w:p w:rsidR="0002608C" w:rsidRPr="00501A61" w:rsidRDefault="0002608C" w:rsidP="00107648">
      <w:pPr>
        <w:widowControl/>
        <w:snapToGrid w:val="0"/>
        <w:spacing w:line="360" w:lineRule="auto"/>
        <w:ind w:firstLineChars="200" w:firstLine="420"/>
        <w:jc w:val="left"/>
        <w:rPr>
          <w:rFonts w:asciiTheme="minorEastAsia" w:eastAsiaTheme="minorEastAsia" w:hAnsiTheme="minorEastAsia" w:cs="宋体"/>
          <w:kern w:val="0"/>
          <w:szCs w:val="21"/>
        </w:rPr>
      </w:pPr>
      <w:r w:rsidRPr="00501A61">
        <w:rPr>
          <w:rFonts w:asciiTheme="minorEastAsia" w:eastAsiaTheme="minorEastAsia" w:hAnsiTheme="minorEastAsia" w:cs="宋体" w:hint="eastAsia"/>
          <w:kern w:val="0"/>
          <w:szCs w:val="21"/>
        </w:rPr>
        <w:t>(2)处于未上市期间的有价证券应区分如下情况处理：</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送股、转增股、配股和公开增发的新股，按估值日在证券交易所挂牌的同一股票的市价（收盘价）估值；该日无交易的，以最近一日的市价（收盘价）估值；</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首次公开发行未上市的股票、债券和权证，采用估值技术确定公允价值，在估值技术难以可靠计量公允价值的情况下，按成本估值。</w:t>
      </w:r>
    </w:p>
    <w:p w:rsidR="0002608C" w:rsidRPr="00501A61" w:rsidRDefault="00CE2F50"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0002608C" w:rsidRPr="00501A61">
        <w:rPr>
          <w:rFonts w:asciiTheme="minorEastAsia" w:eastAsiaTheme="minorEastAsia" w:hAnsiTheme="minorEastAsia" w:hint="eastAsia"/>
          <w:szCs w:val="21"/>
        </w:rPr>
        <w:t>首次公开发行有明确锁定期的股票，同一股票在交易所上市后，按交易所上市的同一股票的市价（收盘价）估值；非公开发行有明确锁定期的股票，按监管机构或行业协会有关规定确定公允价值。</w:t>
      </w:r>
    </w:p>
    <w:p w:rsidR="0002608C" w:rsidRPr="00501A61" w:rsidRDefault="0002608C" w:rsidP="00107648">
      <w:pPr>
        <w:widowControl/>
        <w:snapToGrid w:val="0"/>
        <w:spacing w:line="360" w:lineRule="auto"/>
        <w:ind w:firstLineChars="200" w:firstLine="420"/>
        <w:jc w:val="left"/>
        <w:rPr>
          <w:rFonts w:asciiTheme="minorEastAsia" w:eastAsiaTheme="minorEastAsia" w:hAnsiTheme="minorEastAsia" w:cs="宋体"/>
          <w:kern w:val="0"/>
          <w:szCs w:val="21"/>
        </w:rPr>
      </w:pPr>
      <w:r w:rsidRPr="00501A61">
        <w:rPr>
          <w:rFonts w:asciiTheme="minorEastAsia" w:eastAsiaTheme="minorEastAsia" w:hAnsiTheme="minorEastAsia" w:cs="宋体" w:hint="eastAsia"/>
          <w:kern w:val="0"/>
          <w:szCs w:val="21"/>
        </w:rPr>
        <w:t>(3)因持有股票而享有的配股权，以及停止交易、但未行权的权证，采用估值技术确定公允价值。</w:t>
      </w:r>
    </w:p>
    <w:p w:rsidR="0002608C" w:rsidRPr="00501A61" w:rsidRDefault="0002608C" w:rsidP="00107648">
      <w:pPr>
        <w:widowControl/>
        <w:snapToGrid w:val="0"/>
        <w:spacing w:line="360" w:lineRule="auto"/>
        <w:ind w:firstLineChars="200" w:firstLine="420"/>
        <w:jc w:val="left"/>
        <w:rPr>
          <w:rFonts w:asciiTheme="minorEastAsia" w:eastAsiaTheme="minorEastAsia" w:hAnsiTheme="minorEastAsia" w:cs="宋体"/>
          <w:kern w:val="0"/>
          <w:szCs w:val="21"/>
        </w:rPr>
      </w:pPr>
      <w:r w:rsidRPr="00501A61">
        <w:rPr>
          <w:rFonts w:asciiTheme="minorEastAsia" w:eastAsiaTheme="minorEastAsia" w:hAnsiTheme="minorEastAsia" w:cs="宋体" w:hint="eastAsia"/>
          <w:kern w:val="0"/>
          <w:szCs w:val="21"/>
        </w:rPr>
        <w:lastRenderedPageBreak/>
        <w:t>(4)全国银行间债券市场交易的债券、资产支持证券等固定收益品种，采用估值技术确定公允价值。</w:t>
      </w:r>
    </w:p>
    <w:p w:rsidR="0002608C" w:rsidRPr="00501A61" w:rsidRDefault="0002608C" w:rsidP="00107648">
      <w:pPr>
        <w:widowControl/>
        <w:snapToGrid w:val="0"/>
        <w:spacing w:line="360" w:lineRule="auto"/>
        <w:ind w:firstLineChars="200" w:firstLine="420"/>
        <w:jc w:val="left"/>
        <w:rPr>
          <w:rFonts w:asciiTheme="minorEastAsia" w:eastAsiaTheme="minorEastAsia" w:hAnsiTheme="minorEastAsia" w:cs="宋体"/>
          <w:kern w:val="0"/>
          <w:szCs w:val="21"/>
        </w:rPr>
      </w:pPr>
      <w:r w:rsidRPr="00501A61">
        <w:rPr>
          <w:rFonts w:asciiTheme="minorEastAsia" w:eastAsiaTheme="minorEastAsia" w:hAnsiTheme="minorEastAsia" w:cs="宋体" w:hint="eastAsia"/>
          <w:kern w:val="0"/>
          <w:szCs w:val="21"/>
        </w:rPr>
        <w:t>(5)同一债券同时在两个或两个以上市场交易的，按债券所处的市场分别估值。</w:t>
      </w:r>
    </w:p>
    <w:p w:rsidR="0002608C" w:rsidRPr="00501A61" w:rsidRDefault="0002608C" w:rsidP="00107648">
      <w:pPr>
        <w:widowControl/>
        <w:snapToGrid w:val="0"/>
        <w:spacing w:line="360" w:lineRule="auto"/>
        <w:ind w:firstLineChars="200" w:firstLine="420"/>
        <w:jc w:val="left"/>
        <w:rPr>
          <w:rFonts w:asciiTheme="minorEastAsia" w:eastAsiaTheme="minorEastAsia" w:hAnsiTheme="minorEastAsia" w:cs="宋体"/>
          <w:kern w:val="0"/>
          <w:szCs w:val="21"/>
        </w:rPr>
      </w:pPr>
      <w:r w:rsidRPr="00501A61">
        <w:rPr>
          <w:rFonts w:asciiTheme="minorEastAsia" w:eastAsiaTheme="minorEastAsia" w:hAnsiTheme="minorEastAsia" w:cs="宋体" w:hint="eastAsia"/>
          <w:kern w:val="0"/>
          <w:szCs w:val="21"/>
        </w:rPr>
        <w:t>(6)如有确凿证据表明按上述方法进行估值不能客观反映其公允价值的，基金管理人可根据具体情况与基金托管人商定后，按最能反映公允价值的价格估值。</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cs="宋体" w:hint="eastAsia"/>
          <w:kern w:val="0"/>
          <w:szCs w:val="21"/>
        </w:rPr>
        <w:t>(7)相关法律法规以及监管部门有强制规定的，从其规定。如有新增事项，按国家最新规定估值。</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3.估值错误的处理</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关于差错处理，本合同的当事人按照以下约定处理：</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(1)差错类型</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(2)差错处理原则</w:t>
      </w:r>
    </w:p>
    <w:p w:rsidR="0002608C" w:rsidRPr="00501A61" w:rsidRDefault="00CE2F50"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02608C" w:rsidRPr="00501A61" w:rsidRDefault="00CE2F50"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差错的责任方对可能导致有关当事人的直接损失负责，不对间接损失负责，并且仅对差错的有关直接当事人负责，不对第三方负责。</w:t>
      </w:r>
    </w:p>
    <w:p w:rsidR="0002608C" w:rsidRPr="00501A61" w:rsidRDefault="00CE2F50"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0002608C" w:rsidRPr="00501A61">
        <w:rPr>
          <w:rFonts w:asciiTheme="minorEastAsia" w:eastAsiaTheme="minorEastAsia" w:hAnsiTheme="minorEastAsia" w:hint="eastAsia"/>
          <w:szCs w:val="21"/>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02608C" w:rsidRPr="00501A61" w:rsidRDefault="00CE2F50"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w:t>
      </w:r>
      <w:r w:rsidR="0002608C" w:rsidRPr="00501A61">
        <w:rPr>
          <w:rFonts w:asciiTheme="minorEastAsia" w:eastAsiaTheme="minorEastAsia" w:hAnsiTheme="minorEastAsia" w:hint="eastAsia"/>
          <w:szCs w:val="21"/>
        </w:rPr>
        <w:t>差错调整采用尽量恢复至假设未发生差错的正确情形的方式。</w:t>
      </w:r>
    </w:p>
    <w:p w:rsidR="0002608C" w:rsidRPr="00501A61" w:rsidRDefault="00CE2F50"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5）</w:t>
      </w:r>
      <w:r w:rsidR="0002608C" w:rsidRPr="00501A61">
        <w:rPr>
          <w:rFonts w:asciiTheme="minorEastAsia" w:eastAsiaTheme="minorEastAsia" w:hAnsiTheme="minorEastAsia" w:hint="eastAsia"/>
          <w:szCs w:val="21"/>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02608C" w:rsidRPr="00501A61" w:rsidRDefault="00CE2F50"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6）</w:t>
      </w:r>
      <w:r w:rsidR="0002608C" w:rsidRPr="00501A61">
        <w:rPr>
          <w:rFonts w:asciiTheme="minorEastAsia" w:eastAsiaTheme="minorEastAsia" w:hAnsiTheme="minorEastAsia" w:hint="eastAsia"/>
          <w:szCs w:val="21"/>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02608C" w:rsidRPr="00501A61" w:rsidRDefault="00CE2F50"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7）</w:t>
      </w:r>
      <w:r w:rsidR="0002608C" w:rsidRPr="00501A61">
        <w:rPr>
          <w:rFonts w:asciiTheme="minorEastAsia" w:eastAsiaTheme="minorEastAsia" w:hAnsiTheme="minorEastAsia" w:hint="eastAsia"/>
          <w:szCs w:val="21"/>
        </w:rPr>
        <w:t>按法律法规规定的其他原则处理差错。</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(3)差错处理程序</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差错被发现后，有关的当事人应当及时进行处理，处理的程序如下：</w:t>
      </w:r>
    </w:p>
    <w:p w:rsidR="0002608C" w:rsidRPr="00501A61" w:rsidRDefault="00851044"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02608C" w:rsidRPr="00501A61">
        <w:rPr>
          <w:rFonts w:asciiTheme="minorEastAsia" w:eastAsiaTheme="minorEastAsia" w:hAnsiTheme="minorEastAsia" w:hint="eastAsia"/>
          <w:szCs w:val="21"/>
        </w:rPr>
        <w:t>查明差错发生的原因，列明所有的当事人，并根据差错发生的原因确定差错的责任方；</w:t>
      </w:r>
    </w:p>
    <w:p w:rsidR="0002608C" w:rsidRPr="00501A61" w:rsidRDefault="00851044"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02608C" w:rsidRPr="00501A61">
        <w:rPr>
          <w:rFonts w:asciiTheme="minorEastAsia" w:eastAsiaTheme="minorEastAsia" w:hAnsiTheme="minorEastAsia" w:hint="eastAsia"/>
          <w:szCs w:val="21"/>
        </w:rPr>
        <w:t>根据差错处理原则或当事人协商的方法对因差错造成的损失进行评估；</w:t>
      </w:r>
    </w:p>
    <w:p w:rsidR="0002608C" w:rsidRPr="00501A61" w:rsidRDefault="00851044"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3）</w:t>
      </w:r>
      <w:r w:rsidR="0002608C" w:rsidRPr="00501A61">
        <w:rPr>
          <w:rFonts w:asciiTheme="minorEastAsia" w:eastAsiaTheme="minorEastAsia" w:hAnsiTheme="minorEastAsia" w:hint="eastAsia"/>
          <w:szCs w:val="21"/>
        </w:rPr>
        <w:t>根据差错处理原则或当事人协商的方法由差错的责任方进行更正和赔偿损失；</w:t>
      </w:r>
    </w:p>
    <w:p w:rsidR="0002608C" w:rsidRPr="00501A61" w:rsidRDefault="00851044"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4）</w:t>
      </w:r>
      <w:r w:rsidR="0002608C" w:rsidRPr="00501A61">
        <w:rPr>
          <w:rFonts w:asciiTheme="minorEastAsia" w:eastAsiaTheme="minorEastAsia" w:hAnsiTheme="minorEastAsia" w:hint="eastAsia"/>
          <w:szCs w:val="21"/>
        </w:rPr>
        <w:t>根据差错处理的方法，需要修改基金注册登记机构的交易数据的，由基金注册登记机构进行更正，并就差错的更正向有关当事人进行确认；</w:t>
      </w:r>
    </w:p>
    <w:p w:rsidR="0002608C" w:rsidRPr="00501A61" w:rsidRDefault="00851044" w:rsidP="00107648">
      <w:pPr>
        <w:snapToGrid w:val="0"/>
        <w:spacing w:line="360" w:lineRule="auto"/>
        <w:ind w:firstLineChars="200" w:firstLine="420"/>
        <w:rPr>
          <w:rFonts w:asciiTheme="minorEastAsia" w:eastAsiaTheme="minorEastAsia" w:hAnsiTheme="minorEastAsia"/>
          <w:b/>
          <w:bCs/>
        </w:rPr>
      </w:pPr>
      <w:r w:rsidRPr="00501A61">
        <w:rPr>
          <w:rFonts w:asciiTheme="minorEastAsia" w:eastAsiaTheme="minorEastAsia" w:hAnsiTheme="minorEastAsia" w:hint="eastAsia"/>
          <w:szCs w:val="21"/>
        </w:rPr>
        <w:t>5）</w:t>
      </w:r>
      <w:r w:rsidR="0002608C" w:rsidRPr="00501A61">
        <w:rPr>
          <w:rFonts w:asciiTheme="minorEastAsia" w:eastAsiaTheme="minorEastAsia" w:hAnsiTheme="minorEastAsia" w:hint="eastAsia"/>
          <w:szCs w:val="21"/>
        </w:rPr>
        <w:t>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sz w:val="21"/>
        </w:rPr>
      </w:pPr>
      <w:bookmarkStart w:id="858" w:name="_Toc45632288"/>
      <w:r w:rsidRPr="00501A61">
        <w:rPr>
          <w:rFonts w:asciiTheme="minorEastAsia" w:eastAsiaTheme="minorEastAsia" w:hAnsiTheme="minorEastAsia" w:hint="eastAsia"/>
          <w:b w:val="0"/>
          <w:bCs/>
        </w:rPr>
        <w:t>（五）基金份额持有人名册的保管</w:t>
      </w:r>
      <w:bookmarkEnd w:id="858"/>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持有人的名称和持有的基金份额。</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基金份额持有人名册由基金的注册登记人编制，由基金的注册登记人保管。保管方式可以采用电子或文档的形式。保管期限为</w:t>
      </w:r>
      <w:r w:rsidR="00B148D8" w:rsidRPr="00501A61">
        <w:rPr>
          <w:rFonts w:asciiTheme="minorEastAsia" w:eastAsiaTheme="minorEastAsia" w:hAnsiTheme="minorEastAsia"/>
          <w:szCs w:val="21"/>
        </w:rPr>
        <w:t>20年</w:t>
      </w:r>
      <w:r w:rsidRPr="00501A61">
        <w:rPr>
          <w:rFonts w:asciiTheme="minorEastAsia" w:eastAsiaTheme="minorEastAsia" w:hAnsiTheme="minorEastAsia" w:hint="eastAsia"/>
          <w:szCs w:val="21"/>
        </w:rPr>
        <w:t>。</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02608C" w:rsidRPr="00501A61" w:rsidRDefault="0002608C" w:rsidP="00107648">
      <w:pPr>
        <w:snapToGrid w:val="0"/>
        <w:spacing w:line="360" w:lineRule="auto"/>
        <w:ind w:right="28"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基金托管人以电子版形式妥善保管基金份额持有人名册，并定期刻成光盘备份，保存期限为</w:t>
      </w:r>
      <w:r w:rsidR="00B148D8" w:rsidRPr="00501A61">
        <w:rPr>
          <w:rFonts w:asciiTheme="minorEastAsia" w:eastAsiaTheme="minorEastAsia" w:hAnsiTheme="minorEastAsia"/>
          <w:szCs w:val="21"/>
        </w:rPr>
        <w:t>20年</w:t>
      </w:r>
      <w:r w:rsidRPr="00501A61">
        <w:rPr>
          <w:rFonts w:asciiTheme="minorEastAsia" w:eastAsiaTheme="minorEastAsia" w:hAnsiTheme="minorEastAsia" w:hint="eastAsia"/>
          <w:szCs w:val="21"/>
        </w:rPr>
        <w:t>。基金托管人不得将所保管的基金份额持有人名册用于基金托管业务以外的其</w:t>
      </w:r>
      <w:r w:rsidRPr="00501A61">
        <w:rPr>
          <w:rFonts w:asciiTheme="minorEastAsia" w:eastAsiaTheme="minorEastAsia" w:hAnsiTheme="minorEastAsia" w:hint="eastAsia"/>
          <w:szCs w:val="21"/>
        </w:rPr>
        <w:lastRenderedPageBreak/>
        <w:t>他用途，并应遵守保密义务。</w:t>
      </w:r>
    </w:p>
    <w:p w:rsidR="0002608C" w:rsidRPr="00501A61" w:rsidRDefault="0002608C" w:rsidP="00107648">
      <w:pPr>
        <w:snapToGrid w:val="0"/>
        <w:spacing w:line="360" w:lineRule="auto"/>
        <w:ind w:right="28" w:firstLineChars="200" w:firstLine="420"/>
        <w:rPr>
          <w:rFonts w:asciiTheme="minorEastAsia" w:eastAsiaTheme="minorEastAsia" w:hAnsiTheme="minorEastAsia"/>
          <w:b/>
          <w:bCs/>
        </w:rPr>
      </w:pPr>
      <w:r w:rsidRPr="00501A61">
        <w:rPr>
          <w:rFonts w:asciiTheme="minorEastAsia" w:eastAsiaTheme="minorEastAsia" w:hAnsiTheme="minorEastAsia" w:hint="eastAsia"/>
          <w:szCs w:val="21"/>
        </w:rPr>
        <w:t>若基金管理人或基金托管人由于自身原因无法妥善保管基金份额持有人名册，应按有关法规规定各自承担相应的责任。</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sz w:val="21"/>
        </w:rPr>
      </w:pPr>
      <w:bookmarkStart w:id="859" w:name="_Toc45632289"/>
      <w:r w:rsidRPr="00501A61">
        <w:rPr>
          <w:rFonts w:asciiTheme="minorEastAsia" w:eastAsiaTheme="minorEastAsia" w:hAnsiTheme="minorEastAsia" w:hint="eastAsia"/>
          <w:b w:val="0"/>
          <w:bCs/>
        </w:rPr>
        <w:t>（六）争议解决方式</w:t>
      </w:r>
      <w:bookmarkEnd w:id="859"/>
    </w:p>
    <w:p w:rsidR="0002608C" w:rsidRPr="00501A61" w:rsidRDefault="0002608C" w:rsidP="00107648">
      <w:pPr>
        <w:snapToGrid w:val="0"/>
        <w:spacing w:line="360" w:lineRule="auto"/>
        <w:ind w:right="28" w:firstLineChars="200" w:firstLine="420"/>
        <w:rPr>
          <w:rFonts w:asciiTheme="minorEastAsia" w:eastAsiaTheme="minorEastAsia" w:hAnsiTheme="minorEastAsia"/>
        </w:rPr>
      </w:pPr>
      <w:r w:rsidRPr="00501A61">
        <w:rPr>
          <w:rFonts w:asciiTheme="minorEastAsia" w:eastAsiaTheme="minorEastAsia" w:hAnsiTheme="minorEastAsia"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02608C" w:rsidRPr="00501A61" w:rsidRDefault="0002608C" w:rsidP="00107648">
      <w:pPr>
        <w:snapToGrid w:val="0"/>
        <w:spacing w:line="360" w:lineRule="auto"/>
        <w:ind w:right="28" w:firstLineChars="200" w:firstLine="420"/>
        <w:rPr>
          <w:rFonts w:asciiTheme="minorEastAsia" w:eastAsiaTheme="minorEastAsia" w:hAnsiTheme="minorEastAsia"/>
        </w:rPr>
      </w:pPr>
      <w:r w:rsidRPr="00501A61">
        <w:rPr>
          <w:rFonts w:asciiTheme="minorEastAsia" w:eastAsiaTheme="minorEastAsia" w:hAnsiTheme="minorEastAsia" w:hint="eastAsia"/>
        </w:rPr>
        <w:t>争议处理期间，相关各方当事人应恪守基金管理人和基金托管人职责，继续忠实、勤勉、尽责地履行《基金合同》和托管协议规定的义务，维护基金份额持有人的合法权益。</w:t>
      </w:r>
    </w:p>
    <w:p w:rsidR="0002608C" w:rsidRPr="00501A61" w:rsidRDefault="0002608C" w:rsidP="00107648">
      <w:pPr>
        <w:snapToGrid w:val="0"/>
        <w:spacing w:line="360" w:lineRule="auto"/>
        <w:ind w:right="28" w:firstLineChars="200" w:firstLine="420"/>
        <w:rPr>
          <w:rFonts w:asciiTheme="minorEastAsia" w:eastAsiaTheme="minorEastAsia" w:hAnsiTheme="minorEastAsia"/>
          <w:b/>
          <w:bCs/>
        </w:rPr>
      </w:pPr>
      <w:r w:rsidRPr="00501A61">
        <w:rPr>
          <w:rFonts w:asciiTheme="minorEastAsia" w:eastAsiaTheme="minorEastAsia" w:hAnsiTheme="minorEastAsia" w:hint="eastAsia"/>
        </w:rPr>
        <w:t>本协议受中国法律管辖。</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sz w:val="21"/>
        </w:rPr>
      </w:pPr>
      <w:bookmarkStart w:id="860" w:name="_Toc45632290"/>
      <w:r w:rsidRPr="00501A61">
        <w:rPr>
          <w:rFonts w:asciiTheme="minorEastAsia" w:eastAsiaTheme="minorEastAsia" w:hAnsiTheme="minorEastAsia" w:hint="eastAsia"/>
          <w:b w:val="0"/>
          <w:bCs/>
        </w:rPr>
        <w:t>（七）托管协议的修改与终止</w:t>
      </w:r>
      <w:bookmarkEnd w:id="860"/>
    </w:p>
    <w:p w:rsidR="0002608C" w:rsidRPr="00501A61" w:rsidRDefault="00851044" w:rsidP="00107648">
      <w:pPr>
        <w:snapToGrid w:val="0"/>
        <w:spacing w:line="360" w:lineRule="auto"/>
        <w:ind w:right="28" w:firstLineChars="200" w:firstLine="420"/>
        <w:rPr>
          <w:rFonts w:asciiTheme="minorEastAsia" w:eastAsiaTheme="minorEastAsia" w:hAnsiTheme="minorEastAsia"/>
        </w:rPr>
      </w:pPr>
      <w:r w:rsidRPr="00501A61">
        <w:rPr>
          <w:rFonts w:asciiTheme="minorEastAsia" w:eastAsiaTheme="minorEastAsia" w:hAnsiTheme="minorEastAsia" w:hint="eastAsia"/>
        </w:rPr>
        <w:t>1、</w:t>
      </w:r>
      <w:r w:rsidR="0002608C" w:rsidRPr="00501A61">
        <w:rPr>
          <w:rFonts w:asciiTheme="minorEastAsia" w:eastAsiaTheme="minorEastAsia" w:hAnsiTheme="minorEastAsia" w:hint="eastAsia"/>
        </w:rPr>
        <w:t>本协议双方当事人经协商一致，可以对协议的内容进行变更。变更后的托管协议，其内容不得与《基金合同》的规定有任何冲突。基金托管协议的变更报中国证监会</w:t>
      </w:r>
      <w:r w:rsidR="00B148D8" w:rsidRPr="00501A61">
        <w:rPr>
          <w:rFonts w:asciiTheme="minorEastAsia" w:eastAsiaTheme="minorEastAsia" w:hAnsiTheme="minorEastAsia" w:hint="eastAsia"/>
        </w:rPr>
        <w:t>备案</w:t>
      </w:r>
      <w:r w:rsidR="0002608C" w:rsidRPr="00501A61">
        <w:rPr>
          <w:rFonts w:asciiTheme="minorEastAsia" w:eastAsiaTheme="minorEastAsia" w:hAnsiTheme="minorEastAsia" w:hint="eastAsia"/>
        </w:rPr>
        <w:t>。</w:t>
      </w:r>
    </w:p>
    <w:p w:rsidR="0002608C" w:rsidRPr="00501A61" w:rsidRDefault="00851044" w:rsidP="00107648">
      <w:pPr>
        <w:snapToGrid w:val="0"/>
        <w:spacing w:line="360" w:lineRule="auto"/>
        <w:ind w:right="28" w:firstLineChars="200" w:firstLine="420"/>
        <w:rPr>
          <w:rFonts w:asciiTheme="minorEastAsia" w:eastAsiaTheme="minorEastAsia" w:hAnsiTheme="minorEastAsia"/>
        </w:rPr>
      </w:pPr>
      <w:r w:rsidRPr="00501A61">
        <w:rPr>
          <w:rFonts w:asciiTheme="minorEastAsia" w:eastAsiaTheme="minorEastAsia" w:hAnsiTheme="minorEastAsia" w:hint="eastAsia"/>
        </w:rPr>
        <w:t>2、</w:t>
      </w:r>
      <w:r w:rsidR="0002608C" w:rsidRPr="00501A61">
        <w:rPr>
          <w:rFonts w:asciiTheme="minorEastAsia" w:eastAsiaTheme="minorEastAsia" w:hAnsiTheme="minorEastAsia" w:hint="eastAsia"/>
        </w:rPr>
        <w:t>基金托管协议终止的情形</w:t>
      </w:r>
    </w:p>
    <w:p w:rsidR="0002608C" w:rsidRPr="00501A61" w:rsidRDefault="0002608C" w:rsidP="00107648">
      <w:pPr>
        <w:snapToGrid w:val="0"/>
        <w:spacing w:line="360" w:lineRule="auto"/>
        <w:ind w:right="28" w:firstLineChars="200" w:firstLine="420"/>
        <w:rPr>
          <w:rFonts w:asciiTheme="minorEastAsia" w:eastAsiaTheme="minorEastAsia" w:hAnsiTheme="minorEastAsia"/>
        </w:rPr>
      </w:pPr>
      <w:r w:rsidRPr="00501A61">
        <w:rPr>
          <w:rFonts w:asciiTheme="minorEastAsia" w:eastAsiaTheme="minorEastAsia" w:hAnsiTheme="minorEastAsia" w:hint="eastAsia"/>
        </w:rPr>
        <w:t>发生以下情况，本托管协议终止：</w:t>
      </w:r>
    </w:p>
    <w:p w:rsidR="0002608C" w:rsidRPr="00501A61" w:rsidRDefault="0002608C" w:rsidP="00107648">
      <w:pPr>
        <w:snapToGrid w:val="0"/>
        <w:spacing w:line="360" w:lineRule="auto"/>
        <w:ind w:right="28" w:firstLineChars="200" w:firstLine="420"/>
        <w:rPr>
          <w:rFonts w:asciiTheme="minorEastAsia" w:eastAsiaTheme="minorEastAsia" w:hAnsiTheme="minorEastAsia"/>
        </w:rPr>
      </w:pPr>
      <w:r w:rsidRPr="00501A61">
        <w:rPr>
          <w:rFonts w:asciiTheme="minorEastAsia" w:eastAsiaTheme="minorEastAsia" w:hAnsiTheme="minorEastAsia" w:hint="eastAsia"/>
        </w:rPr>
        <w:t>（1）《基金合同》终止；</w:t>
      </w:r>
    </w:p>
    <w:p w:rsidR="0002608C" w:rsidRPr="00501A61" w:rsidRDefault="0002608C" w:rsidP="00107648">
      <w:pPr>
        <w:snapToGrid w:val="0"/>
        <w:spacing w:line="360" w:lineRule="auto"/>
        <w:ind w:right="28" w:firstLineChars="200" w:firstLine="420"/>
        <w:rPr>
          <w:rFonts w:asciiTheme="minorEastAsia" w:eastAsiaTheme="minorEastAsia" w:hAnsiTheme="minorEastAsia"/>
        </w:rPr>
      </w:pPr>
      <w:r w:rsidRPr="00501A61">
        <w:rPr>
          <w:rFonts w:asciiTheme="minorEastAsia" w:eastAsiaTheme="minorEastAsia" w:hAnsiTheme="minorEastAsia" w:hint="eastAsia"/>
        </w:rPr>
        <w:t>（2）基金托管人解散、依法被撤销、破产或有其他基金托管人接管基金财产；</w:t>
      </w:r>
    </w:p>
    <w:p w:rsidR="0002608C" w:rsidRPr="00501A61" w:rsidRDefault="0002608C" w:rsidP="00107648">
      <w:pPr>
        <w:snapToGrid w:val="0"/>
        <w:spacing w:line="360" w:lineRule="auto"/>
        <w:ind w:right="28" w:firstLineChars="200" w:firstLine="420"/>
        <w:rPr>
          <w:rFonts w:asciiTheme="minorEastAsia" w:eastAsiaTheme="minorEastAsia" w:hAnsiTheme="minorEastAsia"/>
        </w:rPr>
      </w:pPr>
      <w:r w:rsidRPr="00501A61">
        <w:rPr>
          <w:rFonts w:asciiTheme="minorEastAsia" w:eastAsiaTheme="minorEastAsia" w:hAnsiTheme="minorEastAsia" w:hint="eastAsia"/>
        </w:rPr>
        <w:t>（3）基金管理人解散、依法被撤销、破产或有其他基金管理人接管基金管理权；</w:t>
      </w:r>
    </w:p>
    <w:p w:rsidR="0002608C" w:rsidRPr="00501A61" w:rsidRDefault="0002608C" w:rsidP="00107648">
      <w:pPr>
        <w:snapToGrid w:val="0"/>
        <w:spacing w:line="360" w:lineRule="auto"/>
        <w:ind w:right="28" w:firstLineChars="200" w:firstLine="420"/>
        <w:rPr>
          <w:rFonts w:asciiTheme="minorEastAsia" w:eastAsiaTheme="minorEastAsia" w:hAnsiTheme="minorEastAsia"/>
        </w:rPr>
      </w:pPr>
      <w:r w:rsidRPr="00501A61">
        <w:rPr>
          <w:rFonts w:asciiTheme="minorEastAsia" w:eastAsiaTheme="minorEastAsia" w:hAnsiTheme="minorEastAsia" w:hint="eastAsia"/>
        </w:rPr>
        <w:t>（4）发生法律法规或基金合同规定的终止事项。</w:t>
      </w:r>
    </w:p>
    <w:p w:rsidR="00E1094C" w:rsidRPr="00501A61" w:rsidRDefault="00E1094C" w:rsidP="00107648">
      <w:pPr>
        <w:snapToGrid w:val="0"/>
        <w:spacing w:line="360" w:lineRule="auto"/>
        <w:ind w:right="28" w:firstLineChars="200" w:firstLine="420"/>
        <w:rPr>
          <w:rFonts w:asciiTheme="minorEastAsia" w:eastAsiaTheme="minorEastAsia" w:hAnsiTheme="minorEastAsia"/>
        </w:rPr>
        <w:sectPr w:rsidR="00E1094C" w:rsidRPr="00501A61" w:rsidSect="003920FC">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
          <w:bCs/>
        </w:rPr>
      </w:pPr>
      <w:bookmarkStart w:id="861" w:name="_Toc45632291"/>
      <w:r w:rsidRPr="00501A61">
        <w:rPr>
          <w:rFonts w:asciiTheme="minorEastAsia" w:eastAsiaTheme="minorEastAsia" w:hAnsiTheme="minorEastAsia" w:hint="eastAsia"/>
          <w:b/>
          <w:bCs/>
        </w:rPr>
        <w:lastRenderedPageBreak/>
        <w:t>二十三、对基金份额持有人的服务</w:t>
      </w:r>
      <w:bookmarkStart w:id="862" w:name="_Toc38186634"/>
      <w:bookmarkEnd w:id="861"/>
    </w:p>
    <w:p w:rsidR="0002608C" w:rsidRPr="00501A61" w:rsidRDefault="0002608C" w:rsidP="00107648">
      <w:pPr>
        <w:pStyle w:val="a9"/>
        <w:autoSpaceDE w:val="0"/>
        <w:autoSpaceDN w:val="0"/>
        <w:adjustRightInd w:val="0"/>
        <w:snapToGrid w:val="0"/>
        <w:spacing w:after="0" w:line="360" w:lineRule="auto"/>
        <w:ind w:firstLineChars="200"/>
        <w:rPr>
          <w:rFonts w:asciiTheme="minorEastAsia" w:eastAsiaTheme="minorEastAsia" w:hAnsiTheme="minorEastAsia"/>
        </w:rPr>
      </w:pPr>
      <w:r w:rsidRPr="00501A61">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863" w:name="_Toc45632292"/>
      <w:r w:rsidRPr="00501A61">
        <w:rPr>
          <w:rFonts w:asciiTheme="minorEastAsia" w:eastAsiaTheme="minorEastAsia" w:hAnsiTheme="minorEastAsia" w:hint="eastAsia"/>
          <w:b w:val="0"/>
          <w:bCs/>
        </w:rPr>
        <w:t>（一）基金份额持有人投资交易确认服务</w:t>
      </w:r>
      <w:bookmarkEnd w:id="863"/>
    </w:p>
    <w:p w:rsidR="0002608C" w:rsidRPr="00501A61" w:rsidRDefault="0002608C" w:rsidP="00107648">
      <w:pPr>
        <w:pStyle w:val="a9"/>
        <w:autoSpaceDE w:val="0"/>
        <w:autoSpaceDN w:val="0"/>
        <w:adjustRightInd w:val="0"/>
        <w:snapToGrid w:val="0"/>
        <w:spacing w:after="0" w:line="360" w:lineRule="auto"/>
        <w:ind w:firstLineChars="200"/>
        <w:rPr>
          <w:rFonts w:asciiTheme="minorEastAsia" w:eastAsiaTheme="minorEastAsia" w:hAnsiTheme="minorEastAsia"/>
        </w:rPr>
      </w:pPr>
      <w:r w:rsidRPr="00501A61">
        <w:rPr>
          <w:rFonts w:asciiTheme="minorEastAsia" w:eastAsiaTheme="minorEastAsia" w:hAnsiTheme="minorEastAsia" w:hint="eastAsia"/>
        </w:rPr>
        <w:t>基金注册登记机构保留基金份额持有人名册上列明的所有基金份额持有人的基金交易记录。</w:t>
      </w:r>
    </w:p>
    <w:p w:rsidR="0002608C" w:rsidRPr="00501A61" w:rsidRDefault="0002608C" w:rsidP="00107648">
      <w:pPr>
        <w:pStyle w:val="a9"/>
        <w:autoSpaceDE w:val="0"/>
        <w:autoSpaceDN w:val="0"/>
        <w:adjustRightInd w:val="0"/>
        <w:snapToGrid w:val="0"/>
        <w:spacing w:after="0" w:line="360" w:lineRule="auto"/>
        <w:ind w:firstLineChars="200"/>
        <w:rPr>
          <w:rFonts w:asciiTheme="minorEastAsia" w:eastAsiaTheme="minorEastAsia" w:hAnsiTheme="minorEastAsia"/>
        </w:rPr>
      </w:pPr>
      <w:r w:rsidRPr="00501A61">
        <w:rPr>
          <w:rFonts w:asciiTheme="minorEastAsia" w:eastAsiaTheme="minorEastAsia" w:hAnsiTheme="minorEastAsia" w:hint="eastAsia"/>
        </w:rPr>
        <w:t>基金管理人直销</w:t>
      </w:r>
      <w:r w:rsidR="006741E8" w:rsidRPr="00501A61">
        <w:rPr>
          <w:rFonts w:asciiTheme="minorEastAsia" w:eastAsiaTheme="minorEastAsia" w:hAnsiTheme="minorEastAsia" w:hint="eastAsia"/>
        </w:rPr>
        <w:t>网点</w:t>
      </w:r>
      <w:r w:rsidRPr="00501A61">
        <w:rPr>
          <w:rFonts w:asciiTheme="minorEastAsia" w:eastAsiaTheme="minorEastAsia" w:hAnsiTheme="minorEastAsia" w:hint="eastAsia"/>
        </w:rPr>
        <w:t>应根据在基金管理人直销</w:t>
      </w:r>
      <w:r w:rsidR="006741E8" w:rsidRPr="00501A61">
        <w:rPr>
          <w:rFonts w:asciiTheme="minorEastAsia" w:eastAsiaTheme="minorEastAsia" w:hAnsiTheme="minorEastAsia" w:hint="eastAsia"/>
        </w:rPr>
        <w:t>网点</w:t>
      </w:r>
      <w:r w:rsidRPr="00501A61">
        <w:rPr>
          <w:rFonts w:asciiTheme="minorEastAsia" w:eastAsiaTheme="minorEastAsia" w:hAnsiTheme="minorEastAsia" w:hint="eastAsia"/>
        </w:rPr>
        <w:t>进行交易的投资者的要求提</w:t>
      </w:r>
      <w:r w:rsidR="006741E8" w:rsidRPr="00501A61">
        <w:rPr>
          <w:rFonts w:asciiTheme="minorEastAsia" w:eastAsiaTheme="minorEastAsia" w:hAnsiTheme="minorEastAsia" w:hint="eastAsia"/>
        </w:rPr>
        <w:t>供</w:t>
      </w:r>
      <w:r w:rsidRPr="00501A61">
        <w:rPr>
          <w:rFonts w:asciiTheme="minorEastAsia" w:eastAsiaTheme="minorEastAsia" w:hAnsiTheme="minorEastAsia" w:hint="eastAsia"/>
        </w:rPr>
        <w:t>成交确认单。基金</w:t>
      </w:r>
      <w:r w:rsidR="00D109A3" w:rsidRPr="00501A61">
        <w:rPr>
          <w:rFonts w:asciiTheme="minorEastAsia" w:eastAsiaTheme="minorEastAsia" w:hAnsiTheme="minorEastAsia" w:hint="eastAsia"/>
        </w:rPr>
        <w:t>非直销销售机构</w:t>
      </w:r>
      <w:r w:rsidRPr="00501A61">
        <w:rPr>
          <w:rFonts w:asciiTheme="minorEastAsia" w:eastAsiaTheme="minorEastAsia" w:hAnsiTheme="minorEastAsia" w:hint="eastAsia"/>
        </w:rPr>
        <w:t>应根据在</w:t>
      </w:r>
      <w:r w:rsidR="00D109A3" w:rsidRPr="00501A61">
        <w:rPr>
          <w:rFonts w:asciiTheme="minorEastAsia" w:eastAsiaTheme="minorEastAsia" w:hAnsiTheme="minorEastAsia" w:hint="eastAsia"/>
        </w:rPr>
        <w:t>销售</w:t>
      </w:r>
      <w:r w:rsidRPr="00501A61">
        <w:rPr>
          <w:rFonts w:asciiTheme="minorEastAsia" w:eastAsiaTheme="minorEastAsia" w:hAnsiTheme="minorEastAsia" w:hint="eastAsia"/>
        </w:rPr>
        <w:t>网点进行交易的投资者的要求提</w:t>
      </w:r>
      <w:r w:rsidR="006741E8" w:rsidRPr="00501A61">
        <w:rPr>
          <w:rFonts w:asciiTheme="minorEastAsia" w:eastAsiaTheme="minorEastAsia" w:hAnsiTheme="minorEastAsia" w:hint="eastAsia"/>
        </w:rPr>
        <w:t>供</w:t>
      </w:r>
      <w:r w:rsidRPr="00501A61">
        <w:rPr>
          <w:rFonts w:asciiTheme="minorEastAsia" w:eastAsiaTheme="minorEastAsia" w:hAnsiTheme="minorEastAsia" w:hint="eastAsia"/>
        </w:rPr>
        <w:t>成交确认单。</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864" w:name="_Toc45632293"/>
      <w:r w:rsidRPr="00501A61">
        <w:rPr>
          <w:rFonts w:asciiTheme="minorEastAsia" w:eastAsiaTheme="minorEastAsia" w:hAnsiTheme="minorEastAsia" w:hint="eastAsia"/>
          <w:b w:val="0"/>
          <w:bCs/>
        </w:rPr>
        <w:t>（二）基金份额持有人交易记录查询服务</w:t>
      </w:r>
      <w:bookmarkEnd w:id="864"/>
    </w:p>
    <w:p w:rsidR="0002608C" w:rsidRPr="00501A61" w:rsidRDefault="0002608C" w:rsidP="00107648">
      <w:pPr>
        <w:autoSpaceDE w:val="0"/>
        <w:autoSpaceDN w:val="0"/>
        <w:adjustRightInd w:val="0"/>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本基金份额持有人可通过基金管理人的客户服务中心查询历史交易记录。</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865" w:name="_Toc45632294"/>
      <w:r w:rsidRPr="00501A61">
        <w:rPr>
          <w:rFonts w:asciiTheme="minorEastAsia" w:eastAsiaTheme="minorEastAsia" w:hAnsiTheme="minorEastAsia" w:hint="eastAsia"/>
          <w:b w:val="0"/>
          <w:bCs/>
        </w:rPr>
        <w:t>（三）基金份额持有人的对账单服务</w:t>
      </w:r>
      <w:bookmarkEnd w:id="865"/>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1</w:t>
      </w:r>
      <w:r w:rsidR="00851044"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基金份额持有人可登录本公司网站（http://www.efunds.com.cn）查阅对账单。</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2</w:t>
      </w:r>
      <w:r w:rsidR="00851044"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基金份额持有人也可向本公司定制纸质、电子或短信形式的定期或不定期对账单。</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szCs w:val="21"/>
        </w:rPr>
        <w:t>具体查阅和定制账单的方法可参见本公司网站或拨打客服热线咨询。</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866" w:name="_Toc45632295"/>
      <w:r w:rsidRPr="00501A61">
        <w:rPr>
          <w:rFonts w:asciiTheme="minorEastAsia" w:eastAsiaTheme="minorEastAsia" w:hAnsiTheme="minorEastAsia" w:hint="eastAsia"/>
          <w:b w:val="0"/>
          <w:bCs/>
        </w:rPr>
        <w:t>（</w:t>
      </w:r>
      <w:r w:rsidR="008D506F" w:rsidRPr="00501A61">
        <w:rPr>
          <w:rFonts w:asciiTheme="minorEastAsia" w:eastAsiaTheme="minorEastAsia" w:hAnsiTheme="minorEastAsia" w:hint="eastAsia"/>
          <w:b w:val="0"/>
          <w:bCs/>
        </w:rPr>
        <w:t>四</w:t>
      </w:r>
      <w:r w:rsidRPr="00501A61">
        <w:rPr>
          <w:rFonts w:asciiTheme="minorEastAsia" w:eastAsiaTheme="minorEastAsia" w:hAnsiTheme="minorEastAsia" w:hint="eastAsia"/>
          <w:b w:val="0"/>
          <w:bCs/>
        </w:rPr>
        <w:t>）定期定额投资计划</w:t>
      </w:r>
      <w:bookmarkEnd w:id="866"/>
    </w:p>
    <w:p w:rsidR="0002608C" w:rsidRPr="00501A61" w:rsidRDefault="0002608C" w:rsidP="00107648">
      <w:pPr>
        <w:pStyle w:val="ac"/>
        <w:snapToGrid w:val="0"/>
        <w:spacing w:line="360" w:lineRule="auto"/>
        <w:ind w:firstLineChars="200"/>
        <w:rPr>
          <w:rFonts w:asciiTheme="minorEastAsia" w:eastAsiaTheme="minorEastAsia" w:hAnsiTheme="minorEastAsia"/>
        </w:rPr>
      </w:pPr>
      <w:r w:rsidRPr="00501A61">
        <w:rPr>
          <w:rFonts w:asciiTheme="minorEastAsia" w:eastAsiaTheme="minorEastAsia" w:hAnsiTheme="minorEastAsia" w:hint="eastAsia"/>
        </w:rPr>
        <w:t>基金管理人可利用</w:t>
      </w:r>
      <w:r w:rsidR="00D109A3" w:rsidRPr="00501A61">
        <w:rPr>
          <w:rFonts w:asciiTheme="minorEastAsia" w:eastAsiaTheme="minorEastAsia" w:hAnsiTheme="minorEastAsia" w:hint="eastAsia"/>
        </w:rPr>
        <w:t>非直销销售机构</w:t>
      </w:r>
      <w:r w:rsidRPr="00501A61">
        <w:rPr>
          <w:rFonts w:asciiTheme="minorEastAsia" w:eastAsiaTheme="minorEastAsia" w:hAnsiTheme="minorEastAsia" w:hint="eastAsia"/>
        </w:rPr>
        <w:t>网点和本公司网上交易系统为投资者提供定期定额投资的服务</w:t>
      </w:r>
      <w:r w:rsidR="00151A2F" w:rsidRPr="00501A61">
        <w:rPr>
          <w:rFonts w:asciiTheme="minorEastAsia" w:eastAsiaTheme="minorEastAsia" w:hAnsiTheme="minorEastAsia" w:hint="eastAsia"/>
        </w:rPr>
        <w:t>（本公司网上交易系统的定期定额投资服务目前仅对个人投资者开通）</w:t>
      </w:r>
      <w:r w:rsidRPr="00501A61">
        <w:rPr>
          <w:rFonts w:asciiTheme="minorEastAsia" w:eastAsiaTheme="minorEastAsia" w:hAnsiTheme="minorEastAsia" w:hint="eastAsia"/>
        </w:rPr>
        <w:t>。通过定期定额投资计划，投资者可以通过固定的渠道，定期定额申购基金份额，具体实施方法见有关公告。</w:t>
      </w:r>
    </w:p>
    <w:p w:rsidR="0002608C" w:rsidRPr="00501A61" w:rsidRDefault="0002608C" w:rsidP="00107648">
      <w:pPr>
        <w:pStyle w:val="20"/>
        <w:snapToGrid w:val="0"/>
        <w:spacing w:beforeLines="0" w:afterLines="0" w:line="360" w:lineRule="auto"/>
        <w:ind w:firstLineChars="0" w:firstLine="0"/>
        <w:rPr>
          <w:rFonts w:asciiTheme="minorEastAsia" w:eastAsiaTheme="minorEastAsia" w:hAnsiTheme="minorEastAsia"/>
          <w:b w:val="0"/>
          <w:bCs/>
        </w:rPr>
      </w:pPr>
      <w:bookmarkStart w:id="867" w:name="_Toc45632296"/>
      <w:r w:rsidRPr="00501A61">
        <w:rPr>
          <w:rFonts w:asciiTheme="minorEastAsia" w:eastAsiaTheme="minorEastAsia" w:hAnsiTheme="minorEastAsia" w:hint="eastAsia"/>
          <w:b w:val="0"/>
          <w:bCs/>
        </w:rPr>
        <w:t>（</w:t>
      </w:r>
      <w:r w:rsidR="008D506F" w:rsidRPr="00501A61">
        <w:rPr>
          <w:rFonts w:asciiTheme="minorEastAsia" w:eastAsiaTheme="minorEastAsia" w:hAnsiTheme="minorEastAsia" w:hint="eastAsia"/>
          <w:b w:val="0"/>
          <w:bCs/>
        </w:rPr>
        <w:t>五</w:t>
      </w:r>
      <w:r w:rsidRPr="00501A61">
        <w:rPr>
          <w:rFonts w:asciiTheme="minorEastAsia" w:eastAsiaTheme="minorEastAsia" w:hAnsiTheme="minorEastAsia" w:hint="eastAsia"/>
          <w:b w:val="0"/>
          <w:bCs/>
        </w:rPr>
        <w:t>）资讯服务</w:t>
      </w:r>
      <w:bookmarkEnd w:id="867"/>
    </w:p>
    <w:p w:rsidR="0002608C" w:rsidRPr="00501A61" w:rsidRDefault="0002608C" w:rsidP="00107648">
      <w:pPr>
        <w:pStyle w:val="a9"/>
        <w:autoSpaceDE w:val="0"/>
        <w:autoSpaceDN w:val="0"/>
        <w:snapToGrid w:val="0"/>
        <w:spacing w:after="0" w:line="360" w:lineRule="auto"/>
        <w:ind w:firstLineChars="200"/>
        <w:rPr>
          <w:rFonts w:asciiTheme="minorEastAsia" w:eastAsiaTheme="minorEastAsia" w:hAnsiTheme="minorEastAsia"/>
        </w:rPr>
      </w:pPr>
      <w:r w:rsidRPr="00501A61">
        <w:rPr>
          <w:rFonts w:asciiTheme="minorEastAsia" w:eastAsiaTheme="minorEastAsia" w:hAnsiTheme="minorEastAsia" w:hint="eastAsia"/>
        </w:rPr>
        <w:t>1</w:t>
      </w:r>
      <w:r w:rsidR="00851044" w:rsidRPr="00501A61">
        <w:rPr>
          <w:rFonts w:asciiTheme="minorEastAsia" w:eastAsiaTheme="minorEastAsia" w:hAnsiTheme="minorEastAsia" w:hint="eastAsia"/>
        </w:rPr>
        <w:t>、</w:t>
      </w:r>
      <w:r w:rsidRPr="00501A61">
        <w:rPr>
          <w:rFonts w:asciiTheme="minorEastAsia" w:eastAsiaTheme="minorEastAsia" w:hAnsiTheme="minorEastAsia" w:hint="eastAsia"/>
        </w:rPr>
        <w:t>客户服务电话</w:t>
      </w:r>
    </w:p>
    <w:p w:rsidR="0002608C" w:rsidRPr="00501A61" w:rsidRDefault="0002608C" w:rsidP="00107648">
      <w:pPr>
        <w:pStyle w:val="a9"/>
        <w:autoSpaceDE w:val="0"/>
        <w:autoSpaceDN w:val="0"/>
        <w:snapToGrid w:val="0"/>
        <w:spacing w:after="0" w:line="360" w:lineRule="auto"/>
        <w:ind w:firstLineChars="200"/>
        <w:rPr>
          <w:rFonts w:asciiTheme="minorEastAsia" w:eastAsiaTheme="minorEastAsia" w:hAnsiTheme="minorEastAsia"/>
        </w:rPr>
      </w:pPr>
      <w:r w:rsidRPr="00501A61">
        <w:rPr>
          <w:rFonts w:asciiTheme="minorEastAsia" w:eastAsiaTheme="minorEastAsia" w:hAnsiTheme="minorEastAsia" w:hint="eastAsia"/>
        </w:rPr>
        <w:t>投资者如果想了解申购与赎回的交易情况、基金账户余额、基金产品与服务等信息，</w:t>
      </w:r>
      <w:r w:rsidR="0029796B" w:rsidRPr="00501A61">
        <w:rPr>
          <w:rFonts w:asciiTheme="minorEastAsia" w:eastAsiaTheme="minorEastAsia" w:hAnsiTheme="minorEastAsia" w:hint="eastAsia"/>
          <w:kern w:val="0"/>
        </w:rPr>
        <w:t>或反馈投资过程中需要投诉与建议的情况，</w:t>
      </w:r>
      <w:r w:rsidRPr="00501A61">
        <w:rPr>
          <w:rFonts w:asciiTheme="minorEastAsia" w:eastAsiaTheme="minorEastAsia" w:hAnsiTheme="minorEastAsia" w:hint="eastAsia"/>
        </w:rPr>
        <w:t>可拨打如下电话：</w:t>
      </w:r>
      <w:r w:rsidRPr="00501A61">
        <w:rPr>
          <w:rFonts w:asciiTheme="minorEastAsia" w:eastAsiaTheme="minorEastAsia" w:hAnsiTheme="minorEastAsia"/>
        </w:rPr>
        <w:t>40088</w:t>
      </w:r>
      <w:r w:rsidRPr="00501A61">
        <w:rPr>
          <w:rFonts w:asciiTheme="minorEastAsia" w:eastAsiaTheme="minorEastAsia" w:hAnsiTheme="minorEastAsia" w:hint="eastAsia"/>
        </w:rPr>
        <w:t>18088</w:t>
      </w:r>
      <w:r w:rsidRPr="00501A61">
        <w:rPr>
          <w:rFonts w:asciiTheme="minorEastAsia" w:eastAsiaTheme="minorEastAsia" w:hAnsiTheme="minorEastAsia"/>
        </w:rPr>
        <w:t>（免长途话费）</w:t>
      </w:r>
      <w:r w:rsidRPr="00501A61">
        <w:rPr>
          <w:rFonts w:asciiTheme="minorEastAsia" w:eastAsiaTheme="minorEastAsia" w:hAnsiTheme="minorEastAsia" w:hint="eastAsia"/>
        </w:rPr>
        <w:t>。</w:t>
      </w:r>
      <w:r w:rsidR="0029796B" w:rsidRPr="00501A61">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02608C" w:rsidRPr="00501A61" w:rsidRDefault="0002608C" w:rsidP="00107648">
      <w:pPr>
        <w:pStyle w:val="a9"/>
        <w:autoSpaceDE w:val="0"/>
        <w:autoSpaceDN w:val="0"/>
        <w:snapToGrid w:val="0"/>
        <w:spacing w:after="0" w:line="360" w:lineRule="auto"/>
        <w:ind w:firstLineChars="200"/>
        <w:rPr>
          <w:rFonts w:asciiTheme="minorEastAsia" w:eastAsiaTheme="minorEastAsia" w:hAnsiTheme="minorEastAsia"/>
        </w:rPr>
      </w:pPr>
      <w:r w:rsidRPr="00501A61">
        <w:rPr>
          <w:rFonts w:asciiTheme="minorEastAsia" w:eastAsiaTheme="minorEastAsia" w:hAnsiTheme="minorEastAsia" w:hint="eastAsia"/>
        </w:rPr>
        <w:t>2</w:t>
      </w:r>
      <w:r w:rsidR="00851044" w:rsidRPr="00501A61">
        <w:rPr>
          <w:rFonts w:asciiTheme="minorEastAsia" w:eastAsiaTheme="minorEastAsia" w:hAnsiTheme="minorEastAsia" w:hint="eastAsia"/>
        </w:rPr>
        <w:t>、</w:t>
      </w:r>
      <w:r w:rsidRPr="00501A61">
        <w:rPr>
          <w:rFonts w:asciiTheme="minorEastAsia" w:eastAsiaTheme="minorEastAsia" w:hAnsiTheme="minorEastAsia" w:hint="eastAsia"/>
        </w:rPr>
        <w:t>互联网站及电子信箱</w:t>
      </w:r>
    </w:p>
    <w:p w:rsidR="0002608C" w:rsidRPr="00501A61" w:rsidRDefault="0002608C" w:rsidP="00107648">
      <w:pPr>
        <w:pStyle w:val="a9"/>
        <w:autoSpaceDE w:val="0"/>
        <w:autoSpaceDN w:val="0"/>
        <w:snapToGrid w:val="0"/>
        <w:spacing w:after="0" w:line="360" w:lineRule="auto"/>
        <w:ind w:firstLineChars="200"/>
        <w:rPr>
          <w:rFonts w:asciiTheme="minorEastAsia" w:eastAsiaTheme="minorEastAsia" w:hAnsiTheme="minorEastAsia"/>
        </w:rPr>
      </w:pPr>
      <w:r w:rsidRPr="00501A61">
        <w:rPr>
          <w:rFonts w:asciiTheme="minorEastAsia" w:eastAsiaTheme="minorEastAsia" w:hAnsiTheme="minorEastAsia" w:hint="eastAsia"/>
        </w:rPr>
        <w:t>网址：http://www.efunds.com.cn</w:t>
      </w:r>
    </w:p>
    <w:p w:rsidR="0002608C" w:rsidRPr="00501A61" w:rsidRDefault="0002608C" w:rsidP="00107648">
      <w:pPr>
        <w:pStyle w:val="a9"/>
        <w:autoSpaceDE w:val="0"/>
        <w:autoSpaceDN w:val="0"/>
        <w:snapToGrid w:val="0"/>
        <w:spacing w:after="0" w:line="360" w:lineRule="auto"/>
        <w:ind w:firstLineChars="200"/>
        <w:rPr>
          <w:rStyle w:val="af"/>
          <w:rFonts w:asciiTheme="minorEastAsia" w:eastAsiaTheme="minorEastAsia" w:hAnsiTheme="minorEastAsia"/>
          <w:color w:val="auto"/>
          <w:u w:val="none"/>
        </w:rPr>
      </w:pPr>
      <w:r w:rsidRPr="00501A61">
        <w:rPr>
          <w:rFonts w:asciiTheme="minorEastAsia" w:eastAsiaTheme="minorEastAsia" w:hAnsiTheme="minorEastAsia" w:hint="eastAsia"/>
        </w:rPr>
        <w:t>电子信箱：</w:t>
      </w:r>
      <w:hyperlink r:id="rId18" w:history="1">
        <w:r w:rsidR="00535526" w:rsidRPr="00501A61">
          <w:rPr>
            <w:rStyle w:val="af"/>
            <w:rFonts w:asciiTheme="minorEastAsia" w:eastAsiaTheme="minorEastAsia" w:hAnsiTheme="minorEastAsia" w:hint="eastAsia"/>
            <w:color w:val="auto"/>
            <w:u w:val="none"/>
          </w:rPr>
          <w:t>service@efunds.com.cn</w:t>
        </w:r>
      </w:hyperlink>
    </w:p>
    <w:p w:rsidR="00E1094C" w:rsidRPr="00501A61" w:rsidRDefault="00E1094C" w:rsidP="00107648">
      <w:pPr>
        <w:pStyle w:val="a9"/>
        <w:autoSpaceDE w:val="0"/>
        <w:autoSpaceDN w:val="0"/>
        <w:snapToGrid w:val="0"/>
        <w:spacing w:after="0" w:line="360" w:lineRule="auto"/>
        <w:ind w:firstLineChars="200"/>
        <w:rPr>
          <w:rFonts w:asciiTheme="minorEastAsia" w:eastAsiaTheme="minorEastAsia" w:hAnsiTheme="minorEastAsia"/>
        </w:rPr>
        <w:sectPr w:rsidR="00E1094C" w:rsidRPr="00501A61" w:rsidSect="003920FC">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
          <w:bCs/>
        </w:rPr>
      </w:pPr>
      <w:bookmarkStart w:id="868" w:name="_Toc38438275"/>
      <w:bookmarkStart w:id="869" w:name="_Toc38438612"/>
      <w:bookmarkStart w:id="870" w:name="_Toc38438949"/>
      <w:bookmarkStart w:id="871" w:name="_Toc38439286"/>
      <w:bookmarkStart w:id="872" w:name="_Toc38439623"/>
      <w:bookmarkStart w:id="873" w:name="_Toc38439960"/>
      <w:bookmarkStart w:id="874" w:name="_Toc38440297"/>
      <w:bookmarkStart w:id="875" w:name="_Toc38440630"/>
      <w:bookmarkStart w:id="876" w:name="_Toc38440829"/>
      <w:bookmarkStart w:id="877" w:name="_Toc38441161"/>
      <w:bookmarkStart w:id="878" w:name="_Toc38441493"/>
      <w:bookmarkStart w:id="879" w:name="_Toc38441821"/>
      <w:bookmarkStart w:id="880" w:name="_Toc38442153"/>
      <w:bookmarkStart w:id="881" w:name="_Toc38442485"/>
      <w:bookmarkStart w:id="882" w:name="_Toc38442816"/>
      <w:bookmarkStart w:id="883" w:name="_Toc38443147"/>
      <w:bookmarkStart w:id="884" w:name="_Toc38443478"/>
      <w:bookmarkStart w:id="885" w:name="_Toc38443809"/>
      <w:bookmarkStart w:id="886" w:name="_Toc38438277"/>
      <w:bookmarkStart w:id="887" w:name="_Toc38438614"/>
      <w:bookmarkStart w:id="888" w:name="_Toc38438951"/>
      <w:bookmarkStart w:id="889" w:name="_Toc38439288"/>
      <w:bookmarkStart w:id="890" w:name="_Toc38439625"/>
      <w:bookmarkStart w:id="891" w:name="_Toc38439962"/>
      <w:bookmarkStart w:id="892" w:name="_Toc38440299"/>
      <w:bookmarkStart w:id="893" w:name="_Toc38440632"/>
      <w:bookmarkStart w:id="894" w:name="_Toc38440831"/>
      <w:bookmarkStart w:id="895" w:name="_Toc38441163"/>
      <w:bookmarkStart w:id="896" w:name="_Toc38441495"/>
      <w:bookmarkStart w:id="897" w:name="_Toc38441823"/>
      <w:bookmarkStart w:id="898" w:name="_Toc38442155"/>
      <w:bookmarkStart w:id="899" w:name="_Toc38442487"/>
      <w:bookmarkStart w:id="900" w:name="_Toc38442818"/>
      <w:bookmarkStart w:id="901" w:name="_Toc38443149"/>
      <w:bookmarkStart w:id="902" w:name="_Toc38443480"/>
      <w:bookmarkStart w:id="903" w:name="_Toc38443811"/>
      <w:bookmarkStart w:id="904" w:name="_Toc38438278"/>
      <w:bookmarkStart w:id="905" w:name="_Toc38438615"/>
      <w:bookmarkStart w:id="906" w:name="_Toc38438952"/>
      <w:bookmarkStart w:id="907" w:name="_Toc38439289"/>
      <w:bookmarkStart w:id="908" w:name="_Toc38439626"/>
      <w:bookmarkStart w:id="909" w:name="_Toc38439963"/>
      <w:bookmarkStart w:id="910" w:name="_Toc38440300"/>
      <w:bookmarkStart w:id="911" w:name="_Toc38440633"/>
      <w:bookmarkStart w:id="912" w:name="_Toc38440832"/>
      <w:bookmarkStart w:id="913" w:name="_Toc38441164"/>
      <w:bookmarkStart w:id="914" w:name="_Toc38441496"/>
      <w:bookmarkStart w:id="915" w:name="_Toc38441824"/>
      <w:bookmarkStart w:id="916" w:name="_Toc38442156"/>
      <w:bookmarkStart w:id="917" w:name="_Toc38442488"/>
      <w:bookmarkStart w:id="918" w:name="_Toc38442819"/>
      <w:bookmarkStart w:id="919" w:name="_Toc38443150"/>
      <w:bookmarkStart w:id="920" w:name="_Toc38443481"/>
      <w:bookmarkStart w:id="921" w:name="_Toc38443812"/>
      <w:bookmarkStart w:id="922" w:name="_Toc38438279"/>
      <w:bookmarkStart w:id="923" w:name="_Toc38438616"/>
      <w:bookmarkStart w:id="924" w:name="_Toc38438953"/>
      <w:bookmarkStart w:id="925" w:name="_Toc38439290"/>
      <w:bookmarkStart w:id="926" w:name="_Toc38439627"/>
      <w:bookmarkStart w:id="927" w:name="_Toc38439964"/>
      <w:bookmarkStart w:id="928" w:name="_Toc38440301"/>
      <w:bookmarkStart w:id="929" w:name="_Toc38440634"/>
      <w:bookmarkStart w:id="930" w:name="_Toc38440833"/>
      <w:bookmarkStart w:id="931" w:name="_Toc38441165"/>
      <w:bookmarkStart w:id="932" w:name="_Toc38441497"/>
      <w:bookmarkStart w:id="933" w:name="_Toc38441825"/>
      <w:bookmarkStart w:id="934" w:name="_Toc38442157"/>
      <w:bookmarkStart w:id="935" w:name="_Toc38442489"/>
      <w:bookmarkStart w:id="936" w:name="_Toc38442820"/>
      <w:bookmarkStart w:id="937" w:name="_Toc38443151"/>
      <w:bookmarkStart w:id="938" w:name="_Toc38443482"/>
      <w:bookmarkStart w:id="939" w:name="_Toc38443813"/>
      <w:bookmarkStart w:id="940" w:name="_Toc38438280"/>
      <w:bookmarkStart w:id="941" w:name="_Toc38438617"/>
      <w:bookmarkStart w:id="942" w:name="_Toc38438954"/>
      <w:bookmarkStart w:id="943" w:name="_Toc38439291"/>
      <w:bookmarkStart w:id="944" w:name="_Toc38439628"/>
      <w:bookmarkStart w:id="945" w:name="_Toc38439965"/>
      <w:bookmarkStart w:id="946" w:name="_Toc38440302"/>
      <w:bookmarkStart w:id="947" w:name="_Toc38440635"/>
      <w:bookmarkStart w:id="948" w:name="_Toc38440834"/>
      <w:bookmarkStart w:id="949" w:name="_Toc38441166"/>
      <w:bookmarkStart w:id="950" w:name="_Toc38441498"/>
      <w:bookmarkStart w:id="951" w:name="_Toc38441826"/>
      <w:bookmarkStart w:id="952" w:name="_Toc38442158"/>
      <w:bookmarkStart w:id="953" w:name="_Toc38442490"/>
      <w:bookmarkStart w:id="954" w:name="_Toc38442821"/>
      <w:bookmarkStart w:id="955" w:name="_Toc38443152"/>
      <w:bookmarkStart w:id="956" w:name="_Toc38443483"/>
      <w:bookmarkStart w:id="957" w:name="_Toc38443814"/>
      <w:bookmarkStart w:id="958" w:name="_Toc38438281"/>
      <w:bookmarkStart w:id="959" w:name="_Toc38438618"/>
      <w:bookmarkStart w:id="960" w:name="_Toc38438955"/>
      <w:bookmarkStart w:id="961" w:name="_Toc38439292"/>
      <w:bookmarkStart w:id="962" w:name="_Toc38439629"/>
      <w:bookmarkStart w:id="963" w:name="_Toc38439966"/>
      <w:bookmarkStart w:id="964" w:name="_Toc38440303"/>
      <w:bookmarkStart w:id="965" w:name="_Toc38440636"/>
      <w:bookmarkStart w:id="966" w:name="_Toc38440835"/>
      <w:bookmarkStart w:id="967" w:name="_Toc38441167"/>
      <w:bookmarkStart w:id="968" w:name="_Toc38441499"/>
      <w:bookmarkStart w:id="969" w:name="_Toc38441827"/>
      <w:bookmarkStart w:id="970" w:name="_Toc38442159"/>
      <w:bookmarkStart w:id="971" w:name="_Toc38442491"/>
      <w:bookmarkStart w:id="972" w:name="_Toc38442822"/>
      <w:bookmarkStart w:id="973" w:name="_Toc38443153"/>
      <w:bookmarkStart w:id="974" w:name="_Toc38443484"/>
      <w:bookmarkStart w:id="975" w:name="_Toc38443815"/>
      <w:bookmarkStart w:id="976" w:name="_Toc38438282"/>
      <w:bookmarkStart w:id="977" w:name="_Toc38438619"/>
      <w:bookmarkStart w:id="978" w:name="_Toc38438956"/>
      <w:bookmarkStart w:id="979" w:name="_Toc38439293"/>
      <w:bookmarkStart w:id="980" w:name="_Toc38439630"/>
      <w:bookmarkStart w:id="981" w:name="_Toc38439967"/>
      <w:bookmarkStart w:id="982" w:name="_Toc38440304"/>
      <w:bookmarkStart w:id="983" w:name="_Toc38440637"/>
      <w:bookmarkStart w:id="984" w:name="_Toc38440836"/>
      <w:bookmarkStart w:id="985" w:name="_Toc38441168"/>
      <w:bookmarkStart w:id="986" w:name="_Toc38441500"/>
      <w:bookmarkStart w:id="987" w:name="_Toc38441828"/>
      <w:bookmarkStart w:id="988" w:name="_Toc38442160"/>
      <w:bookmarkStart w:id="989" w:name="_Toc38442492"/>
      <w:bookmarkStart w:id="990" w:name="_Toc38442823"/>
      <w:bookmarkStart w:id="991" w:name="_Toc38443154"/>
      <w:bookmarkStart w:id="992" w:name="_Toc38443485"/>
      <w:bookmarkStart w:id="993" w:name="_Toc38443816"/>
      <w:bookmarkStart w:id="994" w:name="_Toc38438283"/>
      <w:bookmarkStart w:id="995" w:name="_Toc38438620"/>
      <w:bookmarkStart w:id="996" w:name="_Toc38438957"/>
      <w:bookmarkStart w:id="997" w:name="_Toc38439294"/>
      <w:bookmarkStart w:id="998" w:name="_Toc38439631"/>
      <w:bookmarkStart w:id="999" w:name="_Toc38439968"/>
      <w:bookmarkStart w:id="1000" w:name="_Toc38440305"/>
      <w:bookmarkStart w:id="1001" w:name="_Toc38440638"/>
      <w:bookmarkStart w:id="1002" w:name="_Toc38440837"/>
      <w:bookmarkStart w:id="1003" w:name="_Toc38441169"/>
      <w:bookmarkStart w:id="1004" w:name="_Toc38441501"/>
      <w:bookmarkStart w:id="1005" w:name="_Toc38441829"/>
      <w:bookmarkStart w:id="1006" w:name="_Toc38442161"/>
      <w:bookmarkStart w:id="1007" w:name="_Toc38442493"/>
      <w:bookmarkStart w:id="1008" w:name="_Toc38442824"/>
      <w:bookmarkStart w:id="1009" w:name="_Toc38443155"/>
      <w:bookmarkStart w:id="1010" w:name="_Toc38443486"/>
      <w:bookmarkStart w:id="1011" w:name="_Toc38443817"/>
      <w:bookmarkStart w:id="1012" w:name="_Toc38438284"/>
      <w:bookmarkStart w:id="1013" w:name="_Toc38438621"/>
      <w:bookmarkStart w:id="1014" w:name="_Toc38438958"/>
      <w:bookmarkStart w:id="1015" w:name="_Toc38439295"/>
      <w:bookmarkStart w:id="1016" w:name="_Toc38439632"/>
      <w:bookmarkStart w:id="1017" w:name="_Toc38439969"/>
      <w:bookmarkStart w:id="1018" w:name="_Toc38440306"/>
      <w:bookmarkStart w:id="1019" w:name="_Toc38440639"/>
      <w:bookmarkStart w:id="1020" w:name="_Toc38440838"/>
      <w:bookmarkStart w:id="1021" w:name="_Toc38441170"/>
      <w:bookmarkStart w:id="1022" w:name="_Toc38441502"/>
      <w:bookmarkStart w:id="1023" w:name="_Toc38441830"/>
      <w:bookmarkStart w:id="1024" w:name="_Toc38442162"/>
      <w:bookmarkStart w:id="1025" w:name="_Toc38442494"/>
      <w:bookmarkStart w:id="1026" w:name="_Toc38442825"/>
      <w:bookmarkStart w:id="1027" w:name="_Toc38443156"/>
      <w:bookmarkStart w:id="1028" w:name="_Toc38443487"/>
      <w:bookmarkStart w:id="1029" w:name="_Toc38443818"/>
      <w:bookmarkStart w:id="1030" w:name="_Toc38438285"/>
      <w:bookmarkStart w:id="1031" w:name="_Toc38438622"/>
      <w:bookmarkStart w:id="1032" w:name="_Toc38438959"/>
      <w:bookmarkStart w:id="1033" w:name="_Toc38439296"/>
      <w:bookmarkStart w:id="1034" w:name="_Toc38439633"/>
      <w:bookmarkStart w:id="1035" w:name="_Toc38439970"/>
      <w:bookmarkStart w:id="1036" w:name="_Toc38440307"/>
      <w:bookmarkStart w:id="1037" w:name="_Toc38440640"/>
      <w:bookmarkStart w:id="1038" w:name="_Toc38440839"/>
      <w:bookmarkStart w:id="1039" w:name="_Toc38441171"/>
      <w:bookmarkStart w:id="1040" w:name="_Toc38441503"/>
      <w:bookmarkStart w:id="1041" w:name="_Toc38441831"/>
      <w:bookmarkStart w:id="1042" w:name="_Toc38442163"/>
      <w:bookmarkStart w:id="1043" w:name="_Toc38442495"/>
      <w:bookmarkStart w:id="1044" w:name="_Toc38442826"/>
      <w:bookmarkStart w:id="1045" w:name="_Toc38443157"/>
      <w:bookmarkStart w:id="1046" w:name="_Toc38443488"/>
      <w:bookmarkStart w:id="1047" w:name="_Toc38443819"/>
      <w:bookmarkStart w:id="1048" w:name="_Toc38438286"/>
      <w:bookmarkStart w:id="1049" w:name="_Toc38438623"/>
      <w:bookmarkStart w:id="1050" w:name="_Toc38438960"/>
      <w:bookmarkStart w:id="1051" w:name="_Toc38439297"/>
      <w:bookmarkStart w:id="1052" w:name="_Toc38439634"/>
      <w:bookmarkStart w:id="1053" w:name="_Toc38439971"/>
      <w:bookmarkStart w:id="1054" w:name="_Toc38440308"/>
      <w:bookmarkStart w:id="1055" w:name="_Toc38440641"/>
      <w:bookmarkStart w:id="1056" w:name="_Toc38440840"/>
      <w:bookmarkStart w:id="1057" w:name="_Toc38441172"/>
      <w:bookmarkStart w:id="1058" w:name="_Toc38441504"/>
      <w:bookmarkStart w:id="1059" w:name="_Toc38441832"/>
      <w:bookmarkStart w:id="1060" w:name="_Toc38442164"/>
      <w:bookmarkStart w:id="1061" w:name="_Toc38442496"/>
      <w:bookmarkStart w:id="1062" w:name="_Toc38442827"/>
      <w:bookmarkStart w:id="1063" w:name="_Toc38443158"/>
      <w:bookmarkStart w:id="1064" w:name="_Toc38443489"/>
      <w:bookmarkStart w:id="1065" w:name="_Toc38443820"/>
      <w:bookmarkStart w:id="1066" w:name="_Toc38438287"/>
      <w:bookmarkStart w:id="1067" w:name="_Toc38438624"/>
      <w:bookmarkStart w:id="1068" w:name="_Toc38438961"/>
      <w:bookmarkStart w:id="1069" w:name="_Toc38439298"/>
      <w:bookmarkStart w:id="1070" w:name="_Toc38439635"/>
      <w:bookmarkStart w:id="1071" w:name="_Toc38439972"/>
      <w:bookmarkStart w:id="1072" w:name="_Toc38440309"/>
      <w:bookmarkStart w:id="1073" w:name="_Toc38440642"/>
      <w:bookmarkStart w:id="1074" w:name="_Toc38440841"/>
      <w:bookmarkStart w:id="1075" w:name="_Toc38441173"/>
      <w:bookmarkStart w:id="1076" w:name="_Toc38441505"/>
      <w:bookmarkStart w:id="1077" w:name="_Toc38441833"/>
      <w:bookmarkStart w:id="1078" w:name="_Toc38442165"/>
      <w:bookmarkStart w:id="1079" w:name="_Toc38442497"/>
      <w:bookmarkStart w:id="1080" w:name="_Toc38442828"/>
      <w:bookmarkStart w:id="1081" w:name="_Toc38443159"/>
      <w:bookmarkStart w:id="1082" w:name="_Toc38443490"/>
      <w:bookmarkStart w:id="1083" w:name="_Toc38443821"/>
      <w:bookmarkStart w:id="1084" w:name="_Toc38438288"/>
      <w:bookmarkStart w:id="1085" w:name="_Toc38438625"/>
      <w:bookmarkStart w:id="1086" w:name="_Toc38438962"/>
      <w:bookmarkStart w:id="1087" w:name="_Toc38439299"/>
      <w:bookmarkStart w:id="1088" w:name="_Toc38439636"/>
      <w:bookmarkStart w:id="1089" w:name="_Toc38439973"/>
      <w:bookmarkStart w:id="1090" w:name="_Toc38440310"/>
      <w:bookmarkStart w:id="1091" w:name="_Toc38440643"/>
      <w:bookmarkStart w:id="1092" w:name="_Toc38440842"/>
      <w:bookmarkStart w:id="1093" w:name="_Toc38441174"/>
      <w:bookmarkStart w:id="1094" w:name="_Toc38441506"/>
      <w:bookmarkStart w:id="1095" w:name="_Toc38441834"/>
      <w:bookmarkStart w:id="1096" w:name="_Toc38442166"/>
      <w:bookmarkStart w:id="1097" w:name="_Toc38442498"/>
      <w:bookmarkStart w:id="1098" w:name="_Toc38442829"/>
      <w:bookmarkStart w:id="1099" w:name="_Toc38443160"/>
      <w:bookmarkStart w:id="1100" w:name="_Toc38443491"/>
      <w:bookmarkStart w:id="1101" w:name="_Toc38443822"/>
      <w:bookmarkStart w:id="1102" w:name="_Toc38438289"/>
      <w:bookmarkStart w:id="1103" w:name="_Toc38438626"/>
      <w:bookmarkStart w:id="1104" w:name="_Toc38438963"/>
      <w:bookmarkStart w:id="1105" w:name="_Toc38439300"/>
      <w:bookmarkStart w:id="1106" w:name="_Toc38439637"/>
      <w:bookmarkStart w:id="1107" w:name="_Toc38439974"/>
      <w:bookmarkStart w:id="1108" w:name="_Toc38440311"/>
      <w:bookmarkStart w:id="1109" w:name="_Toc38440644"/>
      <w:bookmarkStart w:id="1110" w:name="_Toc38440843"/>
      <w:bookmarkStart w:id="1111" w:name="_Toc38441175"/>
      <w:bookmarkStart w:id="1112" w:name="_Toc38441507"/>
      <w:bookmarkStart w:id="1113" w:name="_Toc38441835"/>
      <w:bookmarkStart w:id="1114" w:name="_Toc38442167"/>
      <w:bookmarkStart w:id="1115" w:name="_Toc38442499"/>
      <w:bookmarkStart w:id="1116" w:name="_Toc38442830"/>
      <w:bookmarkStart w:id="1117" w:name="_Toc38443161"/>
      <w:bookmarkStart w:id="1118" w:name="_Toc38443492"/>
      <w:bookmarkStart w:id="1119" w:name="_Toc38443823"/>
      <w:bookmarkStart w:id="1120" w:name="_Toc38438290"/>
      <w:bookmarkStart w:id="1121" w:name="_Toc38438627"/>
      <w:bookmarkStart w:id="1122" w:name="_Toc38438964"/>
      <w:bookmarkStart w:id="1123" w:name="_Toc38439301"/>
      <w:bookmarkStart w:id="1124" w:name="_Toc38439638"/>
      <w:bookmarkStart w:id="1125" w:name="_Toc38439975"/>
      <w:bookmarkStart w:id="1126" w:name="_Toc38440312"/>
      <w:bookmarkStart w:id="1127" w:name="_Toc38440645"/>
      <w:bookmarkStart w:id="1128" w:name="_Toc38440844"/>
      <w:bookmarkStart w:id="1129" w:name="_Toc38441176"/>
      <w:bookmarkStart w:id="1130" w:name="_Toc38441508"/>
      <w:bookmarkStart w:id="1131" w:name="_Toc38441836"/>
      <w:bookmarkStart w:id="1132" w:name="_Toc38442168"/>
      <w:bookmarkStart w:id="1133" w:name="_Toc38442500"/>
      <w:bookmarkStart w:id="1134" w:name="_Toc38442831"/>
      <w:bookmarkStart w:id="1135" w:name="_Toc38443162"/>
      <w:bookmarkStart w:id="1136" w:name="_Toc38443493"/>
      <w:bookmarkStart w:id="1137" w:name="_Toc38443824"/>
      <w:bookmarkStart w:id="1138" w:name="_Toc38438291"/>
      <w:bookmarkStart w:id="1139" w:name="_Toc38438628"/>
      <w:bookmarkStart w:id="1140" w:name="_Toc38438965"/>
      <w:bookmarkStart w:id="1141" w:name="_Toc38439302"/>
      <w:bookmarkStart w:id="1142" w:name="_Toc38439639"/>
      <w:bookmarkStart w:id="1143" w:name="_Toc38439976"/>
      <w:bookmarkStart w:id="1144" w:name="_Toc38440313"/>
      <w:bookmarkStart w:id="1145" w:name="_Toc38440646"/>
      <w:bookmarkStart w:id="1146" w:name="_Toc38440845"/>
      <w:bookmarkStart w:id="1147" w:name="_Toc38441177"/>
      <w:bookmarkStart w:id="1148" w:name="_Toc38441509"/>
      <w:bookmarkStart w:id="1149" w:name="_Toc38441837"/>
      <w:bookmarkStart w:id="1150" w:name="_Toc38442169"/>
      <w:bookmarkStart w:id="1151" w:name="_Toc38442501"/>
      <w:bookmarkStart w:id="1152" w:name="_Toc38442832"/>
      <w:bookmarkStart w:id="1153" w:name="_Toc38443163"/>
      <w:bookmarkStart w:id="1154" w:name="_Toc38443494"/>
      <w:bookmarkStart w:id="1155" w:name="_Toc38443825"/>
      <w:bookmarkStart w:id="1156" w:name="_Toc38438292"/>
      <w:bookmarkStart w:id="1157" w:name="_Toc38438629"/>
      <w:bookmarkStart w:id="1158" w:name="_Toc38438966"/>
      <w:bookmarkStart w:id="1159" w:name="_Toc38439303"/>
      <w:bookmarkStart w:id="1160" w:name="_Toc38439640"/>
      <w:bookmarkStart w:id="1161" w:name="_Toc38439977"/>
      <w:bookmarkStart w:id="1162" w:name="_Toc38440314"/>
      <w:bookmarkStart w:id="1163" w:name="_Toc38440647"/>
      <w:bookmarkStart w:id="1164" w:name="_Toc38440846"/>
      <w:bookmarkStart w:id="1165" w:name="_Toc38441178"/>
      <w:bookmarkStart w:id="1166" w:name="_Toc38441510"/>
      <w:bookmarkStart w:id="1167" w:name="_Toc38441838"/>
      <w:bookmarkStart w:id="1168" w:name="_Toc38442170"/>
      <w:bookmarkStart w:id="1169" w:name="_Toc38442502"/>
      <w:bookmarkStart w:id="1170" w:name="_Toc38442833"/>
      <w:bookmarkStart w:id="1171" w:name="_Toc38443164"/>
      <w:bookmarkStart w:id="1172" w:name="_Toc38443495"/>
      <w:bookmarkStart w:id="1173" w:name="_Toc38443826"/>
      <w:bookmarkStart w:id="1174" w:name="_Toc38438293"/>
      <w:bookmarkStart w:id="1175" w:name="_Toc38438630"/>
      <w:bookmarkStart w:id="1176" w:name="_Toc38438967"/>
      <w:bookmarkStart w:id="1177" w:name="_Toc38439304"/>
      <w:bookmarkStart w:id="1178" w:name="_Toc38439641"/>
      <w:bookmarkStart w:id="1179" w:name="_Toc38439978"/>
      <w:bookmarkStart w:id="1180" w:name="_Toc38440315"/>
      <w:bookmarkStart w:id="1181" w:name="_Toc38440648"/>
      <w:bookmarkStart w:id="1182" w:name="_Toc38440847"/>
      <w:bookmarkStart w:id="1183" w:name="_Toc38441179"/>
      <w:bookmarkStart w:id="1184" w:name="_Toc38441511"/>
      <w:bookmarkStart w:id="1185" w:name="_Toc38441839"/>
      <w:bookmarkStart w:id="1186" w:name="_Toc38442171"/>
      <w:bookmarkStart w:id="1187" w:name="_Toc38442503"/>
      <w:bookmarkStart w:id="1188" w:name="_Toc38442834"/>
      <w:bookmarkStart w:id="1189" w:name="_Toc38443165"/>
      <w:bookmarkStart w:id="1190" w:name="_Toc38443496"/>
      <w:bookmarkStart w:id="1191" w:name="_Toc38443827"/>
      <w:bookmarkStart w:id="1192" w:name="_Toc38438296"/>
      <w:bookmarkStart w:id="1193" w:name="_Toc38438633"/>
      <w:bookmarkStart w:id="1194" w:name="_Toc38438970"/>
      <w:bookmarkStart w:id="1195" w:name="_Toc38439307"/>
      <w:bookmarkStart w:id="1196" w:name="_Toc38439644"/>
      <w:bookmarkStart w:id="1197" w:name="_Toc38439981"/>
      <w:bookmarkStart w:id="1198" w:name="_Toc38440318"/>
      <w:bookmarkStart w:id="1199" w:name="_Toc38440651"/>
      <w:bookmarkStart w:id="1200" w:name="_Toc38440850"/>
      <w:bookmarkStart w:id="1201" w:name="_Toc38441182"/>
      <w:bookmarkStart w:id="1202" w:name="_Toc38441514"/>
      <w:bookmarkStart w:id="1203" w:name="_Toc38441842"/>
      <w:bookmarkStart w:id="1204" w:name="_Toc38442174"/>
      <w:bookmarkStart w:id="1205" w:name="_Toc38442506"/>
      <w:bookmarkStart w:id="1206" w:name="_Toc38442837"/>
      <w:bookmarkStart w:id="1207" w:name="_Toc38443168"/>
      <w:bookmarkStart w:id="1208" w:name="_Toc38443499"/>
      <w:bookmarkStart w:id="1209" w:name="_Toc38443830"/>
      <w:bookmarkStart w:id="1210" w:name="_Toc38438297"/>
      <w:bookmarkStart w:id="1211" w:name="_Toc38438634"/>
      <w:bookmarkStart w:id="1212" w:name="_Toc38438971"/>
      <w:bookmarkStart w:id="1213" w:name="_Toc38439308"/>
      <w:bookmarkStart w:id="1214" w:name="_Toc38439645"/>
      <w:bookmarkStart w:id="1215" w:name="_Toc38439982"/>
      <w:bookmarkStart w:id="1216" w:name="_Toc38440319"/>
      <w:bookmarkStart w:id="1217" w:name="_Toc38440652"/>
      <w:bookmarkStart w:id="1218" w:name="_Toc38440851"/>
      <w:bookmarkStart w:id="1219" w:name="_Toc38441183"/>
      <w:bookmarkStart w:id="1220" w:name="_Toc38441515"/>
      <w:bookmarkStart w:id="1221" w:name="_Toc38441843"/>
      <w:bookmarkStart w:id="1222" w:name="_Toc38442175"/>
      <w:bookmarkStart w:id="1223" w:name="_Toc38442507"/>
      <w:bookmarkStart w:id="1224" w:name="_Toc38442838"/>
      <w:bookmarkStart w:id="1225" w:name="_Toc38443169"/>
      <w:bookmarkStart w:id="1226" w:name="_Toc38443500"/>
      <w:bookmarkStart w:id="1227" w:name="_Toc38443831"/>
      <w:bookmarkStart w:id="1228" w:name="_Toc38438298"/>
      <w:bookmarkStart w:id="1229" w:name="_Toc38438635"/>
      <w:bookmarkStart w:id="1230" w:name="_Toc38438972"/>
      <w:bookmarkStart w:id="1231" w:name="_Toc38439309"/>
      <w:bookmarkStart w:id="1232" w:name="_Toc38439646"/>
      <w:bookmarkStart w:id="1233" w:name="_Toc38439983"/>
      <w:bookmarkStart w:id="1234" w:name="_Toc38440320"/>
      <w:bookmarkStart w:id="1235" w:name="_Toc38440653"/>
      <w:bookmarkStart w:id="1236" w:name="_Toc38440852"/>
      <w:bookmarkStart w:id="1237" w:name="_Toc38441184"/>
      <w:bookmarkStart w:id="1238" w:name="_Toc38441516"/>
      <w:bookmarkStart w:id="1239" w:name="_Toc38441844"/>
      <w:bookmarkStart w:id="1240" w:name="_Toc38442176"/>
      <w:bookmarkStart w:id="1241" w:name="_Toc38442508"/>
      <w:bookmarkStart w:id="1242" w:name="_Toc38442839"/>
      <w:bookmarkStart w:id="1243" w:name="_Toc38443170"/>
      <w:bookmarkStart w:id="1244" w:name="_Toc38443501"/>
      <w:bookmarkStart w:id="1245" w:name="_Toc38443832"/>
      <w:bookmarkStart w:id="1246" w:name="_Toc38438299"/>
      <w:bookmarkStart w:id="1247" w:name="_Toc38438636"/>
      <w:bookmarkStart w:id="1248" w:name="_Toc38438973"/>
      <w:bookmarkStart w:id="1249" w:name="_Toc38439310"/>
      <w:bookmarkStart w:id="1250" w:name="_Toc38439647"/>
      <w:bookmarkStart w:id="1251" w:name="_Toc38439984"/>
      <w:bookmarkStart w:id="1252" w:name="_Toc38440321"/>
      <w:bookmarkStart w:id="1253" w:name="_Toc38440654"/>
      <w:bookmarkStart w:id="1254" w:name="_Toc38440853"/>
      <w:bookmarkStart w:id="1255" w:name="_Toc38441185"/>
      <w:bookmarkStart w:id="1256" w:name="_Toc38441517"/>
      <w:bookmarkStart w:id="1257" w:name="_Toc38441845"/>
      <w:bookmarkStart w:id="1258" w:name="_Toc38442177"/>
      <w:bookmarkStart w:id="1259" w:name="_Toc38442509"/>
      <w:bookmarkStart w:id="1260" w:name="_Toc38442840"/>
      <w:bookmarkStart w:id="1261" w:name="_Toc38443171"/>
      <w:bookmarkStart w:id="1262" w:name="_Toc38443502"/>
      <w:bookmarkStart w:id="1263" w:name="_Toc38443833"/>
      <w:bookmarkStart w:id="1264" w:name="_Toc38438301"/>
      <w:bookmarkStart w:id="1265" w:name="_Toc38438638"/>
      <w:bookmarkStart w:id="1266" w:name="_Toc38438975"/>
      <w:bookmarkStart w:id="1267" w:name="_Toc38439312"/>
      <w:bookmarkStart w:id="1268" w:name="_Toc38439649"/>
      <w:bookmarkStart w:id="1269" w:name="_Toc38439986"/>
      <w:bookmarkStart w:id="1270" w:name="_Toc38440323"/>
      <w:bookmarkStart w:id="1271" w:name="_Toc38440656"/>
      <w:bookmarkStart w:id="1272" w:name="_Toc38440855"/>
      <w:bookmarkStart w:id="1273" w:name="_Toc38441187"/>
      <w:bookmarkStart w:id="1274" w:name="_Toc38441519"/>
      <w:bookmarkStart w:id="1275" w:name="_Toc38441847"/>
      <w:bookmarkStart w:id="1276" w:name="_Toc38442179"/>
      <w:bookmarkStart w:id="1277" w:name="_Toc38442511"/>
      <w:bookmarkStart w:id="1278" w:name="_Toc38442842"/>
      <w:bookmarkStart w:id="1279" w:name="_Toc38443173"/>
      <w:bookmarkStart w:id="1280" w:name="_Toc38443504"/>
      <w:bookmarkStart w:id="1281" w:name="_Toc38443835"/>
      <w:bookmarkStart w:id="1282" w:name="_Toc38438302"/>
      <w:bookmarkStart w:id="1283" w:name="_Toc38438639"/>
      <w:bookmarkStart w:id="1284" w:name="_Toc38438976"/>
      <w:bookmarkStart w:id="1285" w:name="_Toc38439313"/>
      <w:bookmarkStart w:id="1286" w:name="_Toc38439650"/>
      <w:bookmarkStart w:id="1287" w:name="_Toc38439987"/>
      <w:bookmarkStart w:id="1288" w:name="_Toc38440324"/>
      <w:bookmarkStart w:id="1289" w:name="_Toc38440657"/>
      <w:bookmarkStart w:id="1290" w:name="_Toc38440856"/>
      <w:bookmarkStart w:id="1291" w:name="_Toc38441188"/>
      <w:bookmarkStart w:id="1292" w:name="_Toc38441520"/>
      <w:bookmarkStart w:id="1293" w:name="_Toc38441848"/>
      <w:bookmarkStart w:id="1294" w:name="_Toc38442180"/>
      <w:bookmarkStart w:id="1295" w:name="_Toc38442512"/>
      <w:bookmarkStart w:id="1296" w:name="_Toc38442843"/>
      <w:bookmarkStart w:id="1297" w:name="_Toc38443174"/>
      <w:bookmarkStart w:id="1298" w:name="_Toc38443505"/>
      <w:bookmarkStart w:id="1299" w:name="_Toc38443836"/>
      <w:bookmarkStart w:id="1300" w:name="_Toc38438303"/>
      <w:bookmarkStart w:id="1301" w:name="_Toc38438640"/>
      <w:bookmarkStart w:id="1302" w:name="_Toc38438977"/>
      <w:bookmarkStart w:id="1303" w:name="_Toc38439314"/>
      <w:bookmarkStart w:id="1304" w:name="_Toc38439651"/>
      <w:bookmarkStart w:id="1305" w:name="_Toc38439988"/>
      <w:bookmarkStart w:id="1306" w:name="_Toc38440325"/>
      <w:bookmarkStart w:id="1307" w:name="_Toc38440658"/>
      <w:bookmarkStart w:id="1308" w:name="_Toc38440857"/>
      <w:bookmarkStart w:id="1309" w:name="_Toc38441189"/>
      <w:bookmarkStart w:id="1310" w:name="_Toc38441521"/>
      <w:bookmarkStart w:id="1311" w:name="_Toc38441849"/>
      <w:bookmarkStart w:id="1312" w:name="_Toc38442181"/>
      <w:bookmarkStart w:id="1313" w:name="_Toc38442513"/>
      <w:bookmarkStart w:id="1314" w:name="_Toc38442844"/>
      <w:bookmarkStart w:id="1315" w:name="_Toc38443175"/>
      <w:bookmarkStart w:id="1316" w:name="_Toc38443506"/>
      <w:bookmarkStart w:id="1317" w:name="_Toc38443837"/>
      <w:bookmarkStart w:id="1318" w:name="_Toc38438304"/>
      <w:bookmarkStart w:id="1319" w:name="_Toc38438641"/>
      <w:bookmarkStart w:id="1320" w:name="_Toc38438978"/>
      <w:bookmarkStart w:id="1321" w:name="_Toc38439315"/>
      <w:bookmarkStart w:id="1322" w:name="_Toc38439652"/>
      <w:bookmarkStart w:id="1323" w:name="_Toc38439989"/>
      <w:bookmarkStart w:id="1324" w:name="_Toc38440326"/>
      <w:bookmarkStart w:id="1325" w:name="_Toc38440659"/>
      <w:bookmarkStart w:id="1326" w:name="_Toc38440858"/>
      <w:bookmarkStart w:id="1327" w:name="_Toc38441190"/>
      <w:bookmarkStart w:id="1328" w:name="_Toc38441522"/>
      <w:bookmarkStart w:id="1329" w:name="_Toc38441850"/>
      <w:bookmarkStart w:id="1330" w:name="_Toc38442182"/>
      <w:bookmarkStart w:id="1331" w:name="_Toc38442514"/>
      <w:bookmarkStart w:id="1332" w:name="_Toc38442845"/>
      <w:bookmarkStart w:id="1333" w:name="_Toc38443176"/>
      <w:bookmarkStart w:id="1334" w:name="_Toc38443507"/>
      <w:bookmarkStart w:id="1335" w:name="_Toc38443838"/>
      <w:bookmarkStart w:id="1336" w:name="_Toc38438305"/>
      <w:bookmarkStart w:id="1337" w:name="_Toc38438642"/>
      <w:bookmarkStart w:id="1338" w:name="_Toc38438979"/>
      <w:bookmarkStart w:id="1339" w:name="_Toc38439316"/>
      <w:bookmarkStart w:id="1340" w:name="_Toc38439653"/>
      <w:bookmarkStart w:id="1341" w:name="_Toc38439990"/>
      <w:bookmarkStart w:id="1342" w:name="_Toc38440327"/>
      <w:bookmarkStart w:id="1343" w:name="_Toc38440660"/>
      <w:bookmarkStart w:id="1344" w:name="_Toc38440859"/>
      <w:bookmarkStart w:id="1345" w:name="_Toc38441191"/>
      <w:bookmarkStart w:id="1346" w:name="_Toc38441523"/>
      <w:bookmarkStart w:id="1347" w:name="_Toc38441851"/>
      <w:bookmarkStart w:id="1348" w:name="_Toc38442183"/>
      <w:bookmarkStart w:id="1349" w:name="_Toc38442515"/>
      <w:bookmarkStart w:id="1350" w:name="_Toc38442846"/>
      <w:bookmarkStart w:id="1351" w:name="_Toc38443177"/>
      <w:bookmarkStart w:id="1352" w:name="_Toc38443508"/>
      <w:bookmarkStart w:id="1353" w:name="_Toc38443839"/>
      <w:bookmarkStart w:id="1354" w:name="_Toc38438306"/>
      <w:bookmarkStart w:id="1355" w:name="_Toc38438643"/>
      <w:bookmarkStart w:id="1356" w:name="_Toc38438980"/>
      <w:bookmarkStart w:id="1357" w:name="_Toc38439317"/>
      <w:bookmarkStart w:id="1358" w:name="_Toc38439654"/>
      <w:bookmarkStart w:id="1359" w:name="_Toc38439991"/>
      <w:bookmarkStart w:id="1360" w:name="_Toc38440328"/>
      <w:bookmarkStart w:id="1361" w:name="_Toc38440661"/>
      <w:bookmarkStart w:id="1362" w:name="_Toc38440860"/>
      <w:bookmarkStart w:id="1363" w:name="_Toc38441192"/>
      <w:bookmarkStart w:id="1364" w:name="_Toc38441524"/>
      <w:bookmarkStart w:id="1365" w:name="_Toc38441852"/>
      <w:bookmarkStart w:id="1366" w:name="_Toc38442184"/>
      <w:bookmarkStart w:id="1367" w:name="_Toc38442516"/>
      <w:bookmarkStart w:id="1368" w:name="_Toc38442847"/>
      <w:bookmarkStart w:id="1369" w:name="_Toc38443178"/>
      <w:bookmarkStart w:id="1370" w:name="_Toc38443509"/>
      <w:bookmarkStart w:id="1371" w:name="_Toc38443840"/>
      <w:bookmarkStart w:id="1372" w:name="_Toc38438310"/>
      <w:bookmarkStart w:id="1373" w:name="_Toc38438647"/>
      <w:bookmarkStart w:id="1374" w:name="_Toc38438984"/>
      <w:bookmarkStart w:id="1375" w:name="_Toc38439321"/>
      <w:bookmarkStart w:id="1376" w:name="_Toc38439658"/>
      <w:bookmarkStart w:id="1377" w:name="_Toc38439995"/>
      <w:bookmarkStart w:id="1378" w:name="_Toc38440332"/>
      <w:bookmarkStart w:id="1379" w:name="_Toc38440665"/>
      <w:bookmarkStart w:id="1380" w:name="_Toc38440864"/>
      <w:bookmarkStart w:id="1381" w:name="_Toc38441196"/>
      <w:bookmarkStart w:id="1382" w:name="_Toc38441528"/>
      <w:bookmarkStart w:id="1383" w:name="_Toc38441856"/>
      <w:bookmarkStart w:id="1384" w:name="_Toc38442188"/>
      <w:bookmarkStart w:id="1385" w:name="_Toc38442520"/>
      <w:bookmarkStart w:id="1386" w:name="_Toc38442851"/>
      <w:bookmarkStart w:id="1387" w:name="_Toc38443182"/>
      <w:bookmarkStart w:id="1388" w:name="_Toc38443513"/>
      <w:bookmarkStart w:id="1389" w:name="_Toc38443844"/>
      <w:bookmarkStart w:id="1390" w:name="_Toc38438311"/>
      <w:bookmarkStart w:id="1391" w:name="_Toc38438648"/>
      <w:bookmarkStart w:id="1392" w:name="_Toc38438985"/>
      <w:bookmarkStart w:id="1393" w:name="_Toc38439322"/>
      <w:bookmarkStart w:id="1394" w:name="_Toc38439659"/>
      <w:bookmarkStart w:id="1395" w:name="_Toc38439996"/>
      <w:bookmarkStart w:id="1396" w:name="_Toc38440333"/>
      <w:bookmarkStart w:id="1397" w:name="_Toc38440666"/>
      <w:bookmarkStart w:id="1398" w:name="_Toc38440865"/>
      <w:bookmarkStart w:id="1399" w:name="_Toc38441197"/>
      <w:bookmarkStart w:id="1400" w:name="_Toc38441529"/>
      <w:bookmarkStart w:id="1401" w:name="_Toc38441857"/>
      <w:bookmarkStart w:id="1402" w:name="_Toc38442189"/>
      <w:bookmarkStart w:id="1403" w:name="_Toc38442521"/>
      <w:bookmarkStart w:id="1404" w:name="_Toc38442852"/>
      <w:bookmarkStart w:id="1405" w:name="_Toc38443183"/>
      <w:bookmarkStart w:id="1406" w:name="_Toc38443514"/>
      <w:bookmarkStart w:id="1407" w:name="_Toc38443845"/>
      <w:bookmarkStart w:id="1408" w:name="_Toc38438312"/>
      <w:bookmarkStart w:id="1409" w:name="_Toc38438649"/>
      <w:bookmarkStart w:id="1410" w:name="_Toc38438986"/>
      <w:bookmarkStart w:id="1411" w:name="_Toc38439323"/>
      <w:bookmarkStart w:id="1412" w:name="_Toc38439660"/>
      <w:bookmarkStart w:id="1413" w:name="_Toc38439997"/>
      <w:bookmarkStart w:id="1414" w:name="_Toc38440334"/>
      <w:bookmarkStart w:id="1415" w:name="_Toc38440667"/>
      <w:bookmarkStart w:id="1416" w:name="_Toc38440866"/>
      <w:bookmarkStart w:id="1417" w:name="_Toc38441198"/>
      <w:bookmarkStart w:id="1418" w:name="_Toc38441530"/>
      <w:bookmarkStart w:id="1419" w:name="_Toc38441858"/>
      <w:bookmarkStart w:id="1420" w:name="_Toc38442190"/>
      <w:bookmarkStart w:id="1421" w:name="_Toc38442522"/>
      <w:bookmarkStart w:id="1422" w:name="_Toc38442853"/>
      <w:bookmarkStart w:id="1423" w:name="_Toc38443184"/>
      <w:bookmarkStart w:id="1424" w:name="_Toc38443515"/>
      <w:bookmarkStart w:id="1425" w:name="_Toc38443846"/>
      <w:bookmarkStart w:id="1426" w:name="_Toc38438313"/>
      <w:bookmarkStart w:id="1427" w:name="_Toc38438650"/>
      <w:bookmarkStart w:id="1428" w:name="_Toc38438987"/>
      <w:bookmarkStart w:id="1429" w:name="_Toc38439324"/>
      <w:bookmarkStart w:id="1430" w:name="_Toc38439661"/>
      <w:bookmarkStart w:id="1431" w:name="_Toc38439998"/>
      <w:bookmarkStart w:id="1432" w:name="_Toc38440335"/>
      <w:bookmarkStart w:id="1433" w:name="_Toc38440668"/>
      <w:bookmarkStart w:id="1434" w:name="_Toc38440867"/>
      <w:bookmarkStart w:id="1435" w:name="_Toc38441199"/>
      <w:bookmarkStart w:id="1436" w:name="_Toc38441531"/>
      <w:bookmarkStart w:id="1437" w:name="_Toc38441859"/>
      <w:bookmarkStart w:id="1438" w:name="_Toc38442191"/>
      <w:bookmarkStart w:id="1439" w:name="_Toc38442523"/>
      <w:bookmarkStart w:id="1440" w:name="_Toc38442854"/>
      <w:bookmarkStart w:id="1441" w:name="_Toc38443185"/>
      <w:bookmarkStart w:id="1442" w:name="_Toc38443516"/>
      <w:bookmarkStart w:id="1443" w:name="_Toc38443847"/>
      <w:bookmarkStart w:id="1444" w:name="_Toc38438314"/>
      <w:bookmarkStart w:id="1445" w:name="_Toc38438651"/>
      <w:bookmarkStart w:id="1446" w:name="_Toc38438988"/>
      <w:bookmarkStart w:id="1447" w:name="_Toc38439325"/>
      <w:bookmarkStart w:id="1448" w:name="_Toc38439662"/>
      <w:bookmarkStart w:id="1449" w:name="_Toc38439999"/>
      <w:bookmarkStart w:id="1450" w:name="_Toc38440336"/>
      <w:bookmarkStart w:id="1451" w:name="_Toc38440669"/>
      <w:bookmarkStart w:id="1452" w:name="_Toc38440868"/>
      <w:bookmarkStart w:id="1453" w:name="_Toc38441200"/>
      <w:bookmarkStart w:id="1454" w:name="_Toc38441532"/>
      <w:bookmarkStart w:id="1455" w:name="_Toc38441860"/>
      <w:bookmarkStart w:id="1456" w:name="_Toc38442192"/>
      <w:bookmarkStart w:id="1457" w:name="_Toc38442524"/>
      <w:bookmarkStart w:id="1458" w:name="_Toc38442855"/>
      <w:bookmarkStart w:id="1459" w:name="_Toc38443186"/>
      <w:bookmarkStart w:id="1460" w:name="_Toc38443517"/>
      <w:bookmarkStart w:id="1461" w:name="_Toc38443848"/>
      <w:bookmarkStart w:id="1462" w:name="_Toc38438315"/>
      <w:bookmarkStart w:id="1463" w:name="_Toc38438652"/>
      <w:bookmarkStart w:id="1464" w:name="_Toc38438989"/>
      <w:bookmarkStart w:id="1465" w:name="_Toc38439326"/>
      <w:bookmarkStart w:id="1466" w:name="_Toc38439663"/>
      <w:bookmarkStart w:id="1467" w:name="_Toc38440000"/>
      <w:bookmarkStart w:id="1468" w:name="_Toc38440337"/>
      <w:bookmarkStart w:id="1469" w:name="_Toc38440670"/>
      <w:bookmarkStart w:id="1470" w:name="_Toc38440869"/>
      <w:bookmarkStart w:id="1471" w:name="_Toc38441201"/>
      <w:bookmarkStart w:id="1472" w:name="_Toc38441533"/>
      <w:bookmarkStart w:id="1473" w:name="_Toc38441861"/>
      <w:bookmarkStart w:id="1474" w:name="_Toc38442193"/>
      <w:bookmarkStart w:id="1475" w:name="_Toc38442525"/>
      <w:bookmarkStart w:id="1476" w:name="_Toc38442856"/>
      <w:bookmarkStart w:id="1477" w:name="_Toc38443187"/>
      <w:bookmarkStart w:id="1478" w:name="_Toc38443518"/>
      <w:bookmarkStart w:id="1479" w:name="_Toc38443849"/>
      <w:bookmarkStart w:id="1480" w:name="_Toc38438316"/>
      <w:bookmarkStart w:id="1481" w:name="_Toc38438653"/>
      <w:bookmarkStart w:id="1482" w:name="_Toc38438990"/>
      <w:bookmarkStart w:id="1483" w:name="_Toc38439327"/>
      <w:bookmarkStart w:id="1484" w:name="_Toc38439664"/>
      <w:bookmarkStart w:id="1485" w:name="_Toc38440001"/>
      <w:bookmarkStart w:id="1486" w:name="_Toc38440338"/>
      <w:bookmarkStart w:id="1487" w:name="_Toc38440671"/>
      <w:bookmarkStart w:id="1488" w:name="_Toc38440870"/>
      <w:bookmarkStart w:id="1489" w:name="_Toc38441202"/>
      <w:bookmarkStart w:id="1490" w:name="_Toc38441534"/>
      <w:bookmarkStart w:id="1491" w:name="_Toc38441862"/>
      <w:bookmarkStart w:id="1492" w:name="_Toc38442194"/>
      <w:bookmarkStart w:id="1493" w:name="_Toc38442526"/>
      <w:bookmarkStart w:id="1494" w:name="_Toc38442857"/>
      <w:bookmarkStart w:id="1495" w:name="_Toc38443188"/>
      <w:bookmarkStart w:id="1496" w:name="_Toc38443519"/>
      <w:bookmarkStart w:id="1497" w:name="_Toc38443850"/>
      <w:bookmarkStart w:id="1498" w:name="_Toc38438317"/>
      <w:bookmarkStart w:id="1499" w:name="_Toc38438654"/>
      <w:bookmarkStart w:id="1500" w:name="_Toc38438991"/>
      <w:bookmarkStart w:id="1501" w:name="_Toc38439328"/>
      <w:bookmarkStart w:id="1502" w:name="_Toc38439665"/>
      <w:bookmarkStart w:id="1503" w:name="_Toc38440002"/>
      <w:bookmarkStart w:id="1504" w:name="_Toc38440339"/>
      <w:bookmarkStart w:id="1505" w:name="_Toc38440672"/>
      <w:bookmarkStart w:id="1506" w:name="_Toc38440871"/>
      <w:bookmarkStart w:id="1507" w:name="_Toc38441203"/>
      <w:bookmarkStart w:id="1508" w:name="_Toc38441535"/>
      <w:bookmarkStart w:id="1509" w:name="_Toc38441863"/>
      <w:bookmarkStart w:id="1510" w:name="_Toc38442195"/>
      <w:bookmarkStart w:id="1511" w:name="_Toc38442527"/>
      <w:bookmarkStart w:id="1512" w:name="_Toc38442858"/>
      <w:bookmarkStart w:id="1513" w:name="_Toc38443189"/>
      <w:bookmarkStart w:id="1514" w:name="_Toc38443520"/>
      <w:bookmarkStart w:id="1515" w:name="_Toc38443851"/>
      <w:bookmarkStart w:id="1516" w:name="_Toc38438318"/>
      <w:bookmarkStart w:id="1517" w:name="_Toc38438655"/>
      <w:bookmarkStart w:id="1518" w:name="_Toc38438992"/>
      <w:bookmarkStart w:id="1519" w:name="_Toc38439329"/>
      <w:bookmarkStart w:id="1520" w:name="_Toc38439666"/>
      <w:bookmarkStart w:id="1521" w:name="_Toc38440003"/>
      <w:bookmarkStart w:id="1522" w:name="_Toc38440340"/>
      <w:bookmarkStart w:id="1523" w:name="_Toc38440673"/>
      <w:bookmarkStart w:id="1524" w:name="_Toc38440872"/>
      <w:bookmarkStart w:id="1525" w:name="_Toc38441204"/>
      <w:bookmarkStart w:id="1526" w:name="_Toc38441536"/>
      <w:bookmarkStart w:id="1527" w:name="_Toc38441864"/>
      <w:bookmarkStart w:id="1528" w:name="_Toc38442196"/>
      <w:bookmarkStart w:id="1529" w:name="_Toc38442528"/>
      <w:bookmarkStart w:id="1530" w:name="_Toc38442859"/>
      <w:bookmarkStart w:id="1531" w:name="_Toc38443190"/>
      <w:bookmarkStart w:id="1532" w:name="_Toc38443521"/>
      <w:bookmarkStart w:id="1533" w:name="_Toc38443852"/>
      <w:bookmarkStart w:id="1534" w:name="_Toc38438319"/>
      <w:bookmarkStart w:id="1535" w:name="_Toc38438656"/>
      <w:bookmarkStart w:id="1536" w:name="_Toc38438993"/>
      <w:bookmarkStart w:id="1537" w:name="_Toc38439330"/>
      <w:bookmarkStart w:id="1538" w:name="_Toc38439667"/>
      <w:bookmarkStart w:id="1539" w:name="_Toc38440004"/>
      <w:bookmarkStart w:id="1540" w:name="_Toc38440341"/>
      <w:bookmarkStart w:id="1541" w:name="_Toc38440674"/>
      <w:bookmarkStart w:id="1542" w:name="_Toc38440873"/>
      <w:bookmarkStart w:id="1543" w:name="_Toc38441205"/>
      <w:bookmarkStart w:id="1544" w:name="_Toc38441537"/>
      <w:bookmarkStart w:id="1545" w:name="_Toc38441865"/>
      <w:bookmarkStart w:id="1546" w:name="_Toc38442197"/>
      <w:bookmarkStart w:id="1547" w:name="_Toc38442529"/>
      <w:bookmarkStart w:id="1548" w:name="_Toc38442860"/>
      <w:bookmarkStart w:id="1549" w:name="_Toc38443191"/>
      <w:bookmarkStart w:id="1550" w:name="_Toc38443522"/>
      <w:bookmarkStart w:id="1551" w:name="_Toc38443853"/>
      <w:bookmarkStart w:id="1552" w:name="_Toc38438320"/>
      <w:bookmarkStart w:id="1553" w:name="_Toc38438657"/>
      <w:bookmarkStart w:id="1554" w:name="_Toc38438994"/>
      <w:bookmarkStart w:id="1555" w:name="_Toc38439331"/>
      <w:bookmarkStart w:id="1556" w:name="_Toc38439668"/>
      <w:bookmarkStart w:id="1557" w:name="_Toc38440005"/>
      <w:bookmarkStart w:id="1558" w:name="_Toc38440342"/>
      <w:bookmarkStart w:id="1559" w:name="_Toc38440675"/>
      <w:bookmarkStart w:id="1560" w:name="_Toc38440874"/>
      <w:bookmarkStart w:id="1561" w:name="_Toc38441206"/>
      <w:bookmarkStart w:id="1562" w:name="_Toc38441538"/>
      <w:bookmarkStart w:id="1563" w:name="_Toc38441866"/>
      <w:bookmarkStart w:id="1564" w:name="_Toc38442198"/>
      <w:bookmarkStart w:id="1565" w:name="_Toc38442530"/>
      <w:bookmarkStart w:id="1566" w:name="_Toc38442861"/>
      <w:bookmarkStart w:id="1567" w:name="_Toc38443192"/>
      <w:bookmarkStart w:id="1568" w:name="_Toc38443523"/>
      <w:bookmarkStart w:id="1569" w:name="_Toc38443854"/>
      <w:bookmarkStart w:id="1570" w:name="_Toc38438321"/>
      <w:bookmarkStart w:id="1571" w:name="_Toc38438658"/>
      <w:bookmarkStart w:id="1572" w:name="_Toc38438995"/>
      <w:bookmarkStart w:id="1573" w:name="_Toc38439332"/>
      <w:bookmarkStart w:id="1574" w:name="_Toc38439669"/>
      <w:bookmarkStart w:id="1575" w:name="_Toc38440006"/>
      <w:bookmarkStart w:id="1576" w:name="_Toc38440343"/>
      <w:bookmarkStart w:id="1577" w:name="_Toc38440676"/>
      <w:bookmarkStart w:id="1578" w:name="_Toc38440875"/>
      <w:bookmarkStart w:id="1579" w:name="_Toc38441207"/>
      <w:bookmarkStart w:id="1580" w:name="_Toc38441539"/>
      <w:bookmarkStart w:id="1581" w:name="_Toc38441867"/>
      <w:bookmarkStart w:id="1582" w:name="_Toc38442199"/>
      <w:bookmarkStart w:id="1583" w:name="_Toc38442531"/>
      <w:bookmarkStart w:id="1584" w:name="_Toc38442862"/>
      <w:bookmarkStart w:id="1585" w:name="_Toc38443193"/>
      <w:bookmarkStart w:id="1586" w:name="_Toc38443524"/>
      <w:bookmarkStart w:id="1587" w:name="_Toc38443855"/>
      <w:bookmarkStart w:id="1588" w:name="_Toc38438322"/>
      <w:bookmarkStart w:id="1589" w:name="_Toc38438659"/>
      <w:bookmarkStart w:id="1590" w:name="_Toc38438996"/>
      <w:bookmarkStart w:id="1591" w:name="_Toc38439333"/>
      <w:bookmarkStart w:id="1592" w:name="_Toc38439670"/>
      <w:bookmarkStart w:id="1593" w:name="_Toc38440007"/>
      <w:bookmarkStart w:id="1594" w:name="_Toc38440344"/>
      <w:bookmarkStart w:id="1595" w:name="_Toc38440677"/>
      <w:bookmarkStart w:id="1596" w:name="_Toc38440876"/>
      <w:bookmarkStart w:id="1597" w:name="_Toc38441208"/>
      <w:bookmarkStart w:id="1598" w:name="_Toc38441540"/>
      <w:bookmarkStart w:id="1599" w:name="_Toc38441868"/>
      <w:bookmarkStart w:id="1600" w:name="_Toc38442200"/>
      <w:bookmarkStart w:id="1601" w:name="_Toc38442532"/>
      <w:bookmarkStart w:id="1602" w:name="_Toc38442863"/>
      <w:bookmarkStart w:id="1603" w:name="_Toc38443194"/>
      <w:bookmarkStart w:id="1604" w:name="_Toc38443525"/>
      <w:bookmarkStart w:id="1605" w:name="_Toc38443856"/>
      <w:bookmarkStart w:id="1606" w:name="_Toc38438323"/>
      <w:bookmarkStart w:id="1607" w:name="_Toc38438660"/>
      <w:bookmarkStart w:id="1608" w:name="_Toc38438997"/>
      <w:bookmarkStart w:id="1609" w:name="_Toc38439334"/>
      <w:bookmarkStart w:id="1610" w:name="_Toc38439671"/>
      <w:bookmarkStart w:id="1611" w:name="_Toc38440008"/>
      <w:bookmarkStart w:id="1612" w:name="_Toc38440345"/>
      <w:bookmarkStart w:id="1613" w:name="_Toc38440678"/>
      <w:bookmarkStart w:id="1614" w:name="_Toc38440877"/>
      <w:bookmarkStart w:id="1615" w:name="_Toc38441209"/>
      <w:bookmarkStart w:id="1616" w:name="_Toc38441541"/>
      <w:bookmarkStart w:id="1617" w:name="_Toc38441869"/>
      <w:bookmarkStart w:id="1618" w:name="_Toc38442201"/>
      <w:bookmarkStart w:id="1619" w:name="_Toc38442533"/>
      <w:bookmarkStart w:id="1620" w:name="_Toc38442864"/>
      <w:bookmarkStart w:id="1621" w:name="_Toc38443195"/>
      <w:bookmarkStart w:id="1622" w:name="_Toc38443526"/>
      <w:bookmarkStart w:id="1623" w:name="_Toc38443857"/>
      <w:bookmarkStart w:id="1624" w:name="_Toc38438324"/>
      <w:bookmarkStart w:id="1625" w:name="_Toc38438661"/>
      <w:bookmarkStart w:id="1626" w:name="_Toc38438998"/>
      <w:bookmarkStart w:id="1627" w:name="_Toc38439335"/>
      <w:bookmarkStart w:id="1628" w:name="_Toc38439672"/>
      <w:bookmarkStart w:id="1629" w:name="_Toc38440009"/>
      <w:bookmarkStart w:id="1630" w:name="_Toc38440346"/>
      <w:bookmarkStart w:id="1631" w:name="_Toc38440679"/>
      <w:bookmarkStart w:id="1632" w:name="_Toc38440878"/>
      <w:bookmarkStart w:id="1633" w:name="_Toc38441210"/>
      <w:bookmarkStart w:id="1634" w:name="_Toc38441542"/>
      <w:bookmarkStart w:id="1635" w:name="_Toc38441870"/>
      <w:bookmarkStart w:id="1636" w:name="_Toc38442202"/>
      <w:bookmarkStart w:id="1637" w:name="_Toc38442534"/>
      <w:bookmarkStart w:id="1638" w:name="_Toc38442865"/>
      <w:bookmarkStart w:id="1639" w:name="_Toc38443196"/>
      <w:bookmarkStart w:id="1640" w:name="_Toc38443527"/>
      <w:bookmarkStart w:id="1641" w:name="_Toc38443858"/>
      <w:bookmarkStart w:id="1642" w:name="_Toc38438325"/>
      <w:bookmarkStart w:id="1643" w:name="_Toc38438662"/>
      <w:bookmarkStart w:id="1644" w:name="_Toc38438999"/>
      <w:bookmarkStart w:id="1645" w:name="_Toc38439336"/>
      <w:bookmarkStart w:id="1646" w:name="_Toc38439673"/>
      <w:bookmarkStart w:id="1647" w:name="_Toc38440010"/>
      <w:bookmarkStart w:id="1648" w:name="_Toc38440347"/>
      <w:bookmarkStart w:id="1649" w:name="_Toc38440879"/>
      <w:bookmarkStart w:id="1650" w:name="_Toc38441211"/>
      <w:bookmarkStart w:id="1651" w:name="_Toc38441543"/>
      <w:bookmarkStart w:id="1652" w:name="_Toc38441871"/>
      <w:bookmarkStart w:id="1653" w:name="_Toc38442203"/>
      <w:bookmarkStart w:id="1654" w:name="_Toc38442535"/>
      <w:bookmarkStart w:id="1655" w:name="_Toc38442866"/>
      <w:bookmarkStart w:id="1656" w:name="_Toc38443197"/>
      <w:bookmarkStart w:id="1657" w:name="_Toc38443528"/>
      <w:bookmarkStart w:id="1658" w:name="_Toc38443859"/>
      <w:bookmarkStart w:id="1659" w:name="_Toc38438326"/>
      <w:bookmarkStart w:id="1660" w:name="_Toc38438663"/>
      <w:bookmarkStart w:id="1661" w:name="_Toc38439000"/>
      <w:bookmarkStart w:id="1662" w:name="_Toc38439337"/>
      <w:bookmarkStart w:id="1663" w:name="_Toc38439674"/>
      <w:bookmarkStart w:id="1664" w:name="_Toc38440011"/>
      <w:bookmarkStart w:id="1665" w:name="_Toc38440348"/>
      <w:bookmarkStart w:id="1666" w:name="_Toc38440880"/>
      <w:bookmarkStart w:id="1667" w:name="_Toc38441212"/>
      <w:bookmarkStart w:id="1668" w:name="_Toc38441544"/>
      <w:bookmarkStart w:id="1669" w:name="_Toc38441872"/>
      <w:bookmarkStart w:id="1670" w:name="_Toc38442204"/>
      <w:bookmarkStart w:id="1671" w:name="_Toc38442536"/>
      <w:bookmarkStart w:id="1672" w:name="_Toc38442867"/>
      <w:bookmarkStart w:id="1673" w:name="_Toc38443198"/>
      <w:bookmarkStart w:id="1674" w:name="_Toc38443529"/>
      <w:bookmarkStart w:id="1675" w:name="_Toc38443860"/>
      <w:bookmarkStart w:id="1676" w:name="_Toc38438327"/>
      <w:bookmarkStart w:id="1677" w:name="_Toc38438664"/>
      <w:bookmarkStart w:id="1678" w:name="_Toc38439001"/>
      <w:bookmarkStart w:id="1679" w:name="_Toc38439338"/>
      <w:bookmarkStart w:id="1680" w:name="_Toc38439675"/>
      <w:bookmarkStart w:id="1681" w:name="_Toc38440012"/>
      <w:bookmarkStart w:id="1682" w:name="_Toc38440349"/>
      <w:bookmarkStart w:id="1683" w:name="_Toc38440881"/>
      <w:bookmarkStart w:id="1684" w:name="_Toc38441213"/>
      <w:bookmarkStart w:id="1685" w:name="_Toc38441545"/>
      <w:bookmarkStart w:id="1686" w:name="_Toc38441873"/>
      <w:bookmarkStart w:id="1687" w:name="_Toc38442205"/>
      <w:bookmarkStart w:id="1688" w:name="_Toc38442537"/>
      <w:bookmarkStart w:id="1689" w:name="_Toc38442868"/>
      <w:bookmarkStart w:id="1690" w:name="_Toc38443199"/>
      <w:bookmarkStart w:id="1691" w:name="_Toc38443530"/>
      <w:bookmarkStart w:id="1692" w:name="_Toc38443861"/>
      <w:bookmarkStart w:id="1693" w:name="_Toc38438328"/>
      <w:bookmarkStart w:id="1694" w:name="_Toc38438665"/>
      <w:bookmarkStart w:id="1695" w:name="_Toc38439002"/>
      <w:bookmarkStart w:id="1696" w:name="_Toc38439339"/>
      <w:bookmarkStart w:id="1697" w:name="_Toc38439676"/>
      <w:bookmarkStart w:id="1698" w:name="_Toc38440013"/>
      <w:bookmarkStart w:id="1699" w:name="_Toc38440350"/>
      <w:bookmarkStart w:id="1700" w:name="_Toc38440882"/>
      <w:bookmarkStart w:id="1701" w:name="_Toc38441214"/>
      <w:bookmarkStart w:id="1702" w:name="_Toc38441546"/>
      <w:bookmarkStart w:id="1703" w:name="_Toc38441874"/>
      <w:bookmarkStart w:id="1704" w:name="_Toc38442206"/>
      <w:bookmarkStart w:id="1705" w:name="_Toc38442538"/>
      <w:bookmarkStart w:id="1706" w:name="_Toc38442869"/>
      <w:bookmarkStart w:id="1707" w:name="_Toc38443200"/>
      <w:bookmarkStart w:id="1708" w:name="_Toc38443531"/>
      <w:bookmarkStart w:id="1709" w:name="_Toc38443862"/>
      <w:bookmarkStart w:id="1710" w:name="_Toc38438329"/>
      <w:bookmarkStart w:id="1711" w:name="_Toc38438666"/>
      <w:bookmarkStart w:id="1712" w:name="_Toc38439003"/>
      <w:bookmarkStart w:id="1713" w:name="_Toc38439340"/>
      <w:bookmarkStart w:id="1714" w:name="_Toc38439677"/>
      <w:bookmarkStart w:id="1715" w:name="_Toc38440014"/>
      <w:bookmarkStart w:id="1716" w:name="_Toc38440351"/>
      <w:bookmarkStart w:id="1717" w:name="_Toc38440883"/>
      <w:bookmarkStart w:id="1718" w:name="_Toc38441215"/>
      <w:bookmarkStart w:id="1719" w:name="_Toc38441547"/>
      <w:bookmarkStart w:id="1720" w:name="_Toc38441875"/>
      <w:bookmarkStart w:id="1721" w:name="_Toc38442207"/>
      <w:bookmarkStart w:id="1722" w:name="_Toc38442539"/>
      <w:bookmarkStart w:id="1723" w:name="_Toc38442870"/>
      <w:bookmarkStart w:id="1724" w:name="_Toc38443201"/>
      <w:bookmarkStart w:id="1725" w:name="_Toc38443532"/>
      <w:bookmarkStart w:id="1726" w:name="_Toc38443863"/>
      <w:bookmarkStart w:id="1727" w:name="_Toc38438330"/>
      <w:bookmarkStart w:id="1728" w:name="_Toc38438667"/>
      <w:bookmarkStart w:id="1729" w:name="_Toc38439004"/>
      <w:bookmarkStart w:id="1730" w:name="_Toc38439341"/>
      <w:bookmarkStart w:id="1731" w:name="_Toc38439678"/>
      <w:bookmarkStart w:id="1732" w:name="_Toc38440015"/>
      <w:bookmarkStart w:id="1733" w:name="_Toc38440352"/>
      <w:bookmarkStart w:id="1734" w:name="_Toc38440884"/>
      <w:bookmarkStart w:id="1735" w:name="_Toc38441216"/>
      <w:bookmarkStart w:id="1736" w:name="_Toc38441548"/>
      <w:bookmarkStart w:id="1737" w:name="_Toc38441876"/>
      <w:bookmarkStart w:id="1738" w:name="_Toc38442208"/>
      <w:bookmarkStart w:id="1739" w:name="_Toc38442540"/>
      <w:bookmarkStart w:id="1740" w:name="_Toc38442871"/>
      <w:bookmarkStart w:id="1741" w:name="_Toc38443202"/>
      <w:bookmarkStart w:id="1742" w:name="_Toc38443533"/>
      <w:bookmarkStart w:id="1743" w:name="_Toc38443864"/>
      <w:bookmarkStart w:id="1744" w:name="_Toc38438331"/>
      <w:bookmarkStart w:id="1745" w:name="_Toc38438668"/>
      <w:bookmarkStart w:id="1746" w:name="_Toc38439005"/>
      <w:bookmarkStart w:id="1747" w:name="_Toc38439342"/>
      <w:bookmarkStart w:id="1748" w:name="_Toc38439679"/>
      <w:bookmarkStart w:id="1749" w:name="_Toc38440016"/>
      <w:bookmarkStart w:id="1750" w:name="_Toc38440353"/>
      <w:bookmarkStart w:id="1751" w:name="_Toc38440885"/>
      <w:bookmarkStart w:id="1752" w:name="_Toc38441217"/>
      <w:bookmarkStart w:id="1753" w:name="_Toc38441549"/>
      <w:bookmarkStart w:id="1754" w:name="_Toc38441877"/>
      <w:bookmarkStart w:id="1755" w:name="_Toc38442209"/>
      <w:bookmarkStart w:id="1756" w:name="_Toc38442541"/>
      <w:bookmarkStart w:id="1757" w:name="_Toc38442872"/>
      <w:bookmarkStart w:id="1758" w:name="_Toc38443203"/>
      <w:bookmarkStart w:id="1759" w:name="_Toc38443534"/>
      <w:bookmarkStart w:id="1760" w:name="_Toc38443865"/>
      <w:bookmarkStart w:id="1761" w:name="_Toc38438332"/>
      <w:bookmarkStart w:id="1762" w:name="_Toc38438669"/>
      <w:bookmarkStart w:id="1763" w:name="_Toc38439006"/>
      <w:bookmarkStart w:id="1764" w:name="_Toc38439343"/>
      <w:bookmarkStart w:id="1765" w:name="_Toc38439680"/>
      <w:bookmarkStart w:id="1766" w:name="_Toc38440017"/>
      <w:bookmarkStart w:id="1767" w:name="_Toc38440354"/>
      <w:bookmarkStart w:id="1768" w:name="_Toc38440886"/>
      <w:bookmarkStart w:id="1769" w:name="_Toc38441218"/>
      <w:bookmarkStart w:id="1770" w:name="_Toc38441550"/>
      <w:bookmarkStart w:id="1771" w:name="_Toc38441878"/>
      <w:bookmarkStart w:id="1772" w:name="_Toc38442210"/>
      <w:bookmarkStart w:id="1773" w:name="_Toc38442542"/>
      <w:bookmarkStart w:id="1774" w:name="_Toc38442873"/>
      <w:bookmarkStart w:id="1775" w:name="_Toc38443204"/>
      <w:bookmarkStart w:id="1776" w:name="_Toc38443535"/>
      <w:bookmarkStart w:id="1777" w:name="_Toc38443866"/>
      <w:bookmarkStart w:id="1778" w:name="_Toc38438333"/>
      <w:bookmarkStart w:id="1779" w:name="_Toc38438670"/>
      <w:bookmarkStart w:id="1780" w:name="_Toc38439007"/>
      <w:bookmarkStart w:id="1781" w:name="_Toc38439344"/>
      <w:bookmarkStart w:id="1782" w:name="_Toc38439681"/>
      <w:bookmarkStart w:id="1783" w:name="_Toc38440018"/>
      <w:bookmarkStart w:id="1784" w:name="_Toc38440355"/>
      <w:bookmarkStart w:id="1785" w:name="_Toc38440887"/>
      <w:bookmarkStart w:id="1786" w:name="_Toc38441219"/>
      <w:bookmarkStart w:id="1787" w:name="_Toc38441551"/>
      <w:bookmarkStart w:id="1788" w:name="_Toc38441879"/>
      <w:bookmarkStart w:id="1789" w:name="_Toc38442211"/>
      <w:bookmarkStart w:id="1790" w:name="_Toc38442543"/>
      <w:bookmarkStart w:id="1791" w:name="_Toc38442874"/>
      <w:bookmarkStart w:id="1792" w:name="_Toc38443205"/>
      <w:bookmarkStart w:id="1793" w:name="_Toc38443536"/>
      <w:bookmarkStart w:id="1794" w:name="_Toc38443867"/>
      <w:bookmarkStart w:id="1795" w:name="_Toc38438334"/>
      <w:bookmarkStart w:id="1796" w:name="_Toc38438671"/>
      <w:bookmarkStart w:id="1797" w:name="_Toc38439008"/>
      <w:bookmarkStart w:id="1798" w:name="_Toc38439345"/>
      <w:bookmarkStart w:id="1799" w:name="_Toc38439682"/>
      <w:bookmarkStart w:id="1800" w:name="_Toc38440019"/>
      <w:bookmarkStart w:id="1801" w:name="_Toc38440356"/>
      <w:bookmarkStart w:id="1802" w:name="_Toc38440888"/>
      <w:bookmarkStart w:id="1803" w:name="_Toc38441220"/>
      <w:bookmarkStart w:id="1804" w:name="_Toc38441552"/>
      <w:bookmarkStart w:id="1805" w:name="_Toc38441880"/>
      <w:bookmarkStart w:id="1806" w:name="_Toc38442212"/>
      <w:bookmarkStart w:id="1807" w:name="_Toc38442544"/>
      <w:bookmarkStart w:id="1808" w:name="_Toc38442875"/>
      <w:bookmarkStart w:id="1809" w:name="_Toc38443206"/>
      <w:bookmarkStart w:id="1810" w:name="_Toc38443537"/>
      <w:bookmarkStart w:id="1811" w:name="_Toc38443868"/>
      <w:bookmarkStart w:id="1812" w:name="_Toc38438335"/>
      <w:bookmarkStart w:id="1813" w:name="_Toc38438672"/>
      <w:bookmarkStart w:id="1814" w:name="_Toc38439009"/>
      <w:bookmarkStart w:id="1815" w:name="_Toc38439346"/>
      <w:bookmarkStart w:id="1816" w:name="_Toc38439683"/>
      <w:bookmarkStart w:id="1817" w:name="_Toc38440020"/>
      <w:bookmarkStart w:id="1818" w:name="_Toc38440357"/>
      <w:bookmarkStart w:id="1819" w:name="_Toc38440889"/>
      <w:bookmarkStart w:id="1820" w:name="_Toc38441221"/>
      <w:bookmarkStart w:id="1821" w:name="_Toc38441553"/>
      <w:bookmarkStart w:id="1822" w:name="_Toc38441881"/>
      <w:bookmarkStart w:id="1823" w:name="_Toc38442213"/>
      <w:bookmarkStart w:id="1824" w:name="_Toc38442545"/>
      <w:bookmarkStart w:id="1825" w:name="_Toc38442876"/>
      <w:bookmarkStart w:id="1826" w:name="_Toc38443207"/>
      <w:bookmarkStart w:id="1827" w:name="_Toc38443538"/>
      <w:bookmarkStart w:id="1828" w:name="_Toc38443869"/>
      <w:bookmarkStart w:id="1829" w:name="_Toc38438336"/>
      <w:bookmarkStart w:id="1830" w:name="_Toc38438673"/>
      <w:bookmarkStart w:id="1831" w:name="_Toc38439010"/>
      <w:bookmarkStart w:id="1832" w:name="_Toc38439347"/>
      <w:bookmarkStart w:id="1833" w:name="_Toc38439684"/>
      <w:bookmarkStart w:id="1834" w:name="_Toc38440021"/>
      <w:bookmarkStart w:id="1835" w:name="_Toc38440358"/>
      <w:bookmarkStart w:id="1836" w:name="_Toc38440890"/>
      <w:bookmarkStart w:id="1837" w:name="_Toc38441222"/>
      <w:bookmarkStart w:id="1838" w:name="_Toc38441554"/>
      <w:bookmarkStart w:id="1839" w:name="_Toc38441882"/>
      <w:bookmarkStart w:id="1840" w:name="_Toc38442214"/>
      <w:bookmarkStart w:id="1841" w:name="_Toc38442546"/>
      <w:bookmarkStart w:id="1842" w:name="_Toc38442877"/>
      <w:bookmarkStart w:id="1843" w:name="_Toc38443208"/>
      <w:bookmarkStart w:id="1844" w:name="_Toc38443539"/>
      <w:bookmarkStart w:id="1845" w:name="_Toc38443870"/>
      <w:bookmarkStart w:id="1846" w:name="_Toc38438337"/>
      <w:bookmarkStart w:id="1847" w:name="_Toc38438674"/>
      <w:bookmarkStart w:id="1848" w:name="_Toc38439011"/>
      <w:bookmarkStart w:id="1849" w:name="_Toc38439348"/>
      <w:bookmarkStart w:id="1850" w:name="_Toc38439685"/>
      <w:bookmarkStart w:id="1851" w:name="_Toc38440022"/>
      <w:bookmarkStart w:id="1852" w:name="_Toc38440359"/>
      <w:bookmarkStart w:id="1853" w:name="_Toc38440891"/>
      <w:bookmarkStart w:id="1854" w:name="_Toc38441223"/>
      <w:bookmarkStart w:id="1855" w:name="_Toc38441555"/>
      <w:bookmarkStart w:id="1856" w:name="_Toc38441883"/>
      <w:bookmarkStart w:id="1857" w:name="_Toc38442215"/>
      <w:bookmarkStart w:id="1858" w:name="_Toc38442547"/>
      <w:bookmarkStart w:id="1859" w:name="_Toc38442878"/>
      <w:bookmarkStart w:id="1860" w:name="_Toc38443209"/>
      <w:bookmarkStart w:id="1861" w:name="_Toc38443540"/>
      <w:bookmarkStart w:id="1862" w:name="_Toc38443871"/>
      <w:bookmarkStart w:id="1863" w:name="_Toc38438338"/>
      <w:bookmarkStart w:id="1864" w:name="_Toc38438675"/>
      <w:bookmarkStart w:id="1865" w:name="_Toc38439012"/>
      <w:bookmarkStart w:id="1866" w:name="_Toc38439349"/>
      <w:bookmarkStart w:id="1867" w:name="_Toc38439686"/>
      <w:bookmarkStart w:id="1868" w:name="_Toc38440023"/>
      <w:bookmarkStart w:id="1869" w:name="_Toc38440360"/>
      <w:bookmarkStart w:id="1870" w:name="_Toc38440892"/>
      <w:bookmarkStart w:id="1871" w:name="_Toc38441224"/>
      <w:bookmarkStart w:id="1872" w:name="_Toc38441556"/>
      <w:bookmarkStart w:id="1873" w:name="_Toc38441884"/>
      <w:bookmarkStart w:id="1874" w:name="_Toc38442216"/>
      <w:bookmarkStart w:id="1875" w:name="_Toc38442548"/>
      <w:bookmarkStart w:id="1876" w:name="_Toc38442879"/>
      <w:bookmarkStart w:id="1877" w:name="_Toc38443210"/>
      <w:bookmarkStart w:id="1878" w:name="_Toc38443541"/>
      <w:bookmarkStart w:id="1879" w:name="_Toc38443872"/>
      <w:bookmarkStart w:id="1880" w:name="_Toc38438339"/>
      <w:bookmarkStart w:id="1881" w:name="_Toc38438676"/>
      <w:bookmarkStart w:id="1882" w:name="_Toc38439013"/>
      <w:bookmarkStart w:id="1883" w:name="_Toc38439350"/>
      <w:bookmarkStart w:id="1884" w:name="_Toc38439687"/>
      <w:bookmarkStart w:id="1885" w:name="_Toc38440024"/>
      <w:bookmarkStart w:id="1886" w:name="_Toc38440361"/>
      <w:bookmarkStart w:id="1887" w:name="_Toc38440893"/>
      <w:bookmarkStart w:id="1888" w:name="_Toc38441225"/>
      <w:bookmarkStart w:id="1889" w:name="_Toc38441557"/>
      <w:bookmarkStart w:id="1890" w:name="_Toc38441885"/>
      <w:bookmarkStart w:id="1891" w:name="_Toc38442217"/>
      <w:bookmarkStart w:id="1892" w:name="_Toc38442549"/>
      <w:bookmarkStart w:id="1893" w:name="_Toc38442880"/>
      <w:bookmarkStart w:id="1894" w:name="_Toc38443211"/>
      <w:bookmarkStart w:id="1895" w:name="_Toc38443542"/>
      <w:bookmarkStart w:id="1896" w:name="_Toc38443873"/>
      <w:bookmarkStart w:id="1897" w:name="_Toc38438340"/>
      <w:bookmarkStart w:id="1898" w:name="_Toc38438677"/>
      <w:bookmarkStart w:id="1899" w:name="_Toc38439014"/>
      <w:bookmarkStart w:id="1900" w:name="_Toc38439351"/>
      <w:bookmarkStart w:id="1901" w:name="_Toc38439688"/>
      <w:bookmarkStart w:id="1902" w:name="_Toc38440025"/>
      <w:bookmarkStart w:id="1903" w:name="_Toc38440362"/>
      <w:bookmarkStart w:id="1904" w:name="_Toc38440894"/>
      <w:bookmarkStart w:id="1905" w:name="_Toc38441226"/>
      <w:bookmarkStart w:id="1906" w:name="_Toc38441558"/>
      <w:bookmarkStart w:id="1907" w:name="_Toc38441886"/>
      <w:bookmarkStart w:id="1908" w:name="_Toc38442218"/>
      <w:bookmarkStart w:id="1909" w:name="_Toc38442550"/>
      <w:bookmarkStart w:id="1910" w:name="_Toc38442881"/>
      <w:bookmarkStart w:id="1911" w:name="_Toc38443212"/>
      <w:bookmarkStart w:id="1912" w:name="_Toc38443543"/>
      <w:bookmarkStart w:id="1913" w:name="_Toc38443874"/>
      <w:bookmarkStart w:id="1914" w:name="_Toc38438341"/>
      <w:bookmarkStart w:id="1915" w:name="_Toc38438678"/>
      <w:bookmarkStart w:id="1916" w:name="_Toc38439015"/>
      <w:bookmarkStart w:id="1917" w:name="_Toc38439352"/>
      <w:bookmarkStart w:id="1918" w:name="_Toc38439689"/>
      <w:bookmarkStart w:id="1919" w:name="_Toc38440026"/>
      <w:bookmarkStart w:id="1920" w:name="_Toc38440363"/>
      <w:bookmarkStart w:id="1921" w:name="_Toc38440895"/>
      <w:bookmarkStart w:id="1922" w:name="_Toc38441227"/>
      <w:bookmarkStart w:id="1923" w:name="_Toc38441559"/>
      <w:bookmarkStart w:id="1924" w:name="_Toc38441887"/>
      <w:bookmarkStart w:id="1925" w:name="_Toc38442219"/>
      <w:bookmarkStart w:id="1926" w:name="_Toc38442551"/>
      <w:bookmarkStart w:id="1927" w:name="_Toc38442882"/>
      <w:bookmarkStart w:id="1928" w:name="_Toc38443213"/>
      <w:bookmarkStart w:id="1929" w:name="_Toc38443544"/>
      <w:bookmarkStart w:id="1930" w:name="_Toc38443875"/>
      <w:bookmarkStart w:id="1931" w:name="_Toc38438342"/>
      <w:bookmarkStart w:id="1932" w:name="_Toc38438679"/>
      <w:bookmarkStart w:id="1933" w:name="_Toc38439016"/>
      <w:bookmarkStart w:id="1934" w:name="_Toc38439353"/>
      <w:bookmarkStart w:id="1935" w:name="_Toc38439690"/>
      <w:bookmarkStart w:id="1936" w:name="_Toc38440027"/>
      <w:bookmarkStart w:id="1937" w:name="_Toc38440364"/>
      <w:bookmarkStart w:id="1938" w:name="_Toc38440896"/>
      <w:bookmarkStart w:id="1939" w:name="_Toc38441228"/>
      <w:bookmarkStart w:id="1940" w:name="_Toc38441560"/>
      <w:bookmarkStart w:id="1941" w:name="_Toc38441888"/>
      <w:bookmarkStart w:id="1942" w:name="_Toc38442220"/>
      <w:bookmarkStart w:id="1943" w:name="_Toc38442552"/>
      <w:bookmarkStart w:id="1944" w:name="_Toc38442883"/>
      <w:bookmarkStart w:id="1945" w:name="_Toc38443214"/>
      <w:bookmarkStart w:id="1946" w:name="_Toc38443545"/>
      <w:bookmarkStart w:id="1947" w:name="_Toc38443876"/>
      <w:bookmarkStart w:id="1948" w:name="_Toc38438343"/>
      <w:bookmarkStart w:id="1949" w:name="_Toc38438680"/>
      <w:bookmarkStart w:id="1950" w:name="_Toc38439017"/>
      <w:bookmarkStart w:id="1951" w:name="_Toc38439354"/>
      <w:bookmarkStart w:id="1952" w:name="_Toc38439691"/>
      <w:bookmarkStart w:id="1953" w:name="_Toc38440028"/>
      <w:bookmarkStart w:id="1954" w:name="_Toc38440365"/>
      <w:bookmarkStart w:id="1955" w:name="_Toc38440897"/>
      <w:bookmarkStart w:id="1956" w:name="_Toc38441229"/>
      <w:bookmarkStart w:id="1957" w:name="_Toc38441561"/>
      <w:bookmarkStart w:id="1958" w:name="_Toc38441889"/>
      <w:bookmarkStart w:id="1959" w:name="_Toc38442221"/>
      <w:bookmarkStart w:id="1960" w:name="_Toc38442553"/>
      <w:bookmarkStart w:id="1961" w:name="_Toc38442884"/>
      <w:bookmarkStart w:id="1962" w:name="_Toc38443215"/>
      <w:bookmarkStart w:id="1963" w:name="_Toc38443546"/>
      <w:bookmarkStart w:id="1964" w:name="_Toc38443877"/>
      <w:bookmarkStart w:id="1965" w:name="_Toc13148422"/>
      <w:bookmarkStart w:id="1966" w:name="_Toc45632297"/>
      <w:bookmarkEnd w:id="862"/>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501A61">
        <w:rPr>
          <w:rFonts w:asciiTheme="minorEastAsia" w:eastAsiaTheme="minorEastAsia" w:hAnsiTheme="minorEastAsia" w:hint="eastAsia"/>
          <w:b/>
          <w:bCs/>
        </w:rPr>
        <w:lastRenderedPageBreak/>
        <w:t>二十四、</w:t>
      </w:r>
      <w:bookmarkEnd w:id="1965"/>
      <w:r w:rsidRPr="00501A61">
        <w:rPr>
          <w:rFonts w:asciiTheme="minorEastAsia" w:eastAsiaTheme="minorEastAsia" w:hAnsiTheme="minorEastAsia" w:hint="eastAsia"/>
          <w:b/>
          <w:bCs/>
        </w:rPr>
        <w:t>其他应披露事项</w:t>
      </w:r>
      <w:bookmarkEnd w:id="1966"/>
    </w:p>
    <w:tbl>
      <w:tblP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94"/>
      </w:tblGrid>
      <w:tr w:rsidR="00501A61" w:rsidRPr="00501A61" w:rsidTr="00A37C83">
        <w:trPr>
          <w:trHeight w:val="765"/>
        </w:trPr>
        <w:tc>
          <w:tcPr>
            <w:tcW w:w="6629" w:type="dxa"/>
            <w:shd w:val="clear" w:color="auto" w:fill="auto"/>
            <w:vAlign w:val="center"/>
            <w:hideMark/>
          </w:tcPr>
          <w:p w:rsidR="00694C29" w:rsidRPr="00501A61" w:rsidRDefault="009B73E9" w:rsidP="003F7408">
            <w:pPr>
              <w:spacing w:line="360" w:lineRule="auto"/>
              <w:ind w:firstLineChars="200" w:firstLine="420"/>
              <w:jc w:val="center"/>
              <w:rPr>
                <w:rFonts w:asciiTheme="minorEastAsia" w:eastAsiaTheme="minorEastAsia" w:hAnsiTheme="minorEastAsia"/>
              </w:rPr>
            </w:pPr>
            <w:r w:rsidRPr="00501A61">
              <w:rPr>
                <w:rFonts w:asciiTheme="minorEastAsia" w:eastAsiaTheme="minorEastAsia" w:hAnsiTheme="minorEastAsia" w:hint="eastAsia"/>
              </w:rPr>
              <w:t>公告事项</w:t>
            </w:r>
          </w:p>
        </w:tc>
        <w:tc>
          <w:tcPr>
            <w:tcW w:w="1794" w:type="dxa"/>
            <w:shd w:val="clear" w:color="auto" w:fill="auto"/>
            <w:vAlign w:val="center"/>
            <w:hideMark/>
          </w:tcPr>
          <w:p w:rsidR="00694C29" w:rsidRPr="00501A61" w:rsidRDefault="009B73E9" w:rsidP="002D4A4B">
            <w:pPr>
              <w:spacing w:line="360" w:lineRule="auto"/>
              <w:jc w:val="center"/>
              <w:rPr>
                <w:rFonts w:asciiTheme="minorEastAsia" w:eastAsiaTheme="minorEastAsia" w:hAnsiTheme="minorEastAsia"/>
              </w:rPr>
            </w:pPr>
            <w:r w:rsidRPr="00501A61">
              <w:rPr>
                <w:rFonts w:asciiTheme="minorEastAsia" w:eastAsiaTheme="minorEastAsia" w:hAnsiTheme="minorEastAsia" w:hint="eastAsia"/>
              </w:rPr>
              <w:t>披露日期</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易方达基金管理有限公司关于调整转换业务货币市场基金未付收益支付规则的公告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2019-06-20</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易方达基金管理有限公司关于旗下部分开放式基金参加佛山农商银行费率优惠活动的公告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2019-06-21</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易方达基金管理有限公司关于旗下部分公开募集证券投资基金可投资于科创板股票的公告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2019-06-22</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易方达基金管理有限公司关于旗下部分开放式基金参加德邦证券费率优惠活动的公告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2019-06-24</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易方达基金管理有限公司关于旗下部分开放式基金参加长城国瑞证券费率优惠活动的公告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2019-06-28</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易方达基金管理有限公司关于旗下部分开放式基金参加云南红塔银行费率优惠活动的公告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2019-07-05</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易方达基金管理有限公司关于旗下部分开放式基金参加安信证券定期定额投资费率优惠活动的公告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2019-07-15</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易方达基金管理有限公司关于旗下部分开放式基金参加红塔证券费率优惠活动的公告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2019-07-15</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易方达基金管理有限公司关于旗下部分开放式基金参加天津农商银行费率优惠活动的公告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2019-07-16</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易方达基金管理有限公司关于旗下部分开放式基金参加海通证券费率优惠活动的公告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2019-08-12</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易方达基金管理有限公司关于旗下部分开放式基金参加销售机构申购费率优惠活动的公告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2019-08-13</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2019-08-13</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2019-08-14</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2019-08-14</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易方达基金管理有限公司关于暂停深圳宜投基金销售有限公司办理旗下基金相关销售业务的公告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2019-08-14</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2019-08-14</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易方达基金管理有限公司关于旗下部分开放式基金参加潍坊银行费率优惠活动的公告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2019-08-26</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易方达基金管理有限公司旗下基金季度报告提示性公告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2019-10-24</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易方达基金管理有限公司旗下部分开放式基金参加方正证券费率优惠活动的公告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2019-11-08</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易方达基金管理有限公司旗下部分开放式基金增加中邮证券为销售机构的公告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2019-11-13</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易方达基金管理有限公司旗下部分开放式基金参加中信银行费率优惠活动的公告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2019-12-16</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易方达价值精选混合型证券投资基金暂停机构客户申购、转换转入及定期定额投资业务的公告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2019-12-18</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易方达价值精选混合型证券投资基金分红公告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2019-12-19</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易方达价值精选混合型证券投资基金恢复机构客户申购、转换转入及定期定额投资业务的公告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2019-12-19</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易方达基金管理有限公司旗下部分开放式基金参加中国邮政储蓄银行个人网上银行和手机银行申购费率优惠活动的公告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2019-12-30</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易方达基金管理有限公司关于公司股权变更的公告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2019-12-31</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易方达基金管理有限公司关于易方达价值精选混合型证券投资基金根据《公开募集证券投资基金信息披露管理办法》修订基金合同、托管协议部分条款的公告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2019-12-31</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易方达基金管理有限公司旗下部分开放式基金参加交通银行手机银行费率优惠活动的公告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2019-12-31</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易方达基金管理有限公司旗下部分开放式基金参加昆仑银行费率优惠活动的公告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2019-12-31</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易方达基金管理有限公司旗下部分开放式基金参加苏州银行费率优惠活动的公告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2019-12-31</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易方达基金管理有限公司旗下部分开放式基金参加烟台银行定期定额投资费率优惠活动的公告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2019-12-31</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易方达基金管理有限公司旗下部分开放式基金参加中国工商银行“2020倾心回馈”基金定期定额投资费率优惠活动的公告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2019-12-31</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易方达基金管理有限公司旗下部分开放式基金参加中国工商银行个人电子银行渠道申购费率优惠活动的公告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2019-12-31</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易方达基金管理有限公司旗下部分开放式基金参加中国农业银行费率优惠活动的公告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2020-01-06</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易方达基金管理有限公司旗下基金2019年第4季度报告提示性公告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2020-01-18</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易方达价值精选混合型证券投资基金暂停机构客户申购、转换转入及定期定额投资业务的公告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2020-01-20</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易方达价值精选混合型证券投资基金分红公告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2020-01-21</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易方达价值精选混合型证券投资基金恢复机构客户申购、转换转入及定期定额投资业务的公告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2020-01-21</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易方达基金管理有限公司旗下部分开放式基金参加泉州银行费率优惠活动的公告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2020-01-23</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易方达基金管理有限公司关于旗下基金2020年1月31日不开放申购、赎回、转换、定期定额投资等业务的提示性公告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2020-01-30</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易方达基金管理有限公司及全资子公司投资旗下基金相关事宜的公告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2020-02-04</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易方达基金管理有限公司旗下部分开放式基金参加中金公司费率优惠活动的公告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2020-03-05</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易方达基金管理有限公司旗下部分开放式基金参加百度百盈费率优惠活动的公告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2020-03-10</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易方达价值精选混合型证券投资基金暂停机构客户申购、转换转入及定</w:t>
            </w:r>
            <w:r w:rsidRPr="00501A61">
              <w:rPr>
                <w:rFonts w:asciiTheme="minorEastAsia" w:eastAsiaTheme="minorEastAsia" w:hAnsiTheme="minorEastAsia" w:hint="eastAsia"/>
                <w:szCs w:val="21"/>
              </w:rPr>
              <w:lastRenderedPageBreak/>
              <w:t>期定额投资业务的公告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lastRenderedPageBreak/>
              <w:t>2020-03-10</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易方达价值精选混合型证券投资基金分红公告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2020-03-11</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易方达价值精选混合型证券投资基金恢复机构客户申购、转换转入及定期定额投资业务的公告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2020-03-11</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易方达基金管理有限公司关于旗下部分开放式基金参加腾安基金费率优惠活动的公告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2020-03-17</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易方达基金管理有限公司旗下部分开放式基金增加华瑞保险销售为销售机构、参加华瑞保险销售费率优惠活动的公告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2020-03-23</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易方达基金管理有限公司旗下部分开放式基金参加恒泰证券费率优惠活动的公告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2020-04-08</w:t>
            </w:r>
          </w:p>
        </w:tc>
      </w:tr>
      <w:tr w:rsidR="00501A61" w:rsidRPr="00501A61" w:rsidTr="00AF5493">
        <w:tc>
          <w:tcPr>
            <w:tcW w:w="6629" w:type="dxa"/>
            <w:vAlign w:val="bottom"/>
          </w:tcPr>
          <w:p w:rsidR="009B73E9" w:rsidRPr="00501A61" w:rsidRDefault="009B73E9" w:rsidP="009B73E9">
            <w:pPr>
              <w:jc w:val="left"/>
              <w:rPr>
                <w:rFonts w:asciiTheme="minorEastAsia" w:eastAsiaTheme="minorEastAsia" w:hAnsiTheme="minorEastAsia"/>
                <w:szCs w:val="21"/>
              </w:rPr>
            </w:pPr>
            <w:r w:rsidRPr="00501A61">
              <w:rPr>
                <w:rFonts w:asciiTheme="minorEastAsia" w:eastAsiaTheme="minorEastAsia" w:hAnsiTheme="minorEastAsia" w:hint="eastAsia"/>
                <w:szCs w:val="21"/>
              </w:rPr>
              <w:t>易方达基金管理有限公司关于提醒投资者及时提供或更新身份信息资料的公告</w:t>
            </w:r>
          </w:p>
        </w:tc>
        <w:tc>
          <w:tcPr>
            <w:tcW w:w="1794" w:type="dxa"/>
            <w:vAlign w:val="center"/>
          </w:tcPr>
          <w:p w:rsidR="009B73E9" w:rsidRPr="00501A61" w:rsidRDefault="009B73E9" w:rsidP="00AF5493">
            <w:pPr>
              <w:jc w:val="center"/>
              <w:rPr>
                <w:rFonts w:asciiTheme="minorEastAsia" w:eastAsiaTheme="minorEastAsia" w:hAnsiTheme="minorEastAsia"/>
                <w:szCs w:val="21"/>
              </w:rPr>
            </w:pPr>
            <w:r w:rsidRPr="00501A61">
              <w:rPr>
                <w:rFonts w:asciiTheme="minorEastAsia" w:eastAsiaTheme="minorEastAsia" w:hAnsiTheme="minorEastAsia" w:hint="eastAsia"/>
                <w:szCs w:val="21"/>
              </w:rPr>
              <w:t>2020-04-10</w:t>
            </w:r>
          </w:p>
        </w:tc>
      </w:tr>
    </w:tbl>
    <w:p w:rsidR="00263F25" w:rsidRPr="00501A61" w:rsidRDefault="009064FE" w:rsidP="00263F25">
      <w:pPr>
        <w:widowControl/>
        <w:snapToGrid w:val="0"/>
        <w:spacing w:line="360" w:lineRule="auto"/>
        <w:jc w:val="left"/>
        <w:rPr>
          <w:rFonts w:asciiTheme="minorEastAsia" w:eastAsiaTheme="minorEastAsia" w:hAnsiTheme="minorEastAsia"/>
        </w:rPr>
      </w:pPr>
      <w:r w:rsidRPr="00501A61">
        <w:rPr>
          <w:rFonts w:asciiTheme="minorEastAsia" w:eastAsiaTheme="minorEastAsia" w:hAnsiTheme="minorEastAsia" w:hint="eastAsia"/>
          <w:szCs w:val="21"/>
        </w:rPr>
        <w:t>注：以上公告事项披露在指定媒介及基金管理人网站上。</w:t>
      </w:r>
    </w:p>
    <w:p w:rsidR="00535526" w:rsidRPr="00501A61" w:rsidRDefault="00535526" w:rsidP="00107648">
      <w:pPr>
        <w:widowControl/>
        <w:snapToGrid w:val="0"/>
        <w:spacing w:line="360" w:lineRule="auto"/>
        <w:jc w:val="left"/>
        <w:rPr>
          <w:rFonts w:asciiTheme="minorEastAsia" w:eastAsiaTheme="minorEastAsia" w:hAnsiTheme="minorEastAsia"/>
        </w:rPr>
      </w:pPr>
    </w:p>
    <w:p w:rsidR="00535526" w:rsidRPr="00501A61" w:rsidRDefault="00535526" w:rsidP="00107648">
      <w:pPr>
        <w:widowControl/>
        <w:snapToGrid w:val="0"/>
        <w:spacing w:line="360" w:lineRule="auto"/>
        <w:jc w:val="left"/>
        <w:rPr>
          <w:rFonts w:asciiTheme="minorEastAsia" w:eastAsiaTheme="minorEastAsia" w:hAnsiTheme="minorEastAsia"/>
        </w:rPr>
      </w:pPr>
    </w:p>
    <w:p w:rsidR="003920FC" w:rsidRPr="00501A61" w:rsidRDefault="003920FC" w:rsidP="00107648">
      <w:pPr>
        <w:widowControl/>
        <w:snapToGrid w:val="0"/>
        <w:spacing w:line="360" w:lineRule="auto"/>
        <w:jc w:val="left"/>
        <w:rPr>
          <w:rFonts w:asciiTheme="minorEastAsia" w:eastAsiaTheme="minorEastAsia" w:hAnsiTheme="minorEastAsia"/>
          <w:kern w:val="0"/>
          <w:szCs w:val="21"/>
        </w:rPr>
        <w:sectPr w:rsidR="003920FC" w:rsidRPr="00501A61" w:rsidSect="003920FC">
          <w:pgSz w:w="11906" w:h="16838" w:code="9"/>
          <w:pgMar w:top="1440" w:right="1800" w:bottom="1440" w:left="1800" w:header="851" w:footer="992" w:gutter="0"/>
          <w:cols w:space="425"/>
          <w:docGrid w:type="lines" w:linePitch="312"/>
        </w:sectPr>
      </w:pP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Cs/>
        </w:rPr>
      </w:pPr>
      <w:bookmarkStart w:id="1967" w:name="_Toc38438350"/>
      <w:bookmarkStart w:id="1968" w:name="_Toc38438687"/>
      <w:bookmarkStart w:id="1969" w:name="_Toc38439024"/>
      <w:bookmarkStart w:id="1970" w:name="_Toc38439361"/>
      <w:bookmarkStart w:id="1971" w:name="_Toc38439698"/>
      <w:bookmarkStart w:id="1972" w:name="_Toc38440035"/>
      <w:bookmarkStart w:id="1973" w:name="_Toc38440372"/>
      <w:bookmarkStart w:id="1974" w:name="_Toc38440904"/>
      <w:bookmarkStart w:id="1975" w:name="_Toc38441236"/>
      <w:bookmarkStart w:id="1976" w:name="_Toc38441568"/>
      <w:bookmarkStart w:id="1977" w:name="_Toc38441896"/>
      <w:bookmarkStart w:id="1978" w:name="_Toc38442228"/>
      <w:bookmarkStart w:id="1979" w:name="_Toc38442560"/>
      <w:bookmarkStart w:id="1980" w:name="_Toc38442891"/>
      <w:bookmarkStart w:id="1981" w:name="_Toc38443222"/>
      <w:bookmarkStart w:id="1982" w:name="_Toc38443553"/>
      <w:bookmarkStart w:id="1983" w:name="_Toc38443883"/>
      <w:bookmarkStart w:id="1984" w:name="_Toc38438351"/>
      <w:bookmarkStart w:id="1985" w:name="_Toc38438688"/>
      <w:bookmarkStart w:id="1986" w:name="_Toc38439025"/>
      <w:bookmarkStart w:id="1987" w:name="_Toc38439362"/>
      <w:bookmarkStart w:id="1988" w:name="_Toc38439699"/>
      <w:bookmarkStart w:id="1989" w:name="_Toc38440036"/>
      <w:bookmarkStart w:id="1990" w:name="_Toc38440373"/>
      <w:bookmarkStart w:id="1991" w:name="_Toc38440905"/>
      <w:bookmarkStart w:id="1992" w:name="_Toc38441237"/>
      <w:bookmarkStart w:id="1993" w:name="_Toc38441569"/>
      <w:bookmarkStart w:id="1994" w:name="_Toc38441897"/>
      <w:bookmarkStart w:id="1995" w:name="_Toc38442229"/>
      <w:bookmarkStart w:id="1996" w:name="_Toc38442561"/>
      <w:bookmarkStart w:id="1997" w:name="_Toc38442892"/>
      <w:bookmarkStart w:id="1998" w:name="_Toc38443223"/>
      <w:bookmarkStart w:id="1999" w:name="_Toc38443554"/>
      <w:bookmarkStart w:id="2000" w:name="_Toc38443884"/>
      <w:bookmarkStart w:id="2001" w:name="_Toc38438352"/>
      <w:bookmarkStart w:id="2002" w:name="_Toc38438689"/>
      <w:bookmarkStart w:id="2003" w:name="_Toc38439026"/>
      <w:bookmarkStart w:id="2004" w:name="_Toc38439363"/>
      <w:bookmarkStart w:id="2005" w:name="_Toc38439700"/>
      <w:bookmarkStart w:id="2006" w:name="_Toc38440037"/>
      <w:bookmarkStart w:id="2007" w:name="_Toc38440374"/>
      <w:bookmarkStart w:id="2008" w:name="_Toc38440906"/>
      <w:bookmarkStart w:id="2009" w:name="_Toc38441238"/>
      <w:bookmarkStart w:id="2010" w:name="_Toc38441570"/>
      <w:bookmarkStart w:id="2011" w:name="_Toc38441898"/>
      <w:bookmarkStart w:id="2012" w:name="_Toc38442230"/>
      <w:bookmarkStart w:id="2013" w:name="_Toc38442562"/>
      <w:bookmarkStart w:id="2014" w:name="_Toc38442893"/>
      <w:bookmarkStart w:id="2015" w:name="_Toc38443224"/>
      <w:bookmarkStart w:id="2016" w:name="_Toc38443555"/>
      <w:bookmarkStart w:id="2017" w:name="_Toc38443885"/>
      <w:bookmarkStart w:id="2018" w:name="_Toc38438353"/>
      <w:bookmarkStart w:id="2019" w:name="_Toc38438690"/>
      <w:bookmarkStart w:id="2020" w:name="_Toc38439027"/>
      <w:bookmarkStart w:id="2021" w:name="_Toc38439364"/>
      <w:bookmarkStart w:id="2022" w:name="_Toc38439701"/>
      <w:bookmarkStart w:id="2023" w:name="_Toc38440038"/>
      <w:bookmarkStart w:id="2024" w:name="_Toc38440375"/>
      <w:bookmarkStart w:id="2025" w:name="_Toc38440907"/>
      <w:bookmarkStart w:id="2026" w:name="_Toc38441239"/>
      <w:bookmarkStart w:id="2027" w:name="_Toc38441571"/>
      <w:bookmarkStart w:id="2028" w:name="_Toc38441899"/>
      <w:bookmarkStart w:id="2029" w:name="_Toc38442231"/>
      <w:bookmarkStart w:id="2030" w:name="_Toc38442563"/>
      <w:bookmarkStart w:id="2031" w:name="_Toc38442894"/>
      <w:bookmarkStart w:id="2032" w:name="_Toc38443225"/>
      <w:bookmarkStart w:id="2033" w:name="_Toc38443556"/>
      <w:bookmarkStart w:id="2034" w:name="_Toc38443886"/>
      <w:bookmarkStart w:id="2035" w:name="_Toc38438354"/>
      <w:bookmarkStart w:id="2036" w:name="_Toc38438691"/>
      <w:bookmarkStart w:id="2037" w:name="_Toc38439028"/>
      <w:bookmarkStart w:id="2038" w:name="_Toc38439365"/>
      <w:bookmarkStart w:id="2039" w:name="_Toc38439702"/>
      <w:bookmarkStart w:id="2040" w:name="_Toc38440039"/>
      <w:bookmarkStart w:id="2041" w:name="_Toc38440376"/>
      <w:bookmarkStart w:id="2042" w:name="_Toc38440908"/>
      <w:bookmarkStart w:id="2043" w:name="_Toc38441240"/>
      <w:bookmarkStart w:id="2044" w:name="_Toc38441572"/>
      <w:bookmarkStart w:id="2045" w:name="_Toc38441900"/>
      <w:bookmarkStart w:id="2046" w:name="_Toc38442232"/>
      <w:bookmarkStart w:id="2047" w:name="_Toc38442564"/>
      <w:bookmarkStart w:id="2048" w:name="_Toc38442895"/>
      <w:bookmarkStart w:id="2049" w:name="_Toc38443226"/>
      <w:bookmarkStart w:id="2050" w:name="_Toc38443557"/>
      <w:bookmarkStart w:id="2051" w:name="_Toc38443887"/>
      <w:bookmarkStart w:id="2052" w:name="_Toc38438355"/>
      <w:bookmarkStart w:id="2053" w:name="_Toc38438692"/>
      <w:bookmarkStart w:id="2054" w:name="_Toc38439029"/>
      <w:bookmarkStart w:id="2055" w:name="_Toc38439366"/>
      <w:bookmarkStart w:id="2056" w:name="_Toc38439703"/>
      <w:bookmarkStart w:id="2057" w:name="_Toc38440040"/>
      <w:bookmarkStart w:id="2058" w:name="_Toc38440377"/>
      <w:bookmarkStart w:id="2059" w:name="_Toc38440909"/>
      <w:bookmarkStart w:id="2060" w:name="_Toc38441241"/>
      <w:bookmarkStart w:id="2061" w:name="_Toc38441573"/>
      <w:bookmarkStart w:id="2062" w:name="_Toc38441901"/>
      <w:bookmarkStart w:id="2063" w:name="_Toc38442233"/>
      <w:bookmarkStart w:id="2064" w:name="_Toc38442565"/>
      <w:bookmarkStart w:id="2065" w:name="_Toc38442896"/>
      <w:bookmarkStart w:id="2066" w:name="_Toc38443227"/>
      <w:bookmarkStart w:id="2067" w:name="_Toc38443558"/>
      <w:bookmarkStart w:id="2068" w:name="_Toc38443888"/>
      <w:bookmarkStart w:id="2069" w:name="_Toc38438356"/>
      <w:bookmarkStart w:id="2070" w:name="_Toc38438693"/>
      <w:bookmarkStart w:id="2071" w:name="_Toc38439030"/>
      <w:bookmarkStart w:id="2072" w:name="_Toc38439367"/>
      <w:bookmarkStart w:id="2073" w:name="_Toc38439704"/>
      <w:bookmarkStart w:id="2074" w:name="_Toc38440041"/>
      <w:bookmarkStart w:id="2075" w:name="_Toc38440378"/>
      <w:bookmarkStart w:id="2076" w:name="_Toc38440910"/>
      <w:bookmarkStart w:id="2077" w:name="_Toc38441242"/>
      <w:bookmarkStart w:id="2078" w:name="_Toc38441574"/>
      <w:bookmarkStart w:id="2079" w:name="_Toc38441902"/>
      <w:bookmarkStart w:id="2080" w:name="_Toc38442234"/>
      <w:bookmarkStart w:id="2081" w:name="_Toc38442566"/>
      <w:bookmarkStart w:id="2082" w:name="_Toc38442897"/>
      <w:bookmarkStart w:id="2083" w:name="_Toc38443228"/>
      <w:bookmarkStart w:id="2084" w:name="_Toc38443559"/>
      <w:bookmarkStart w:id="2085" w:name="_Toc38443889"/>
      <w:bookmarkStart w:id="2086" w:name="_Toc38438357"/>
      <w:bookmarkStart w:id="2087" w:name="_Toc38438694"/>
      <w:bookmarkStart w:id="2088" w:name="_Toc38439031"/>
      <w:bookmarkStart w:id="2089" w:name="_Toc38439368"/>
      <w:bookmarkStart w:id="2090" w:name="_Toc38439705"/>
      <w:bookmarkStart w:id="2091" w:name="_Toc38440042"/>
      <w:bookmarkStart w:id="2092" w:name="_Toc38440379"/>
      <w:bookmarkStart w:id="2093" w:name="_Toc38440911"/>
      <w:bookmarkStart w:id="2094" w:name="_Toc38441243"/>
      <w:bookmarkStart w:id="2095" w:name="_Toc38441575"/>
      <w:bookmarkStart w:id="2096" w:name="_Toc38441903"/>
      <w:bookmarkStart w:id="2097" w:name="_Toc38442235"/>
      <w:bookmarkStart w:id="2098" w:name="_Toc38442567"/>
      <w:bookmarkStart w:id="2099" w:name="_Toc38442898"/>
      <w:bookmarkStart w:id="2100" w:name="_Toc38443229"/>
      <w:bookmarkStart w:id="2101" w:name="_Toc38443560"/>
      <w:bookmarkStart w:id="2102" w:name="_Toc38443890"/>
      <w:bookmarkStart w:id="2103" w:name="_Toc38438358"/>
      <w:bookmarkStart w:id="2104" w:name="_Toc38438695"/>
      <w:bookmarkStart w:id="2105" w:name="_Toc38439032"/>
      <w:bookmarkStart w:id="2106" w:name="_Toc38439369"/>
      <w:bookmarkStart w:id="2107" w:name="_Toc38439706"/>
      <w:bookmarkStart w:id="2108" w:name="_Toc38440043"/>
      <w:bookmarkStart w:id="2109" w:name="_Toc38440380"/>
      <w:bookmarkStart w:id="2110" w:name="_Toc38440912"/>
      <w:bookmarkStart w:id="2111" w:name="_Toc38441244"/>
      <w:bookmarkStart w:id="2112" w:name="_Toc38441576"/>
      <w:bookmarkStart w:id="2113" w:name="_Toc38441904"/>
      <w:bookmarkStart w:id="2114" w:name="_Toc38442236"/>
      <w:bookmarkStart w:id="2115" w:name="_Toc38442568"/>
      <w:bookmarkStart w:id="2116" w:name="_Toc38442899"/>
      <w:bookmarkStart w:id="2117" w:name="_Toc38443230"/>
      <w:bookmarkStart w:id="2118" w:name="_Toc38443561"/>
      <w:bookmarkStart w:id="2119" w:name="_Toc38443891"/>
      <w:bookmarkStart w:id="2120" w:name="_Toc38438359"/>
      <w:bookmarkStart w:id="2121" w:name="_Toc38438696"/>
      <w:bookmarkStart w:id="2122" w:name="_Toc38439033"/>
      <w:bookmarkStart w:id="2123" w:name="_Toc38439370"/>
      <w:bookmarkStart w:id="2124" w:name="_Toc38439707"/>
      <w:bookmarkStart w:id="2125" w:name="_Toc38440044"/>
      <w:bookmarkStart w:id="2126" w:name="_Toc38440381"/>
      <w:bookmarkStart w:id="2127" w:name="_Toc38440913"/>
      <w:bookmarkStart w:id="2128" w:name="_Toc38441245"/>
      <w:bookmarkStart w:id="2129" w:name="_Toc38441577"/>
      <w:bookmarkStart w:id="2130" w:name="_Toc38441905"/>
      <w:bookmarkStart w:id="2131" w:name="_Toc38442237"/>
      <w:bookmarkStart w:id="2132" w:name="_Toc38442569"/>
      <w:bookmarkStart w:id="2133" w:name="_Toc38442900"/>
      <w:bookmarkStart w:id="2134" w:name="_Toc38443231"/>
      <w:bookmarkStart w:id="2135" w:name="_Toc38443562"/>
      <w:bookmarkStart w:id="2136" w:name="_Toc38443892"/>
      <w:bookmarkStart w:id="2137" w:name="_Toc38438360"/>
      <w:bookmarkStart w:id="2138" w:name="_Toc38438697"/>
      <w:bookmarkStart w:id="2139" w:name="_Toc38439034"/>
      <w:bookmarkStart w:id="2140" w:name="_Toc38439371"/>
      <w:bookmarkStart w:id="2141" w:name="_Toc38439708"/>
      <w:bookmarkStart w:id="2142" w:name="_Toc38440045"/>
      <w:bookmarkStart w:id="2143" w:name="_Toc38440382"/>
      <w:bookmarkStart w:id="2144" w:name="_Toc38440914"/>
      <w:bookmarkStart w:id="2145" w:name="_Toc38441246"/>
      <w:bookmarkStart w:id="2146" w:name="_Toc38441578"/>
      <w:bookmarkStart w:id="2147" w:name="_Toc38441906"/>
      <w:bookmarkStart w:id="2148" w:name="_Toc38442238"/>
      <w:bookmarkStart w:id="2149" w:name="_Toc38442570"/>
      <w:bookmarkStart w:id="2150" w:name="_Toc38442901"/>
      <w:bookmarkStart w:id="2151" w:name="_Toc38443232"/>
      <w:bookmarkStart w:id="2152" w:name="_Toc38443563"/>
      <w:bookmarkStart w:id="2153" w:name="_Toc38443893"/>
      <w:bookmarkStart w:id="2154" w:name="_Toc38438361"/>
      <w:bookmarkStart w:id="2155" w:name="_Toc38438698"/>
      <w:bookmarkStart w:id="2156" w:name="_Toc38439035"/>
      <w:bookmarkStart w:id="2157" w:name="_Toc38439372"/>
      <w:bookmarkStart w:id="2158" w:name="_Toc38439709"/>
      <w:bookmarkStart w:id="2159" w:name="_Toc38440046"/>
      <w:bookmarkStart w:id="2160" w:name="_Toc38440383"/>
      <w:bookmarkStart w:id="2161" w:name="_Toc38440915"/>
      <w:bookmarkStart w:id="2162" w:name="_Toc38441247"/>
      <w:bookmarkStart w:id="2163" w:name="_Toc38441579"/>
      <w:bookmarkStart w:id="2164" w:name="_Toc38441907"/>
      <w:bookmarkStart w:id="2165" w:name="_Toc38442239"/>
      <w:bookmarkStart w:id="2166" w:name="_Toc38442571"/>
      <w:bookmarkStart w:id="2167" w:name="_Toc38442902"/>
      <w:bookmarkStart w:id="2168" w:name="_Toc38443233"/>
      <w:bookmarkStart w:id="2169" w:name="_Toc38443564"/>
      <w:bookmarkStart w:id="2170" w:name="_Toc38443894"/>
      <w:bookmarkStart w:id="2171" w:name="_Toc38438362"/>
      <w:bookmarkStart w:id="2172" w:name="_Toc38438699"/>
      <w:bookmarkStart w:id="2173" w:name="_Toc38439036"/>
      <w:bookmarkStart w:id="2174" w:name="_Toc38439373"/>
      <w:bookmarkStart w:id="2175" w:name="_Toc38439710"/>
      <w:bookmarkStart w:id="2176" w:name="_Toc38440047"/>
      <w:bookmarkStart w:id="2177" w:name="_Toc38440384"/>
      <w:bookmarkStart w:id="2178" w:name="_Toc38440916"/>
      <w:bookmarkStart w:id="2179" w:name="_Toc38441248"/>
      <w:bookmarkStart w:id="2180" w:name="_Toc38441580"/>
      <w:bookmarkStart w:id="2181" w:name="_Toc38441908"/>
      <w:bookmarkStart w:id="2182" w:name="_Toc38442240"/>
      <w:bookmarkStart w:id="2183" w:name="_Toc38442572"/>
      <w:bookmarkStart w:id="2184" w:name="_Toc38442903"/>
      <w:bookmarkStart w:id="2185" w:name="_Toc38443234"/>
      <w:bookmarkStart w:id="2186" w:name="_Toc38443565"/>
      <w:bookmarkStart w:id="2187" w:name="_Toc38443895"/>
      <w:bookmarkStart w:id="2188" w:name="_Toc38438363"/>
      <w:bookmarkStart w:id="2189" w:name="_Toc38438700"/>
      <w:bookmarkStart w:id="2190" w:name="_Toc38439037"/>
      <w:bookmarkStart w:id="2191" w:name="_Toc38439374"/>
      <w:bookmarkStart w:id="2192" w:name="_Toc38439711"/>
      <w:bookmarkStart w:id="2193" w:name="_Toc38440048"/>
      <w:bookmarkStart w:id="2194" w:name="_Toc38440385"/>
      <w:bookmarkStart w:id="2195" w:name="_Toc38440917"/>
      <w:bookmarkStart w:id="2196" w:name="_Toc38441249"/>
      <w:bookmarkStart w:id="2197" w:name="_Toc38441581"/>
      <w:bookmarkStart w:id="2198" w:name="_Toc38441909"/>
      <w:bookmarkStart w:id="2199" w:name="_Toc38442241"/>
      <w:bookmarkStart w:id="2200" w:name="_Toc38442573"/>
      <w:bookmarkStart w:id="2201" w:name="_Toc38442904"/>
      <w:bookmarkStart w:id="2202" w:name="_Toc38443235"/>
      <w:bookmarkStart w:id="2203" w:name="_Toc38443566"/>
      <w:bookmarkStart w:id="2204" w:name="_Toc38443896"/>
      <w:bookmarkStart w:id="2205" w:name="_Toc38438364"/>
      <w:bookmarkStart w:id="2206" w:name="_Toc38438701"/>
      <w:bookmarkStart w:id="2207" w:name="_Toc38439038"/>
      <w:bookmarkStart w:id="2208" w:name="_Toc38439375"/>
      <w:bookmarkStart w:id="2209" w:name="_Toc38439712"/>
      <w:bookmarkStart w:id="2210" w:name="_Toc38440049"/>
      <w:bookmarkStart w:id="2211" w:name="_Toc38440386"/>
      <w:bookmarkStart w:id="2212" w:name="_Toc38440918"/>
      <w:bookmarkStart w:id="2213" w:name="_Toc38441250"/>
      <w:bookmarkStart w:id="2214" w:name="_Toc38441582"/>
      <w:bookmarkStart w:id="2215" w:name="_Toc38441910"/>
      <w:bookmarkStart w:id="2216" w:name="_Toc38442242"/>
      <w:bookmarkStart w:id="2217" w:name="_Toc38442574"/>
      <w:bookmarkStart w:id="2218" w:name="_Toc38442905"/>
      <w:bookmarkStart w:id="2219" w:name="_Toc38443236"/>
      <w:bookmarkStart w:id="2220" w:name="_Toc38443567"/>
      <w:bookmarkStart w:id="2221" w:name="_Toc38443897"/>
      <w:bookmarkStart w:id="2222" w:name="_Toc38438365"/>
      <w:bookmarkStart w:id="2223" w:name="_Toc38438702"/>
      <w:bookmarkStart w:id="2224" w:name="_Toc38439039"/>
      <w:bookmarkStart w:id="2225" w:name="_Toc38439376"/>
      <w:bookmarkStart w:id="2226" w:name="_Toc38439713"/>
      <w:bookmarkStart w:id="2227" w:name="_Toc38440050"/>
      <w:bookmarkStart w:id="2228" w:name="_Toc38440387"/>
      <w:bookmarkStart w:id="2229" w:name="_Toc38440919"/>
      <w:bookmarkStart w:id="2230" w:name="_Toc38441251"/>
      <w:bookmarkStart w:id="2231" w:name="_Toc38441583"/>
      <w:bookmarkStart w:id="2232" w:name="_Toc38441911"/>
      <w:bookmarkStart w:id="2233" w:name="_Toc38442243"/>
      <w:bookmarkStart w:id="2234" w:name="_Toc38442575"/>
      <w:bookmarkStart w:id="2235" w:name="_Toc38442906"/>
      <w:bookmarkStart w:id="2236" w:name="_Toc38443237"/>
      <w:bookmarkStart w:id="2237" w:name="_Toc38443568"/>
      <w:bookmarkStart w:id="2238" w:name="_Toc38443898"/>
      <w:bookmarkStart w:id="2239" w:name="_Toc38438366"/>
      <w:bookmarkStart w:id="2240" w:name="_Toc38438703"/>
      <w:bookmarkStart w:id="2241" w:name="_Toc38439040"/>
      <w:bookmarkStart w:id="2242" w:name="_Toc38439377"/>
      <w:bookmarkStart w:id="2243" w:name="_Toc38439714"/>
      <w:bookmarkStart w:id="2244" w:name="_Toc38440051"/>
      <w:bookmarkStart w:id="2245" w:name="_Toc38440388"/>
      <w:bookmarkStart w:id="2246" w:name="_Toc38440920"/>
      <w:bookmarkStart w:id="2247" w:name="_Toc38441252"/>
      <w:bookmarkStart w:id="2248" w:name="_Toc38441584"/>
      <w:bookmarkStart w:id="2249" w:name="_Toc38441912"/>
      <w:bookmarkStart w:id="2250" w:name="_Toc38442244"/>
      <w:bookmarkStart w:id="2251" w:name="_Toc38442576"/>
      <w:bookmarkStart w:id="2252" w:name="_Toc38442907"/>
      <w:bookmarkStart w:id="2253" w:name="_Toc38443238"/>
      <w:bookmarkStart w:id="2254" w:name="_Toc38443569"/>
      <w:bookmarkStart w:id="2255" w:name="_Toc38443899"/>
      <w:bookmarkStart w:id="2256" w:name="_Toc38438367"/>
      <w:bookmarkStart w:id="2257" w:name="_Toc38438704"/>
      <w:bookmarkStart w:id="2258" w:name="_Toc38439041"/>
      <w:bookmarkStart w:id="2259" w:name="_Toc38439378"/>
      <w:bookmarkStart w:id="2260" w:name="_Toc38439715"/>
      <w:bookmarkStart w:id="2261" w:name="_Toc38440052"/>
      <w:bookmarkStart w:id="2262" w:name="_Toc38440389"/>
      <w:bookmarkStart w:id="2263" w:name="_Toc38440921"/>
      <w:bookmarkStart w:id="2264" w:name="_Toc38441253"/>
      <w:bookmarkStart w:id="2265" w:name="_Toc38441585"/>
      <w:bookmarkStart w:id="2266" w:name="_Toc38441913"/>
      <w:bookmarkStart w:id="2267" w:name="_Toc38442245"/>
      <w:bookmarkStart w:id="2268" w:name="_Toc38442577"/>
      <w:bookmarkStart w:id="2269" w:name="_Toc38442908"/>
      <w:bookmarkStart w:id="2270" w:name="_Toc38443239"/>
      <w:bookmarkStart w:id="2271" w:name="_Toc38443570"/>
      <w:bookmarkStart w:id="2272" w:name="_Toc38443900"/>
      <w:bookmarkStart w:id="2273" w:name="_Toc38438368"/>
      <w:bookmarkStart w:id="2274" w:name="_Toc38438705"/>
      <w:bookmarkStart w:id="2275" w:name="_Toc38439042"/>
      <w:bookmarkStart w:id="2276" w:name="_Toc38439379"/>
      <w:bookmarkStart w:id="2277" w:name="_Toc38439716"/>
      <w:bookmarkStart w:id="2278" w:name="_Toc38440053"/>
      <w:bookmarkStart w:id="2279" w:name="_Toc38440390"/>
      <w:bookmarkStart w:id="2280" w:name="_Toc38440922"/>
      <w:bookmarkStart w:id="2281" w:name="_Toc38441254"/>
      <w:bookmarkStart w:id="2282" w:name="_Toc38441586"/>
      <w:bookmarkStart w:id="2283" w:name="_Toc38441914"/>
      <w:bookmarkStart w:id="2284" w:name="_Toc38442246"/>
      <w:bookmarkStart w:id="2285" w:name="_Toc38442578"/>
      <w:bookmarkStart w:id="2286" w:name="_Toc38442909"/>
      <w:bookmarkStart w:id="2287" w:name="_Toc38443240"/>
      <w:bookmarkStart w:id="2288" w:name="_Toc38443571"/>
      <w:bookmarkStart w:id="2289" w:name="_Toc38443901"/>
      <w:bookmarkStart w:id="2290" w:name="_Toc38438369"/>
      <w:bookmarkStart w:id="2291" w:name="_Toc38438706"/>
      <w:bookmarkStart w:id="2292" w:name="_Toc38439043"/>
      <w:bookmarkStart w:id="2293" w:name="_Toc38439380"/>
      <w:bookmarkStart w:id="2294" w:name="_Toc38439717"/>
      <w:bookmarkStart w:id="2295" w:name="_Toc38440054"/>
      <w:bookmarkStart w:id="2296" w:name="_Toc38440391"/>
      <w:bookmarkStart w:id="2297" w:name="_Toc38440923"/>
      <w:bookmarkStart w:id="2298" w:name="_Toc38441255"/>
      <w:bookmarkStart w:id="2299" w:name="_Toc38441587"/>
      <w:bookmarkStart w:id="2300" w:name="_Toc38441915"/>
      <w:bookmarkStart w:id="2301" w:name="_Toc38442247"/>
      <w:bookmarkStart w:id="2302" w:name="_Toc38442579"/>
      <w:bookmarkStart w:id="2303" w:name="_Toc38442910"/>
      <w:bookmarkStart w:id="2304" w:name="_Toc38443241"/>
      <w:bookmarkStart w:id="2305" w:name="_Toc38443572"/>
      <w:bookmarkStart w:id="2306" w:name="_Toc38443902"/>
      <w:bookmarkStart w:id="2307" w:name="_Toc38438371"/>
      <w:bookmarkStart w:id="2308" w:name="_Toc38438708"/>
      <w:bookmarkStart w:id="2309" w:name="_Toc38439045"/>
      <w:bookmarkStart w:id="2310" w:name="_Toc38439382"/>
      <w:bookmarkStart w:id="2311" w:name="_Toc38439719"/>
      <w:bookmarkStart w:id="2312" w:name="_Toc38440056"/>
      <w:bookmarkStart w:id="2313" w:name="_Toc38440393"/>
      <w:bookmarkStart w:id="2314" w:name="_Toc38440925"/>
      <w:bookmarkStart w:id="2315" w:name="_Toc38441257"/>
      <w:bookmarkStart w:id="2316" w:name="_Toc38441589"/>
      <w:bookmarkStart w:id="2317" w:name="_Toc38441917"/>
      <w:bookmarkStart w:id="2318" w:name="_Toc38442249"/>
      <w:bookmarkStart w:id="2319" w:name="_Toc38442581"/>
      <w:bookmarkStart w:id="2320" w:name="_Toc38442912"/>
      <w:bookmarkStart w:id="2321" w:name="_Toc38443243"/>
      <w:bookmarkStart w:id="2322" w:name="_Toc38443574"/>
      <w:bookmarkStart w:id="2323" w:name="_Toc38443904"/>
      <w:bookmarkStart w:id="2324" w:name="_Toc38438372"/>
      <w:bookmarkStart w:id="2325" w:name="_Toc38438709"/>
      <w:bookmarkStart w:id="2326" w:name="_Toc38439046"/>
      <w:bookmarkStart w:id="2327" w:name="_Toc38439383"/>
      <w:bookmarkStart w:id="2328" w:name="_Toc38439720"/>
      <w:bookmarkStart w:id="2329" w:name="_Toc38440057"/>
      <w:bookmarkStart w:id="2330" w:name="_Toc38440394"/>
      <w:bookmarkStart w:id="2331" w:name="_Toc38440926"/>
      <w:bookmarkStart w:id="2332" w:name="_Toc38441258"/>
      <w:bookmarkStart w:id="2333" w:name="_Toc38441590"/>
      <w:bookmarkStart w:id="2334" w:name="_Toc38441918"/>
      <w:bookmarkStart w:id="2335" w:name="_Toc38442250"/>
      <w:bookmarkStart w:id="2336" w:name="_Toc38442582"/>
      <w:bookmarkStart w:id="2337" w:name="_Toc38442913"/>
      <w:bookmarkStart w:id="2338" w:name="_Toc38443244"/>
      <w:bookmarkStart w:id="2339" w:name="_Toc38443575"/>
      <w:bookmarkStart w:id="2340" w:name="_Toc38443905"/>
      <w:bookmarkStart w:id="2341" w:name="_Toc38438373"/>
      <w:bookmarkStart w:id="2342" w:name="_Toc38438710"/>
      <w:bookmarkStart w:id="2343" w:name="_Toc38439047"/>
      <w:bookmarkStart w:id="2344" w:name="_Toc38439384"/>
      <w:bookmarkStart w:id="2345" w:name="_Toc38439721"/>
      <w:bookmarkStart w:id="2346" w:name="_Toc38440058"/>
      <w:bookmarkStart w:id="2347" w:name="_Toc38440395"/>
      <w:bookmarkStart w:id="2348" w:name="_Toc38440927"/>
      <w:bookmarkStart w:id="2349" w:name="_Toc38441259"/>
      <w:bookmarkStart w:id="2350" w:name="_Toc38441591"/>
      <w:bookmarkStart w:id="2351" w:name="_Toc38441919"/>
      <w:bookmarkStart w:id="2352" w:name="_Toc38442251"/>
      <w:bookmarkStart w:id="2353" w:name="_Toc38442583"/>
      <w:bookmarkStart w:id="2354" w:name="_Toc38442914"/>
      <w:bookmarkStart w:id="2355" w:name="_Toc38443245"/>
      <w:bookmarkStart w:id="2356" w:name="_Toc38443576"/>
      <w:bookmarkStart w:id="2357" w:name="_Toc38443906"/>
      <w:bookmarkStart w:id="2358" w:name="_Toc38438374"/>
      <w:bookmarkStart w:id="2359" w:name="_Toc38438711"/>
      <w:bookmarkStart w:id="2360" w:name="_Toc38439048"/>
      <w:bookmarkStart w:id="2361" w:name="_Toc38439385"/>
      <w:bookmarkStart w:id="2362" w:name="_Toc38439722"/>
      <w:bookmarkStart w:id="2363" w:name="_Toc38440059"/>
      <w:bookmarkStart w:id="2364" w:name="_Toc38440396"/>
      <w:bookmarkStart w:id="2365" w:name="_Toc38440928"/>
      <w:bookmarkStart w:id="2366" w:name="_Toc38441260"/>
      <w:bookmarkStart w:id="2367" w:name="_Toc38441592"/>
      <w:bookmarkStart w:id="2368" w:name="_Toc38441920"/>
      <w:bookmarkStart w:id="2369" w:name="_Toc38442252"/>
      <w:bookmarkStart w:id="2370" w:name="_Toc38442584"/>
      <w:bookmarkStart w:id="2371" w:name="_Toc38442915"/>
      <w:bookmarkStart w:id="2372" w:name="_Toc38443246"/>
      <w:bookmarkStart w:id="2373" w:name="_Toc38443577"/>
      <w:bookmarkStart w:id="2374" w:name="_Toc38443907"/>
      <w:bookmarkStart w:id="2375" w:name="_Toc38438375"/>
      <w:bookmarkStart w:id="2376" w:name="_Toc38438712"/>
      <w:bookmarkStart w:id="2377" w:name="_Toc38439049"/>
      <w:bookmarkStart w:id="2378" w:name="_Toc38439386"/>
      <w:bookmarkStart w:id="2379" w:name="_Toc38439723"/>
      <w:bookmarkStart w:id="2380" w:name="_Toc38440060"/>
      <w:bookmarkStart w:id="2381" w:name="_Toc38440397"/>
      <w:bookmarkStart w:id="2382" w:name="_Toc38440929"/>
      <w:bookmarkStart w:id="2383" w:name="_Toc38441261"/>
      <w:bookmarkStart w:id="2384" w:name="_Toc38441593"/>
      <w:bookmarkStart w:id="2385" w:name="_Toc38441921"/>
      <w:bookmarkStart w:id="2386" w:name="_Toc38442253"/>
      <w:bookmarkStart w:id="2387" w:name="_Toc38442585"/>
      <w:bookmarkStart w:id="2388" w:name="_Toc38442916"/>
      <w:bookmarkStart w:id="2389" w:name="_Toc38443247"/>
      <w:bookmarkStart w:id="2390" w:name="_Toc38443578"/>
      <w:bookmarkStart w:id="2391" w:name="_Toc38443908"/>
      <w:bookmarkStart w:id="2392" w:name="_Toc38438376"/>
      <w:bookmarkStart w:id="2393" w:name="_Toc38438713"/>
      <w:bookmarkStart w:id="2394" w:name="_Toc38439050"/>
      <w:bookmarkStart w:id="2395" w:name="_Toc38439387"/>
      <w:bookmarkStart w:id="2396" w:name="_Toc38439724"/>
      <w:bookmarkStart w:id="2397" w:name="_Toc38440061"/>
      <w:bookmarkStart w:id="2398" w:name="_Toc38440398"/>
      <w:bookmarkStart w:id="2399" w:name="_Toc38440930"/>
      <w:bookmarkStart w:id="2400" w:name="_Toc38441262"/>
      <w:bookmarkStart w:id="2401" w:name="_Toc38441594"/>
      <w:bookmarkStart w:id="2402" w:name="_Toc38441922"/>
      <w:bookmarkStart w:id="2403" w:name="_Toc38442254"/>
      <w:bookmarkStart w:id="2404" w:name="_Toc38442586"/>
      <w:bookmarkStart w:id="2405" w:name="_Toc38442917"/>
      <w:bookmarkStart w:id="2406" w:name="_Toc38443248"/>
      <w:bookmarkStart w:id="2407" w:name="_Toc38443579"/>
      <w:bookmarkStart w:id="2408" w:name="_Toc38443909"/>
      <w:bookmarkStart w:id="2409" w:name="_Toc38438377"/>
      <w:bookmarkStart w:id="2410" w:name="_Toc38438714"/>
      <w:bookmarkStart w:id="2411" w:name="_Toc38439051"/>
      <w:bookmarkStart w:id="2412" w:name="_Toc38439388"/>
      <w:bookmarkStart w:id="2413" w:name="_Toc38439725"/>
      <w:bookmarkStart w:id="2414" w:name="_Toc38440062"/>
      <w:bookmarkStart w:id="2415" w:name="_Toc38440399"/>
      <w:bookmarkStart w:id="2416" w:name="_Toc38440931"/>
      <w:bookmarkStart w:id="2417" w:name="_Toc38441263"/>
      <w:bookmarkStart w:id="2418" w:name="_Toc38441595"/>
      <w:bookmarkStart w:id="2419" w:name="_Toc38441923"/>
      <w:bookmarkStart w:id="2420" w:name="_Toc38442255"/>
      <w:bookmarkStart w:id="2421" w:name="_Toc38442587"/>
      <w:bookmarkStart w:id="2422" w:name="_Toc38442918"/>
      <w:bookmarkStart w:id="2423" w:name="_Toc38443249"/>
      <w:bookmarkStart w:id="2424" w:name="_Toc38443580"/>
      <w:bookmarkStart w:id="2425" w:name="_Toc38443910"/>
      <w:bookmarkStart w:id="2426" w:name="_Toc38438378"/>
      <w:bookmarkStart w:id="2427" w:name="_Toc38438715"/>
      <w:bookmarkStart w:id="2428" w:name="_Toc38439052"/>
      <w:bookmarkStart w:id="2429" w:name="_Toc38439389"/>
      <w:bookmarkStart w:id="2430" w:name="_Toc38439726"/>
      <w:bookmarkStart w:id="2431" w:name="_Toc38440063"/>
      <w:bookmarkStart w:id="2432" w:name="_Toc38440400"/>
      <w:bookmarkStart w:id="2433" w:name="_Toc38440932"/>
      <w:bookmarkStart w:id="2434" w:name="_Toc38441264"/>
      <w:bookmarkStart w:id="2435" w:name="_Toc38441596"/>
      <w:bookmarkStart w:id="2436" w:name="_Toc38441924"/>
      <w:bookmarkStart w:id="2437" w:name="_Toc38442256"/>
      <w:bookmarkStart w:id="2438" w:name="_Toc38442588"/>
      <w:bookmarkStart w:id="2439" w:name="_Toc38442919"/>
      <w:bookmarkStart w:id="2440" w:name="_Toc38443250"/>
      <w:bookmarkStart w:id="2441" w:name="_Toc38443581"/>
      <w:bookmarkStart w:id="2442" w:name="_Toc38443911"/>
      <w:bookmarkStart w:id="2443" w:name="_Toc38438379"/>
      <w:bookmarkStart w:id="2444" w:name="_Toc38438716"/>
      <w:bookmarkStart w:id="2445" w:name="_Toc38439053"/>
      <w:bookmarkStart w:id="2446" w:name="_Toc38439390"/>
      <w:bookmarkStart w:id="2447" w:name="_Toc38439727"/>
      <w:bookmarkStart w:id="2448" w:name="_Toc38440064"/>
      <w:bookmarkStart w:id="2449" w:name="_Toc38440401"/>
      <w:bookmarkStart w:id="2450" w:name="_Toc38440933"/>
      <w:bookmarkStart w:id="2451" w:name="_Toc38441265"/>
      <w:bookmarkStart w:id="2452" w:name="_Toc38441597"/>
      <w:bookmarkStart w:id="2453" w:name="_Toc38441925"/>
      <w:bookmarkStart w:id="2454" w:name="_Toc38442257"/>
      <w:bookmarkStart w:id="2455" w:name="_Toc38442589"/>
      <w:bookmarkStart w:id="2456" w:name="_Toc38442920"/>
      <w:bookmarkStart w:id="2457" w:name="_Toc38443251"/>
      <w:bookmarkStart w:id="2458" w:name="_Toc38443582"/>
      <w:bookmarkStart w:id="2459" w:name="_Toc38443912"/>
      <w:bookmarkStart w:id="2460" w:name="_Toc38438380"/>
      <w:bookmarkStart w:id="2461" w:name="_Toc38438717"/>
      <w:bookmarkStart w:id="2462" w:name="_Toc38439054"/>
      <w:bookmarkStart w:id="2463" w:name="_Toc38439391"/>
      <w:bookmarkStart w:id="2464" w:name="_Toc38439728"/>
      <w:bookmarkStart w:id="2465" w:name="_Toc38440065"/>
      <w:bookmarkStart w:id="2466" w:name="_Toc38440402"/>
      <w:bookmarkStart w:id="2467" w:name="_Toc38440934"/>
      <w:bookmarkStart w:id="2468" w:name="_Toc38441266"/>
      <w:bookmarkStart w:id="2469" w:name="_Toc38441598"/>
      <w:bookmarkStart w:id="2470" w:name="_Toc38441926"/>
      <w:bookmarkStart w:id="2471" w:name="_Toc38442258"/>
      <w:bookmarkStart w:id="2472" w:name="_Toc38442590"/>
      <w:bookmarkStart w:id="2473" w:name="_Toc38442921"/>
      <w:bookmarkStart w:id="2474" w:name="_Toc38443252"/>
      <w:bookmarkStart w:id="2475" w:name="_Toc38443583"/>
      <w:bookmarkStart w:id="2476" w:name="_Toc38443913"/>
      <w:bookmarkStart w:id="2477" w:name="_Toc38438381"/>
      <w:bookmarkStart w:id="2478" w:name="_Toc38438718"/>
      <w:bookmarkStart w:id="2479" w:name="_Toc38439055"/>
      <w:bookmarkStart w:id="2480" w:name="_Toc38439392"/>
      <w:bookmarkStart w:id="2481" w:name="_Toc38439729"/>
      <w:bookmarkStart w:id="2482" w:name="_Toc38440066"/>
      <w:bookmarkStart w:id="2483" w:name="_Toc38440403"/>
      <w:bookmarkStart w:id="2484" w:name="_Toc38440935"/>
      <w:bookmarkStart w:id="2485" w:name="_Toc38441267"/>
      <w:bookmarkStart w:id="2486" w:name="_Toc38441599"/>
      <w:bookmarkStart w:id="2487" w:name="_Toc38441927"/>
      <w:bookmarkStart w:id="2488" w:name="_Toc38442259"/>
      <w:bookmarkStart w:id="2489" w:name="_Toc38442591"/>
      <w:bookmarkStart w:id="2490" w:name="_Toc38442922"/>
      <w:bookmarkStart w:id="2491" w:name="_Toc38443253"/>
      <w:bookmarkStart w:id="2492" w:name="_Toc38443584"/>
      <w:bookmarkStart w:id="2493" w:name="_Toc38443914"/>
      <w:bookmarkStart w:id="2494" w:name="_Toc38438382"/>
      <w:bookmarkStart w:id="2495" w:name="_Toc38438719"/>
      <w:bookmarkStart w:id="2496" w:name="_Toc38439056"/>
      <w:bookmarkStart w:id="2497" w:name="_Toc38439393"/>
      <w:bookmarkStart w:id="2498" w:name="_Toc38439730"/>
      <w:bookmarkStart w:id="2499" w:name="_Toc38440067"/>
      <w:bookmarkStart w:id="2500" w:name="_Toc38440404"/>
      <w:bookmarkStart w:id="2501" w:name="_Toc38440936"/>
      <w:bookmarkStart w:id="2502" w:name="_Toc38441268"/>
      <w:bookmarkStart w:id="2503" w:name="_Toc38441600"/>
      <w:bookmarkStart w:id="2504" w:name="_Toc38441928"/>
      <w:bookmarkStart w:id="2505" w:name="_Toc38442260"/>
      <w:bookmarkStart w:id="2506" w:name="_Toc38442592"/>
      <w:bookmarkStart w:id="2507" w:name="_Toc38442923"/>
      <w:bookmarkStart w:id="2508" w:name="_Toc38443254"/>
      <w:bookmarkStart w:id="2509" w:name="_Toc38443585"/>
      <w:bookmarkStart w:id="2510" w:name="_Toc38443915"/>
      <w:bookmarkStart w:id="2511" w:name="_Toc38438383"/>
      <w:bookmarkStart w:id="2512" w:name="_Toc38438720"/>
      <w:bookmarkStart w:id="2513" w:name="_Toc38439057"/>
      <w:bookmarkStart w:id="2514" w:name="_Toc38439394"/>
      <w:bookmarkStart w:id="2515" w:name="_Toc38439731"/>
      <w:bookmarkStart w:id="2516" w:name="_Toc38440068"/>
      <w:bookmarkStart w:id="2517" w:name="_Toc38440405"/>
      <w:bookmarkStart w:id="2518" w:name="_Toc38440937"/>
      <w:bookmarkStart w:id="2519" w:name="_Toc38441269"/>
      <w:bookmarkStart w:id="2520" w:name="_Toc38441601"/>
      <w:bookmarkStart w:id="2521" w:name="_Toc38441929"/>
      <w:bookmarkStart w:id="2522" w:name="_Toc38442261"/>
      <w:bookmarkStart w:id="2523" w:name="_Toc38442593"/>
      <w:bookmarkStart w:id="2524" w:name="_Toc38442924"/>
      <w:bookmarkStart w:id="2525" w:name="_Toc38443255"/>
      <w:bookmarkStart w:id="2526" w:name="_Toc38443586"/>
      <w:bookmarkStart w:id="2527" w:name="_Toc38443916"/>
      <w:bookmarkStart w:id="2528" w:name="_Toc38438384"/>
      <w:bookmarkStart w:id="2529" w:name="_Toc38438721"/>
      <w:bookmarkStart w:id="2530" w:name="_Toc38439058"/>
      <w:bookmarkStart w:id="2531" w:name="_Toc38439395"/>
      <w:bookmarkStart w:id="2532" w:name="_Toc38439732"/>
      <w:bookmarkStart w:id="2533" w:name="_Toc38440069"/>
      <w:bookmarkStart w:id="2534" w:name="_Toc38440406"/>
      <w:bookmarkStart w:id="2535" w:name="_Toc38440938"/>
      <w:bookmarkStart w:id="2536" w:name="_Toc38441270"/>
      <w:bookmarkStart w:id="2537" w:name="_Toc38441602"/>
      <w:bookmarkStart w:id="2538" w:name="_Toc38441930"/>
      <w:bookmarkStart w:id="2539" w:name="_Toc38442262"/>
      <w:bookmarkStart w:id="2540" w:name="_Toc38442594"/>
      <w:bookmarkStart w:id="2541" w:name="_Toc38442925"/>
      <w:bookmarkStart w:id="2542" w:name="_Toc38443256"/>
      <w:bookmarkStart w:id="2543" w:name="_Toc38443587"/>
      <w:bookmarkStart w:id="2544" w:name="_Toc38443917"/>
      <w:bookmarkStart w:id="2545" w:name="_Toc38438385"/>
      <w:bookmarkStart w:id="2546" w:name="_Toc38438722"/>
      <w:bookmarkStart w:id="2547" w:name="_Toc38439059"/>
      <w:bookmarkStart w:id="2548" w:name="_Toc38439396"/>
      <w:bookmarkStart w:id="2549" w:name="_Toc38439733"/>
      <w:bookmarkStart w:id="2550" w:name="_Toc38440070"/>
      <w:bookmarkStart w:id="2551" w:name="_Toc38440407"/>
      <w:bookmarkStart w:id="2552" w:name="_Toc38440939"/>
      <w:bookmarkStart w:id="2553" w:name="_Toc38441271"/>
      <w:bookmarkStart w:id="2554" w:name="_Toc38441603"/>
      <w:bookmarkStart w:id="2555" w:name="_Toc38441931"/>
      <w:bookmarkStart w:id="2556" w:name="_Toc38442263"/>
      <w:bookmarkStart w:id="2557" w:name="_Toc38442595"/>
      <w:bookmarkStart w:id="2558" w:name="_Toc38442926"/>
      <w:bookmarkStart w:id="2559" w:name="_Toc38443257"/>
      <w:bookmarkStart w:id="2560" w:name="_Toc38443588"/>
      <w:bookmarkStart w:id="2561" w:name="_Toc38443918"/>
      <w:bookmarkStart w:id="2562" w:name="_Toc38438386"/>
      <w:bookmarkStart w:id="2563" w:name="_Toc38438723"/>
      <w:bookmarkStart w:id="2564" w:name="_Toc38439060"/>
      <w:bookmarkStart w:id="2565" w:name="_Toc38439397"/>
      <w:bookmarkStart w:id="2566" w:name="_Toc38439734"/>
      <w:bookmarkStart w:id="2567" w:name="_Toc38440071"/>
      <w:bookmarkStart w:id="2568" w:name="_Toc38440408"/>
      <w:bookmarkStart w:id="2569" w:name="_Toc38440940"/>
      <w:bookmarkStart w:id="2570" w:name="_Toc38441272"/>
      <w:bookmarkStart w:id="2571" w:name="_Toc38441604"/>
      <w:bookmarkStart w:id="2572" w:name="_Toc38441932"/>
      <w:bookmarkStart w:id="2573" w:name="_Toc38442264"/>
      <w:bookmarkStart w:id="2574" w:name="_Toc38442596"/>
      <w:bookmarkStart w:id="2575" w:name="_Toc38442927"/>
      <w:bookmarkStart w:id="2576" w:name="_Toc38443258"/>
      <w:bookmarkStart w:id="2577" w:name="_Toc38443589"/>
      <w:bookmarkStart w:id="2578" w:name="_Toc38443919"/>
      <w:bookmarkStart w:id="2579" w:name="_Toc38438387"/>
      <w:bookmarkStart w:id="2580" w:name="_Toc38438724"/>
      <w:bookmarkStart w:id="2581" w:name="_Toc38439061"/>
      <w:bookmarkStart w:id="2582" w:name="_Toc38439398"/>
      <w:bookmarkStart w:id="2583" w:name="_Toc38439735"/>
      <w:bookmarkStart w:id="2584" w:name="_Toc38440072"/>
      <w:bookmarkStart w:id="2585" w:name="_Toc38440409"/>
      <w:bookmarkStart w:id="2586" w:name="_Toc38440941"/>
      <w:bookmarkStart w:id="2587" w:name="_Toc38441273"/>
      <w:bookmarkStart w:id="2588" w:name="_Toc38441605"/>
      <w:bookmarkStart w:id="2589" w:name="_Toc38441933"/>
      <w:bookmarkStart w:id="2590" w:name="_Toc38442265"/>
      <w:bookmarkStart w:id="2591" w:name="_Toc38442597"/>
      <w:bookmarkStart w:id="2592" w:name="_Toc38442928"/>
      <w:bookmarkStart w:id="2593" w:name="_Toc38443259"/>
      <w:bookmarkStart w:id="2594" w:name="_Toc38443590"/>
      <w:bookmarkStart w:id="2595" w:name="_Toc38443920"/>
      <w:bookmarkStart w:id="2596" w:name="_Toc38438388"/>
      <w:bookmarkStart w:id="2597" w:name="_Toc38438725"/>
      <w:bookmarkStart w:id="2598" w:name="_Toc38439062"/>
      <w:bookmarkStart w:id="2599" w:name="_Toc38439399"/>
      <w:bookmarkStart w:id="2600" w:name="_Toc38439736"/>
      <w:bookmarkStart w:id="2601" w:name="_Toc38440073"/>
      <w:bookmarkStart w:id="2602" w:name="_Toc38440410"/>
      <w:bookmarkStart w:id="2603" w:name="_Toc38440942"/>
      <w:bookmarkStart w:id="2604" w:name="_Toc38441274"/>
      <w:bookmarkStart w:id="2605" w:name="_Toc38441606"/>
      <w:bookmarkStart w:id="2606" w:name="_Toc38441934"/>
      <w:bookmarkStart w:id="2607" w:name="_Toc38442266"/>
      <w:bookmarkStart w:id="2608" w:name="_Toc38442598"/>
      <w:bookmarkStart w:id="2609" w:name="_Toc38442929"/>
      <w:bookmarkStart w:id="2610" w:name="_Toc38443260"/>
      <w:bookmarkStart w:id="2611" w:name="_Toc38443591"/>
      <w:bookmarkStart w:id="2612" w:name="_Toc38443921"/>
      <w:bookmarkStart w:id="2613" w:name="_Toc38438389"/>
      <w:bookmarkStart w:id="2614" w:name="_Toc38438726"/>
      <w:bookmarkStart w:id="2615" w:name="_Toc38439063"/>
      <w:bookmarkStart w:id="2616" w:name="_Toc38439400"/>
      <w:bookmarkStart w:id="2617" w:name="_Toc38439737"/>
      <w:bookmarkStart w:id="2618" w:name="_Toc38440074"/>
      <w:bookmarkStart w:id="2619" w:name="_Toc38440411"/>
      <w:bookmarkStart w:id="2620" w:name="_Toc38440943"/>
      <w:bookmarkStart w:id="2621" w:name="_Toc38441275"/>
      <w:bookmarkStart w:id="2622" w:name="_Toc38441607"/>
      <w:bookmarkStart w:id="2623" w:name="_Toc38441935"/>
      <w:bookmarkStart w:id="2624" w:name="_Toc38442267"/>
      <w:bookmarkStart w:id="2625" w:name="_Toc38442599"/>
      <w:bookmarkStart w:id="2626" w:name="_Toc38442930"/>
      <w:bookmarkStart w:id="2627" w:name="_Toc38443261"/>
      <w:bookmarkStart w:id="2628" w:name="_Toc38443592"/>
      <w:bookmarkStart w:id="2629" w:name="_Toc38443922"/>
      <w:bookmarkStart w:id="2630" w:name="_Toc38438390"/>
      <w:bookmarkStart w:id="2631" w:name="_Toc38438727"/>
      <w:bookmarkStart w:id="2632" w:name="_Toc38439064"/>
      <w:bookmarkStart w:id="2633" w:name="_Toc38439401"/>
      <w:bookmarkStart w:id="2634" w:name="_Toc38439738"/>
      <w:bookmarkStart w:id="2635" w:name="_Toc38440075"/>
      <w:bookmarkStart w:id="2636" w:name="_Toc38440412"/>
      <w:bookmarkStart w:id="2637" w:name="_Toc38440944"/>
      <w:bookmarkStart w:id="2638" w:name="_Toc38441276"/>
      <w:bookmarkStart w:id="2639" w:name="_Toc38441608"/>
      <w:bookmarkStart w:id="2640" w:name="_Toc38441936"/>
      <w:bookmarkStart w:id="2641" w:name="_Toc38442268"/>
      <w:bookmarkStart w:id="2642" w:name="_Toc38442600"/>
      <w:bookmarkStart w:id="2643" w:name="_Toc38442931"/>
      <w:bookmarkStart w:id="2644" w:name="_Toc38443262"/>
      <w:bookmarkStart w:id="2645" w:name="_Toc38443593"/>
      <w:bookmarkStart w:id="2646" w:name="_Toc38443923"/>
      <w:bookmarkStart w:id="2647" w:name="_Toc38438391"/>
      <w:bookmarkStart w:id="2648" w:name="_Toc38438728"/>
      <w:bookmarkStart w:id="2649" w:name="_Toc38439065"/>
      <w:bookmarkStart w:id="2650" w:name="_Toc38439402"/>
      <w:bookmarkStart w:id="2651" w:name="_Toc38439739"/>
      <w:bookmarkStart w:id="2652" w:name="_Toc38440076"/>
      <w:bookmarkStart w:id="2653" w:name="_Toc38440413"/>
      <w:bookmarkStart w:id="2654" w:name="_Toc38440945"/>
      <w:bookmarkStart w:id="2655" w:name="_Toc38441277"/>
      <w:bookmarkStart w:id="2656" w:name="_Toc38441609"/>
      <w:bookmarkStart w:id="2657" w:name="_Toc38441937"/>
      <w:bookmarkStart w:id="2658" w:name="_Toc38442269"/>
      <w:bookmarkStart w:id="2659" w:name="_Toc38442601"/>
      <w:bookmarkStart w:id="2660" w:name="_Toc38442932"/>
      <w:bookmarkStart w:id="2661" w:name="_Toc38443263"/>
      <w:bookmarkStart w:id="2662" w:name="_Toc38443594"/>
      <w:bookmarkStart w:id="2663" w:name="_Toc38443924"/>
      <w:bookmarkStart w:id="2664" w:name="_Toc38438392"/>
      <w:bookmarkStart w:id="2665" w:name="_Toc38438729"/>
      <w:bookmarkStart w:id="2666" w:name="_Toc38439066"/>
      <w:bookmarkStart w:id="2667" w:name="_Toc38439403"/>
      <w:bookmarkStart w:id="2668" w:name="_Toc38439740"/>
      <w:bookmarkStart w:id="2669" w:name="_Toc38440077"/>
      <w:bookmarkStart w:id="2670" w:name="_Toc38440414"/>
      <w:bookmarkStart w:id="2671" w:name="_Toc38440946"/>
      <w:bookmarkStart w:id="2672" w:name="_Toc38441278"/>
      <w:bookmarkStart w:id="2673" w:name="_Toc38441610"/>
      <w:bookmarkStart w:id="2674" w:name="_Toc38441938"/>
      <w:bookmarkStart w:id="2675" w:name="_Toc38442270"/>
      <w:bookmarkStart w:id="2676" w:name="_Toc38442602"/>
      <w:bookmarkStart w:id="2677" w:name="_Toc38442933"/>
      <w:bookmarkStart w:id="2678" w:name="_Toc38443264"/>
      <w:bookmarkStart w:id="2679" w:name="_Toc38443595"/>
      <w:bookmarkStart w:id="2680" w:name="_Toc38443925"/>
      <w:bookmarkStart w:id="2681" w:name="_Toc38438393"/>
      <w:bookmarkStart w:id="2682" w:name="_Toc38438730"/>
      <w:bookmarkStart w:id="2683" w:name="_Toc38439067"/>
      <w:bookmarkStart w:id="2684" w:name="_Toc38439404"/>
      <w:bookmarkStart w:id="2685" w:name="_Toc38439741"/>
      <w:bookmarkStart w:id="2686" w:name="_Toc38440078"/>
      <w:bookmarkStart w:id="2687" w:name="_Toc38440415"/>
      <w:bookmarkStart w:id="2688" w:name="_Toc38440947"/>
      <w:bookmarkStart w:id="2689" w:name="_Toc38441279"/>
      <w:bookmarkStart w:id="2690" w:name="_Toc38441611"/>
      <w:bookmarkStart w:id="2691" w:name="_Toc38441939"/>
      <w:bookmarkStart w:id="2692" w:name="_Toc38442271"/>
      <w:bookmarkStart w:id="2693" w:name="_Toc38442603"/>
      <w:bookmarkStart w:id="2694" w:name="_Toc38442934"/>
      <w:bookmarkStart w:id="2695" w:name="_Toc38443265"/>
      <w:bookmarkStart w:id="2696" w:name="_Toc38443596"/>
      <w:bookmarkStart w:id="2697" w:name="_Toc38443926"/>
      <w:bookmarkStart w:id="2698" w:name="_Toc38438394"/>
      <w:bookmarkStart w:id="2699" w:name="_Toc38438731"/>
      <w:bookmarkStart w:id="2700" w:name="_Toc38439068"/>
      <w:bookmarkStart w:id="2701" w:name="_Toc38439405"/>
      <w:bookmarkStart w:id="2702" w:name="_Toc38439742"/>
      <w:bookmarkStart w:id="2703" w:name="_Toc38440079"/>
      <w:bookmarkStart w:id="2704" w:name="_Toc38440416"/>
      <w:bookmarkStart w:id="2705" w:name="_Toc38440948"/>
      <w:bookmarkStart w:id="2706" w:name="_Toc38441280"/>
      <w:bookmarkStart w:id="2707" w:name="_Toc38441612"/>
      <w:bookmarkStart w:id="2708" w:name="_Toc38441940"/>
      <w:bookmarkStart w:id="2709" w:name="_Toc38442272"/>
      <w:bookmarkStart w:id="2710" w:name="_Toc38442604"/>
      <w:bookmarkStart w:id="2711" w:name="_Toc38442935"/>
      <w:bookmarkStart w:id="2712" w:name="_Toc38443266"/>
      <w:bookmarkStart w:id="2713" w:name="_Toc38443597"/>
      <w:bookmarkStart w:id="2714" w:name="_Toc38443927"/>
      <w:bookmarkStart w:id="2715" w:name="_Toc38438395"/>
      <w:bookmarkStart w:id="2716" w:name="_Toc38438732"/>
      <w:bookmarkStart w:id="2717" w:name="_Toc38439069"/>
      <w:bookmarkStart w:id="2718" w:name="_Toc38439406"/>
      <w:bookmarkStart w:id="2719" w:name="_Toc38439743"/>
      <w:bookmarkStart w:id="2720" w:name="_Toc38440080"/>
      <w:bookmarkStart w:id="2721" w:name="_Toc38440417"/>
      <w:bookmarkStart w:id="2722" w:name="_Toc38440949"/>
      <w:bookmarkStart w:id="2723" w:name="_Toc38441281"/>
      <w:bookmarkStart w:id="2724" w:name="_Toc38441613"/>
      <w:bookmarkStart w:id="2725" w:name="_Toc38441941"/>
      <w:bookmarkStart w:id="2726" w:name="_Toc38442273"/>
      <w:bookmarkStart w:id="2727" w:name="_Toc38442605"/>
      <w:bookmarkStart w:id="2728" w:name="_Toc38442936"/>
      <w:bookmarkStart w:id="2729" w:name="_Toc38443267"/>
      <w:bookmarkStart w:id="2730" w:name="_Toc38443598"/>
      <w:bookmarkStart w:id="2731" w:name="_Toc38443928"/>
      <w:bookmarkStart w:id="2732" w:name="_Toc38438396"/>
      <w:bookmarkStart w:id="2733" w:name="_Toc38438733"/>
      <w:bookmarkStart w:id="2734" w:name="_Toc38439070"/>
      <w:bookmarkStart w:id="2735" w:name="_Toc38439407"/>
      <w:bookmarkStart w:id="2736" w:name="_Toc38439744"/>
      <w:bookmarkStart w:id="2737" w:name="_Toc38440081"/>
      <w:bookmarkStart w:id="2738" w:name="_Toc38440418"/>
      <w:bookmarkStart w:id="2739" w:name="_Toc38440950"/>
      <w:bookmarkStart w:id="2740" w:name="_Toc38441282"/>
      <w:bookmarkStart w:id="2741" w:name="_Toc38441614"/>
      <w:bookmarkStart w:id="2742" w:name="_Toc38441942"/>
      <w:bookmarkStart w:id="2743" w:name="_Toc38442274"/>
      <w:bookmarkStart w:id="2744" w:name="_Toc38442606"/>
      <w:bookmarkStart w:id="2745" w:name="_Toc38442937"/>
      <w:bookmarkStart w:id="2746" w:name="_Toc38443268"/>
      <w:bookmarkStart w:id="2747" w:name="_Toc38443599"/>
      <w:bookmarkStart w:id="2748" w:name="_Toc38443929"/>
      <w:bookmarkStart w:id="2749" w:name="_Toc38438397"/>
      <w:bookmarkStart w:id="2750" w:name="_Toc38438734"/>
      <w:bookmarkStart w:id="2751" w:name="_Toc38439071"/>
      <w:bookmarkStart w:id="2752" w:name="_Toc38439408"/>
      <w:bookmarkStart w:id="2753" w:name="_Toc38439745"/>
      <w:bookmarkStart w:id="2754" w:name="_Toc38440082"/>
      <w:bookmarkStart w:id="2755" w:name="_Toc38440419"/>
      <w:bookmarkStart w:id="2756" w:name="_Toc38440951"/>
      <w:bookmarkStart w:id="2757" w:name="_Toc38441283"/>
      <w:bookmarkStart w:id="2758" w:name="_Toc38441615"/>
      <w:bookmarkStart w:id="2759" w:name="_Toc38441943"/>
      <w:bookmarkStart w:id="2760" w:name="_Toc38442275"/>
      <w:bookmarkStart w:id="2761" w:name="_Toc38442607"/>
      <w:bookmarkStart w:id="2762" w:name="_Toc38442938"/>
      <w:bookmarkStart w:id="2763" w:name="_Toc38443269"/>
      <w:bookmarkStart w:id="2764" w:name="_Toc38443600"/>
      <w:bookmarkStart w:id="2765" w:name="_Toc38443930"/>
      <w:bookmarkStart w:id="2766" w:name="_Toc38438398"/>
      <w:bookmarkStart w:id="2767" w:name="_Toc38438735"/>
      <w:bookmarkStart w:id="2768" w:name="_Toc38439072"/>
      <w:bookmarkStart w:id="2769" w:name="_Toc38439409"/>
      <w:bookmarkStart w:id="2770" w:name="_Toc38439746"/>
      <w:bookmarkStart w:id="2771" w:name="_Toc38440083"/>
      <w:bookmarkStart w:id="2772" w:name="_Toc38440420"/>
      <w:bookmarkStart w:id="2773" w:name="_Toc38440952"/>
      <w:bookmarkStart w:id="2774" w:name="_Toc38441284"/>
      <w:bookmarkStart w:id="2775" w:name="_Toc38441616"/>
      <w:bookmarkStart w:id="2776" w:name="_Toc38441944"/>
      <w:bookmarkStart w:id="2777" w:name="_Toc38442276"/>
      <w:bookmarkStart w:id="2778" w:name="_Toc38442608"/>
      <w:bookmarkStart w:id="2779" w:name="_Toc38442939"/>
      <w:bookmarkStart w:id="2780" w:name="_Toc38443270"/>
      <w:bookmarkStart w:id="2781" w:name="_Toc38443601"/>
      <w:bookmarkStart w:id="2782" w:name="_Toc38443931"/>
      <w:bookmarkStart w:id="2783" w:name="_Toc38438400"/>
      <w:bookmarkStart w:id="2784" w:name="_Toc38438737"/>
      <w:bookmarkStart w:id="2785" w:name="_Toc38439074"/>
      <w:bookmarkStart w:id="2786" w:name="_Toc38439411"/>
      <w:bookmarkStart w:id="2787" w:name="_Toc38439748"/>
      <w:bookmarkStart w:id="2788" w:name="_Toc38440085"/>
      <w:bookmarkStart w:id="2789" w:name="_Toc38440422"/>
      <w:bookmarkStart w:id="2790" w:name="_Toc38440954"/>
      <w:bookmarkStart w:id="2791" w:name="_Toc38441286"/>
      <w:bookmarkStart w:id="2792" w:name="_Toc38441618"/>
      <w:bookmarkStart w:id="2793" w:name="_Toc38441946"/>
      <w:bookmarkStart w:id="2794" w:name="_Toc38442278"/>
      <w:bookmarkStart w:id="2795" w:name="_Toc38442610"/>
      <w:bookmarkStart w:id="2796" w:name="_Toc38442941"/>
      <w:bookmarkStart w:id="2797" w:name="_Toc38443272"/>
      <w:bookmarkStart w:id="2798" w:name="_Toc38443603"/>
      <w:bookmarkStart w:id="2799" w:name="_Toc38443933"/>
      <w:bookmarkStart w:id="2800" w:name="_Toc38438401"/>
      <w:bookmarkStart w:id="2801" w:name="_Toc38438738"/>
      <w:bookmarkStart w:id="2802" w:name="_Toc38439075"/>
      <w:bookmarkStart w:id="2803" w:name="_Toc38439412"/>
      <w:bookmarkStart w:id="2804" w:name="_Toc38439749"/>
      <w:bookmarkStart w:id="2805" w:name="_Toc38440086"/>
      <w:bookmarkStart w:id="2806" w:name="_Toc38440423"/>
      <w:bookmarkStart w:id="2807" w:name="_Toc38440955"/>
      <w:bookmarkStart w:id="2808" w:name="_Toc38441287"/>
      <w:bookmarkStart w:id="2809" w:name="_Toc38441619"/>
      <w:bookmarkStart w:id="2810" w:name="_Toc38441947"/>
      <w:bookmarkStart w:id="2811" w:name="_Toc38442279"/>
      <w:bookmarkStart w:id="2812" w:name="_Toc38442611"/>
      <w:bookmarkStart w:id="2813" w:name="_Toc38442942"/>
      <w:bookmarkStart w:id="2814" w:name="_Toc38443273"/>
      <w:bookmarkStart w:id="2815" w:name="_Toc38443604"/>
      <w:bookmarkStart w:id="2816" w:name="_Toc38443934"/>
      <w:bookmarkStart w:id="2817" w:name="_Toc38438402"/>
      <w:bookmarkStart w:id="2818" w:name="_Toc38438739"/>
      <w:bookmarkStart w:id="2819" w:name="_Toc38439076"/>
      <w:bookmarkStart w:id="2820" w:name="_Toc38439413"/>
      <w:bookmarkStart w:id="2821" w:name="_Toc38439750"/>
      <w:bookmarkStart w:id="2822" w:name="_Toc38440087"/>
      <w:bookmarkStart w:id="2823" w:name="_Toc38440424"/>
      <w:bookmarkStart w:id="2824" w:name="_Toc38440956"/>
      <w:bookmarkStart w:id="2825" w:name="_Toc38441288"/>
      <w:bookmarkStart w:id="2826" w:name="_Toc38441620"/>
      <w:bookmarkStart w:id="2827" w:name="_Toc38441948"/>
      <w:bookmarkStart w:id="2828" w:name="_Toc38442280"/>
      <w:bookmarkStart w:id="2829" w:name="_Toc38442612"/>
      <w:bookmarkStart w:id="2830" w:name="_Toc38442943"/>
      <w:bookmarkStart w:id="2831" w:name="_Toc38443274"/>
      <w:bookmarkStart w:id="2832" w:name="_Toc38443605"/>
      <w:bookmarkStart w:id="2833" w:name="_Toc38443935"/>
      <w:bookmarkStart w:id="2834" w:name="_Toc38438404"/>
      <w:bookmarkStart w:id="2835" w:name="_Toc38438741"/>
      <w:bookmarkStart w:id="2836" w:name="_Toc38439078"/>
      <w:bookmarkStart w:id="2837" w:name="_Toc38439415"/>
      <w:bookmarkStart w:id="2838" w:name="_Toc38439752"/>
      <w:bookmarkStart w:id="2839" w:name="_Toc38440089"/>
      <w:bookmarkStart w:id="2840" w:name="_Toc38440426"/>
      <w:bookmarkStart w:id="2841" w:name="_Toc38440958"/>
      <w:bookmarkStart w:id="2842" w:name="_Toc38441290"/>
      <w:bookmarkStart w:id="2843" w:name="_Toc38441622"/>
      <w:bookmarkStart w:id="2844" w:name="_Toc38441950"/>
      <w:bookmarkStart w:id="2845" w:name="_Toc38442282"/>
      <w:bookmarkStart w:id="2846" w:name="_Toc38442614"/>
      <w:bookmarkStart w:id="2847" w:name="_Toc38442945"/>
      <w:bookmarkStart w:id="2848" w:name="_Toc38443276"/>
      <w:bookmarkStart w:id="2849" w:name="_Toc38443607"/>
      <w:bookmarkStart w:id="2850" w:name="_Toc38443937"/>
      <w:bookmarkStart w:id="2851" w:name="_Toc38438405"/>
      <w:bookmarkStart w:id="2852" w:name="_Toc38438742"/>
      <w:bookmarkStart w:id="2853" w:name="_Toc38439079"/>
      <w:bookmarkStart w:id="2854" w:name="_Toc38439416"/>
      <w:bookmarkStart w:id="2855" w:name="_Toc38439753"/>
      <w:bookmarkStart w:id="2856" w:name="_Toc38440090"/>
      <w:bookmarkStart w:id="2857" w:name="_Toc38440427"/>
      <w:bookmarkStart w:id="2858" w:name="_Toc38440959"/>
      <w:bookmarkStart w:id="2859" w:name="_Toc38441291"/>
      <w:bookmarkStart w:id="2860" w:name="_Toc38441623"/>
      <w:bookmarkStart w:id="2861" w:name="_Toc38441951"/>
      <w:bookmarkStart w:id="2862" w:name="_Toc38442283"/>
      <w:bookmarkStart w:id="2863" w:name="_Toc38442615"/>
      <w:bookmarkStart w:id="2864" w:name="_Toc38442946"/>
      <w:bookmarkStart w:id="2865" w:name="_Toc38443277"/>
      <w:bookmarkStart w:id="2866" w:name="_Toc38443608"/>
      <w:bookmarkStart w:id="2867" w:name="_Toc38443938"/>
      <w:bookmarkStart w:id="2868" w:name="_Toc38438406"/>
      <w:bookmarkStart w:id="2869" w:name="_Toc38438743"/>
      <w:bookmarkStart w:id="2870" w:name="_Toc38439080"/>
      <w:bookmarkStart w:id="2871" w:name="_Toc38439417"/>
      <w:bookmarkStart w:id="2872" w:name="_Toc38439754"/>
      <w:bookmarkStart w:id="2873" w:name="_Toc38440091"/>
      <w:bookmarkStart w:id="2874" w:name="_Toc38440428"/>
      <w:bookmarkStart w:id="2875" w:name="_Toc38440960"/>
      <w:bookmarkStart w:id="2876" w:name="_Toc38441292"/>
      <w:bookmarkStart w:id="2877" w:name="_Toc38441624"/>
      <w:bookmarkStart w:id="2878" w:name="_Toc38441952"/>
      <w:bookmarkStart w:id="2879" w:name="_Toc38442284"/>
      <w:bookmarkStart w:id="2880" w:name="_Toc38442616"/>
      <w:bookmarkStart w:id="2881" w:name="_Toc38442947"/>
      <w:bookmarkStart w:id="2882" w:name="_Toc38443278"/>
      <w:bookmarkStart w:id="2883" w:name="_Toc38443609"/>
      <w:bookmarkStart w:id="2884" w:name="_Toc38443939"/>
      <w:bookmarkStart w:id="2885" w:name="_Toc38438407"/>
      <w:bookmarkStart w:id="2886" w:name="_Toc38438744"/>
      <w:bookmarkStart w:id="2887" w:name="_Toc38439081"/>
      <w:bookmarkStart w:id="2888" w:name="_Toc38439418"/>
      <w:bookmarkStart w:id="2889" w:name="_Toc38439755"/>
      <w:bookmarkStart w:id="2890" w:name="_Toc38440092"/>
      <w:bookmarkStart w:id="2891" w:name="_Toc38440429"/>
      <w:bookmarkStart w:id="2892" w:name="_Toc38440961"/>
      <w:bookmarkStart w:id="2893" w:name="_Toc38441293"/>
      <w:bookmarkStart w:id="2894" w:name="_Toc38441625"/>
      <w:bookmarkStart w:id="2895" w:name="_Toc38441953"/>
      <w:bookmarkStart w:id="2896" w:name="_Toc38442285"/>
      <w:bookmarkStart w:id="2897" w:name="_Toc38442617"/>
      <w:bookmarkStart w:id="2898" w:name="_Toc38442948"/>
      <w:bookmarkStart w:id="2899" w:name="_Toc38443279"/>
      <w:bookmarkStart w:id="2900" w:name="_Toc38443610"/>
      <w:bookmarkStart w:id="2901" w:name="_Toc38443940"/>
      <w:bookmarkStart w:id="2902" w:name="_Toc38438408"/>
      <w:bookmarkStart w:id="2903" w:name="_Toc38438745"/>
      <w:bookmarkStart w:id="2904" w:name="_Toc38439082"/>
      <w:bookmarkStart w:id="2905" w:name="_Toc38439419"/>
      <w:bookmarkStart w:id="2906" w:name="_Toc38439756"/>
      <w:bookmarkStart w:id="2907" w:name="_Toc38440093"/>
      <w:bookmarkStart w:id="2908" w:name="_Toc38440430"/>
      <w:bookmarkStart w:id="2909" w:name="_Toc38440962"/>
      <w:bookmarkStart w:id="2910" w:name="_Toc38441294"/>
      <w:bookmarkStart w:id="2911" w:name="_Toc38441626"/>
      <w:bookmarkStart w:id="2912" w:name="_Toc38441954"/>
      <w:bookmarkStart w:id="2913" w:name="_Toc38442286"/>
      <w:bookmarkStart w:id="2914" w:name="_Toc38442618"/>
      <w:bookmarkStart w:id="2915" w:name="_Toc38442949"/>
      <w:bookmarkStart w:id="2916" w:name="_Toc38443280"/>
      <w:bookmarkStart w:id="2917" w:name="_Toc38443611"/>
      <w:bookmarkStart w:id="2918" w:name="_Toc38443941"/>
      <w:bookmarkStart w:id="2919" w:name="_Toc38438409"/>
      <w:bookmarkStart w:id="2920" w:name="_Toc38438746"/>
      <w:bookmarkStart w:id="2921" w:name="_Toc38439083"/>
      <w:bookmarkStart w:id="2922" w:name="_Toc38439420"/>
      <w:bookmarkStart w:id="2923" w:name="_Toc38439757"/>
      <w:bookmarkStart w:id="2924" w:name="_Toc38440094"/>
      <w:bookmarkStart w:id="2925" w:name="_Toc38440431"/>
      <w:bookmarkStart w:id="2926" w:name="_Toc38440963"/>
      <w:bookmarkStart w:id="2927" w:name="_Toc38441295"/>
      <w:bookmarkStart w:id="2928" w:name="_Toc38441627"/>
      <w:bookmarkStart w:id="2929" w:name="_Toc38441955"/>
      <w:bookmarkStart w:id="2930" w:name="_Toc38442287"/>
      <w:bookmarkStart w:id="2931" w:name="_Toc38442619"/>
      <w:bookmarkStart w:id="2932" w:name="_Toc38442950"/>
      <w:bookmarkStart w:id="2933" w:name="_Toc38443281"/>
      <w:bookmarkStart w:id="2934" w:name="_Toc38443612"/>
      <w:bookmarkStart w:id="2935" w:name="_Toc38443942"/>
      <w:bookmarkStart w:id="2936" w:name="_Toc38438410"/>
      <w:bookmarkStart w:id="2937" w:name="_Toc38438747"/>
      <w:bookmarkStart w:id="2938" w:name="_Toc38439084"/>
      <w:bookmarkStart w:id="2939" w:name="_Toc38439421"/>
      <w:bookmarkStart w:id="2940" w:name="_Toc38439758"/>
      <w:bookmarkStart w:id="2941" w:name="_Toc38440095"/>
      <w:bookmarkStart w:id="2942" w:name="_Toc38440432"/>
      <w:bookmarkStart w:id="2943" w:name="_Toc38440964"/>
      <w:bookmarkStart w:id="2944" w:name="_Toc38441296"/>
      <w:bookmarkStart w:id="2945" w:name="_Toc38441628"/>
      <w:bookmarkStart w:id="2946" w:name="_Toc38441956"/>
      <w:bookmarkStart w:id="2947" w:name="_Toc38442288"/>
      <w:bookmarkStart w:id="2948" w:name="_Toc38442620"/>
      <w:bookmarkStart w:id="2949" w:name="_Toc38442951"/>
      <w:bookmarkStart w:id="2950" w:name="_Toc38443282"/>
      <w:bookmarkStart w:id="2951" w:name="_Toc38443613"/>
      <w:bookmarkStart w:id="2952" w:name="_Toc38443943"/>
      <w:bookmarkStart w:id="2953" w:name="_Toc38438411"/>
      <w:bookmarkStart w:id="2954" w:name="_Toc38438748"/>
      <w:bookmarkStart w:id="2955" w:name="_Toc38439085"/>
      <w:bookmarkStart w:id="2956" w:name="_Toc38439422"/>
      <w:bookmarkStart w:id="2957" w:name="_Toc38439759"/>
      <w:bookmarkStart w:id="2958" w:name="_Toc38440096"/>
      <w:bookmarkStart w:id="2959" w:name="_Toc38440433"/>
      <w:bookmarkStart w:id="2960" w:name="_Toc38440965"/>
      <w:bookmarkStart w:id="2961" w:name="_Toc38441297"/>
      <w:bookmarkStart w:id="2962" w:name="_Toc38441629"/>
      <w:bookmarkStart w:id="2963" w:name="_Toc38441957"/>
      <w:bookmarkStart w:id="2964" w:name="_Toc38442289"/>
      <w:bookmarkStart w:id="2965" w:name="_Toc38442621"/>
      <w:bookmarkStart w:id="2966" w:name="_Toc38442952"/>
      <w:bookmarkStart w:id="2967" w:name="_Toc38443283"/>
      <w:bookmarkStart w:id="2968" w:name="_Toc38443614"/>
      <w:bookmarkStart w:id="2969" w:name="_Toc38443944"/>
      <w:bookmarkStart w:id="2970" w:name="_Toc38438412"/>
      <w:bookmarkStart w:id="2971" w:name="_Toc38438749"/>
      <w:bookmarkStart w:id="2972" w:name="_Toc38439086"/>
      <w:bookmarkStart w:id="2973" w:name="_Toc38439423"/>
      <w:bookmarkStart w:id="2974" w:name="_Toc38439760"/>
      <w:bookmarkStart w:id="2975" w:name="_Toc38440097"/>
      <w:bookmarkStart w:id="2976" w:name="_Toc38440434"/>
      <w:bookmarkStart w:id="2977" w:name="_Toc38440966"/>
      <w:bookmarkStart w:id="2978" w:name="_Toc38441298"/>
      <w:bookmarkStart w:id="2979" w:name="_Toc38441630"/>
      <w:bookmarkStart w:id="2980" w:name="_Toc38441958"/>
      <w:bookmarkStart w:id="2981" w:name="_Toc38442290"/>
      <w:bookmarkStart w:id="2982" w:name="_Toc38442622"/>
      <w:bookmarkStart w:id="2983" w:name="_Toc38442953"/>
      <w:bookmarkStart w:id="2984" w:name="_Toc38443284"/>
      <w:bookmarkStart w:id="2985" w:name="_Toc38443615"/>
      <w:bookmarkStart w:id="2986" w:name="_Toc38443945"/>
      <w:bookmarkStart w:id="2987" w:name="_Toc38438413"/>
      <w:bookmarkStart w:id="2988" w:name="_Toc38438750"/>
      <w:bookmarkStart w:id="2989" w:name="_Toc38439087"/>
      <w:bookmarkStart w:id="2990" w:name="_Toc38439424"/>
      <w:bookmarkStart w:id="2991" w:name="_Toc38439761"/>
      <w:bookmarkStart w:id="2992" w:name="_Toc38440098"/>
      <w:bookmarkStart w:id="2993" w:name="_Toc38440435"/>
      <w:bookmarkStart w:id="2994" w:name="_Toc38440967"/>
      <w:bookmarkStart w:id="2995" w:name="_Toc38441299"/>
      <w:bookmarkStart w:id="2996" w:name="_Toc38441631"/>
      <w:bookmarkStart w:id="2997" w:name="_Toc38441959"/>
      <w:bookmarkStart w:id="2998" w:name="_Toc38442291"/>
      <w:bookmarkStart w:id="2999" w:name="_Toc38442623"/>
      <w:bookmarkStart w:id="3000" w:name="_Toc38442954"/>
      <w:bookmarkStart w:id="3001" w:name="_Toc38443285"/>
      <w:bookmarkStart w:id="3002" w:name="_Toc38443616"/>
      <w:bookmarkStart w:id="3003" w:name="_Toc38443946"/>
      <w:bookmarkStart w:id="3004" w:name="_Toc38438414"/>
      <w:bookmarkStart w:id="3005" w:name="_Toc38438751"/>
      <w:bookmarkStart w:id="3006" w:name="_Toc38439088"/>
      <w:bookmarkStart w:id="3007" w:name="_Toc38439425"/>
      <w:bookmarkStart w:id="3008" w:name="_Toc38439762"/>
      <w:bookmarkStart w:id="3009" w:name="_Toc38440099"/>
      <w:bookmarkStart w:id="3010" w:name="_Toc38440436"/>
      <w:bookmarkStart w:id="3011" w:name="_Toc38440968"/>
      <w:bookmarkStart w:id="3012" w:name="_Toc38441300"/>
      <w:bookmarkStart w:id="3013" w:name="_Toc38441632"/>
      <w:bookmarkStart w:id="3014" w:name="_Toc38441960"/>
      <w:bookmarkStart w:id="3015" w:name="_Toc38442292"/>
      <w:bookmarkStart w:id="3016" w:name="_Toc38442624"/>
      <w:bookmarkStart w:id="3017" w:name="_Toc38442955"/>
      <w:bookmarkStart w:id="3018" w:name="_Toc38443286"/>
      <w:bookmarkStart w:id="3019" w:name="_Toc38443617"/>
      <w:bookmarkStart w:id="3020" w:name="_Toc38443947"/>
      <w:bookmarkStart w:id="3021" w:name="_Toc38438415"/>
      <w:bookmarkStart w:id="3022" w:name="_Toc38438752"/>
      <w:bookmarkStart w:id="3023" w:name="_Toc38439089"/>
      <w:bookmarkStart w:id="3024" w:name="_Toc38439426"/>
      <w:bookmarkStart w:id="3025" w:name="_Toc38439763"/>
      <w:bookmarkStart w:id="3026" w:name="_Toc38440100"/>
      <w:bookmarkStart w:id="3027" w:name="_Toc38440437"/>
      <w:bookmarkStart w:id="3028" w:name="_Toc38440969"/>
      <w:bookmarkStart w:id="3029" w:name="_Toc38441301"/>
      <w:bookmarkStart w:id="3030" w:name="_Toc38441633"/>
      <w:bookmarkStart w:id="3031" w:name="_Toc38441961"/>
      <w:bookmarkStart w:id="3032" w:name="_Toc38442293"/>
      <w:bookmarkStart w:id="3033" w:name="_Toc38442625"/>
      <w:bookmarkStart w:id="3034" w:name="_Toc38442956"/>
      <w:bookmarkStart w:id="3035" w:name="_Toc38443287"/>
      <w:bookmarkStart w:id="3036" w:name="_Toc38443618"/>
      <w:bookmarkStart w:id="3037" w:name="_Toc38443948"/>
      <w:bookmarkStart w:id="3038" w:name="_Toc38438416"/>
      <w:bookmarkStart w:id="3039" w:name="_Toc38438753"/>
      <w:bookmarkStart w:id="3040" w:name="_Toc38439090"/>
      <w:bookmarkStart w:id="3041" w:name="_Toc38439427"/>
      <w:bookmarkStart w:id="3042" w:name="_Toc38439764"/>
      <w:bookmarkStart w:id="3043" w:name="_Toc38440101"/>
      <w:bookmarkStart w:id="3044" w:name="_Toc38440438"/>
      <w:bookmarkStart w:id="3045" w:name="_Toc38440970"/>
      <w:bookmarkStart w:id="3046" w:name="_Toc38441302"/>
      <w:bookmarkStart w:id="3047" w:name="_Toc38441634"/>
      <w:bookmarkStart w:id="3048" w:name="_Toc38441962"/>
      <w:bookmarkStart w:id="3049" w:name="_Toc38442294"/>
      <w:bookmarkStart w:id="3050" w:name="_Toc38442626"/>
      <w:bookmarkStart w:id="3051" w:name="_Toc38442957"/>
      <w:bookmarkStart w:id="3052" w:name="_Toc38443288"/>
      <w:bookmarkStart w:id="3053" w:name="_Toc38443619"/>
      <w:bookmarkStart w:id="3054" w:name="_Toc38443949"/>
      <w:bookmarkStart w:id="3055" w:name="_Toc38438417"/>
      <w:bookmarkStart w:id="3056" w:name="_Toc38438754"/>
      <w:bookmarkStart w:id="3057" w:name="_Toc38439091"/>
      <w:bookmarkStart w:id="3058" w:name="_Toc38439428"/>
      <w:bookmarkStart w:id="3059" w:name="_Toc38439765"/>
      <w:bookmarkStart w:id="3060" w:name="_Toc38440102"/>
      <w:bookmarkStart w:id="3061" w:name="_Toc38440439"/>
      <w:bookmarkStart w:id="3062" w:name="_Toc38440971"/>
      <w:bookmarkStart w:id="3063" w:name="_Toc38441303"/>
      <w:bookmarkStart w:id="3064" w:name="_Toc38441635"/>
      <w:bookmarkStart w:id="3065" w:name="_Toc38441963"/>
      <w:bookmarkStart w:id="3066" w:name="_Toc38442295"/>
      <w:bookmarkStart w:id="3067" w:name="_Toc38442627"/>
      <w:bookmarkStart w:id="3068" w:name="_Toc38442958"/>
      <w:bookmarkStart w:id="3069" w:name="_Toc38443289"/>
      <w:bookmarkStart w:id="3070" w:name="_Toc38443620"/>
      <w:bookmarkStart w:id="3071" w:name="_Toc38443950"/>
      <w:bookmarkStart w:id="3072" w:name="_Toc38438418"/>
      <w:bookmarkStart w:id="3073" w:name="_Toc38438755"/>
      <w:bookmarkStart w:id="3074" w:name="_Toc38439092"/>
      <w:bookmarkStart w:id="3075" w:name="_Toc38439429"/>
      <w:bookmarkStart w:id="3076" w:name="_Toc38439766"/>
      <w:bookmarkStart w:id="3077" w:name="_Toc38440103"/>
      <w:bookmarkStart w:id="3078" w:name="_Toc38440440"/>
      <w:bookmarkStart w:id="3079" w:name="_Toc38440972"/>
      <w:bookmarkStart w:id="3080" w:name="_Toc38441304"/>
      <w:bookmarkStart w:id="3081" w:name="_Toc38441636"/>
      <w:bookmarkStart w:id="3082" w:name="_Toc38441964"/>
      <w:bookmarkStart w:id="3083" w:name="_Toc38442296"/>
      <w:bookmarkStart w:id="3084" w:name="_Toc38442628"/>
      <w:bookmarkStart w:id="3085" w:name="_Toc38442959"/>
      <w:bookmarkStart w:id="3086" w:name="_Toc38443290"/>
      <w:bookmarkStart w:id="3087" w:name="_Toc38443621"/>
      <w:bookmarkStart w:id="3088" w:name="_Toc38443951"/>
      <w:bookmarkStart w:id="3089" w:name="_Toc38438419"/>
      <w:bookmarkStart w:id="3090" w:name="_Toc38438756"/>
      <w:bookmarkStart w:id="3091" w:name="_Toc38439093"/>
      <w:bookmarkStart w:id="3092" w:name="_Toc38439430"/>
      <w:bookmarkStart w:id="3093" w:name="_Toc38439767"/>
      <w:bookmarkStart w:id="3094" w:name="_Toc38440104"/>
      <w:bookmarkStart w:id="3095" w:name="_Toc38440441"/>
      <w:bookmarkStart w:id="3096" w:name="_Toc38440973"/>
      <w:bookmarkStart w:id="3097" w:name="_Toc38441305"/>
      <w:bookmarkStart w:id="3098" w:name="_Toc38441637"/>
      <w:bookmarkStart w:id="3099" w:name="_Toc38441965"/>
      <w:bookmarkStart w:id="3100" w:name="_Toc38442297"/>
      <w:bookmarkStart w:id="3101" w:name="_Toc38442629"/>
      <w:bookmarkStart w:id="3102" w:name="_Toc38442960"/>
      <w:bookmarkStart w:id="3103" w:name="_Toc38443291"/>
      <w:bookmarkStart w:id="3104" w:name="_Toc38443622"/>
      <w:bookmarkStart w:id="3105" w:name="_Toc38443952"/>
      <w:bookmarkStart w:id="3106" w:name="_Toc38438420"/>
      <w:bookmarkStart w:id="3107" w:name="_Toc38438757"/>
      <w:bookmarkStart w:id="3108" w:name="_Toc38439094"/>
      <w:bookmarkStart w:id="3109" w:name="_Toc38439431"/>
      <w:bookmarkStart w:id="3110" w:name="_Toc38439768"/>
      <w:bookmarkStart w:id="3111" w:name="_Toc38440105"/>
      <w:bookmarkStart w:id="3112" w:name="_Toc38440442"/>
      <w:bookmarkStart w:id="3113" w:name="_Toc38440974"/>
      <w:bookmarkStart w:id="3114" w:name="_Toc38441306"/>
      <w:bookmarkStart w:id="3115" w:name="_Toc38441638"/>
      <w:bookmarkStart w:id="3116" w:name="_Toc38441966"/>
      <w:bookmarkStart w:id="3117" w:name="_Toc38442298"/>
      <w:bookmarkStart w:id="3118" w:name="_Toc38442630"/>
      <w:bookmarkStart w:id="3119" w:name="_Toc38442961"/>
      <w:bookmarkStart w:id="3120" w:name="_Toc38443292"/>
      <w:bookmarkStart w:id="3121" w:name="_Toc38443623"/>
      <w:bookmarkStart w:id="3122" w:name="_Toc38443953"/>
      <w:bookmarkStart w:id="3123" w:name="_Toc38438421"/>
      <w:bookmarkStart w:id="3124" w:name="_Toc38438758"/>
      <w:bookmarkStart w:id="3125" w:name="_Toc38439095"/>
      <w:bookmarkStart w:id="3126" w:name="_Toc38439432"/>
      <w:bookmarkStart w:id="3127" w:name="_Toc38439769"/>
      <w:bookmarkStart w:id="3128" w:name="_Toc38440106"/>
      <w:bookmarkStart w:id="3129" w:name="_Toc38440443"/>
      <w:bookmarkStart w:id="3130" w:name="_Toc38440975"/>
      <w:bookmarkStart w:id="3131" w:name="_Toc38441307"/>
      <w:bookmarkStart w:id="3132" w:name="_Toc38441639"/>
      <w:bookmarkStart w:id="3133" w:name="_Toc38441967"/>
      <w:bookmarkStart w:id="3134" w:name="_Toc38442299"/>
      <w:bookmarkStart w:id="3135" w:name="_Toc38442631"/>
      <w:bookmarkStart w:id="3136" w:name="_Toc38442962"/>
      <w:bookmarkStart w:id="3137" w:name="_Toc38443293"/>
      <w:bookmarkStart w:id="3138" w:name="_Toc38443624"/>
      <w:bookmarkStart w:id="3139" w:name="_Toc38443954"/>
      <w:bookmarkStart w:id="3140" w:name="_Toc38438422"/>
      <w:bookmarkStart w:id="3141" w:name="_Toc38438759"/>
      <w:bookmarkStart w:id="3142" w:name="_Toc38439096"/>
      <w:bookmarkStart w:id="3143" w:name="_Toc38439433"/>
      <w:bookmarkStart w:id="3144" w:name="_Toc38439770"/>
      <w:bookmarkStart w:id="3145" w:name="_Toc38440107"/>
      <w:bookmarkStart w:id="3146" w:name="_Toc38440444"/>
      <w:bookmarkStart w:id="3147" w:name="_Toc38440976"/>
      <w:bookmarkStart w:id="3148" w:name="_Toc38441308"/>
      <w:bookmarkStart w:id="3149" w:name="_Toc38441640"/>
      <w:bookmarkStart w:id="3150" w:name="_Toc38441968"/>
      <w:bookmarkStart w:id="3151" w:name="_Toc38442300"/>
      <w:bookmarkStart w:id="3152" w:name="_Toc38442632"/>
      <w:bookmarkStart w:id="3153" w:name="_Toc38442963"/>
      <w:bookmarkStart w:id="3154" w:name="_Toc38443294"/>
      <w:bookmarkStart w:id="3155" w:name="_Toc38443625"/>
      <w:bookmarkStart w:id="3156" w:name="_Toc38443955"/>
      <w:bookmarkStart w:id="3157" w:name="_Toc38438423"/>
      <w:bookmarkStart w:id="3158" w:name="_Toc38438760"/>
      <w:bookmarkStart w:id="3159" w:name="_Toc38439097"/>
      <w:bookmarkStart w:id="3160" w:name="_Toc38439434"/>
      <w:bookmarkStart w:id="3161" w:name="_Toc38439771"/>
      <w:bookmarkStart w:id="3162" w:name="_Toc38440108"/>
      <w:bookmarkStart w:id="3163" w:name="_Toc38440445"/>
      <w:bookmarkStart w:id="3164" w:name="_Toc38440977"/>
      <w:bookmarkStart w:id="3165" w:name="_Toc38441309"/>
      <w:bookmarkStart w:id="3166" w:name="_Toc38441641"/>
      <w:bookmarkStart w:id="3167" w:name="_Toc38441969"/>
      <w:bookmarkStart w:id="3168" w:name="_Toc38442301"/>
      <w:bookmarkStart w:id="3169" w:name="_Toc38442633"/>
      <w:bookmarkStart w:id="3170" w:name="_Toc38442964"/>
      <w:bookmarkStart w:id="3171" w:name="_Toc38443295"/>
      <w:bookmarkStart w:id="3172" w:name="_Toc38443626"/>
      <w:bookmarkStart w:id="3173" w:name="_Toc38443956"/>
      <w:bookmarkStart w:id="3174" w:name="_Toc38438424"/>
      <w:bookmarkStart w:id="3175" w:name="_Toc38438761"/>
      <w:bookmarkStart w:id="3176" w:name="_Toc38439098"/>
      <w:bookmarkStart w:id="3177" w:name="_Toc38439435"/>
      <w:bookmarkStart w:id="3178" w:name="_Toc38439772"/>
      <w:bookmarkStart w:id="3179" w:name="_Toc38440109"/>
      <w:bookmarkStart w:id="3180" w:name="_Toc38440446"/>
      <w:bookmarkStart w:id="3181" w:name="_Toc38440978"/>
      <w:bookmarkStart w:id="3182" w:name="_Toc38441310"/>
      <w:bookmarkStart w:id="3183" w:name="_Toc38441642"/>
      <w:bookmarkStart w:id="3184" w:name="_Toc38441970"/>
      <w:bookmarkStart w:id="3185" w:name="_Toc38442302"/>
      <w:bookmarkStart w:id="3186" w:name="_Toc38442634"/>
      <w:bookmarkStart w:id="3187" w:name="_Toc38442965"/>
      <w:bookmarkStart w:id="3188" w:name="_Toc38443296"/>
      <w:bookmarkStart w:id="3189" w:name="_Toc38443627"/>
      <w:bookmarkStart w:id="3190" w:name="_Toc38443957"/>
      <w:bookmarkStart w:id="3191" w:name="_Toc38438425"/>
      <w:bookmarkStart w:id="3192" w:name="_Toc38438762"/>
      <w:bookmarkStart w:id="3193" w:name="_Toc38439099"/>
      <w:bookmarkStart w:id="3194" w:name="_Toc38439436"/>
      <w:bookmarkStart w:id="3195" w:name="_Toc38439773"/>
      <w:bookmarkStart w:id="3196" w:name="_Toc38440110"/>
      <w:bookmarkStart w:id="3197" w:name="_Toc38440447"/>
      <w:bookmarkStart w:id="3198" w:name="_Toc38440979"/>
      <w:bookmarkStart w:id="3199" w:name="_Toc38441311"/>
      <w:bookmarkStart w:id="3200" w:name="_Toc38441643"/>
      <w:bookmarkStart w:id="3201" w:name="_Toc38441971"/>
      <w:bookmarkStart w:id="3202" w:name="_Toc38442303"/>
      <w:bookmarkStart w:id="3203" w:name="_Toc38442635"/>
      <w:bookmarkStart w:id="3204" w:name="_Toc38442966"/>
      <w:bookmarkStart w:id="3205" w:name="_Toc38443297"/>
      <w:bookmarkStart w:id="3206" w:name="_Toc38443628"/>
      <w:bookmarkStart w:id="3207" w:name="_Toc38443958"/>
      <w:bookmarkStart w:id="3208" w:name="_Toc38438426"/>
      <w:bookmarkStart w:id="3209" w:name="_Toc38438763"/>
      <w:bookmarkStart w:id="3210" w:name="_Toc38439100"/>
      <w:bookmarkStart w:id="3211" w:name="_Toc38439437"/>
      <w:bookmarkStart w:id="3212" w:name="_Toc38439774"/>
      <w:bookmarkStart w:id="3213" w:name="_Toc38440111"/>
      <w:bookmarkStart w:id="3214" w:name="_Toc38440448"/>
      <w:bookmarkStart w:id="3215" w:name="_Toc38440980"/>
      <w:bookmarkStart w:id="3216" w:name="_Toc38441312"/>
      <w:bookmarkStart w:id="3217" w:name="_Toc38441644"/>
      <w:bookmarkStart w:id="3218" w:name="_Toc38441972"/>
      <w:bookmarkStart w:id="3219" w:name="_Toc38442304"/>
      <w:bookmarkStart w:id="3220" w:name="_Toc38442636"/>
      <w:bookmarkStart w:id="3221" w:name="_Toc38442967"/>
      <w:bookmarkStart w:id="3222" w:name="_Toc38443298"/>
      <w:bookmarkStart w:id="3223" w:name="_Toc38443629"/>
      <w:bookmarkStart w:id="3224" w:name="_Toc38443959"/>
      <w:bookmarkStart w:id="3225" w:name="_Toc38438427"/>
      <w:bookmarkStart w:id="3226" w:name="_Toc38438764"/>
      <w:bookmarkStart w:id="3227" w:name="_Toc38439101"/>
      <w:bookmarkStart w:id="3228" w:name="_Toc38439438"/>
      <w:bookmarkStart w:id="3229" w:name="_Toc38439775"/>
      <w:bookmarkStart w:id="3230" w:name="_Toc38440112"/>
      <w:bookmarkStart w:id="3231" w:name="_Toc38440449"/>
      <w:bookmarkStart w:id="3232" w:name="_Toc38440981"/>
      <w:bookmarkStart w:id="3233" w:name="_Toc38441313"/>
      <w:bookmarkStart w:id="3234" w:name="_Toc38441645"/>
      <w:bookmarkStart w:id="3235" w:name="_Toc38441973"/>
      <w:bookmarkStart w:id="3236" w:name="_Toc38442305"/>
      <w:bookmarkStart w:id="3237" w:name="_Toc38442637"/>
      <w:bookmarkStart w:id="3238" w:name="_Toc38442968"/>
      <w:bookmarkStart w:id="3239" w:name="_Toc38443299"/>
      <w:bookmarkStart w:id="3240" w:name="_Toc38443630"/>
      <w:bookmarkStart w:id="3241" w:name="_Toc38443960"/>
      <w:bookmarkStart w:id="3242" w:name="_Toc38438428"/>
      <w:bookmarkStart w:id="3243" w:name="_Toc38438765"/>
      <w:bookmarkStart w:id="3244" w:name="_Toc38439102"/>
      <w:bookmarkStart w:id="3245" w:name="_Toc38439439"/>
      <w:bookmarkStart w:id="3246" w:name="_Toc38439776"/>
      <w:bookmarkStart w:id="3247" w:name="_Toc38440113"/>
      <w:bookmarkStart w:id="3248" w:name="_Toc38440450"/>
      <w:bookmarkStart w:id="3249" w:name="_Toc38440982"/>
      <w:bookmarkStart w:id="3250" w:name="_Toc38441314"/>
      <w:bookmarkStart w:id="3251" w:name="_Toc38441646"/>
      <w:bookmarkStart w:id="3252" w:name="_Toc38441974"/>
      <w:bookmarkStart w:id="3253" w:name="_Toc38442306"/>
      <w:bookmarkStart w:id="3254" w:name="_Toc38442638"/>
      <w:bookmarkStart w:id="3255" w:name="_Toc38442969"/>
      <w:bookmarkStart w:id="3256" w:name="_Toc38443300"/>
      <w:bookmarkStart w:id="3257" w:name="_Toc38443631"/>
      <w:bookmarkStart w:id="3258" w:name="_Toc38443961"/>
      <w:bookmarkStart w:id="3259" w:name="_Toc38438429"/>
      <w:bookmarkStart w:id="3260" w:name="_Toc38438766"/>
      <w:bookmarkStart w:id="3261" w:name="_Toc38439103"/>
      <w:bookmarkStart w:id="3262" w:name="_Toc38439440"/>
      <w:bookmarkStart w:id="3263" w:name="_Toc38439777"/>
      <w:bookmarkStart w:id="3264" w:name="_Toc38440114"/>
      <w:bookmarkStart w:id="3265" w:name="_Toc38440451"/>
      <w:bookmarkStart w:id="3266" w:name="_Toc38440983"/>
      <w:bookmarkStart w:id="3267" w:name="_Toc38441315"/>
      <w:bookmarkStart w:id="3268" w:name="_Toc38441647"/>
      <w:bookmarkStart w:id="3269" w:name="_Toc38441975"/>
      <w:bookmarkStart w:id="3270" w:name="_Toc38442307"/>
      <w:bookmarkStart w:id="3271" w:name="_Toc38442639"/>
      <w:bookmarkStart w:id="3272" w:name="_Toc38442970"/>
      <w:bookmarkStart w:id="3273" w:name="_Toc38443301"/>
      <w:bookmarkStart w:id="3274" w:name="_Toc38443632"/>
      <w:bookmarkStart w:id="3275" w:name="_Toc38443962"/>
      <w:bookmarkStart w:id="3276" w:name="_Toc38438430"/>
      <w:bookmarkStart w:id="3277" w:name="_Toc38438767"/>
      <w:bookmarkStart w:id="3278" w:name="_Toc38439104"/>
      <w:bookmarkStart w:id="3279" w:name="_Toc38439441"/>
      <w:bookmarkStart w:id="3280" w:name="_Toc38439778"/>
      <w:bookmarkStart w:id="3281" w:name="_Toc38440115"/>
      <w:bookmarkStart w:id="3282" w:name="_Toc38440452"/>
      <w:bookmarkStart w:id="3283" w:name="_Toc38440984"/>
      <w:bookmarkStart w:id="3284" w:name="_Toc38441316"/>
      <w:bookmarkStart w:id="3285" w:name="_Toc38441648"/>
      <w:bookmarkStart w:id="3286" w:name="_Toc38441976"/>
      <w:bookmarkStart w:id="3287" w:name="_Toc38442308"/>
      <w:bookmarkStart w:id="3288" w:name="_Toc38442640"/>
      <w:bookmarkStart w:id="3289" w:name="_Toc38442971"/>
      <w:bookmarkStart w:id="3290" w:name="_Toc38443302"/>
      <w:bookmarkStart w:id="3291" w:name="_Toc38443633"/>
      <w:bookmarkStart w:id="3292" w:name="_Toc38443963"/>
      <w:bookmarkStart w:id="3293" w:name="_Toc38438431"/>
      <w:bookmarkStart w:id="3294" w:name="_Toc38438768"/>
      <w:bookmarkStart w:id="3295" w:name="_Toc38439105"/>
      <w:bookmarkStart w:id="3296" w:name="_Toc38439442"/>
      <w:bookmarkStart w:id="3297" w:name="_Toc38439779"/>
      <w:bookmarkStart w:id="3298" w:name="_Toc38440116"/>
      <w:bookmarkStart w:id="3299" w:name="_Toc38440453"/>
      <w:bookmarkStart w:id="3300" w:name="_Toc38440985"/>
      <w:bookmarkStart w:id="3301" w:name="_Toc38441317"/>
      <w:bookmarkStart w:id="3302" w:name="_Toc38441649"/>
      <w:bookmarkStart w:id="3303" w:name="_Toc38441977"/>
      <w:bookmarkStart w:id="3304" w:name="_Toc38442309"/>
      <w:bookmarkStart w:id="3305" w:name="_Toc38442641"/>
      <w:bookmarkStart w:id="3306" w:name="_Toc38442972"/>
      <w:bookmarkStart w:id="3307" w:name="_Toc38443303"/>
      <w:bookmarkStart w:id="3308" w:name="_Toc38443634"/>
      <w:bookmarkStart w:id="3309" w:name="_Toc38443964"/>
      <w:bookmarkStart w:id="3310" w:name="_Toc38438432"/>
      <w:bookmarkStart w:id="3311" w:name="_Toc38438769"/>
      <w:bookmarkStart w:id="3312" w:name="_Toc38439106"/>
      <w:bookmarkStart w:id="3313" w:name="_Toc38439443"/>
      <w:bookmarkStart w:id="3314" w:name="_Toc38439780"/>
      <w:bookmarkStart w:id="3315" w:name="_Toc38440117"/>
      <w:bookmarkStart w:id="3316" w:name="_Toc38440454"/>
      <w:bookmarkStart w:id="3317" w:name="_Toc38440986"/>
      <w:bookmarkStart w:id="3318" w:name="_Toc38441318"/>
      <w:bookmarkStart w:id="3319" w:name="_Toc38441650"/>
      <w:bookmarkStart w:id="3320" w:name="_Toc38441978"/>
      <w:bookmarkStart w:id="3321" w:name="_Toc38442310"/>
      <w:bookmarkStart w:id="3322" w:name="_Toc38442642"/>
      <w:bookmarkStart w:id="3323" w:name="_Toc38442973"/>
      <w:bookmarkStart w:id="3324" w:name="_Toc38443304"/>
      <w:bookmarkStart w:id="3325" w:name="_Toc38443635"/>
      <w:bookmarkStart w:id="3326" w:name="_Toc38443965"/>
      <w:bookmarkStart w:id="3327" w:name="_Toc38438433"/>
      <w:bookmarkStart w:id="3328" w:name="_Toc38438770"/>
      <w:bookmarkStart w:id="3329" w:name="_Toc38439107"/>
      <w:bookmarkStart w:id="3330" w:name="_Toc38439444"/>
      <w:bookmarkStart w:id="3331" w:name="_Toc38439781"/>
      <w:bookmarkStart w:id="3332" w:name="_Toc38440118"/>
      <w:bookmarkStart w:id="3333" w:name="_Toc38440455"/>
      <w:bookmarkStart w:id="3334" w:name="_Toc38440987"/>
      <w:bookmarkStart w:id="3335" w:name="_Toc38441319"/>
      <w:bookmarkStart w:id="3336" w:name="_Toc38441651"/>
      <w:bookmarkStart w:id="3337" w:name="_Toc38441979"/>
      <w:bookmarkStart w:id="3338" w:name="_Toc38442311"/>
      <w:bookmarkStart w:id="3339" w:name="_Toc38442643"/>
      <w:bookmarkStart w:id="3340" w:name="_Toc38442974"/>
      <w:bookmarkStart w:id="3341" w:name="_Toc38443305"/>
      <w:bookmarkStart w:id="3342" w:name="_Toc38443636"/>
      <w:bookmarkStart w:id="3343" w:name="_Toc38443966"/>
      <w:bookmarkStart w:id="3344" w:name="_Toc38438434"/>
      <w:bookmarkStart w:id="3345" w:name="_Toc38438771"/>
      <w:bookmarkStart w:id="3346" w:name="_Toc38439108"/>
      <w:bookmarkStart w:id="3347" w:name="_Toc38439445"/>
      <w:bookmarkStart w:id="3348" w:name="_Toc38439782"/>
      <w:bookmarkStart w:id="3349" w:name="_Toc38440119"/>
      <w:bookmarkStart w:id="3350" w:name="_Toc38440456"/>
      <w:bookmarkStart w:id="3351" w:name="_Toc38440988"/>
      <w:bookmarkStart w:id="3352" w:name="_Toc38441320"/>
      <w:bookmarkStart w:id="3353" w:name="_Toc38441652"/>
      <w:bookmarkStart w:id="3354" w:name="_Toc38441980"/>
      <w:bookmarkStart w:id="3355" w:name="_Toc38442312"/>
      <w:bookmarkStart w:id="3356" w:name="_Toc38442644"/>
      <w:bookmarkStart w:id="3357" w:name="_Toc38442975"/>
      <w:bookmarkStart w:id="3358" w:name="_Toc38443306"/>
      <w:bookmarkStart w:id="3359" w:name="_Toc38443637"/>
      <w:bookmarkStart w:id="3360" w:name="_Toc38443967"/>
      <w:bookmarkStart w:id="3361" w:name="_Toc38438435"/>
      <w:bookmarkStart w:id="3362" w:name="_Toc38438772"/>
      <w:bookmarkStart w:id="3363" w:name="_Toc38439109"/>
      <w:bookmarkStart w:id="3364" w:name="_Toc38439446"/>
      <w:bookmarkStart w:id="3365" w:name="_Toc38439783"/>
      <w:bookmarkStart w:id="3366" w:name="_Toc38440120"/>
      <w:bookmarkStart w:id="3367" w:name="_Toc38440457"/>
      <w:bookmarkStart w:id="3368" w:name="_Toc38440989"/>
      <w:bookmarkStart w:id="3369" w:name="_Toc38441321"/>
      <w:bookmarkStart w:id="3370" w:name="_Toc38441653"/>
      <w:bookmarkStart w:id="3371" w:name="_Toc38441981"/>
      <w:bookmarkStart w:id="3372" w:name="_Toc38442313"/>
      <w:bookmarkStart w:id="3373" w:name="_Toc38442645"/>
      <w:bookmarkStart w:id="3374" w:name="_Toc38442976"/>
      <w:bookmarkStart w:id="3375" w:name="_Toc38443307"/>
      <w:bookmarkStart w:id="3376" w:name="_Toc38443638"/>
      <w:bookmarkStart w:id="3377" w:name="_Toc38443968"/>
      <w:bookmarkStart w:id="3378" w:name="_Toc38438436"/>
      <w:bookmarkStart w:id="3379" w:name="_Toc38438773"/>
      <w:bookmarkStart w:id="3380" w:name="_Toc38439110"/>
      <w:bookmarkStart w:id="3381" w:name="_Toc38439447"/>
      <w:bookmarkStart w:id="3382" w:name="_Toc38439784"/>
      <w:bookmarkStart w:id="3383" w:name="_Toc38440121"/>
      <w:bookmarkStart w:id="3384" w:name="_Toc38440458"/>
      <w:bookmarkStart w:id="3385" w:name="_Toc38440990"/>
      <w:bookmarkStart w:id="3386" w:name="_Toc38441322"/>
      <w:bookmarkStart w:id="3387" w:name="_Toc38441654"/>
      <w:bookmarkStart w:id="3388" w:name="_Toc38441982"/>
      <w:bookmarkStart w:id="3389" w:name="_Toc38442314"/>
      <w:bookmarkStart w:id="3390" w:name="_Toc38442646"/>
      <w:bookmarkStart w:id="3391" w:name="_Toc38442977"/>
      <w:bookmarkStart w:id="3392" w:name="_Toc38443308"/>
      <w:bookmarkStart w:id="3393" w:name="_Toc38443639"/>
      <w:bookmarkStart w:id="3394" w:name="_Toc38443969"/>
      <w:bookmarkStart w:id="3395" w:name="_Toc38438437"/>
      <w:bookmarkStart w:id="3396" w:name="_Toc38438774"/>
      <w:bookmarkStart w:id="3397" w:name="_Toc38439111"/>
      <w:bookmarkStart w:id="3398" w:name="_Toc38439448"/>
      <w:bookmarkStart w:id="3399" w:name="_Toc38439785"/>
      <w:bookmarkStart w:id="3400" w:name="_Toc38440122"/>
      <w:bookmarkStart w:id="3401" w:name="_Toc38440459"/>
      <w:bookmarkStart w:id="3402" w:name="_Toc38440991"/>
      <w:bookmarkStart w:id="3403" w:name="_Toc38441323"/>
      <w:bookmarkStart w:id="3404" w:name="_Toc38441655"/>
      <w:bookmarkStart w:id="3405" w:name="_Toc38441983"/>
      <w:bookmarkStart w:id="3406" w:name="_Toc38442315"/>
      <w:bookmarkStart w:id="3407" w:name="_Toc38442647"/>
      <w:bookmarkStart w:id="3408" w:name="_Toc38442978"/>
      <w:bookmarkStart w:id="3409" w:name="_Toc38443309"/>
      <w:bookmarkStart w:id="3410" w:name="_Toc38443640"/>
      <w:bookmarkStart w:id="3411" w:name="_Toc38443970"/>
      <w:bookmarkStart w:id="3412" w:name="_Toc38438438"/>
      <w:bookmarkStart w:id="3413" w:name="_Toc38438775"/>
      <w:bookmarkStart w:id="3414" w:name="_Toc38439112"/>
      <w:bookmarkStart w:id="3415" w:name="_Toc38439449"/>
      <w:bookmarkStart w:id="3416" w:name="_Toc38439786"/>
      <w:bookmarkStart w:id="3417" w:name="_Toc38440123"/>
      <w:bookmarkStart w:id="3418" w:name="_Toc38440460"/>
      <w:bookmarkStart w:id="3419" w:name="_Toc38440992"/>
      <w:bookmarkStart w:id="3420" w:name="_Toc38441324"/>
      <w:bookmarkStart w:id="3421" w:name="_Toc38441656"/>
      <w:bookmarkStart w:id="3422" w:name="_Toc38441984"/>
      <w:bookmarkStart w:id="3423" w:name="_Toc38442316"/>
      <w:bookmarkStart w:id="3424" w:name="_Toc38442648"/>
      <w:bookmarkStart w:id="3425" w:name="_Toc38442979"/>
      <w:bookmarkStart w:id="3426" w:name="_Toc38443310"/>
      <w:bookmarkStart w:id="3427" w:name="_Toc38443641"/>
      <w:bookmarkStart w:id="3428" w:name="_Toc38443971"/>
      <w:bookmarkStart w:id="3429" w:name="_Toc38438439"/>
      <w:bookmarkStart w:id="3430" w:name="_Toc38438776"/>
      <w:bookmarkStart w:id="3431" w:name="_Toc38439113"/>
      <w:bookmarkStart w:id="3432" w:name="_Toc38439450"/>
      <w:bookmarkStart w:id="3433" w:name="_Toc38439787"/>
      <w:bookmarkStart w:id="3434" w:name="_Toc38440124"/>
      <w:bookmarkStart w:id="3435" w:name="_Toc38440461"/>
      <w:bookmarkStart w:id="3436" w:name="_Toc38440993"/>
      <w:bookmarkStart w:id="3437" w:name="_Toc38441325"/>
      <w:bookmarkStart w:id="3438" w:name="_Toc38441657"/>
      <w:bookmarkStart w:id="3439" w:name="_Toc38441985"/>
      <w:bookmarkStart w:id="3440" w:name="_Toc38442317"/>
      <w:bookmarkStart w:id="3441" w:name="_Toc38442649"/>
      <w:bookmarkStart w:id="3442" w:name="_Toc38442980"/>
      <w:bookmarkStart w:id="3443" w:name="_Toc38443311"/>
      <w:bookmarkStart w:id="3444" w:name="_Toc38443642"/>
      <w:bookmarkStart w:id="3445" w:name="_Toc38443972"/>
      <w:bookmarkStart w:id="3446" w:name="_Toc38438440"/>
      <w:bookmarkStart w:id="3447" w:name="_Toc38438777"/>
      <w:bookmarkStart w:id="3448" w:name="_Toc38439114"/>
      <w:bookmarkStart w:id="3449" w:name="_Toc38439451"/>
      <w:bookmarkStart w:id="3450" w:name="_Toc38439788"/>
      <w:bookmarkStart w:id="3451" w:name="_Toc38440125"/>
      <w:bookmarkStart w:id="3452" w:name="_Toc38440462"/>
      <w:bookmarkStart w:id="3453" w:name="_Toc38440994"/>
      <w:bookmarkStart w:id="3454" w:name="_Toc38441326"/>
      <w:bookmarkStart w:id="3455" w:name="_Toc38441658"/>
      <w:bookmarkStart w:id="3456" w:name="_Toc38441986"/>
      <w:bookmarkStart w:id="3457" w:name="_Toc38442318"/>
      <w:bookmarkStart w:id="3458" w:name="_Toc38442650"/>
      <w:bookmarkStart w:id="3459" w:name="_Toc38442981"/>
      <w:bookmarkStart w:id="3460" w:name="_Toc38443312"/>
      <w:bookmarkStart w:id="3461" w:name="_Toc38443643"/>
      <w:bookmarkStart w:id="3462" w:name="_Toc38443973"/>
      <w:bookmarkStart w:id="3463" w:name="_Toc38438441"/>
      <w:bookmarkStart w:id="3464" w:name="_Toc38438778"/>
      <w:bookmarkStart w:id="3465" w:name="_Toc38439115"/>
      <w:bookmarkStart w:id="3466" w:name="_Toc38439452"/>
      <w:bookmarkStart w:id="3467" w:name="_Toc38439789"/>
      <w:bookmarkStart w:id="3468" w:name="_Toc38440126"/>
      <w:bookmarkStart w:id="3469" w:name="_Toc38440463"/>
      <w:bookmarkStart w:id="3470" w:name="_Toc38440995"/>
      <w:bookmarkStart w:id="3471" w:name="_Toc38441327"/>
      <w:bookmarkStart w:id="3472" w:name="_Toc38441659"/>
      <w:bookmarkStart w:id="3473" w:name="_Toc38441987"/>
      <w:bookmarkStart w:id="3474" w:name="_Toc38442319"/>
      <w:bookmarkStart w:id="3475" w:name="_Toc38442651"/>
      <w:bookmarkStart w:id="3476" w:name="_Toc38442982"/>
      <w:bookmarkStart w:id="3477" w:name="_Toc38443313"/>
      <w:bookmarkStart w:id="3478" w:name="_Toc38443644"/>
      <w:bookmarkStart w:id="3479" w:name="_Toc38443974"/>
      <w:bookmarkStart w:id="3480" w:name="_Toc38438442"/>
      <w:bookmarkStart w:id="3481" w:name="_Toc38438779"/>
      <w:bookmarkStart w:id="3482" w:name="_Toc38439116"/>
      <w:bookmarkStart w:id="3483" w:name="_Toc38439453"/>
      <w:bookmarkStart w:id="3484" w:name="_Toc38439790"/>
      <w:bookmarkStart w:id="3485" w:name="_Toc38440127"/>
      <w:bookmarkStart w:id="3486" w:name="_Toc38440464"/>
      <w:bookmarkStart w:id="3487" w:name="_Toc38440996"/>
      <w:bookmarkStart w:id="3488" w:name="_Toc38441328"/>
      <w:bookmarkStart w:id="3489" w:name="_Toc38441660"/>
      <w:bookmarkStart w:id="3490" w:name="_Toc38441988"/>
      <w:bookmarkStart w:id="3491" w:name="_Toc38442320"/>
      <w:bookmarkStart w:id="3492" w:name="_Toc38442652"/>
      <w:bookmarkStart w:id="3493" w:name="_Toc38442983"/>
      <w:bookmarkStart w:id="3494" w:name="_Toc38443314"/>
      <w:bookmarkStart w:id="3495" w:name="_Toc38443645"/>
      <w:bookmarkStart w:id="3496" w:name="_Toc38443975"/>
      <w:bookmarkStart w:id="3497" w:name="_Toc38438443"/>
      <w:bookmarkStart w:id="3498" w:name="_Toc38438780"/>
      <w:bookmarkStart w:id="3499" w:name="_Toc38439117"/>
      <w:bookmarkStart w:id="3500" w:name="_Toc38439454"/>
      <w:bookmarkStart w:id="3501" w:name="_Toc38439791"/>
      <w:bookmarkStart w:id="3502" w:name="_Toc38440128"/>
      <w:bookmarkStart w:id="3503" w:name="_Toc38440465"/>
      <w:bookmarkStart w:id="3504" w:name="_Toc38440997"/>
      <w:bookmarkStart w:id="3505" w:name="_Toc38441329"/>
      <w:bookmarkStart w:id="3506" w:name="_Toc38441661"/>
      <w:bookmarkStart w:id="3507" w:name="_Toc38441989"/>
      <w:bookmarkStart w:id="3508" w:name="_Toc38442321"/>
      <w:bookmarkStart w:id="3509" w:name="_Toc38442653"/>
      <w:bookmarkStart w:id="3510" w:name="_Toc38442984"/>
      <w:bookmarkStart w:id="3511" w:name="_Toc38443315"/>
      <w:bookmarkStart w:id="3512" w:name="_Toc38443646"/>
      <w:bookmarkStart w:id="3513" w:name="_Toc38443976"/>
      <w:bookmarkStart w:id="3514" w:name="_Toc38438444"/>
      <w:bookmarkStart w:id="3515" w:name="_Toc38438781"/>
      <w:bookmarkStart w:id="3516" w:name="_Toc38439118"/>
      <w:bookmarkStart w:id="3517" w:name="_Toc38439455"/>
      <w:bookmarkStart w:id="3518" w:name="_Toc38439792"/>
      <w:bookmarkStart w:id="3519" w:name="_Toc38440129"/>
      <w:bookmarkStart w:id="3520" w:name="_Toc38440466"/>
      <w:bookmarkStart w:id="3521" w:name="_Toc38440998"/>
      <w:bookmarkStart w:id="3522" w:name="_Toc38441330"/>
      <w:bookmarkStart w:id="3523" w:name="_Toc38441662"/>
      <w:bookmarkStart w:id="3524" w:name="_Toc38441990"/>
      <w:bookmarkStart w:id="3525" w:name="_Toc38442322"/>
      <w:bookmarkStart w:id="3526" w:name="_Toc38442654"/>
      <w:bookmarkStart w:id="3527" w:name="_Toc38442985"/>
      <w:bookmarkStart w:id="3528" w:name="_Toc38443316"/>
      <w:bookmarkStart w:id="3529" w:name="_Toc38443647"/>
      <w:bookmarkStart w:id="3530" w:name="_Toc38443977"/>
      <w:bookmarkStart w:id="3531" w:name="_Toc38438445"/>
      <w:bookmarkStart w:id="3532" w:name="_Toc38438782"/>
      <w:bookmarkStart w:id="3533" w:name="_Toc38439119"/>
      <w:bookmarkStart w:id="3534" w:name="_Toc38439456"/>
      <w:bookmarkStart w:id="3535" w:name="_Toc38439793"/>
      <w:bookmarkStart w:id="3536" w:name="_Toc38440130"/>
      <w:bookmarkStart w:id="3537" w:name="_Toc38440467"/>
      <w:bookmarkStart w:id="3538" w:name="_Toc38440999"/>
      <w:bookmarkStart w:id="3539" w:name="_Toc38441331"/>
      <w:bookmarkStart w:id="3540" w:name="_Toc38441663"/>
      <w:bookmarkStart w:id="3541" w:name="_Toc38441991"/>
      <w:bookmarkStart w:id="3542" w:name="_Toc38442323"/>
      <w:bookmarkStart w:id="3543" w:name="_Toc38442655"/>
      <w:bookmarkStart w:id="3544" w:name="_Toc38442986"/>
      <w:bookmarkStart w:id="3545" w:name="_Toc38443317"/>
      <w:bookmarkStart w:id="3546" w:name="_Toc38443648"/>
      <w:bookmarkStart w:id="3547" w:name="_Toc38443978"/>
      <w:bookmarkStart w:id="3548" w:name="_Toc38438446"/>
      <w:bookmarkStart w:id="3549" w:name="_Toc38438783"/>
      <w:bookmarkStart w:id="3550" w:name="_Toc38439120"/>
      <w:bookmarkStart w:id="3551" w:name="_Toc38439457"/>
      <w:bookmarkStart w:id="3552" w:name="_Toc38439794"/>
      <w:bookmarkStart w:id="3553" w:name="_Toc38440131"/>
      <w:bookmarkStart w:id="3554" w:name="_Toc38440468"/>
      <w:bookmarkStart w:id="3555" w:name="_Toc38441000"/>
      <w:bookmarkStart w:id="3556" w:name="_Toc38441332"/>
      <w:bookmarkStart w:id="3557" w:name="_Toc38441664"/>
      <w:bookmarkStart w:id="3558" w:name="_Toc38441992"/>
      <w:bookmarkStart w:id="3559" w:name="_Toc38442324"/>
      <w:bookmarkStart w:id="3560" w:name="_Toc38442656"/>
      <w:bookmarkStart w:id="3561" w:name="_Toc38442987"/>
      <w:bookmarkStart w:id="3562" w:name="_Toc38443318"/>
      <w:bookmarkStart w:id="3563" w:name="_Toc38443649"/>
      <w:bookmarkStart w:id="3564" w:name="_Toc38443979"/>
      <w:bookmarkStart w:id="3565" w:name="_Toc38438447"/>
      <w:bookmarkStart w:id="3566" w:name="_Toc38438784"/>
      <w:bookmarkStart w:id="3567" w:name="_Toc38439121"/>
      <w:bookmarkStart w:id="3568" w:name="_Toc38439458"/>
      <w:bookmarkStart w:id="3569" w:name="_Toc38439795"/>
      <w:bookmarkStart w:id="3570" w:name="_Toc38440132"/>
      <w:bookmarkStart w:id="3571" w:name="_Toc38440469"/>
      <w:bookmarkStart w:id="3572" w:name="_Toc38441001"/>
      <w:bookmarkStart w:id="3573" w:name="_Toc38441333"/>
      <w:bookmarkStart w:id="3574" w:name="_Toc38441665"/>
      <w:bookmarkStart w:id="3575" w:name="_Toc38441993"/>
      <w:bookmarkStart w:id="3576" w:name="_Toc38442325"/>
      <w:bookmarkStart w:id="3577" w:name="_Toc38442657"/>
      <w:bookmarkStart w:id="3578" w:name="_Toc38442988"/>
      <w:bookmarkStart w:id="3579" w:name="_Toc38443319"/>
      <w:bookmarkStart w:id="3580" w:name="_Toc38443650"/>
      <w:bookmarkStart w:id="3581" w:name="_Toc38443980"/>
      <w:bookmarkStart w:id="3582" w:name="_Toc38438448"/>
      <w:bookmarkStart w:id="3583" w:name="_Toc38438785"/>
      <w:bookmarkStart w:id="3584" w:name="_Toc38439122"/>
      <w:bookmarkStart w:id="3585" w:name="_Toc38439459"/>
      <w:bookmarkStart w:id="3586" w:name="_Toc38439796"/>
      <w:bookmarkStart w:id="3587" w:name="_Toc38440133"/>
      <w:bookmarkStart w:id="3588" w:name="_Toc38440470"/>
      <w:bookmarkStart w:id="3589" w:name="_Toc38441002"/>
      <w:bookmarkStart w:id="3590" w:name="_Toc38441334"/>
      <w:bookmarkStart w:id="3591" w:name="_Toc38441666"/>
      <w:bookmarkStart w:id="3592" w:name="_Toc38441994"/>
      <w:bookmarkStart w:id="3593" w:name="_Toc38442326"/>
      <w:bookmarkStart w:id="3594" w:name="_Toc38442658"/>
      <w:bookmarkStart w:id="3595" w:name="_Toc38442989"/>
      <w:bookmarkStart w:id="3596" w:name="_Toc38443320"/>
      <w:bookmarkStart w:id="3597" w:name="_Toc38443651"/>
      <w:bookmarkStart w:id="3598" w:name="_Toc38443981"/>
      <w:bookmarkStart w:id="3599" w:name="_Toc38438449"/>
      <w:bookmarkStart w:id="3600" w:name="_Toc38438786"/>
      <w:bookmarkStart w:id="3601" w:name="_Toc38439123"/>
      <w:bookmarkStart w:id="3602" w:name="_Toc38439460"/>
      <w:bookmarkStart w:id="3603" w:name="_Toc38439797"/>
      <w:bookmarkStart w:id="3604" w:name="_Toc38440134"/>
      <w:bookmarkStart w:id="3605" w:name="_Toc38440471"/>
      <w:bookmarkStart w:id="3606" w:name="_Toc38441003"/>
      <w:bookmarkStart w:id="3607" w:name="_Toc38441335"/>
      <w:bookmarkStart w:id="3608" w:name="_Toc38441667"/>
      <w:bookmarkStart w:id="3609" w:name="_Toc38441995"/>
      <w:bookmarkStart w:id="3610" w:name="_Toc38442327"/>
      <w:bookmarkStart w:id="3611" w:name="_Toc38442659"/>
      <w:bookmarkStart w:id="3612" w:name="_Toc38442990"/>
      <w:bookmarkStart w:id="3613" w:name="_Toc38443321"/>
      <w:bookmarkStart w:id="3614" w:name="_Toc38443652"/>
      <w:bookmarkStart w:id="3615" w:name="_Toc38443982"/>
      <w:bookmarkStart w:id="3616" w:name="_Toc38438450"/>
      <w:bookmarkStart w:id="3617" w:name="_Toc38438787"/>
      <w:bookmarkStart w:id="3618" w:name="_Toc38439124"/>
      <w:bookmarkStart w:id="3619" w:name="_Toc38439461"/>
      <w:bookmarkStart w:id="3620" w:name="_Toc38439798"/>
      <w:bookmarkStart w:id="3621" w:name="_Toc38440135"/>
      <w:bookmarkStart w:id="3622" w:name="_Toc38440472"/>
      <w:bookmarkStart w:id="3623" w:name="_Toc38441004"/>
      <w:bookmarkStart w:id="3624" w:name="_Toc38441336"/>
      <w:bookmarkStart w:id="3625" w:name="_Toc38441668"/>
      <w:bookmarkStart w:id="3626" w:name="_Toc38441996"/>
      <w:bookmarkStart w:id="3627" w:name="_Toc38442328"/>
      <w:bookmarkStart w:id="3628" w:name="_Toc38442660"/>
      <w:bookmarkStart w:id="3629" w:name="_Toc38442991"/>
      <w:bookmarkStart w:id="3630" w:name="_Toc38443322"/>
      <w:bookmarkStart w:id="3631" w:name="_Toc38443653"/>
      <w:bookmarkStart w:id="3632" w:name="_Toc38443983"/>
      <w:bookmarkStart w:id="3633" w:name="_Toc38438451"/>
      <w:bookmarkStart w:id="3634" w:name="_Toc38438788"/>
      <w:bookmarkStart w:id="3635" w:name="_Toc38439125"/>
      <w:bookmarkStart w:id="3636" w:name="_Toc38439462"/>
      <w:bookmarkStart w:id="3637" w:name="_Toc38439799"/>
      <w:bookmarkStart w:id="3638" w:name="_Toc38440136"/>
      <w:bookmarkStart w:id="3639" w:name="_Toc38440473"/>
      <w:bookmarkStart w:id="3640" w:name="_Toc38441005"/>
      <w:bookmarkStart w:id="3641" w:name="_Toc38441337"/>
      <w:bookmarkStart w:id="3642" w:name="_Toc38441669"/>
      <w:bookmarkStart w:id="3643" w:name="_Toc38441997"/>
      <w:bookmarkStart w:id="3644" w:name="_Toc38442329"/>
      <w:bookmarkStart w:id="3645" w:name="_Toc38442661"/>
      <w:bookmarkStart w:id="3646" w:name="_Toc38442992"/>
      <w:bookmarkStart w:id="3647" w:name="_Toc38443323"/>
      <w:bookmarkStart w:id="3648" w:name="_Toc38443654"/>
      <w:bookmarkStart w:id="3649" w:name="_Toc38443984"/>
      <w:bookmarkStart w:id="3650" w:name="_Toc38438452"/>
      <w:bookmarkStart w:id="3651" w:name="_Toc38438789"/>
      <w:bookmarkStart w:id="3652" w:name="_Toc38439126"/>
      <w:bookmarkStart w:id="3653" w:name="_Toc38439463"/>
      <w:bookmarkStart w:id="3654" w:name="_Toc38439800"/>
      <w:bookmarkStart w:id="3655" w:name="_Toc38440137"/>
      <w:bookmarkStart w:id="3656" w:name="_Toc38440474"/>
      <w:bookmarkStart w:id="3657" w:name="_Toc38441006"/>
      <w:bookmarkStart w:id="3658" w:name="_Toc38441338"/>
      <w:bookmarkStart w:id="3659" w:name="_Toc38441670"/>
      <w:bookmarkStart w:id="3660" w:name="_Toc38441998"/>
      <w:bookmarkStart w:id="3661" w:name="_Toc38442330"/>
      <w:bookmarkStart w:id="3662" w:name="_Toc38442662"/>
      <w:bookmarkStart w:id="3663" w:name="_Toc38442993"/>
      <w:bookmarkStart w:id="3664" w:name="_Toc38443324"/>
      <w:bookmarkStart w:id="3665" w:name="_Toc38443655"/>
      <w:bookmarkStart w:id="3666" w:name="_Toc38443985"/>
      <w:bookmarkStart w:id="3667" w:name="_Toc38438453"/>
      <w:bookmarkStart w:id="3668" w:name="_Toc38438790"/>
      <w:bookmarkStart w:id="3669" w:name="_Toc38439127"/>
      <w:bookmarkStart w:id="3670" w:name="_Toc38439464"/>
      <w:bookmarkStart w:id="3671" w:name="_Toc38439801"/>
      <w:bookmarkStart w:id="3672" w:name="_Toc38440138"/>
      <w:bookmarkStart w:id="3673" w:name="_Toc38440475"/>
      <w:bookmarkStart w:id="3674" w:name="_Toc38441007"/>
      <w:bookmarkStart w:id="3675" w:name="_Toc38441339"/>
      <w:bookmarkStart w:id="3676" w:name="_Toc38441671"/>
      <w:bookmarkStart w:id="3677" w:name="_Toc38441999"/>
      <w:bookmarkStart w:id="3678" w:name="_Toc38442331"/>
      <w:bookmarkStart w:id="3679" w:name="_Toc38442663"/>
      <w:bookmarkStart w:id="3680" w:name="_Toc38442994"/>
      <w:bookmarkStart w:id="3681" w:name="_Toc38443325"/>
      <w:bookmarkStart w:id="3682" w:name="_Toc38443656"/>
      <w:bookmarkStart w:id="3683" w:name="_Toc38443986"/>
      <w:bookmarkStart w:id="3684" w:name="_Toc38438454"/>
      <w:bookmarkStart w:id="3685" w:name="_Toc38438791"/>
      <w:bookmarkStart w:id="3686" w:name="_Toc38439128"/>
      <w:bookmarkStart w:id="3687" w:name="_Toc38439465"/>
      <w:bookmarkStart w:id="3688" w:name="_Toc38439802"/>
      <w:bookmarkStart w:id="3689" w:name="_Toc38440139"/>
      <w:bookmarkStart w:id="3690" w:name="_Toc38440476"/>
      <w:bookmarkStart w:id="3691" w:name="_Toc38441008"/>
      <w:bookmarkStart w:id="3692" w:name="_Toc38441340"/>
      <w:bookmarkStart w:id="3693" w:name="_Toc38441672"/>
      <w:bookmarkStart w:id="3694" w:name="_Toc38442000"/>
      <w:bookmarkStart w:id="3695" w:name="_Toc38442332"/>
      <w:bookmarkStart w:id="3696" w:name="_Toc38442664"/>
      <w:bookmarkStart w:id="3697" w:name="_Toc38442995"/>
      <w:bookmarkStart w:id="3698" w:name="_Toc38443326"/>
      <w:bookmarkStart w:id="3699" w:name="_Toc38443657"/>
      <w:bookmarkStart w:id="3700" w:name="_Toc38443987"/>
      <w:bookmarkStart w:id="3701" w:name="_Toc38438455"/>
      <w:bookmarkStart w:id="3702" w:name="_Toc38438792"/>
      <w:bookmarkStart w:id="3703" w:name="_Toc38439129"/>
      <w:bookmarkStart w:id="3704" w:name="_Toc38439466"/>
      <w:bookmarkStart w:id="3705" w:name="_Toc38439803"/>
      <w:bookmarkStart w:id="3706" w:name="_Toc38440140"/>
      <w:bookmarkStart w:id="3707" w:name="_Toc38440477"/>
      <w:bookmarkStart w:id="3708" w:name="_Toc38441009"/>
      <w:bookmarkStart w:id="3709" w:name="_Toc38441341"/>
      <w:bookmarkStart w:id="3710" w:name="_Toc38441673"/>
      <w:bookmarkStart w:id="3711" w:name="_Toc38442001"/>
      <w:bookmarkStart w:id="3712" w:name="_Toc38442333"/>
      <w:bookmarkStart w:id="3713" w:name="_Toc38442665"/>
      <w:bookmarkStart w:id="3714" w:name="_Toc38442996"/>
      <w:bookmarkStart w:id="3715" w:name="_Toc38443327"/>
      <w:bookmarkStart w:id="3716" w:name="_Toc38443658"/>
      <w:bookmarkStart w:id="3717" w:name="_Toc38443988"/>
      <w:bookmarkStart w:id="3718" w:name="_Toc38438456"/>
      <w:bookmarkStart w:id="3719" w:name="_Toc38438793"/>
      <w:bookmarkStart w:id="3720" w:name="_Toc38439130"/>
      <w:bookmarkStart w:id="3721" w:name="_Toc38439467"/>
      <w:bookmarkStart w:id="3722" w:name="_Toc38439804"/>
      <w:bookmarkStart w:id="3723" w:name="_Toc38440141"/>
      <w:bookmarkStart w:id="3724" w:name="_Toc38440478"/>
      <w:bookmarkStart w:id="3725" w:name="_Toc38441010"/>
      <w:bookmarkStart w:id="3726" w:name="_Toc38441342"/>
      <w:bookmarkStart w:id="3727" w:name="_Toc38441674"/>
      <w:bookmarkStart w:id="3728" w:name="_Toc38442002"/>
      <w:bookmarkStart w:id="3729" w:name="_Toc38442334"/>
      <w:bookmarkStart w:id="3730" w:name="_Toc38442666"/>
      <w:bookmarkStart w:id="3731" w:name="_Toc38442997"/>
      <w:bookmarkStart w:id="3732" w:name="_Toc38443328"/>
      <w:bookmarkStart w:id="3733" w:name="_Toc38443659"/>
      <w:bookmarkStart w:id="3734" w:name="_Toc38443989"/>
      <w:bookmarkStart w:id="3735" w:name="_Toc38438457"/>
      <w:bookmarkStart w:id="3736" w:name="_Toc38438794"/>
      <w:bookmarkStart w:id="3737" w:name="_Toc38439131"/>
      <w:bookmarkStart w:id="3738" w:name="_Toc38439468"/>
      <w:bookmarkStart w:id="3739" w:name="_Toc38439805"/>
      <w:bookmarkStart w:id="3740" w:name="_Toc38440142"/>
      <w:bookmarkStart w:id="3741" w:name="_Toc38440479"/>
      <w:bookmarkStart w:id="3742" w:name="_Toc38441011"/>
      <w:bookmarkStart w:id="3743" w:name="_Toc38441343"/>
      <w:bookmarkStart w:id="3744" w:name="_Toc38441675"/>
      <w:bookmarkStart w:id="3745" w:name="_Toc38442003"/>
      <w:bookmarkStart w:id="3746" w:name="_Toc38442335"/>
      <w:bookmarkStart w:id="3747" w:name="_Toc38442667"/>
      <w:bookmarkStart w:id="3748" w:name="_Toc38442998"/>
      <w:bookmarkStart w:id="3749" w:name="_Toc38443329"/>
      <w:bookmarkStart w:id="3750" w:name="_Toc38443660"/>
      <w:bookmarkStart w:id="3751" w:name="_Toc38443990"/>
      <w:bookmarkStart w:id="3752" w:name="_Toc38438458"/>
      <w:bookmarkStart w:id="3753" w:name="_Toc38438795"/>
      <w:bookmarkStart w:id="3754" w:name="_Toc38439132"/>
      <w:bookmarkStart w:id="3755" w:name="_Toc38439469"/>
      <w:bookmarkStart w:id="3756" w:name="_Toc38439806"/>
      <w:bookmarkStart w:id="3757" w:name="_Toc38440143"/>
      <w:bookmarkStart w:id="3758" w:name="_Toc38440480"/>
      <w:bookmarkStart w:id="3759" w:name="_Toc38441012"/>
      <w:bookmarkStart w:id="3760" w:name="_Toc38441344"/>
      <w:bookmarkStart w:id="3761" w:name="_Toc38441676"/>
      <w:bookmarkStart w:id="3762" w:name="_Toc38442004"/>
      <w:bookmarkStart w:id="3763" w:name="_Toc38442336"/>
      <w:bookmarkStart w:id="3764" w:name="_Toc38442668"/>
      <w:bookmarkStart w:id="3765" w:name="_Toc38442999"/>
      <w:bookmarkStart w:id="3766" w:name="_Toc38443330"/>
      <w:bookmarkStart w:id="3767" w:name="_Toc38443661"/>
      <w:bookmarkStart w:id="3768" w:name="_Toc38443991"/>
      <w:bookmarkStart w:id="3769" w:name="_Toc45632298"/>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r w:rsidRPr="00501A61">
        <w:rPr>
          <w:rFonts w:asciiTheme="minorEastAsia" w:eastAsiaTheme="minorEastAsia" w:hAnsiTheme="minorEastAsia" w:hint="eastAsia"/>
          <w:b/>
        </w:rPr>
        <w:lastRenderedPageBreak/>
        <w:t>二十五、</w:t>
      </w:r>
      <w:r w:rsidRPr="00501A61">
        <w:rPr>
          <w:rFonts w:asciiTheme="minorEastAsia" w:eastAsiaTheme="minorEastAsia" w:hAnsiTheme="minorEastAsia" w:hint="eastAsia"/>
          <w:b/>
          <w:bCs/>
        </w:rPr>
        <w:t>招募说明书存放及查阅方式</w:t>
      </w:r>
      <w:bookmarkEnd w:id="3769"/>
    </w:p>
    <w:p w:rsidR="00E1094C" w:rsidRPr="00501A61" w:rsidRDefault="0002608C" w:rsidP="00107648">
      <w:pPr>
        <w:snapToGrid w:val="0"/>
        <w:spacing w:line="360" w:lineRule="auto"/>
        <w:ind w:firstLine="480"/>
        <w:rPr>
          <w:rFonts w:asciiTheme="minorEastAsia" w:eastAsiaTheme="minorEastAsia" w:hAnsiTheme="minorEastAsia"/>
        </w:rPr>
        <w:sectPr w:rsidR="00E1094C" w:rsidRPr="00501A61" w:rsidSect="003920FC">
          <w:pgSz w:w="11906" w:h="16838" w:code="9"/>
          <w:pgMar w:top="1440" w:right="1800" w:bottom="1440" w:left="1800" w:header="851" w:footer="992" w:gutter="0"/>
          <w:cols w:space="425"/>
          <w:docGrid w:type="lines" w:linePitch="312"/>
        </w:sectPr>
      </w:pPr>
      <w:r w:rsidRPr="00501A61">
        <w:rPr>
          <w:rFonts w:asciiTheme="minorEastAsia" w:eastAsiaTheme="minorEastAsia" w:hAnsiTheme="minorEastAsia" w:hint="eastAsia"/>
          <w:szCs w:val="21"/>
        </w:rPr>
        <w:t>本《招募说明书》存放在基金管理人、基金托管人及基金</w:t>
      </w:r>
      <w:r w:rsidR="0014219A" w:rsidRPr="00501A61">
        <w:rPr>
          <w:rFonts w:asciiTheme="minorEastAsia" w:eastAsiaTheme="minorEastAsia" w:hAnsiTheme="minorEastAsia" w:hint="eastAsia"/>
          <w:szCs w:val="21"/>
        </w:rPr>
        <w:t>销售</w:t>
      </w:r>
      <w:r w:rsidRPr="00501A61">
        <w:rPr>
          <w:rFonts w:asciiTheme="minorEastAsia" w:eastAsiaTheme="minorEastAsia" w:hAnsiTheme="minorEastAsia" w:hint="eastAsia"/>
          <w:szCs w:val="21"/>
        </w:rPr>
        <w:t>机构</w:t>
      </w:r>
      <w:r w:rsidR="00160E3C" w:rsidRPr="00501A61">
        <w:rPr>
          <w:rFonts w:asciiTheme="minorEastAsia" w:eastAsiaTheme="minorEastAsia" w:hAnsiTheme="minorEastAsia" w:hint="eastAsia"/>
          <w:szCs w:val="21"/>
        </w:rPr>
        <w:t>处</w:t>
      </w:r>
      <w:r w:rsidRPr="00501A61">
        <w:rPr>
          <w:rFonts w:asciiTheme="minorEastAsia" w:eastAsiaTheme="minorEastAsia" w:hAnsiTheme="minorEastAsia" w:hint="eastAsia"/>
          <w:szCs w:val="21"/>
        </w:rPr>
        <w:t>，投资者可在营业时间免费查阅，也可按工本费购买复印件。</w:t>
      </w:r>
      <w:r w:rsidRPr="00501A61">
        <w:rPr>
          <w:rFonts w:asciiTheme="minorEastAsia" w:eastAsiaTheme="minorEastAsia" w:hAnsiTheme="minorEastAsia"/>
        </w:rPr>
        <w:t>基金管理人和基金托管人保证</w:t>
      </w:r>
      <w:r w:rsidRPr="00501A61">
        <w:rPr>
          <w:rFonts w:asciiTheme="minorEastAsia" w:eastAsiaTheme="minorEastAsia" w:hAnsiTheme="minorEastAsia" w:hint="eastAsia"/>
        </w:rPr>
        <w:t>其所提供的</w:t>
      </w:r>
      <w:r w:rsidRPr="00501A61">
        <w:rPr>
          <w:rFonts w:asciiTheme="minorEastAsia" w:eastAsiaTheme="minorEastAsia" w:hAnsiTheme="minorEastAsia"/>
        </w:rPr>
        <w:t>文本的内容与所公告的内容完全一致。</w:t>
      </w:r>
    </w:p>
    <w:p w:rsidR="0002608C" w:rsidRPr="00501A61" w:rsidRDefault="0002608C" w:rsidP="00107648">
      <w:pPr>
        <w:pStyle w:val="1"/>
        <w:snapToGrid w:val="0"/>
        <w:spacing w:beforeLines="0" w:afterLines="0" w:line="360" w:lineRule="auto"/>
        <w:ind w:firstLine="643"/>
        <w:rPr>
          <w:rFonts w:asciiTheme="minorEastAsia" w:eastAsiaTheme="minorEastAsia" w:hAnsiTheme="minorEastAsia"/>
          <w:b/>
          <w:szCs w:val="21"/>
        </w:rPr>
      </w:pPr>
      <w:bookmarkStart w:id="3770" w:name="_Toc45632299"/>
      <w:r w:rsidRPr="00501A61">
        <w:rPr>
          <w:rFonts w:asciiTheme="minorEastAsia" w:eastAsiaTheme="minorEastAsia" w:hAnsiTheme="minorEastAsia" w:hint="eastAsia"/>
          <w:b/>
        </w:rPr>
        <w:lastRenderedPageBreak/>
        <w:t>二十六、备查文件</w:t>
      </w:r>
      <w:bookmarkEnd w:id="3770"/>
    </w:p>
    <w:p w:rsidR="0002608C" w:rsidRPr="00501A61" w:rsidRDefault="0002608C" w:rsidP="00107648">
      <w:pPr>
        <w:pStyle w:val="a9"/>
        <w:autoSpaceDE w:val="0"/>
        <w:autoSpaceDN w:val="0"/>
        <w:adjustRightInd w:val="0"/>
        <w:snapToGrid w:val="0"/>
        <w:spacing w:after="0" w:line="360" w:lineRule="auto"/>
        <w:ind w:firstLineChars="0"/>
        <w:rPr>
          <w:rFonts w:asciiTheme="minorEastAsia" w:eastAsiaTheme="minorEastAsia" w:hAnsiTheme="minorEastAsia"/>
        </w:rPr>
      </w:pPr>
      <w:r w:rsidRPr="00501A61">
        <w:rPr>
          <w:rFonts w:asciiTheme="minorEastAsia" w:eastAsiaTheme="minorEastAsia" w:hAnsiTheme="minorEastAsia" w:hint="eastAsia"/>
        </w:rPr>
        <w:t>1</w:t>
      </w:r>
      <w:r w:rsidR="00C75FC8" w:rsidRPr="00501A61">
        <w:rPr>
          <w:rFonts w:asciiTheme="minorEastAsia" w:eastAsiaTheme="minorEastAsia" w:hAnsiTheme="minorEastAsia" w:hint="eastAsia"/>
        </w:rPr>
        <w:t>、</w:t>
      </w:r>
      <w:r w:rsidRPr="00501A61">
        <w:rPr>
          <w:rFonts w:asciiTheme="minorEastAsia" w:eastAsiaTheme="minorEastAsia" w:hAnsiTheme="minorEastAsia" w:hint="eastAsia"/>
        </w:rPr>
        <w:t>中国证监会核准易方达价值精选股票型证券投资基金募集的文件；</w:t>
      </w:r>
    </w:p>
    <w:p w:rsidR="0002608C" w:rsidRPr="00501A61" w:rsidRDefault="0002608C" w:rsidP="00107648">
      <w:pPr>
        <w:pStyle w:val="a9"/>
        <w:autoSpaceDE w:val="0"/>
        <w:autoSpaceDN w:val="0"/>
        <w:adjustRightInd w:val="0"/>
        <w:snapToGrid w:val="0"/>
        <w:spacing w:after="0" w:line="360" w:lineRule="auto"/>
        <w:ind w:firstLineChars="0"/>
        <w:rPr>
          <w:rFonts w:asciiTheme="minorEastAsia" w:eastAsiaTheme="minorEastAsia" w:hAnsiTheme="minorEastAsia"/>
        </w:rPr>
      </w:pPr>
      <w:r w:rsidRPr="00501A61">
        <w:rPr>
          <w:rFonts w:asciiTheme="minorEastAsia" w:eastAsiaTheme="minorEastAsia" w:hAnsiTheme="minorEastAsia" w:hint="eastAsia"/>
        </w:rPr>
        <w:t>2</w:t>
      </w:r>
      <w:r w:rsidR="00C75FC8" w:rsidRPr="00501A61">
        <w:rPr>
          <w:rFonts w:asciiTheme="minorEastAsia" w:eastAsiaTheme="minorEastAsia" w:hAnsiTheme="minorEastAsia" w:hint="eastAsia"/>
        </w:rPr>
        <w:t>、</w:t>
      </w:r>
      <w:r w:rsidRPr="00501A61">
        <w:rPr>
          <w:rFonts w:asciiTheme="minorEastAsia" w:eastAsiaTheme="minorEastAsia" w:hAnsiTheme="minorEastAsia" w:hint="eastAsia"/>
        </w:rPr>
        <w:t>《</w:t>
      </w:r>
      <w:r w:rsidR="00906A80" w:rsidRPr="00501A61">
        <w:rPr>
          <w:rFonts w:asciiTheme="minorEastAsia" w:eastAsiaTheme="minorEastAsia" w:hAnsiTheme="minorEastAsia" w:hint="eastAsia"/>
        </w:rPr>
        <w:t>易方达价值精选混合型证券投资基金</w:t>
      </w:r>
      <w:r w:rsidRPr="00501A61">
        <w:rPr>
          <w:rFonts w:asciiTheme="minorEastAsia" w:eastAsiaTheme="minorEastAsia" w:hAnsiTheme="minorEastAsia" w:hint="eastAsia"/>
        </w:rPr>
        <w:t>基金合同》；</w:t>
      </w:r>
    </w:p>
    <w:p w:rsidR="0002608C" w:rsidRPr="00501A61" w:rsidRDefault="0002608C" w:rsidP="00107648">
      <w:pPr>
        <w:pStyle w:val="a9"/>
        <w:autoSpaceDE w:val="0"/>
        <w:autoSpaceDN w:val="0"/>
        <w:adjustRightInd w:val="0"/>
        <w:snapToGrid w:val="0"/>
        <w:spacing w:after="0" w:line="360" w:lineRule="auto"/>
        <w:ind w:firstLineChars="0"/>
        <w:rPr>
          <w:rFonts w:asciiTheme="minorEastAsia" w:eastAsiaTheme="minorEastAsia" w:hAnsiTheme="minorEastAsia"/>
        </w:rPr>
      </w:pPr>
      <w:r w:rsidRPr="00501A61">
        <w:rPr>
          <w:rFonts w:asciiTheme="minorEastAsia" w:eastAsiaTheme="minorEastAsia" w:hAnsiTheme="minorEastAsia" w:hint="eastAsia"/>
        </w:rPr>
        <w:t>3</w:t>
      </w:r>
      <w:r w:rsidR="00C75FC8" w:rsidRPr="00501A61">
        <w:rPr>
          <w:rFonts w:asciiTheme="minorEastAsia" w:eastAsiaTheme="minorEastAsia" w:hAnsiTheme="minorEastAsia" w:hint="eastAsia"/>
        </w:rPr>
        <w:t>、</w:t>
      </w:r>
      <w:r w:rsidRPr="00501A61">
        <w:rPr>
          <w:rFonts w:asciiTheme="minorEastAsia" w:eastAsiaTheme="minorEastAsia" w:hAnsiTheme="minorEastAsia" w:hint="eastAsia"/>
        </w:rPr>
        <w:t>《易方达基金管理有限公司开放式基金业务规则》；</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4</w:t>
      </w:r>
      <w:r w:rsidR="00C75FC8"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w:t>
      </w:r>
      <w:r w:rsidR="00906A80" w:rsidRPr="00501A61">
        <w:rPr>
          <w:rFonts w:asciiTheme="minorEastAsia" w:eastAsiaTheme="minorEastAsia" w:hAnsiTheme="minorEastAsia" w:hint="eastAsia"/>
          <w:szCs w:val="21"/>
        </w:rPr>
        <w:t>易方达价值精选混合型证券投资基金</w:t>
      </w:r>
      <w:r w:rsidRPr="00501A61">
        <w:rPr>
          <w:rFonts w:asciiTheme="minorEastAsia" w:eastAsiaTheme="minorEastAsia" w:hAnsiTheme="minorEastAsia" w:hint="eastAsia"/>
          <w:szCs w:val="21"/>
        </w:rPr>
        <w:t>托管协议》；</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rPr>
        <w:t>5</w:t>
      </w:r>
      <w:r w:rsidR="00C75FC8" w:rsidRPr="00501A61">
        <w:rPr>
          <w:rFonts w:asciiTheme="minorEastAsia" w:eastAsiaTheme="minorEastAsia" w:hAnsiTheme="minorEastAsia" w:hint="eastAsia"/>
        </w:rPr>
        <w:t>、</w:t>
      </w:r>
      <w:r w:rsidRPr="00501A61">
        <w:rPr>
          <w:rFonts w:asciiTheme="minorEastAsia" w:eastAsiaTheme="minorEastAsia" w:hAnsiTheme="minorEastAsia" w:hint="eastAsia"/>
        </w:rPr>
        <w:t>法律意见书；</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6</w:t>
      </w:r>
      <w:r w:rsidR="00C75FC8"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基金管理人业务资格批件和营业执照；</w:t>
      </w:r>
    </w:p>
    <w:p w:rsidR="0002608C" w:rsidRPr="00501A61" w:rsidRDefault="0002608C" w:rsidP="00107648">
      <w:pPr>
        <w:snapToGrid w:val="0"/>
        <w:spacing w:line="360" w:lineRule="auto"/>
        <w:ind w:firstLine="420"/>
        <w:rPr>
          <w:rFonts w:asciiTheme="minorEastAsia" w:eastAsiaTheme="minorEastAsia" w:hAnsiTheme="minorEastAsia"/>
          <w:szCs w:val="21"/>
        </w:rPr>
      </w:pPr>
      <w:r w:rsidRPr="00501A61">
        <w:rPr>
          <w:rFonts w:asciiTheme="minorEastAsia" w:eastAsiaTheme="minorEastAsia" w:hAnsiTheme="minorEastAsia" w:hint="eastAsia"/>
          <w:szCs w:val="21"/>
        </w:rPr>
        <w:t>7</w:t>
      </w:r>
      <w:r w:rsidR="00C75FC8" w:rsidRPr="00501A61">
        <w:rPr>
          <w:rFonts w:asciiTheme="minorEastAsia" w:eastAsiaTheme="minorEastAsia" w:hAnsiTheme="minorEastAsia" w:hint="eastAsia"/>
          <w:szCs w:val="21"/>
        </w:rPr>
        <w:t>、</w:t>
      </w:r>
      <w:r w:rsidRPr="00501A61">
        <w:rPr>
          <w:rFonts w:asciiTheme="minorEastAsia" w:eastAsiaTheme="minorEastAsia" w:hAnsiTheme="minorEastAsia" w:hint="eastAsia"/>
          <w:szCs w:val="21"/>
        </w:rPr>
        <w:t>基金托管人业务资格批件和营业执照。</w:t>
      </w:r>
    </w:p>
    <w:p w:rsidR="0002608C" w:rsidRPr="00501A61" w:rsidRDefault="0002608C" w:rsidP="00107648">
      <w:pPr>
        <w:snapToGrid w:val="0"/>
        <w:spacing w:line="360" w:lineRule="auto"/>
        <w:ind w:firstLineChars="200" w:firstLine="420"/>
        <w:rPr>
          <w:rFonts w:asciiTheme="minorEastAsia" w:eastAsiaTheme="minorEastAsia" w:hAnsiTheme="minorEastAsia"/>
        </w:rPr>
      </w:pPr>
      <w:r w:rsidRPr="00501A61">
        <w:rPr>
          <w:rFonts w:asciiTheme="minorEastAsia" w:eastAsiaTheme="minorEastAsia" w:hAnsiTheme="minorEastAsia" w:hint="eastAsia"/>
        </w:rPr>
        <w:t>存放地点：基金管理人、基金托管人处</w:t>
      </w:r>
    </w:p>
    <w:p w:rsidR="0002608C" w:rsidRPr="00501A61" w:rsidRDefault="0002608C" w:rsidP="00107648">
      <w:pPr>
        <w:snapToGrid w:val="0"/>
        <w:spacing w:line="360" w:lineRule="auto"/>
        <w:ind w:firstLineChars="200" w:firstLine="420"/>
        <w:rPr>
          <w:rFonts w:asciiTheme="minorEastAsia" w:eastAsiaTheme="minorEastAsia" w:hAnsiTheme="minorEastAsia"/>
          <w:szCs w:val="21"/>
        </w:rPr>
      </w:pPr>
      <w:r w:rsidRPr="00501A61">
        <w:rPr>
          <w:rFonts w:asciiTheme="minorEastAsia" w:eastAsiaTheme="minorEastAsia" w:hAnsiTheme="minorEastAsia" w:hint="eastAsia"/>
        </w:rPr>
        <w:t>查阅方式：投资者可在营业时间免费查阅，也可按工本费购买复印件。</w:t>
      </w:r>
    </w:p>
    <w:p w:rsidR="0002608C" w:rsidRPr="00501A61" w:rsidRDefault="0002608C" w:rsidP="00107648">
      <w:pPr>
        <w:snapToGrid w:val="0"/>
        <w:spacing w:line="360" w:lineRule="auto"/>
        <w:ind w:left="480"/>
        <w:rPr>
          <w:rFonts w:asciiTheme="minorEastAsia" w:eastAsiaTheme="minorEastAsia" w:hAnsiTheme="minorEastAsia"/>
          <w:szCs w:val="21"/>
        </w:rPr>
      </w:pPr>
    </w:p>
    <w:p w:rsidR="00851044" w:rsidRPr="00501A61" w:rsidRDefault="00851044" w:rsidP="00107648">
      <w:pPr>
        <w:snapToGrid w:val="0"/>
        <w:spacing w:line="360" w:lineRule="auto"/>
        <w:ind w:left="480"/>
        <w:rPr>
          <w:rFonts w:asciiTheme="minorEastAsia" w:eastAsiaTheme="minorEastAsia" w:hAnsiTheme="minorEastAsia"/>
          <w:szCs w:val="21"/>
        </w:rPr>
      </w:pPr>
    </w:p>
    <w:p w:rsidR="0002608C" w:rsidRPr="00501A61" w:rsidRDefault="000256E9" w:rsidP="00107648">
      <w:pPr>
        <w:snapToGrid w:val="0"/>
        <w:spacing w:line="360" w:lineRule="auto"/>
        <w:ind w:firstLine="480"/>
        <w:jc w:val="right"/>
        <w:rPr>
          <w:rFonts w:asciiTheme="minorEastAsia" w:eastAsiaTheme="minorEastAsia" w:hAnsiTheme="minorEastAsia"/>
        </w:rPr>
      </w:pPr>
      <w:bookmarkStart w:id="3771" w:name="_PictureBullets"/>
      <w:bookmarkEnd w:id="3771"/>
      <w:r w:rsidRPr="00501A61">
        <w:rPr>
          <w:rFonts w:asciiTheme="minorEastAsia" w:eastAsiaTheme="minorEastAsia" w:hAnsiTheme="minorEastAsia" w:hint="eastAsia"/>
        </w:rPr>
        <w:t>易方达基金管理有限公司</w:t>
      </w:r>
    </w:p>
    <w:p w:rsidR="0002608C" w:rsidRPr="00501A61" w:rsidRDefault="009B73E9" w:rsidP="00107648">
      <w:pPr>
        <w:snapToGrid w:val="0"/>
        <w:spacing w:line="360" w:lineRule="auto"/>
        <w:ind w:right="315"/>
        <w:jc w:val="right"/>
        <w:rPr>
          <w:rFonts w:asciiTheme="minorEastAsia" w:eastAsiaTheme="minorEastAsia" w:hAnsiTheme="minorEastAsia"/>
        </w:rPr>
      </w:pPr>
      <w:bookmarkStart w:id="3772" w:name="_GoBack"/>
      <w:bookmarkEnd w:id="3772"/>
      <w:r w:rsidRPr="00501A61">
        <w:rPr>
          <w:rFonts w:asciiTheme="minorEastAsia" w:eastAsiaTheme="minorEastAsia" w:hAnsiTheme="minorEastAsia"/>
        </w:rPr>
        <w:t>2020年</w:t>
      </w:r>
      <w:r w:rsidR="009A5BC2" w:rsidRPr="00501A61">
        <w:rPr>
          <w:rFonts w:asciiTheme="minorEastAsia" w:eastAsiaTheme="minorEastAsia" w:hAnsiTheme="minorEastAsia"/>
        </w:rPr>
        <w:t>7</w:t>
      </w:r>
      <w:r w:rsidRPr="00501A61">
        <w:rPr>
          <w:rFonts w:asciiTheme="minorEastAsia" w:eastAsiaTheme="minorEastAsia" w:hAnsiTheme="minorEastAsia"/>
        </w:rPr>
        <w:t>月</w:t>
      </w:r>
      <w:r w:rsidR="009A5BC2" w:rsidRPr="00501A61">
        <w:rPr>
          <w:rFonts w:asciiTheme="minorEastAsia" w:eastAsiaTheme="minorEastAsia" w:hAnsiTheme="minorEastAsia"/>
        </w:rPr>
        <w:t>15</w:t>
      </w:r>
      <w:r w:rsidRPr="00501A61">
        <w:rPr>
          <w:rFonts w:asciiTheme="minorEastAsia" w:eastAsiaTheme="minorEastAsia" w:hAnsiTheme="minorEastAsia"/>
        </w:rPr>
        <w:t>日</w:t>
      </w:r>
    </w:p>
    <w:sectPr w:rsidR="0002608C" w:rsidRPr="00501A61" w:rsidSect="003920FC">
      <w:pgSz w:w="11906" w:h="16838" w:code="9"/>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867" w:rsidRDefault="00396867">
      <w:r>
        <w:separator/>
      </w:r>
    </w:p>
  </w:endnote>
  <w:endnote w:type="continuationSeparator" w:id="0">
    <w:p w:rsidR="00396867" w:rsidRDefault="0039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93" w:rsidRDefault="00AF5493">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93" w:rsidRDefault="00AF5493">
    <w:pPr>
      <w:pStyle w:val="a5"/>
      <w:framePr w:wrap="around" w:vAnchor="text" w:hAnchor="margin" w:xAlign="center" w:y="1"/>
      <w:ind w:firstLine="360"/>
      <w:rPr>
        <w:rStyle w:val="a4"/>
      </w:rPr>
    </w:pPr>
  </w:p>
  <w:p w:rsidR="00AF5493" w:rsidRDefault="00AF5493">
    <w:pPr>
      <w:pStyle w:val="a5"/>
      <w:ind w:rightChars="171" w:right="359"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93" w:rsidRDefault="00AF5493">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93" w:rsidRDefault="00AF5493">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separate"/>
    </w:r>
    <w:r w:rsidR="00501A61">
      <w:rPr>
        <w:rStyle w:val="a4"/>
        <w:noProof/>
      </w:rPr>
      <w:t>154</w:t>
    </w:r>
    <w:r>
      <w:rPr>
        <w:rStyle w:val="a4"/>
      </w:rPr>
      <w:fldChar w:fldCharType="end"/>
    </w:r>
  </w:p>
  <w:p w:rsidR="00AF5493" w:rsidRDefault="00AF5493">
    <w:pPr>
      <w:pStyle w:val="a5"/>
      <w:ind w:rightChars="171" w:right="359"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867" w:rsidRDefault="00396867">
      <w:r>
        <w:separator/>
      </w:r>
    </w:p>
  </w:footnote>
  <w:footnote w:type="continuationSeparator" w:id="0">
    <w:p w:rsidR="00396867" w:rsidRDefault="00396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93" w:rsidRDefault="00AF549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93" w:rsidRPr="00FB1159" w:rsidRDefault="00AF5493" w:rsidP="009520C1">
    <w:pPr>
      <w:pStyle w:val="a3"/>
      <w:pBdr>
        <w:bottom w:val="none" w:sz="0" w:space="0" w:color="auto"/>
      </w:pBdr>
      <w:ind w:firstLineChars="0" w:firstLine="0"/>
      <w:jc w:val="both"/>
      <w:rPr>
        <w:rFonts w:ascii="宋体" w:eastAsia="宋体" w:hAnsi="宋体"/>
        <w:color w:val="000000"/>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93" w:rsidRDefault="00AF5493">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E41B6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70587AF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8342E714"/>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4112C2A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2FB20F7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EAF2F03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3040581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B94857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DA0B21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A9EEE3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AD2D3E"/>
    <w:multiLevelType w:val="singleLevel"/>
    <w:tmpl w:val="8A62539A"/>
    <w:lvl w:ilvl="0">
      <w:start w:val="1"/>
      <w:numFmt w:val="decimal"/>
      <w:lvlText w:val="(%1)"/>
      <w:lvlJc w:val="left"/>
      <w:pPr>
        <w:tabs>
          <w:tab w:val="num" w:pos="425"/>
        </w:tabs>
        <w:ind w:left="425" w:hanging="425"/>
      </w:pPr>
      <w:rPr>
        <w:rFonts w:ascii="宋体" w:eastAsia="宋体" w:hint="eastAsia"/>
        <w:b w:val="0"/>
        <w:i w:val="0"/>
        <w:sz w:val="21"/>
      </w:rPr>
    </w:lvl>
  </w:abstractNum>
  <w:abstractNum w:abstractNumId="11" w15:restartNumberingAfterBreak="0">
    <w:nsid w:val="107B66C2"/>
    <w:multiLevelType w:val="hybridMultilevel"/>
    <w:tmpl w:val="B434A088"/>
    <w:lvl w:ilvl="0" w:tplc="87C2BABC">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2504B94"/>
    <w:multiLevelType w:val="hybridMultilevel"/>
    <w:tmpl w:val="F348D602"/>
    <w:lvl w:ilvl="0" w:tplc="04090003">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15:restartNumberingAfterBreak="0">
    <w:nsid w:val="2359552A"/>
    <w:multiLevelType w:val="hybridMultilevel"/>
    <w:tmpl w:val="FB5A36AE"/>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23693406"/>
    <w:multiLevelType w:val="hybridMultilevel"/>
    <w:tmpl w:val="7470810C"/>
    <w:lvl w:ilvl="0" w:tplc="5CEADD54">
      <w:start w:val="1"/>
      <w:numFmt w:val="japaneseCounting"/>
      <w:lvlText w:val="%1、"/>
      <w:lvlJc w:val="left"/>
      <w:pPr>
        <w:tabs>
          <w:tab w:val="num" w:pos="720"/>
        </w:tabs>
        <w:ind w:left="720" w:hanging="720"/>
      </w:pPr>
      <w:rPr>
        <w:rFonts w:hint="default"/>
      </w:rPr>
    </w:lvl>
    <w:lvl w:ilvl="1" w:tplc="8FCC12C6">
      <w:start w:val="1"/>
      <w:numFmt w:val="japaneseCounting"/>
      <w:lvlText w:val="（%2）"/>
      <w:lvlJc w:val="left"/>
      <w:pPr>
        <w:tabs>
          <w:tab w:val="num" w:pos="1275"/>
        </w:tabs>
        <w:ind w:left="1275" w:hanging="855"/>
      </w:pPr>
      <w:rPr>
        <w:rFonts w:hint="default"/>
      </w:rPr>
    </w:lvl>
    <w:lvl w:ilvl="2" w:tplc="0409001B">
      <w:start w:val="1"/>
      <w:numFmt w:val="lowerRoman"/>
      <w:lvlText w:val="%3."/>
      <w:lvlJc w:val="right"/>
      <w:pPr>
        <w:tabs>
          <w:tab w:val="num" w:pos="1260"/>
        </w:tabs>
        <w:ind w:left="1260" w:hanging="420"/>
      </w:pPr>
    </w:lvl>
    <w:lvl w:ilvl="3" w:tplc="09A0A5DE">
      <w:start w:val="1"/>
      <w:numFmt w:val="decimalEnclosedCircle"/>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7" w15:restartNumberingAfterBreak="0">
    <w:nsid w:val="282A7BFB"/>
    <w:multiLevelType w:val="hybridMultilevel"/>
    <w:tmpl w:val="36A60E92"/>
    <w:lvl w:ilvl="0" w:tplc="3D3CB62E">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BF770CA"/>
    <w:multiLevelType w:val="hybridMultilevel"/>
    <w:tmpl w:val="50E6EB6A"/>
    <w:lvl w:ilvl="0" w:tplc="8FCC12C6">
      <w:start w:val="1"/>
      <w:numFmt w:val="japaneseCounting"/>
      <w:lvlText w:val="（%1）"/>
      <w:lvlJc w:val="left"/>
      <w:pPr>
        <w:tabs>
          <w:tab w:val="num" w:pos="1275"/>
        </w:tabs>
        <w:ind w:left="1275" w:hanging="855"/>
      </w:pPr>
      <w:rPr>
        <w:rFonts w:hint="default"/>
      </w:rPr>
    </w:lvl>
    <w:lvl w:ilvl="1" w:tplc="DC541DB0">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10F3D1B"/>
    <w:multiLevelType w:val="hybridMultilevel"/>
    <w:tmpl w:val="7F3A5E1A"/>
    <w:lvl w:ilvl="0" w:tplc="EE90A0DC">
      <w:start w:val="5"/>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6E0301"/>
    <w:multiLevelType w:val="hybridMultilevel"/>
    <w:tmpl w:val="767E3CE6"/>
    <w:lvl w:ilvl="0" w:tplc="B5A6401C">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7E46BB2"/>
    <w:multiLevelType w:val="hybridMultilevel"/>
    <w:tmpl w:val="618E0D5E"/>
    <w:lvl w:ilvl="0" w:tplc="0409000F">
      <w:start w:val="1"/>
      <w:numFmt w:val="decimal"/>
      <w:lvlText w:val="%1."/>
      <w:lvlJc w:val="left"/>
      <w:pPr>
        <w:tabs>
          <w:tab w:val="num" w:pos="840"/>
        </w:tabs>
        <w:ind w:left="84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3B30658E"/>
    <w:multiLevelType w:val="hybridMultilevel"/>
    <w:tmpl w:val="036CA732"/>
    <w:lvl w:ilvl="0" w:tplc="4788A04E">
      <w:start w:val="1"/>
      <w:numFmt w:val="upperLetter"/>
      <w:lvlText w:val="%1."/>
      <w:lvlJc w:val="left"/>
      <w:pPr>
        <w:tabs>
          <w:tab w:val="num" w:pos="840"/>
        </w:tabs>
        <w:ind w:left="840" w:hanging="420"/>
      </w:pPr>
      <w:rPr>
        <w:rFonts w:hint="eastAsia"/>
      </w:rPr>
    </w:lvl>
    <w:lvl w:ilvl="1" w:tplc="147E8D60">
      <w:start w:val="1"/>
      <w:numFmt w:val="upperLetter"/>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3BFC7C21"/>
    <w:multiLevelType w:val="hybridMultilevel"/>
    <w:tmpl w:val="FFB69FEE"/>
    <w:lvl w:ilvl="0" w:tplc="19982086">
      <w:start w:val="1"/>
      <w:numFmt w:val="decimal"/>
      <w:lvlText w:val="%1."/>
      <w:lvlJc w:val="left"/>
      <w:pPr>
        <w:tabs>
          <w:tab w:val="num" w:pos="420"/>
        </w:tabs>
        <w:ind w:left="420" w:hanging="420"/>
      </w:pPr>
      <w:rPr>
        <w:rFonts w:ascii="宋体" w:eastAsia="宋体" w:hAnsi="宋体"/>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56C7310"/>
    <w:multiLevelType w:val="hybridMultilevel"/>
    <w:tmpl w:val="2EC46E02"/>
    <w:lvl w:ilvl="0" w:tplc="FFFFFFFF">
      <w:start w:val="1"/>
      <w:numFmt w:val="japaneseCounting"/>
      <w:pStyle w:val="211211"/>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5" w15:restartNumberingAfterBreak="0">
    <w:nsid w:val="48582ED6"/>
    <w:multiLevelType w:val="hybridMultilevel"/>
    <w:tmpl w:val="35240C0C"/>
    <w:lvl w:ilvl="0" w:tplc="6DCCCDDE">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15:restartNumberingAfterBreak="0">
    <w:nsid w:val="4A9A3F58"/>
    <w:multiLevelType w:val="hybridMultilevel"/>
    <w:tmpl w:val="B144148E"/>
    <w:lvl w:ilvl="0" w:tplc="A19203CE">
      <w:start w:val="1"/>
      <w:numFmt w:val="decimal"/>
      <w:lvlText w:val="（%1）"/>
      <w:lvlJc w:val="left"/>
      <w:pPr>
        <w:tabs>
          <w:tab w:val="num" w:pos="851"/>
        </w:tabs>
        <w:ind w:left="851" w:hanging="567"/>
      </w:pPr>
      <w:rPr>
        <w:rFonts w:hint="default"/>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B385D0F"/>
    <w:multiLevelType w:val="hybridMultilevel"/>
    <w:tmpl w:val="B96C1390"/>
    <w:lvl w:ilvl="0" w:tplc="FFFFFFFF">
      <w:start w:val="1"/>
      <w:numFmt w:val="japaneseCounting"/>
      <w:lvlText w:val="（%1）"/>
      <w:lvlJc w:val="left"/>
      <w:pPr>
        <w:tabs>
          <w:tab w:val="num" w:pos="720"/>
        </w:tabs>
        <w:ind w:left="720" w:hanging="720"/>
      </w:pPr>
      <w:rPr>
        <w:rFonts w:hint="eastAsia"/>
      </w:rPr>
    </w:lvl>
    <w:lvl w:ilvl="1" w:tplc="C658D55A">
      <w:start w:val="1"/>
      <w:numFmt w:val="decimal"/>
      <w:lvlText w:val="%2."/>
      <w:lvlJc w:val="left"/>
      <w:pPr>
        <w:tabs>
          <w:tab w:val="num" w:pos="0"/>
        </w:tabs>
        <w:ind w:left="420" w:firstLine="0"/>
      </w:pPr>
      <w:rPr>
        <w:rFonts w:ascii="宋体" w:eastAsia="宋体" w:hAnsi="宋体" w:hint="eastAsia"/>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15:restartNumberingAfterBreak="0">
    <w:nsid w:val="4C9109DF"/>
    <w:multiLevelType w:val="hybridMultilevel"/>
    <w:tmpl w:val="2D7440FC"/>
    <w:lvl w:ilvl="0" w:tplc="D3AE76CE">
      <w:start w:val="1"/>
      <w:numFmt w:val="decimal"/>
      <w:lvlText w:val="%1."/>
      <w:lvlJc w:val="left"/>
      <w:pPr>
        <w:tabs>
          <w:tab w:val="num" w:pos="900"/>
        </w:tabs>
        <w:ind w:left="900" w:hanging="420"/>
      </w:pPr>
    </w:lvl>
    <w:lvl w:ilvl="1" w:tplc="AD0419C8">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15:restartNumberingAfterBreak="0">
    <w:nsid w:val="50354D32"/>
    <w:multiLevelType w:val="hybridMultilevel"/>
    <w:tmpl w:val="9AF2A6A6"/>
    <w:lvl w:ilvl="0" w:tplc="841C8DC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5562621F"/>
    <w:multiLevelType w:val="hybridMultilevel"/>
    <w:tmpl w:val="1A3A79AA"/>
    <w:lvl w:ilvl="0" w:tplc="FFFFFFFF">
      <w:start w:val="1"/>
      <w:numFmt w:val="decimal"/>
      <w:lvlText w:val="%1."/>
      <w:lvlJc w:val="left"/>
      <w:pPr>
        <w:tabs>
          <w:tab w:val="num" w:pos="780"/>
        </w:tabs>
        <w:ind w:left="420" w:firstLine="0"/>
      </w:pPr>
      <w:rPr>
        <w:rFonts w:hint="eastAsia"/>
      </w:rPr>
    </w:lvl>
    <w:lvl w:ilvl="1" w:tplc="FFFFFFFF">
      <w:start w:val="1"/>
      <w:numFmt w:val="decimal"/>
      <w:lvlText w:val="（%2）"/>
      <w:lvlJc w:val="left"/>
      <w:pPr>
        <w:tabs>
          <w:tab w:val="num" w:pos="1134"/>
        </w:tabs>
        <w:ind w:left="1134" w:hanging="714"/>
      </w:pPr>
      <w:rPr>
        <w:rFonts w:hint="eastAsia"/>
      </w:rPr>
    </w:lvl>
    <w:lvl w:ilvl="2" w:tplc="FFFFFFFF">
      <w:start w:val="1"/>
      <w:numFmt w:val="decimal"/>
      <w:lvlText w:val="%3"/>
      <w:lvlJc w:val="left"/>
      <w:pPr>
        <w:tabs>
          <w:tab w:val="num" w:pos="780"/>
        </w:tabs>
        <w:ind w:left="420" w:firstLine="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1" w15:restartNumberingAfterBreak="0">
    <w:nsid w:val="5693180F"/>
    <w:multiLevelType w:val="hybridMultilevel"/>
    <w:tmpl w:val="701A356A"/>
    <w:lvl w:ilvl="0" w:tplc="9DF6616A">
      <w:start w:val="1"/>
      <w:numFmt w:val="decimal"/>
      <w:lvlText w:val="%1."/>
      <w:lvlJc w:val="left"/>
      <w:pPr>
        <w:tabs>
          <w:tab w:val="num" w:pos="780"/>
        </w:tabs>
        <w:ind w:left="420" w:firstLine="0"/>
      </w:pPr>
      <w:rPr>
        <w:rFonts w:hint="eastAsia"/>
      </w:rPr>
    </w:lvl>
    <w:lvl w:ilvl="1" w:tplc="841C8DC8" w:tentative="1">
      <w:start w:val="1"/>
      <w:numFmt w:val="lowerLetter"/>
      <w:lvlText w:val="%2)"/>
      <w:lvlJc w:val="left"/>
      <w:pPr>
        <w:tabs>
          <w:tab w:val="num" w:pos="840"/>
        </w:tabs>
        <w:ind w:left="840" w:hanging="420"/>
      </w:pPr>
    </w:lvl>
    <w:lvl w:ilvl="2" w:tplc="A1B2D0EE"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A507CC8"/>
    <w:multiLevelType w:val="hybridMultilevel"/>
    <w:tmpl w:val="1402D14C"/>
    <w:lvl w:ilvl="0" w:tplc="FFFFFFFF">
      <w:start w:val="2"/>
      <w:numFmt w:val="upperLetter"/>
      <w:lvlText w:val="%1．"/>
      <w:lvlJc w:val="left"/>
      <w:pPr>
        <w:tabs>
          <w:tab w:val="num" w:pos="780"/>
        </w:tabs>
        <w:ind w:left="780" w:hanging="360"/>
      </w:pPr>
      <w:rPr>
        <w:rFonts w:hint="default"/>
      </w:rPr>
    </w:lvl>
    <w:lvl w:ilvl="1" w:tplc="FFFFFFFF">
      <w:start w:val="1"/>
      <w:numFmt w:val="bullet"/>
      <w:lvlText w:val=""/>
      <w:lvlJc w:val="left"/>
      <w:pPr>
        <w:tabs>
          <w:tab w:val="num" w:pos="1260"/>
        </w:tabs>
        <w:ind w:left="1260" w:hanging="420"/>
      </w:pPr>
      <w:rPr>
        <w:rFonts w:ascii="Wingdings" w:hAnsi="Wingdings" w:hint="default"/>
      </w:r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33" w15:restartNumberingAfterBreak="0">
    <w:nsid w:val="5AC03B02"/>
    <w:multiLevelType w:val="hybridMultilevel"/>
    <w:tmpl w:val="D57CAD24"/>
    <w:lvl w:ilvl="0" w:tplc="DDC08E0E">
      <w:start w:val="1"/>
      <w:numFmt w:val="decimal"/>
      <w:lvlText w:val="%1."/>
      <w:lvlJc w:val="left"/>
      <w:pPr>
        <w:tabs>
          <w:tab w:val="num" w:pos="1065"/>
        </w:tabs>
        <w:ind w:left="1065" w:hanging="645"/>
      </w:pPr>
      <w:rPr>
        <w:rFonts w:ascii="宋体" w:eastAsia="宋体" w:hAnsi="宋体" w:hint="default"/>
      </w:rPr>
    </w:lvl>
    <w:lvl w:ilvl="1" w:tplc="04090003"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4" w15:restartNumberingAfterBreak="0">
    <w:nsid w:val="5E4C554A"/>
    <w:multiLevelType w:val="hybridMultilevel"/>
    <w:tmpl w:val="72768684"/>
    <w:lvl w:ilvl="0" w:tplc="147E8D60">
      <w:start w:val="1"/>
      <w:numFmt w:val="upp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EB87608"/>
    <w:multiLevelType w:val="hybridMultilevel"/>
    <w:tmpl w:val="C8F6FC6A"/>
    <w:lvl w:ilvl="0" w:tplc="346A570A">
      <w:start w:val="1"/>
      <w:numFmt w:val="bullet"/>
      <w:lvlText w:val=""/>
      <w:lvlJc w:val="left"/>
      <w:pPr>
        <w:tabs>
          <w:tab w:val="num" w:pos="420"/>
        </w:tabs>
        <w:ind w:left="420" w:firstLine="0"/>
      </w:pPr>
      <w:rPr>
        <w:rFonts w:ascii="Symbol" w:hAnsi="Symbol" w:hint="default"/>
      </w:rPr>
    </w:lvl>
    <w:lvl w:ilvl="1" w:tplc="8EBEAA8C" w:tentative="1">
      <w:start w:val="1"/>
      <w:numFmt w:val="bullet"/>
      <w:lvlText w:val=""/>
      <w:lvlJc w:val="left"/>
      <w:pPr>
        <w:tabs>
          <w:tab w:val="num" w:pos="840"/>
        </w:tabs>
        <w:ind w:left="840" w:firstLine="0"/>
      </w:pPr>
      <w:rPr>
        <w:rFonts w:ascii="Symbol" w:hAnsi="Symbol" w:hint="default"/>
      </w:rPr>
    </w:lvl>
    <w:lvl w:ilvl="2" w:tplc="516E6188" w:tentative="1">
      <w:start w:val="1"/>
      <w:numFmt w:val="bullet"/>
      <w:lvlText w:val=""/>
      <w:lvlJc w:val="left"/>
      <w:pPr>
        <w:tabs>
          <w:tab w:val="num" w:pos="1260"/>
        </w:tabs>
        <w:ind w:left="1260" w:firstLine="0"/>
      </w:pPr>
      <w:rPr>
        <w:rFonts w:ascii="Symbol" w:hAnsi="Symbol" w:hint="default"/>
      </w:rPr>
    </w:lvl>
    <w:lvl w:ilvl="3" w:tplc="34F4DE86" w:tentative="1">
      <w:start w:val="1"/>
      <w:numFmt w:val="bullet"/>
      <w:lvlText w:val=""/>
      <w:lvlJc w:val="left"/>
      <w:pPr>
        <w:tabs>
          <w:tab w:val="num" w:pos="1680"/>
        </w:tabs>
        <w:ind w:left="1680" w:firstLine="0"/>
      </w:pPr>
      <w:rPr>
        <w:rFonts w:ascii="Symbol" w:hAnsi="Symbol" w:hint="default"/>
      </w:rPr>
    </w:lvl>
    <w:lvl w:ilvl="4" w:tplc="7030458E" w:tentative="1">
      <w:start w:val="1"/>
      <w:numFmt w:val="bullet"/>
      <w:lvlText w:val=""/>
      <w:lvlJc w:val="left"/>
      <w:pPr>
        <w:tabs>
          <w:tab w:val="num" w:pos="2100"/>
        </w:tabs>
        <w:ind w:left="2100" w:firstLine="0"/>
      </w:pPr>
      <w:rPr>
        <w:rFonts w:ascii="Symbol" w:hAnsi="Symbol" w:hint="default"/>
      </w:rPr>
    </w:lvl>
    <w:lvl w:ilvl="5" w:tplc="AEFC915E" w:tentative="1">
      <w:start w:val="1"/>
      <w:numFmt w:val="bullet"/>
      <w:lvlText w:val=""/>
      <w:lvlJc w:val="left"/>
      <w:pPr>
        <w:tabs>
          <w:tab w:val="num" w:pos="2520"/>
        </w:tabs>
        <w:ind w:left="2520" w:firstLine="0"/>
      </w:pPr>
      <w:rPr>
        <w:rFonts w:ascii="Symbol" w:hAnsi="Symbol" w:hint="default"/>
      </w:rPr>
    </w:lvl>
    <w:lvl w:ilvl="6" w:tplc="5B0EA43E" w:tentative="1">
      <w:start w:val="1"/>
      <w:numFmt w:val="bullet"/>
      <w:lvlText w:val=""/>
      <w:lvlJc w:val="left"/>
      <w:pPr>
        <w:tabs>
          <w:tab w:val="num" w:pos="2940"/>
        </w:tabs>
        <w:ind w:left="2940" w:firstLine="0"/>
      </w:pPr>
      <w:rPr>
        <w:rFonts w:ascii="Symbol" w:hAnsi="Symbol" w:hint="default"/>
      </w:rPr>
    </w:lvl>
    <w:lvl w:ilvl="7" w:tplc="6EE236E2" w:tentative="1">
      <w:start w:val="1"/>
      <w:numFmt w:val="bullet"/>
      <w:lvlText w:val=""/>
      <w:lvlJc w:val="left"/>
      <w:pPr>
        <w:tabs>
          <w:tab w:val="num" w:pos="3360"/>
        </w:tabs>
        <w:ind w:left="3360" w:firstLine="0"/>
      </w:pPr>
      <w:rPr>
        <w:rFonts w:ascii="Symbol" w:hAnsi="Symbol" w:hint="default"/>
      </w:rPr>
    </w:lvl>
    <w:lvl w:ilvl="8" w:tplc="F0404A0E"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613925F9"/>
    <w:multiLevelType w:val="multilevel"/>
    <w:tmpl w:val="81529CAE"/>
    <w:lvl w:ilvl="0">
      <w:start w:val="1"/>
      <w:numFmt w:val="decimal"/>
      <w:lvlText w:val="%1."/>
      <w:lvlJc w:val="left"/>
      <w:pPr>
        <w:tabs>
          <w:tab w:val="num" w:pos="-420"/>
        </w:tabs>
        <w:ind w:left="0" w:firstLine="0"/>
      </w:pPr>
      <w:rPr>
        <w:rFonts w:ascii="宋体" w:eastAsia="宋体" w:hAnsi="宋体" w:hint="eastAsia"/>
      </w:rPr>
    </w:lvl>
    <w:lvl w:ilvl="1">
      <w:start w:val="1"/>
      <w:numFmt w:val="decimal"/>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7" w15:restartNumberingAfterBreak="0">
    <w:nsid w:val="617D46F4"/>
    <w:multiLevelType w:val="hybridMultilevel"/>
    <w:tmpl w:val="7BE22F7E"/>
    <w:lvl w:ilvl="0" w:tplc="147E8D60">
      <w:start w:val="1"/>
      <w:numFmt w:val="upp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2E9516D"/>
    <w:multiLevelType w:val="hybridMultilevel"/>
    <w:tmpl w:val="2DD0FE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5C46412"/>
    <w:multiLevelType w:val="hybridMultilevel"/>
    <w:tmpl w:val="9BD844B8"/>
    <w:lvl w:ilvl="0" w:tplc="147E8D60">
      <w:start w:val="1"/>
      <w:numFmt w:val="upp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1"/>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41" w15:restartNumberingAfterBreak="0">
    <w:nsid w:val="69996945"/>
    <w:multiLevelType w:val="hybridMultilevel"/>
    <w:tmpl w:val="C21C2A68"/>
    <w:lvl w:ilvl="0" w:tplc="FFFFFFFF">
      <w:start w:val="1"/>
      <w:numFmt w:val="upperLetter"/>
      <w:lvlText w:val="%1."/>
      <w:lvlJc w:val="left"/>
      <w:pPr>
        <w:tabs>
          <w:tab w:val="num" w:pos="902"/>
        </w:tabs>
        <w:ind w:left="902" w:hanging="420"/>
      </w:pPr>
    </w:lvl>
    <w:lvl w:ilvl="1" w:tplc="FFFFFFFF" w:tentative="1">
      <w:start w:val="1"/>
      <w:numFmt w:val="lowerLetter"/>
      <w:lvlText w:val="%2)"/>
      <w:lvlJc w:val="left"/>
      <w:pPr>
        <w:tabs>
          <w:tab w:val="num" w:pos="1322"/>
        </w:tabs>
        <w:ind w:left="1322" w:hanging="420"/>
      </w:pPr>
    </w:lvl>
    <w:lvl w:ilvl="2" w:tplc="FFFFFFFF" w:tentative="1">
      <w:start w:val="1"/>
      <w:numFmt w:val="lowerRoman"/>
      <w:lvlText w:val="%3."/>
      <w:lvlJc w:val="right"/>
      <w:pPr>
        <w:tabs>
          <w:tab w:val="num" w:pos="1742"/>
        </w:tabs>
        <w:ind w:left="1742" w:hanging="420"/>
      </w:pPr>
    </w:lvl>
    <w:lvl w:ilvl="3" w:tplc="FFFFFFFF" w:tentative="1">
      <w:start w:val="1"/>
      <w:numFmt w:val="decimal"/>
      <w:lvlText w:val="%4."/>
      <w:lvlJc w:val="left"/>
      <w:pPr>
        <w:tabs>
          <w:tab w:val="num" w:pos="2162"/>
        </w:tabs>
        <w:ind w:left="2162" w:hanging="420"/>
      </w:pPr>
    </w:lvl>
    <w:lvl w:ilvl="4" w:tplc="FFFFFFFF" w:tentative="1">
      <w:start w:val="1"/>
      <w:numFmt w:val="lowerLetter"/>
      <w:lvlText w:val="%5)"/>
      <w:lvlJc w:val="left"/>
      <w:pPr>
        <w:tabs>
          <w:tab w:val="num" w:pos="2582"/>
        </w:tabs>
        <w:ind w:left="2582" w:hanging="420"/>
      </w:pPr>
    </w:lvl>
    <w:lvl w:ilvl="5" w:tplc="FFFFFFFF" w:tentative="1">
      <w:start w:val="1"/>
      <w:numFmt w:val="lowerRoman"/>
      <w:lvlText w:val="%6."/>
      <w:lvlJc w:val="right"/>
      <w:pPr>
        <w:tabs>
          <w:tab w:val="num" w:pos="3002"/>
        </w:tabs>
        <w:ind w:left="3002" w:hanging="420"/>
      </w:pPr>
    </w:lvl>
    <w:lvl w:ilvl="6" w:tplc="FFFFFFFF" w:tentative="1">
      <w:start w:val="1"/>
      <w:numFmt w:val="decimal"/>
      <w:lvlText w:val="%7."/>
      <w:lvlJc w:val="left"/>
      <w:pPr>
        <w:tabs>
          <w:tab w:val="num" w:pos="3422"/>
        </w:tabs>
        <w:ind w:left="3422" w:hanging="420"/>
      </w:pPr>
    </w:lvl>
    <w:lvl w:ilvl="7" w:tplc="FFFFFFFF" w:tentative="1">
      <w:start w:val="1"/>
      <w:numFmt w:val="lowerLetter"/>
      <w:lvlText w:val="%8)"/>
      <w:lvlJc w:val="left"/>
      <w:pPr>
        <w:tabs>
          <w:tab w:val="num" w:pos="3842"/>
        </w:tabs>
        <w:ind w:left="3842" w:hanging="420"/>
      </w:pPr>
    </w:lvl>
    <w:lvl w:ilvl="8" w:tplc="FFFFFFFF" w:tentative="1">
      <w:start w:val="1"/>
      <w:numFmt w:val="lowerRoman"/>
      <w:lvlText w:val="%9."/>
      <w:lvlJc w:val="right"/>
      <w:pPr>
        <w:tabs>
          <w:tab w:val="num" w:pos="4262"/>
        </w:tabs>
        <w:ind w:left="4262" w:hanging="420"/>
      </w:pPr>
    </w:lvl>
  </w:abstractNum>
  <w:abstractNum w:abstractNumId="42" w15:restartNumberingAfterBreak="0">
    <w:nsid w:val="699F5316"/>
    <w:multiLevelType w:val="hybridMultilevel"/>
    <w:tmpl w:val="9B6E6268"/>
    <w:lvl w:ilvl="0" w:tplc="24E0F2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FE147B6"/>
    <w:multiLevelType w:val="singleLevel"/>
    <w:tmpl w:val="5DAA9A04"/>
    <w:lvl w:ilvl="0">
      <w:start w:val="1"/>
      <w:numFmt w:val="decimal"/>
      <w:pStyle w:val="2"/>
      <w:lvlText w:val="(%1)"/>
      <w:lvlJc w:val="left"/>
      <w:pPr>
        <w:tabs>
          <w:tab w:val="num" w:pos="360"/>
        </w:tabs>
        <w:ind w:left="0" w:firstLine="0"/>
      </w:pPr>
      <w:rPr>
        <w:rFonts w:hint="eastAsia"/>
      </w:rPr>
    </w:lvl>
  </w:abstractNum>
  <w:abstractNum w:abstractNumId="44" w15:restartNumberingAfterBreak="0">
    <w:nsid w:val="75016CE4"/>
    <w:multiLevelType w:val="hybridMultilevel"/>
    <w:tmpl w:val="6E1A6904"/>
    <w:lvl w:ilvl="0" w:tplc="FFFFFFFF">
      <w:start w:val="1"/>
      <w:numFmt w:val="decimal"/>
      <w:lvlText w:val="%1."/>
      <w:lvlJc w:val="left"/>
      <w:pPr>
        <w:tabs>
          <w:tab w:val="num" w:pos="420"/>
        </w:tabs>
        <w:ind w:left="420" w:hanging="420"/>
      </w:pPr>
      <w:rPr>
        <w:rFonts w:ascii="宋体" w:eastAsia="宋体" w:hAnsi="宋体"/>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5" w15:restartNumberingAfterBreak="0">
    <w:nsid w:val="769754B1"/>
    <w:multiLevelType w:val="hybridMultilevel"/>
    <w:tmpl w:val="911AFA80"/>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6" w15:restartNumberingAfterBreak="0">
    <w:nsid w:val="77B4748A"/>
    <w:multiLevelType w:val="hybridMultilevel"/>
    <w:tmpl w:val="C3A2A3E6"/>
    <w:lvl w:ilvl="0" w:tplc="0409000F">
      <w:start w:val="1"/>
      <w:numFmt w:val="decimal"/>
      <w:lvlText w:val="%1."/>
      <w:lvlJc w:val="left"/>
      <w:pPr>
        <w:tabs>
          <w:tab w:val="num" w:pos="780"/>
        </w:tabs>
        <w:ind w:left="420" w:firstLine="0"/>
      </w:pPr>
      <w:rPr>
        <w:rFonts w:hint="eastAsia"/>
      </w:rPr>
    </w:lvl>
    <w:lvl w:ilvl="1" w:tplc="4BBCDF74">
      <w:start w:val="1"/>
      <w:numFmt w:val="decimal"/>
      <w:lvlText w:val="（%2）"/>
      <w:lvlJc w:val="left"/>
      <w:pPr>
        <w:tabs>
          <w:tab w:val="num" w:pos="851"/>
        </w:tabs>
        <w:ind w:left="851" w:hanging="567"/>
      </w:pPr>
      <w:rPr>
        <w:rFonts w:hint="eastAsia"/>
        <w:lang w:val="en-US"/>
      </w:rPr>
    </w:lvl>
    <w:lvl w:ilvl="2" w:tplc="0409001B">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16"/>
  </w:num>
  <w:num w:numId="3">
    <w:abstractNumId w:val="40"/>
  </w:num>
  <w:num w:numId="4">
    <w:abstractNumId w:val="27"/>
  </w:num>
  <w:num w:numId="5">
    <w:abstractNumId w:val="28"/>
  </w:num>
  <w:num w:numId="6">
    <w:abstractNumId w:val="14"/>
  </w:num>
  <w:num w:numId="7">
    <w:abstractNumId w:val="4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1"/>
  </w:num>
  <w:num w:numId="19">
    <w:abstractNumId w:val="30"/>
  </w:num>
  <w:num w:numId="20">
    <w:abstractNumId w:val="46"/>
  </w:num>
  <w:num w:numId="21">
    <w:abstractNumId w:val="20"/>
  </w:num>
  <w:num w:numId="22">
    <w:abstractNumId w:val="17"/>
  </w:num>
  <w:num w:numId="23">
    <w:abstractNumId w:val="33"/>
  </w:num>
  <w:num w:numId="24">
    <w:abstractNumId w:val="23"/>
  </w:num>
  <w:num w:numId="25">
    <w:abstractNumId w:val="15"/>
  </w:num>
  <w:num w:numId="26">
    <w:abstractNumId w:val="36"/>
  </w:num>
  <w:num w:numId="27">
    <w:abstractNumId w:val="10"/>
  </w:num>
  <w:num w:numId="28">
    <w:abstractNumId w:val="18"/>
  </w:num>
  <w:num w:numId="29">
    <w:abstractNumId w:val="31"/>
  </w:num>
  <w:num w:numId="30">
    <w:abstractNumId w:val="12"/>
  </w:num>
  <w:num w:numId="31">
    <w:abstractNumId w:val="41"/>
  </w:num>
  <w:num w:numId="32">
    <w:abstractNumId w:val="43"/>
  </w:num>
  <w:num w:numId="33">
    <w:abstractNumId w:val="32"/>
  </w:num>
  <w:num w:numId="34">
    <w:abstractNumId w:val="44"/>
  </w:num>
  <w:num w:numId="35">
    <w:abstractNumId w:val="24"/>
  </w:num>
  <w:num w:numId="36">
    <w:abstractNumId w:val="22"/>
  </w:num>
  <w:num w:numId="37">
    <w:abstractNumId w:val="39"/>
  </w:num>
  <w:num w:numId="38">
    <w:abstractNumId w:val="37"/>
  </w:num>
  <w:num w:numId="39">
    <w:abstractNumId w:val="34"/>
  </w:num>
  <w:num w:numId="40">
    <w:abstractNumId w:val="11"/>
  </w:num>
  <w:num w:numId="41">
    <w:abstractNumId w:val="26"/>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9"/>
  </w:num>
  <w:num w:numId="45">
    <w:abstractNumId w:val="35"/>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608C"/>
    <w:rsid w:val="000025B8"/>
    <w:rsid w:val="0001625A"/>
    <w:rsid w:val="00021DB0"/>
    <w:rsid w:val="000256E9"/>
    <w:rsid w:val="0002608C"/>
    <w:rsid w:val="0002792D"/>
    <w:rsid w:val="00027EE7"/>
    <w:rsid w:val="0003070A"/>
    <w:rsid w:val="00032846"/>
    <w:rsid w:val="000341F8"/>
    <w:rsid w:val="00035791"/>
    <w:rsid w:val="00044EC2"/>
    <w:rsid w:val="00045206"/>
    <w:rsid w:val="00052F0E"/>
    <w:rsid w:val="00053B4F"/>
    <w:rsid w:val="0005406E"/>
    <w:rsid w:val="000617D2"/>
    <w:rsid w:val="00064FD3"/>
    <w:rsid w:val="0007157E"/>
    <w:rsid w:val="0008139F"/>
    <w:rsid w:val="000846F0"/>
    <w:rsid w:val="00087E56"/>
    <w:rsid w:val="00091480"/>
    <w:rsid w:val="00092814"/>
    <w:rsid w:val="0009315C"/>
    <w:rsid w:val="000949F0"/>
    <w:rsid w:val="000A0F49"/>
    <w:rsid w:val="000B0E65"/>
    <w:rsid w:val="000B139B"/>
    <w:rsid w:val="000B426C"/>
    <w:rsid w:val="000B548F"/>
    <w:rsid w:val="000C00D1"/>
    <w:rsid w:val="000C425C"/>
    <w:rsid w:val="000C4F96"/>
    <w:rsid w:val="000D005D"/>
    <w:rsid w:val="000D4EB1"/>
    <w:rsid w:val="000D5EA4"/>
    <w:rsid w:val="000E0AFB"/>
    <w:rsid w:val="000E1411"/>
    <w:rsid w:val="000E46FF"/>
    <w:rsid w:val="000E58B8"/>
    <w:rsid w:val="000F326B"/>
    <w:rsid w:val="0010176D"/>
    <w:rsid w:val="00107648"/>
    <w:rsid w:val="00107690"/>
    <w:rsid w:val="001365EE"/>
    <w:rsid w:val="0014219A"/>
    <w:rsid w:val="001501A0"/>
    <w:rsid w:val="00150F75"/>
    <w:rsid w:val="00151A2F"/>
    <w:rsid w:val="00157D99"/>
    <w:rsid w:val="00160C25"/>
    <w:rsid w:val="00160E3C"/>
    <w:rsid w:val="00160EFF"/>
    <w:rsid w:val="00162F9F"/>
    <w:rsid w:val="00166576"/>
    <w:rsid w:val="001710FA"/>
    <w:rsid w:val="00174531"/>
    <w:rsid w:val="00182A3A"/>
    <w:rsid w:val="001834CC"/>
    <w:rsid w:val="00184727"/>
    <w:rsid w:val="00185634"/>
    <w:rsid w:val="001A7B49"/>
    <w:rsid w:val="001D08B4"/>
    <w:rsid w:val="001D2A08"/>
    <w:rsid w:val="001D386C"/>
    <w:rsid w:val="001E07D7"/>
    <w:rsid w:val="001E330C"/>
    <w:rsid w:val="001E476C"/>
    <w:rsid w:val="001E4DCD"/>
    <w:rsid w:val="001E590B"/>
    <w:rsid w:val="001E6089"/>
    <w:rsid w:val="001E70BC"/>
    <w:rsid w:val="001F0D5D"/>
    <w:rsid w:val="00201A0F"/>
    <w:rsid w:val="00202703"/>
    <w:rsid w:val="00206539"/>
    <w:rsid w:val="00211194"/>
    <w:rsid w:val="002112A0"/>
    <w:rsid w:val="002150F7"/>
    <w:rsid w:val="0021698B"/>
    <w:rsid w:val="00220B39"/>
    <w:rsid w:val="00220F42"/>
    <w:rsid w:val="00226C69"/>
    <w:rsid w:val="002313A1"/>
    <w:rsid w:val="00231FEA"/>
    <w:rsid w:val="00233E71"/>
    <w:rsid w:val="00236A42"/>
    <w:rsid w:val="0025411F"/>
    <w:rsid w:val="00255860"/>
    <w:rsid w:val="002629C6"/>
    <w:rsid w:val="0026346A"/>
    <w:rsid w:val="00263F25"/>
    <w:rsid w:val="00273BB0"/>
    <w:rsid w:val="002821A4"/>
    <w:rsid w:val="00282549"/>
    <w:rsid w:val="002831CC"/>
    <w:rsid w:val="00283525"/>
    <w:rsid w:val="002846B1"/>
    <w:rsid w:val="0029245A"/>
    <w:rsid w:val="00294711"/>
    <w:rsid w:val="0029796B"/>
    <w:rsid w:val="002A0070"/>
    <w:rsid w:val="002A2B97"/>
    <w:rsid w:val="002A7779"/>
    <w:rsid w:val="002C1DA2"/>
    <w:rsid w:val="002C26C0"/>
    <w:rsid w:val="002C2838"/>
    <w:rsid w:val="002C5AEA"/>
    <w:rsid w:val="002C70CB"/>
    <w:rsid w:val="002C7B6F"/>
    <w:rsid w:val="002D15C5"/>
    <w:rsid w:val="002D4A4B"/>
    <w:rsid w:val="002E299A"/>
    <w:rsid w:val="002E5A72"/>
    <w:rsid w:val="002E78B6"/>
    <w:rsid w:val="002E7FE3"/>
    <w:rsid w:val="002F09FF"/>
    <w:rsid w:val="002F0A89"/>
    <w:rsid w:val="002F0DA8"/>
    <w:rsid w:val="002F1964"/>
    <w:rsid w:val="002F36AF"/>
    <w:rsid w:val="002F6418"/>
    <w:rsid w:val="002F7E4A"/>
    <w:rsid w:val="003001B7"/>
    <w:rsid w:val="00307D58"/>
    <w:rsid w:val="00314698"/>
    <w:rsid w:val="00320BA2"/>
    <w:rsid w:val="00321569"/>
    <w:rsid w:val="00331A1D"/>
    <w:rsid w:val="00334E22"/>
    <w:rsid w:val="00336783"/>
    <w:rsid w:val="003371FA"/>
    <w:rsid w:val="003429A1"/>
    <w:rsid w:val="0034441D"/>
    <w:rsid w:val="003456B2"/>
    <w:rsid w:val="00346B23"/>
    <w:rsid w:val="00355DA3"/>
    <w:rsid w:val="00361D30"/>
    <w:rsid w:val="00366908"/>
    <w:rsid w:val="0036798F"/>
    <w:rsid w:val="00367CD8"/>
    <w:rsid w:val="00373643"/>
    <w:rsid w:val="00374B12"/>
    <w:rsid w:val="00385501"/>
    <w:rsid w:val="003920FC"/>
    <w:rsid w:val="00394F38"/>
    <w:rsid w:val="00396867"/>
    <w:rsid w:val="00396DC0"/>
    <w:rsid w:val="003A2EE8"/>
    <w:rsid w:val="003A7233"/>
    <w:rsid w:val="003A749C"/>
    <w:rsid w:val="003B3605"/>
    <w:rsid w:val="003B5E97"/>
    <w:rsid w:val="003C1CF2"/>
    <w:rsid w:val="003C2646"/>
    <w:rsid w:val="003C514E"/>
    <w:rsid w:val="003C5647"/>
    <w:rsid w:val="003C60F0"/>
    <w:rsid w:val="003D45E6"/>
    <w:rsid w:val="003D4A29"/>
    <w:rsid w:val="003D5A74"/>
    <w:rsid w:val="003E028A"/>
    <w:rsid w:val="003E26AD"/>
    <w:rsid w:val="003E42CE"/>
    <w:rsid w:val="003E4F7E"/>
    <w:rsid w:val="003E58D0"/>
    <w:rsid w:val="003E6BDD"/>
    <w:rsid w:val="003F7408"/>
    <w:rsid w:val="0040118D"/>
    <w:rsid w:val="00401BC2"/>
    <w:rsid w:val="004020AB"/>
    <w:rsid w:val="0040381E"/>
    <w:rsid w:val="00403B43"/>
    <w:rsid w:val="00404A63"/>
    <w:rsid w:val="0041172A"/>
    <w:rsid w:val="0041390F"/>
    <w:rsid w:val="00415605"/>
    <w:rsid w:val="00421364"/>
    <w:rsid w:val="004217EC"/>
    <w:rsid w:val="004247DF"/>
    <w:rsid w:val="00426313"/>
    <w:rsid w:val="0042726C"/>
    <w:rsid w:val="00432E4E"/>
    <w:rsid w:val="004409BD"/>
    <w:rsid w:val="00441DAE"/>
    <w:rsid w:val="00443A7A"/>
    <w:rsid w:val="00445EE9"/>
    <w:rsid w:val="00446AE9"/>
    <w:rsid w:val="00446CF7"/>
    <w:rsid w:val="00451E6E"/>
    <w:rsid w:val="00454F81"/>
    <w:rsid w:val="0045600F"/>
    <w:rsid w:val="00472403"/>
    <w:rsid w:val="004763E4"/>
    <w:rsid w:val="00477C22"/>
    <w:rsid w:val="00482D26"/>
    <w:rsid w:val="00482E55"/>
    <w:rsid w:val="00485E1F"/>
    <w:rsid w:val="00486C54"/>
    <w:rsid w:val="00487F64"/>
    <w:rsid w:val="00492266"/>
    <w:rsid w:val="004A26B8"/>
    <w:rsid w:val="004A3D36"/>
    <w:rsid w:val="004B0513"/>
    <w:rsid w:val="004B3B1E"/>
    <w:rsid w:val="004B4881"/>
    <w:rsid w:val="004C6445"/>
    <w:rsid w:val="004D5351"/>
    <w:rsid w:val="004D618E"/>
    <w:rsid w:val="004E4C64"/>
    <w:rsid w:val="004E649B"/>
    <w:rsid w:val="004F10BC"/>
    <w:rsid w:val="004F149B"/>
    <w:rsid w:val="004F54CB"/>
    <w:rsid w:val="004F6EBA"/>
    <w:rsid w:val="00501A61"/>
    <w:rsid w:val="00502026"/>
    <w:rsid w:val="005027C6"/>
    <w:rsid w:val="00505DEB"/>
    <w:rsid w:val="005070E2"/>
    <w:rsid w:val="005112FC"/>
    <w:rsid w:val="0051253B"/>
    <w:rsid w:val="0051491F"/>
    <w:rsid w:val="005173A8"/>
    <w:rsid w:val="00527641"/>
    <w:rsid w:val="00532800"/>
    <w:rsid w:val="00535526"/>
    <w:rsid w:val="00540AC9"/>
    <w:rsid w:val="00544AA9"/>
    <w:rsid w:val="0054506C"/>
    <w:rsid w:val="005503ED"/>
    <w:rsid w:val="00561780"/>
    <w:rsid w:val="00561D04"/>
    <w:rsid w:val="00567CDE"/>
    <w:rsid w:val="005717A4"/>
    <w:rsid w:val="00574465"/>
    <w:rsid w:val="0057493F"/>
    <w:rsid w:val="00574A74"/>
    <w:rsid w:val="00574E66"/>
    <w:rsid w:val="00580332"/>
    <w:rsid w:val="005816BD"/>
    <w:rsid w:val="00581B3D"/>
    <w:rsid w:val="00583092"/>
    <w:rsid w:val="005843CA"/>
    <w:rsid w:val="005A454F"/>
    <w:rsid w:val="005A525A"/>
    <w:rsid w:val="005B1DED"/>
    <w:rsid w:val="005B306A"/>
    <w:rsid w:val="005B5FE1"/>
    <w:rsid w:val="005C49CA"/>
    <w:rsid w:val="005C5AC6"/>
    <w:rsid w:val="005D4EB0"/>
    <w:rsid w:val="005D57A9"/>
    <w:rsid w:val="005D5CDA"/>
    <w:rsid w:val="005E17C2"/>
    <w:rsid w:val="005E7CD0"/>
    <w:rsid w:val="005F1A1C"/>
    <w:rsid w:val="005F2AB0"/>
    <w:rsid w:val="00600AB1"/>
    <w:rsid w:val="00601286"/>
    <w:rsid w:val="006150DD"/>
    <w:rsid w:val="0062136A"/>
    <w:rsid w:val="00625291"/>
    <w:rsid w:val="00627FE1"/>
    <w:rsid w:val="006314E9"/>
    <w:rsid w:val="00632198"/>
    <w:rsid w:val="0063365A"/>
    <w:rsid w:val="00633DA9"/>
    <w:rsid w:val="00640238"/>
    <w:rsid w:val="00640672"/>
    <w:rsid w:val="006504A1"/>
    <w:rsid w:val="006512D6"/>
    <w:rsid w:val="006517E1"/>
    <w:rsid w:val="0065227B"/>
    <w:rsid w:val="00657653"/>
    <w:rsid w:val="006620BF"/>
    <w:rsid w:val="0066680E"/>
    <w:rsid w:val="006741E8"/>
    <w:rsid w:val="006749E1"/>
    <w:rsid w:val="00680610"/>
    <w:rsid w:val="0068400B"/>
    <w:rsid w:val="00693B95"/>
    <w:rsid w:val="00694807"/>
    <w:rsid w:val="00694C29"/>
    <w:rsid w:val="00695A8E"/>
    <w:rsid w:val="006A12C8"/>
    <w:rsid w:val="006A2B6E"/>
    <w:rsid w:val="006A4289"/>
    <w:rsid w:val="006A4A23"/>
    <w:rsid w:val="006A599F"/>
    <w:rsid w:val="006A69BE"/>
    <w:rsid w:val="006C0887"/>
    <w:rsid w:val="006C0BBC"/>
    <w:rsid w:val="006C17F3"/>
    <w:rsid w:val="006D0E90"/>
    <w:rsid w:val="006D19D7"/>
    <w:rsid w:val="006D4EFE"/>
    <w:rsid w:val="006D5F6E"/>
    <w:rsid w:val="006D6E1E"/>
    <w:rsid w:val="006F490A"/>
    <w:rsid w:val="006F6C54"/>
    <w:rsid w:val="00704A52"/>
    <w:rsid w:val="00706AE0"/>
    <w:rsid w:val="00712D80"/>
    <w:rsid w:val="0071513A"/>
    <w:rsid w:val="0071574C"/>
    <w:rsid w:val="00715F77"/>
    <w:rsid w:val="00720EAF"/>
    <w:rsid w:val="0072117D"/>
    <w:rsid w:val="00727B00"/>
    <w:rsid w:val="0073686E"/>
    <w:rsid w:val="007408CC"/>
    <w:rsid w:val="007444E9"/>
    <w:rsid w:val="00744E4D"/>
    <w:rsid w:val="00746590"/>
    <w:rsid w:val="007472F4"/>
    <w:rsid w:val="007560EC"/>
    <w:rsid w:val="00757722"/>
    <w:rsid w:val="007676BF"/>
    <w:rsid w:val="00772F1D"/>
    <w:rsid w:val="007742D1"/>
    <w:rsid w:val="0077572F"/>
    <w:rsid w:val="00775824"/>
    <w:rsid w:val="00783A7C"/>
    <w:rsid w:val="007844D7"/>
    <w:rsid w:val="00796D16"/>
    <w:rsid w:val="007A542B"/>
    <w:rsid w:val="007A7A2F"/>
    <w:rsid w:val="007B08F8"/>
    <w:rsid w:val="007B0AB8"/>
    <w:rsid w:val="007B1378"/>
    <w:rsid w:val="007B284B"/>
    <w:rsid w:val="007B29B3"/>
    <w:rsid w:val="007B29EA"/>
    <w:rsid w:val="007B7F3A"/>
    <w:rsid w:val="007C00A3"/>
    <w:rsid w:val="007C2F32"/>
    <w:rsid w:val="007C7E9F"/>
    <w:rsid w:val="007D2967"/>
    <w:rsid w:val="007D5B62"/>
    <w:rsid w:val="007D73F5"/>
    <w:rsid w:val="007E03CD"/>
    <w:rsid w:val="007E11DD"/>
    <w:rsid w:val="007E28AE"/>
    <w:rsid w:val="007E4013"/>
    <w:rsid w:val="007E5C61"/>
    <w:rsid w:val="007F11CF"/>
    <w:rsid w:val="008075DD"/>
    <w:rsid w:val="008144EC"/>
    <w:rsid w:val="008163C1"/>
    <w:rsid w:val="00824189"/>
    <w:rsid w:val="008270B1"/>
    <w:rsid w:val="00834C1C"/>
    <w:rsid w:val="00835E59"/>
    <w:rsid w:val="0084079F"/>
    <w:rsid w:val="00851044"/>
    <w:rsid w:val="008526C7"/>
    <w:rsid w:val="00853DB7"/>
    <w:rsid w:val="008630B4"/>
    <w:rsid w:val="00872943"/>
    <w:rsid w:val="00874053"/>
    <w:rsid w:val="008777CF"/>
    <w:rsid w:val="0088010E"/>
    <w:rsid w:val="00880DFE"/>
    <w:rsid w:val="0088110A"/>
    <w:rsid w:val="008905E4"/>
    <w:rsid w:val="008914CB"/>
    <w:rsid w:val="00891B17"/>
    <w:rsid w:val="00895DF4"/>
    <w:rsid w:val="008A14D9"/>
    <w:rsid w:val="008A778E"/>
    <w:rsid w:val="008B0C9A"/>
    <w:rsid w:val="008B6196"/>
    <w:rsid w:val="008C1489"/>
    <w:rsid w:val="008C3FFF"/>
    <w:rsid w:val="008C4951"/>
    <w:rsid w:val="008C499B"/>
    <w:rsid w:val="008C5C14"/>
    <w:rsid w:val="008C709C"/>
    <w:rsid w:val="008D506F"/>
    <w:rsid w:val="008E27B6"/>
    <w:rsid w:val="008E4B4E"/>
    <w:rsid w:val="008E4BA9"/>
    <w:rsid w:val="008E5383"/>
    <w:rsid w:val="008F17E4"/>
    <w:rsid w:val="008F1810"/>
    <w:rsid w:val="008F7585"/>
    <w:rsid w:val="00900833"/>
    <w:rsid w:val="00900F31"/>
    <w:rsid w:val="009064FE"/>
    <w:rsid w:val="00906A80"/>
    <w:rsid w:val="009108D6"/>
    <w:rsid w:val="00920EDD"/>
    <w:rsid w:val="00921D49"/>
    <w:rsid w:val="00923B65"/>
    <w:rsid w:val="00927859"/>
    <w:rsid w:val="00931A61"/>
    <w:rsid w:val="00933500"/>
    <w:rsid w:val="00934941"/>
    <w:rsid w:val="009369EA"/>
    <w:rsid w:val="00950660"/>
    <w:rsid w:val="009520C1"/>
    <w:rsid w:val="00954FC9"/>
    <w:rsid w:val="009576B8"/>
    <w:rsid w:val="009667AE"/>
    <w:rsid w:val="00967D64"/>
    <w:rsid w:val="00970687"/>
    <w:rsid w:val="00971519"/>
    <w:rsid w:val="009724FB"/>
    <w:rsid w:val="00973CF4"/>
    <w:rsid w:val="00975AC3"/>
    <w:rsid w:val="0098053D"/>
    <w:rsid w:val="0098194A"/>
    <w:rsid w:val="00982449"/>
    <w:rsid w:val="00987F43"/>
    <w:rsid w:val="00994076"/>
    <w:rsid w:val="00994F9A"/>
    <w:rsid w:val="009A0DFE"/>
    <w:rsid w:val="009A1EB5"/>
    <w:rsid w:val="009A57F4"/>
    <w:rsid w:val="009A5BC2"/>
    <w:rsid w:val="009A64E7"/>
    <w:rsid w:val="009B2EC7"/>
    <w:rsid w:val="009B45C5"/>
    <w:rsid w:val="009B4BC4"/>
    <w:rsid w:val="009B6062"/>
    <w:rsid w:val="009B73E9"/>
    <w:rsid w:val="009C26F6"/>
    <w:rsid w:val="009C2991"/>
    <w:rsid w:val="009C3315"/>
    <w:rsid w:val="009C6641"/>
    <w:rsid w:val="009D0A9D"/>
    <w:rsid w:val="009D24D1"/>
    <w:rsid w:val="009D33A7"/>
    <w:rsid w:val="009D4936"/>
    <w:rsid w:val="009D5BE2"/>
    <w:rsid w:val="009D65AB"/>
    <w:rsid w:val="009D6797"/>
    <w:rsid w:val="009E39CF"/>
    <w:rsid w:val="009E4529"/>
    <w:rsid w:val="009F1870"/>
    <w:rsid w:val="009F7BDB"/>
    <w:rsid w:val="00A00AC1"/>
    <w:rsid w:val="00A07B0D"/>
    <w:rsid w:val="00A10AEC"/>
    <w:rsid w:val="00A25713"/>
    <w:rsid w:val="00A258A3"/>
    <w:rsid w:val="00A26D79"/>
    <w:rsid w:val="00A275E5"/>
    <w:rsid w:val="00A307D1"/>
    <w:rsid w:val="00A37361"/>
    <w:rsid w:val="00A3751D"/>
    <w:rsid w:val="00A37C83"/>
    <w:rsid w:val="00A45A7E"/>
    <w:rsid w:val="00A4646A"/>
    <w:rsid w:val="00A5326A"/>
    <w:rsid w:val="00A5520D"/>
    <w:rsid w:val="00A554B4"/>
    <w:rsid w:val="00A57B48"/>
    <w:rsid w:val="00A62AEC"/>
    <w:rsid w:val="00A64D82"/>
    <w:rsid w:val="00A662C5"/>
    <w:rsid w:val="00A80284"/>
    <w:rsid w:val="00A80777"/>
    <w:rsid w:val="00A82317"/>
    <w:rsid w:val="00A82B3B"/>
    <w:rsid w:val="00A84065"/>
    <w:rsid w:val="00A84077"/>
    <w:rsid w:val="00A86B2A"/>
    <w:rsid w:val="00A90F7A"/>
    <w:rsid w:val="00A96254"/>
    <w:rsid w:val="00AA18A1"/>
    <w:rsid w:val="00AA545A"/>
    <w:rsid w:val="00AC2299"/>
    <w:rsid w:val="00AC6910"/>
    <w:rsid w:val="00AD5326"/>
    <w:rsid w:val="00AD6F54"/>
    <w:rsid w:val="00AE05D4"/>
    <w:rsid w:val="00AE1433"/>
    <w:rsid w:val="00AE687B"/>
    <w:rsid w:val="00AE7C88"/>
    <w:rsid w:val="00AF5493"/>
    <w:rsid w:val="00AF6AAE"/>
    <w:rsid w:val="00B07978"/>
    <w:rsid w:val="00B116C3"/>
    <w:rsid w:val="00B12D45"/>
    <w:rsid w:val="00B14584"/>
    <w:rsid w:val="00B148D8"/>
    <w:rsid w:val="00B15862"/>
    <w:rsid w:val="00B15FDE"/>
    <w:rsid w:val="00B235EF"/>
    <w:rsid w:val="00B2436B"/>
    <w:rsid w:val="00B26732"/>
    <w:rsid w:val="00B30B43"/>
    <w:rsid w:val="00B31482"/>
    <w:rsid w:val="00B32CF0"/>
    <w:rsid w:val="00B32E44"/>
    <w:rsid w:val="00B3338A"/>
    <w:rsid w:val="00B33D9C"/>
    <w:rsid w:val="00B34ECB"/>
    <w:rsid w:val="00B41242"/>
    <w:rsid w:val="00B42E9D"/>
    <w:rsid w:val="00B46057"/>
    <w:rsid w:val="00B543D7"/>
    <w:rsid w:val="00B60AD1"/>
    <w:rsid w:val="00B61007"/>
    <w:rsid w:val="00B647DA"/>
    <w:rsid w:val="00B64E0F"/>
    <w:rsid w:val="00B650C1"/>
    <w:rsid w:val="00B659B1"/>
    <w:rsid w:val="00B70D99"/>
    <w:rsid w:val="00B71B99"/>
    <w:rsid w:val="00BA1AA4"/>
    <w:rsid w:val="00BA4859"/>
    <w:rsid w:val="00BB283C"/>
    <w:rsid w:val="00BB28BC"/>
    <w:rsid w:val="00BB47F6"/>
    <w:rsid w:val="00BB7DD4"/>
    <w:rsid w:val="00BC0BBF"/>
    <w:rsid w:val="00BD571E"/>
    <w:rsid w:val="00BF31B9"/>
    <w:rsid w:val="00BF31E8"/>
    <w:rsid w:val="00BF44A6"/>
    <w:rsid w:val="00C04000"/>
    <w:rsid w:val="00C070D4"/>
    <w:rsid w:val="00C10EB5"/>
    <w:rsid w:val="00C13AD1"/>
    <w:rsid w:val="00C15CD6"/>
    <w:rsid w:val="00C20194"/>
    <w:rsid w:val="00C23F8E"/>
    <w:rsid w:val="00C24B2B"/>
    <w:rsid w:val="00C26C6F"/>
    <w:rsid w:val="00C275BC"/>
    <w:rsid w:val="00C31155"/>
    <w:rsid w:val="00C3432D"/>
    <w:rsid w:val="00C425A5"/>
    <w:rsid w:val="00C43A6D"/>
    <w:rsid w:val="00C57EAE"/>
    <w:rsid w:val="00C634AC"/>
    <w:rsid w:val="00C64F4D"/>
    <w:rsid w:val="00C7218B"/>
    <w:rsid w:val="00C75402"/>
    <w:rsid w:val="00C75FC8"/>
    <w:rsid w:val="00C8062D"/>
    <w:rsid w:val="00C8232F"/>
    <w:rsid w:val="00C87BE6"/>
    <w:rsid w:val="00C90DD4"/>
    <w:rsid w:val="00C946A1"/>
    <w:rsid w:val="00CA0447"/>
    <w:rsid w:val="00CA4F70"/>
    <w:rsid w:val="00CA597C"/>
    <w:rsid w:val="00CB231C"/>
    <w:rsid w:val="00CB31A3"/>
    <w:rsid w:val="00CC21C7"/>
    <w:rsid w:val="00CC3EEB"/>
    <w:rsid w:val="00CC3FA2"/>
    <w:rsid w:val="00CC4212"/>
    <w:rsid w:val="00CC4B06"/>
    <w:rsid w:val="00CC5582"/>
    <w:rsid w:val="00CC7360"/>
    <w:rsid w:val="00CC7EF2"/>
    <w:rsid w:val="00CD5491"/>
    <w:rsid w:val="00CD69C9"/>
    <w:rsid w:val="00CE2B47"/>
    <w:rsid w:val="00CE2F50"/>
    <w:rsid w:val="00CF00DE"/>
    <w:rsid w:val="00CF3244"/>
    <w:rsid w:val="00CF3ACE"/>
    <w:rsid w:val="00D023A2"/>
    <w:rsid w:val="00D07EFB"/>
    <w:rsid w:val="00D109A3"/>
    <w:rsid w:val="00D23F4C"/>
    <w:rsid w:val="00D250E9"/>
    <w:rsid w:val="00D26119"/>
    <w:rsid w:val="00D268B1"/>
    <w:rsid w:val="00D3590D"/>
    <w:rsid w:val="00D37400"/>
    <w:rsid w:val="00D37739"/>
    <w:rsid w:val="00D37D82"/>
    <w:rsid w:val="00D405EB"/>
    <w:rsid w:val="00D419A4"/>
    <w:rsid w:val="00D42988"/>
    <w:rsid w:val="00D429A9"/>
    <w:rsid w:val="00D4323F"/>
    <w:rsid w:val="00D44463"/>
    <w:rsid w:val="00D44485"/>
    <w:rsid w:val="00D47807"/>
    <w:rsid w:val="00D51240"/>
    <w:rsid w:val="00D516C8"/>
    <w:rsid w:val="00D6211B"/>
    <w:rsid w:val="00D675FF"/>
    <w:rsid w:val="00D721F0"/>
    <w:rsid w:val="00D73223"/>
    <w:rsid w:val="00D75BEF"/>
    <w:rsid w:val="00D75E38"/>
    <w:rsid w:val="00D7686A"/>
    <w:rsid w:val="00D77630"/>
    <w:rsid w:val="00D8436F"/>
    <w:rsid w:val="00D850A1"/>
    <w:rsid w:val="00D87FDD"/>
    <w:rsid w:val="00D916E5"/>
    <w:rsid w:val="00D974B8"/>
    <w:rsid w:val="00DB10E3"/>
    <w:rsid w:val="00DB7EA4"/>
    <w:rsid w:val="00DC4755"/>
    <w:rsid w:val="00DC4ED7"/>
    <w:rsid w:val="00DC7C9F"/>
    <w:rsid w:val="00DD04D4"/>
    <w:rsid w:val="00DD4B4D"/>
    <w:rsid w:val="00DE0853"/>
    <w:rsid w:val="00DE17FA"/>
    <w:rsid w:val="00DE3232"/>
    <w:rsid w:val="00DE3977"/>
    <w:rsid w:val="00DE5F25"/>
    <w:rsid w:val="00DE722E"/>
    <w:rsid w:val="00DF0232"/>
    <w:rsid w:val="00DF0502"/>
    <w:rsid w:val="00DF6B8E"/>
    <w:rsid w:val="00E00CE7"/>
    <w:rsid w:val="00E037EF"/>
    <w:rsid w:val="00E04E0C"/>
    <w:rsid w:val="00E073A5"/>
    <w:rsid w:val="00E1094C"/>
    <w:rsid w:val="00E12060"/>
    <w:rsid w:val="00E13FE0"/>
    <w:rsid w:val="00E16706"/>
    <w:rsid w:val="00E303E8"/>
    <w:rsid w:val="00E335DA"/>
    <w:rsid w:val="00E350F5"/>
    <w:rsid w:val="00E36F61"/>
    <w:rsid w:val="00E374EA"/>
    <w:rsid w:val="00E427C5"/>
    <w:rsid w:val="00E44C61"/>
    <w:rsid w:val="00E457F5"/>
    <w:rsid w:val="00E5010B"/>
    <w:rsid w:val="00E54FAA"/>
    <w:rsid w:val="00E56C3D"/>
    <w:rsid w:val="00E65F32"/>
    <w:rsid w:val="00E717BC"/>
    <w:rsid w:val="00E74413"/>
    <w:rsid w:val="00E77951"/>
    <w:rsid w:val="00E87CF8"/>
    <w:rsid w:val="00E97354"/>
    <w:rsid w:val="00EB2C82"/>
    <w:rsid w:val="00EB4B17"/>
    <w:rsid w:val="00EB5C9C"/>
    <w:rsid w:val="00EB67F5"/>
    <w:rsid w:val="00EC2C3D"/>
    <w:rsid w:val="00EC6E1F"/>
    <w:rsid w:val="00ED3F54"/>
    <w:rsid w:val="00ED5065"/>
    <w:rsid w:val="00EF3BFF"/>
    <w:rsid w:val="00EF4F91"/>
    <w:rsid w:val="00F23F4C"/>
    <w:rsid w:val="00F279E4"/>
    <w:rsid w:val="00F31102"/>
    <w:rsid w:val="00F3254E"/>
    <w:rsid w:val="00F329D4"/>
    <w:rsid w:val="00F46DA1"/>
    <w:rsid w:val="00F52F5A"/>
    <w:rsid w:val="00F5739D"/>
    <w:rsid w:val="00F63C97"/>
    <w:rsid w:val="00F72136"/>
    <w:rsid w:val="00F747C7"/>
    <w:rsid w:val="00F83F72"/>
    <w:rsid w:val="00F8447F"/>
    <w:rsid w:val="00F916B2"/>
    <w:rsid w:val="00F950DE"/>
    <w:rsid w:val="00F95841"/>
    <w:rsid w:val="00FA31AD"/>
    <w:rsid w:val="00FA4EDC"/>
    <w:rsid w:val="00FA6119"/>
    <w:rsid w:val="00FA65A6"/>
    <w:rsid w:val="00FB0538"/>
    <w:rsid w:val="00FB2E09"/>
    <w:rsid w:val="00FB69D6"/>
    <w:rsid w:val="00FC0325"/>
    <w:rsid w:val="00FC0B67"/>
    <w:rsid w:val="00FC4288"/>
    <w:rsid w:val="00FC7B9A"/>
    <w:rsid w:val="00FD0663"/>
    <w:rsid w:val="00FD5EAC"/>
    <w:rsid w:val="00FE2394"/>
    <w:rsid w:val="00FE2EC8"/>
    <w:rsid w:val="00FE3C92"/>
    <w:rsid w:val="00FE40E1"/>
    <w:rsid w:val="00FE6AD8"/>
    <w:rsid w:val="00FE7216"/>
    <w:rsid w:val="00FE7339"/>
    <w:rsid w:val="00FF339C"/>
    <w:rsid w:val="00FF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94404F-8757-4F35-8995-27EB5936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8C"/>
    <w:pPr>
      <w:widowControl w:val="0"/>
      <w:jc w:val="both"/>
    </w:pPr>
    <w:rPr>
      <w:rFonts w:ascii="Times New Roman" w:hAnsi="Times New Roman"/>
      <w:kern w:val="2"/>
      <w:sz w:val="21"/>
      <w:szCs w:val="24"/>
    </w:rPr>
  </w:style>
  <w:style w:type="paragraph" w:styleId="1">
    <w:name w:val="heading 1"/>
    <w:aliases w:val="Heading 0,H1,PIM 1,Heading 11,level 1,Level 1 Head,h1,123321,Level 1 Topic Heading"/>
    <w:basedOn w:val="a"/>
    <w:next w:val="a"/>
    <w:link w:val="1Char"/>
    <w:qFormat/>
    <w:rsid w:val="0002608C"/>
    <w:pPr>
      <w:keepNext/>
      <w:spacing w:beforeLines="100" w:afterLines="100"/>
      <w:ind w:firstLineChars="200" w:firstLine="200"/>
      <w:jc w:val="center"/>
      <w:outlineLvl w:val="0"/>
    </w:pPr>
    <w:rPr>
      <w:rFonts w:ascii="黑体" w:eastAsia="黑体"/>
      <w:sz w:val="32"/>
      <w:szCs w:val="32"/>
    </w:rPr>
  </w:style>
  <w:style w:type="paragraph" w:styleId="20">
    <w:name w:val="heading 2"/>
    <w:aliases w:val="H2,Heading 2 Hidden,Heading 2 CCBS,标题 2 Char Char,2nd level,h2,2,Header 2,PIM2,l2,Level 2 Head,proj2,proj21,proj22,proj23,proj24,proj25,proj26,proj27,proj28,proj29,proj210,proj211,proj212,proj221,proj231,proj241,proj251,proj261,proj271,proj281"/>
    <w:basedOn w:val="a"/>
    <w:next w:val="a"/>
    <w:link w:val="2Char"/>
    <w:qFormat/>
    <w:rsid w:val="0002608C"/>
    <w:pPr>
      <w:keepNext/>
      <w:keepLines/>
      <w:spacing w:beforeLines="100" w:afterLines="100"/>
      <w:ind w:firstLineChars="200" w:firstLine="200"/>
      <w:outlineLvl w:val="1"/>
    </w:pPr>
    <w:rPr>
      <w:rFonts w:ascii="Arial" w:hAnsi="Arial"/>
      <w:b/>
      <w:sz w:val="28"/>
      <w:szCs w:val="28"/>
    </w:rPr>
  </w:style>
  <w:style w:type="paragraph" w:styleId="31">
    <w:name w:val="heading 3"/>
    <w:basedOn w:val="a"/>
    <w:next w:val="a"/>
    <w:link w:val="3Char"/>
    <w:qFormat/>
    <w:rsid w:val="0002608C"/>
    <w:pPr>
      <w:numPr>
        <w:ilvl w:val="2"/>
        <w:numId w:val="3"/>
      </w:numPr>
      <w:spacing w:before="260" w:after="260" w:line="416" w:lineRule="auto"/>
      <w:outlineLvl w:val="2"/>
    </w:pPr>
    <w:rPr>
      <w:rFonts w:ascii="仿宋_GB2312" w:eastAsia="仿宋_GB2312"/>
      <w:sz w:val="24"/>
      <w:szCs w:val="20"/>
    </w:rPr>
  </w:style>
  <w:style w:type="paragraph" w:styleId="4">
    <w:name w:val="heading 4"/>
    <w:basedOn w:val="a"/>
    <w:next w:val="a"/>
    <w:link w:val="4Char"/>
    <w:qFormat/>
    <w:rsid w:val="0002608C"/>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2608C"/>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
    <w:next w:val="a"/>
    <w:link w:val="6Char"/>
    <w:qFormat/>
    <w:rsid w:val="0002608C"/>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link w:val="7Char"/>
    <w:qFormat/>
    <w:rsid w:val="0002608C"/>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
    <w:next w:val="a"/>
    <w:link w:val="8Char"/>
    <w:qFormat/>
    <w:rsid w:val="0002608C"/>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
    <w:next w:val="a"/>
    <w:link w:val="9Char"/>
    <w:qFormat/>
    <w:rsid w:val="0002608C"/>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eading 0 Char,H1 Char,PIM 1 Char,Heading 11 Char,level 1 Char,Level 1 Head Char,h1 Char,123321 Char,Level 1 Topic Heading Char"/>
    <w:basedOn w:val="a0"/>
    <w:link w:val="1"/>
    <w:rsid w:val="0002608C"/>
    <w:rPr>
      <w:rFonts w:ascii="黑体" w:eastAsia="黑体" w:hAnsi="Times New Roman" w:cs="Times New Roman"/>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basedOn w:val="a0"/>
    <w:link w:val="20"/>
    <w:rsid w:val="0002608C"/>
    <w:rPr>
      <w:rFonts w:ascii="Arial" w:eastAsia="宋体" w:hAnsi="Arial" w:cs="Times New Roman"/>
      <w:b/>
      <w:sz w:val="28"/>
      <w:szCs w:val="28"/>
    </w:rPr>
  </w:style>
  <w:style w:type="character" w:customStyle="1" w:styleId="3Char">
    <w:name w:val="标题 3 Char"/>
    <w:basedOn w:val="a0"/>
    <w:link w:val="31"/>
    <w:rsid w:val="0002608C"/>
    <w:rPr>
      <w:rFonts w:ascii="仿宋_GB2312" w:eastAsia="仿宋_GB2312" w:hAnsi="Times New Roman" w:cs="Times New Roman"/>
      <w:sz w:val="24"/>
      <w:szCs w:val="20"/>
    </w:rPr>
  </w:style>
  <w:style w:type="character" w:customStyle="1" w:styleId="4Char">
    <w:name w:val="标题 4 Char"/>
    <w:basedOn w:val="a0"/>
    <w:link w:val="4"/>
    <w:rsid w:val="0002608C"/>
    <w:rPr>
      <w:rFonts w:ascii="Arial" w:eastAsia="黑体" w:hAnsi="Arial" w:cs="Times New Roman"/>
      <w:b/>
      <w:bCs/>
      <w:sz w:val="28"/>
      <w:szCs w:val="28"/>
    </w:rPr>
  </w:style>
  <w:style w:type="character" w:customStyle="1" w:styleId="5Char">
    <w:name w:val="标题 5 Char"/>
    <w:basedOn w:val="a0"/>
    <w:link w:val="5"/>
    <w:rsid w:val="0002608C"/>
    <w:rPr>
      <w:rFonts w:ascii="Times New Roman" w:eastAsia="宋体" w:hAnsi="Times New Roman" w:cs="Times New Roman"/>
      <w:b/>
      <w:bCs/>
      <w:sz w:val="28"/>
      <w:szCs w:val="28"/>
    </w:rPr>
  </w:style>
  <w:style w:type="character" w:customStyle="1" w:styleId="6Char">
    <w:name w:val="标题 6 Char"/>
    <w:basedOn w:val="a0"/>
    <w:link w:val="6"/>
    <w:rsid w:val="0002608C"/>
    <w:rPr>
      <w:rFonts w:ascii="Arial" w:eastAsia="黑体" w:hAnsi="Arial" w:cs="Times New Roman"/>
      <w:b/>
      <w:bCs/>
      <w:sz w:val="24"/>
      <w:szCs w:val="24"/>
    </w:rPr>
  </w:style>
  <w:style w:type="character" w:customStyle="1" w:styleId="7Char">
    <w:name w:val="标题 7 Char"/>
    <w:basedOn w:val="a0"/>
    <w:link w:val="7"/>
    <w:rsid w:val="0002608C"/>
    <w:rPr>
      <w:rFonts w:ascii="Times New Roman" w:eastAsia="宋体" w:hAnsi="Times New Roman" w:cs="Times New Roman"/>
      <w:b/>
      <w:bCs/>
      <w:sz w:val="24"/>
      <w:szCs w:val="24"/>
    </w:rPr>
  </w:style>
  <w:style w:type="character" w:customStyle="1" w:styleId="8Char">
    <w:name w:val="标题 8 Char"/>
    <w:basedOn w:val="a0"/>
    <w:link w:val="8"/>
    <w:rsid w:val="0002608C"/>
    <w:rPr>
      <w:rFonts w:ascii="Arial" w:eastAsia="黑体" w:hAnsi="Arial" w:cs="Times New Roman"/>
      <w:sz w:val="24"/>
      <w:szCs w:val="24"/>
    </w:rPr>
  </w:style>
  <w:style w:type="character" w:customStyle="1" w:styleId="9Char">
    <w:name w:val="标题 9 Char"/>
    <w:basedOn w:val="a0"/>
    <w:link w:val="9"/>
    <w:rsid w:val="0002608C"/>
    <w:rPr>
      <w:rFonts w:ascii="Arial" w:eastAsia="黑体" w:hAnsi="Arial" w:cs="Times New Roman"/>
      <w:sz w:val="24"/>
      <w:szCs w:val="21"/>
    </w:rPr>
  </w:style>
  <w:style w:type="paragraph" w:customStyle="1" w:styleId="211">
    <w:name w:val="样式 标题 2 + 段前: 1 行 段后: 1 行"/>
    <w:basedOn w:val="20"/>
    <w:rsid w:val="0002608C"/>
    <w:pPr>
      <w:numPr>
        <w:numId w:val="1"/>
      </w:numPr>
      <w:spacing w:before="447" w:after="447"/>
    </w:pPr>
    <w:rPr>
      <w:b w:val="0"/>
      <w:szCs w:val="20"/>
    </w:rPr>
  </w:style>
  <w:style w:type="paragraph" w:customStyle="1" w:styleId="CharCharCharCharCharCharChar">
    <w:name w:val="正文文字 Char Char Char Char Char Char Char"/>
    <w:basedOn w:val="a"/>
    <w:next w:val="32"/>
    <w:rsid w:val="0002608C"/>
    <w:pPr>
      <w:spacing w:after="120"/>
    </w:pPr>
    <w:rPr>
      <w:sz w:val="16"/>
      <w:szCs w:val="16"/>
    </w:rPr>
  </w:style>
  <w:style w:type="paragraph" w:styleId="32">
    <w:name w:val="Body Text 3"/>
    <w:basedOn w:val="a"/>
    <w:link w:val="3Char0"/>
    <w:rsid w:val="0002608C"/>
    <w:pPr>
      <w:spacing w:after="120"/>
    </w:pPr>
    <w:rPr>
      <w:sz w:val="16"/>
      <w:szCs w:val="16"/>
    </w:rPr>
  </w:style>
  <w:style w:type="character" w:customStyle="1" w:styleId="3Char0">
    <w:name w:val="正文文本 3 Char"/>
    <w:basedOn w:val="a0"/>
    <w:link w:val="32"/>
    <w:rsid w:val="0002608C"/>
    <w:rPr>
      <w:rFonts w:ascii="Times New Roman" w:eastAsia="宋体" w:hAnsi="Times New Roman" w:cs="Times New Roman"/>
      <w:sz w:val="16"/>
      <w:szCs w:val="16"/>
    </w:rPr>
  </w:style>
  <w:style w:type="paragraph" w:styleId="10">
    <w:name w:val="toc 1"/>
    <w:basedOn w:val="a"/>
    <w:next w:val="a"/>
    <w:autoRedefine/>
    <w:uiPriority w:val="39"/>
    <w:rsid w:val="0002608C"/>
    <w:pPr>
      <w:tabs>
        <w:tab w:val="right" w:leader="dot" w:pos="8296"/>
      </w:tabs>
      <w:jc w:val="left"/>
    </w:pPr>
    <w:rPr>
      <w:rFonts w:ascii="宋体" w:eastAsia="黑体" w:hAnsi="宋体"/>
      <w:caps/>
      <w:noProof/>
      <w:sz w:val="24"/>
      <w:szCs w:val="28"/>
    </w:rPr>
  </w:style>
  <w:style w:type="paragraph" w:styleId="21">
    <w:name w:val="toc 2"/>
    <w:basedOn w:val="a"/>
    <w:next w:val="a"/>
    <w:autoRedefine/>
    <w:uiPriority w:val="39"/>
    <w:rsid w:val="0002608C"/>
    <w:pPr>
      <w:tabs>
        <w:tab w:val="right" w:leader="dot" w:pos="8268"/>
      </w:tabs>
      <w:ind w:leftChars="152" w:left="319" w:firstLineChars="348" w:firstLine="731"/>
      <w:jc w:val="left"/>
    </w:pPr>
    <w:rPr>
      <w:rFonts w:eastAsia="仿宋_GB2312"/>
      <w:smallCaps/>
      <w:noProof/>
      <w:szCs w:val="20"/>
    </w:rPr>
  </w:style>
  <w:style w:type="paragraph" w:customStyle="1" w:styleId="11">
    <w:name w:val="样式 标题 1 + 黑体 非加粗"/>
    <w:basedOn w:val="1"/>
    <w:rsid w:val="0002608C"/>
    <w:pPr>
      <w:pageBreakBefore/>
    </w:pPr>
    <w:rPr>
      <w:rFonts w:hAnsi="黑体"/>
      <w:b/>
    </w:rPr>
  </w:style>
  <w:style w:type="paragraph" w:customStyle="1" w:styleId="111">
    <w:name w:val="样式 标题 1 + 段前: 1 行 段后: 1 行"/>
    <w:basedOn w:val="1"/>
    <w:rsid w:val="0002608C"/>
    <w:pPr>
      <w:pageBreakBefore/>
    </w:pPr>
    <w:rPr>
      <w:szCs w:val="20"/>
    </w:rPr>
  </w:style>
  <w:style w:type="paragraph" w:customStyle="1" w:styleId="22">
    <w:name w:val="样式 首行缩进:  2 字符"/>
    <w:basedOn w:val="a"/>
    <w:rsid w:val="0002608C"/>
    <w:pPr>
      <w:spacing w:before="100" w:beforeAutospacing="1" w:after="100" w:afterAutospacing="1" w:line="360" w:lineRule="auto"/>
      <w:ind w:firstLineChars="200" w:firstLine="480"/>
    </w:pPr>
    <w:rPr>
      <w:szCs w:val="20"/>
    </w:rPr>
  </w:style>
  <w:style w:type="paragraph" w:styleId="a3">
    <w:name w:val="header"/>
    <w:basedOn w:val="a"/>
    <w:link w:val="Char"/>
    <w:uiPriority w:val="99"/>
    <w:rsid w:val="0002608C"/>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
    <w:name w:val="页眉 Char"/>
    <w:basedOn w:val="a0"/>
    <w:link w:val="a3"/>
    <w:uiPriority w:val="99"/>
    <w:rsid w:val="0002608C"/>
    <w:rPr>
      <w:rFonts w:ascii="Times New Roman" w:eastAsia="仿宋_GB2312" w:hAnsi="Times New Roman" w:cs="Times New Roman"/>
      <w:sz w:val="18"/>
      <w:szCs w:val="20"/>
    </w:rPr>
  </w:style>
  <w:style w:type="character" w:styleId="a4">
    <w:name w:val="page number"/>
    <w:basedOn w:val="a0"/>
    <w:rsid w:val="0002608C"/>
  </w:style>
  <w:style w:type="paragraph" w:styleId="a5">
    <w:name w:val="footer"/>
    <w:basedOn w:val="a"/>
    <w:link w:val="Char0"/>
    <w:uiPriority w:val="99"/>
    <w:rsid w:val="0002608C"/>
    <w:pPr>
      <w:tabs>
        <w:tab w:val="center" w:pos="4153"/>
        <w:tab w:val="right" w:pos="8306"/>
      </w:tabs>
      <w:snapToGrid w:val="0"/>
      <w:ind w:firstLineChars="200" w:firstLine="200"/>
      <w:jc w:val="left"/>
    </w:pPr>
    <w:rPr>
      <w:rFonts w:eastAsia="仿宋_GB2312"/>
      <w:sz w:val="18"/>
      <w:szCs w:val="20"/>
    </w:rPr>
  </w:style>
  <w:style w:type="character" w:customStyle="1" w:styleId="Char0">
    <w:name w:val="页脚 Char"/>
    <w:basedOn w:val="a0"/>
    <w:link w:val="a5"/>
    <w:uiPriority w:val="99"/>
    <w:rsid w:val="0002608C"/>
    <w:rPr>
      <w:rFonts w:ascii="Times New Roman" w:eastAsia="仿宋_GB2312" w:hAnsi="Times New Roman" w:cs="Times New Roman"/>
      <w:sz w:val="18"/>
      <w:szCs w:val="20"/>
    </w:rPr>
  </w:style>
  <w:style w:type="paragraph" w:customStyle="1" w:styleId="211111">
    <w:name w:val="样式 样式 标题 2 + 段前: 1 行 段后: 1 行1 + 段前: 1 行 段后: 1 行"/>
    <w:basedOn w:val="2111"/>
    <w:rsid w:val="0002608C"/>
    <w:pPr>
      <w:numPr>
        <w:ilvl w:val="1"/>
        <w:numId w:val="2"/>
      </w:numPr>
    </w:pPr>
  </w:style>
  <w:style w:type="paragraph" w:customStyle="1" w:styleId="2111">
    <w:name w:val="样式 标题 2 + 段前: 1 行 段后: 1 行1"/>
    <w:basedOn w:val="20"/>
    <w:rsid w:val="0002608C"/>
    <w:pPr>
      <w:ind w:firstLineChars="0" w:firstLine="0"/>
    </w:pPr>
    <w:rPr>
      <w:bCs/>
      <w:szCs w:val="20"/>
    </w:rPr>
  </w:style>
  <w:style w:type="paragraph" w:styleId="a6">
    <w:name w:val="Title"/>
    <w:basedOn w:val="a"/>
    <w:link w:val="Char1"/>
    <w:qFormat/>
    <w:rsid w:val="0002608C"/>
    <w:pPr>
      <w:spacing w:before="240" w:after="60"/>
      <w:jc w:val="center"/>
      <w:outlineLvl w:val="0"/>
    </w:pPr>
    <w:rPr>
      <w:rFonts w:ascii="Arial" w:hAnsi="Arial" w:cs="Arial"/>
      <w:b/>
      <w:bCs/>
      <w:sz w:val="32"/>
      <w:szCs w:val="32"/>
    </w:rPr>
  </w:style>
  <w:style w:type="character" w:customStyle="1" w:styleId="Char1">
    <w:name w:val="标题 Char"/>
    <w:basedOn w:val="a0"/>
    <w:link w:val="a6"/>
    <w:rsid w:val="0002608C"/>
    <w:rPr>
      <w:rFonts w:ascii="Arial" w:eastAsia="宋体" w:hAnsi="Arial" w:cs="Arial"/>
      <w:b/>
      <w:bCs/>
      <w:sz w:val="32"/>
      <w:szCs w:val="32"/>
    </w:rPr>
  </w:style>
  <w:style w:type="character" w:customStyle="1" w:styleId="Char2">
    <w:name w:val="结束语 Char"/>
    <w:basedOn w:val="a0"/>
    <w:link w:val="a7"/>
    <w:rsid w:val="0002608C"/>
    <w:rPr>
      <w:rFonts w:ascii="Times New Roman" w:eastAsia="宋体" w:hAnsi="Times New Roman" w:cs="Times New Roman"/>
      <w:szCs w:val="24"/>
    </w:rPr>
  </w:style>
  <w:style w:type="paragraph" w:styleId="a7">
    <w:name w:val="Closing"/>
    <w:basedOn w:val="a"/>
    <w:link w:val="Char2"/>
    <w:rsid w:val="0002608C"/>
    <w:pPr>
      <w:ind w:leftChars="2100" w:left="100"/>
    </w:pPr>
  </w:style>
  <w:style w:type="paragraph" w:styleId="3">
    <w:name w:val="List Number 3"/>
    <w:basedOn w:val="a"/>
    <w:rsid w:val="0002608C"/>
    <w:pPr>
      <w:numPr>
        <w:numId w:val="10"/>
      </w:numPr>
    </w:pPr>
  </w:style>
  <w:style w:type="paragraph" w:styleId="30">
    <w:name w:val="List Bullet 3"/>
    <w:basedOn w:val="a"/>
    <w:autoRedefine/>
    <w:rsid w:val="0002608C"/>
    <w:pPr>
      <w:numPr>
        <w:numId w:val="15"/>
      </w:numPr>
    </w:pPr>
  </w:style>
  <w:style w:type="paragraph" w:styleId="a8">
    <w:name w:val="Body Text"/>
    <w:basedOn w:val="a"/>
    <w:link w:val="Char3"/>
    <w:rsid w:val="0002608C"/>
    <w:pPr>
      <w:spacing w:after="120"/>
    </w:pPr>
  </w:style>
  <w:style w:type="character" w:customStyle="1" w:styleId="Char3">
    <w:name w:val="正文文本 Char"/>
    <w:basedOn w:val="a0"/>
    <w:link w:val="a8"/>
    <w:rsid w:val="0002608C"/>
    <w:rPr>
      <w:rFonts w:ascii="Times New Roman" w:eastAsia="宋体" w:hAnsi="Times New Roman" w:cs="Times New Roman"/>
      <w:szCs w:val="24"/>
    </w:rPr>
  </w:style>
  <w:style w:type="paragraph" w:styleId="a9">
    <w:name w:val="Body Text First Indent"/>
    <w:basedOn w:val="a8"/>
    <w:link w:val="Char4"/>
    <w:rsid w:val="0002608C"/>
    <w:pPr>
      <w:ind w:firstLineChars="100" w:firstLine="420"/>
    </w:pPr>
  </w:style>
  <w:style w:type="character" w:customStyle="1" w:styleId="Char4">
    <w:name w:val="正文首行缩进 Char"/>
    <w:basedOn w:val="Char3"/>
    <w:link w:val="a9"/>
    <w:rsid w:val="0002608C"/>
    <w:rPr>
      <w:rFonts w:ascii="Times New Roman" w:eastAsia="宋体" w:hAnsi="Times New Roman" w:cs="Times New Roman"/>
      <w:szCs w:val="24"/>
    </w:rPr>
  </w:style>
  <w:style w:type="paragraph" w:styleId="aa">
    <w:name w:val="Body Text Indent"/>
    <w:basedOn w:val="a"/>
    <w:link w:val="Char5"/>
    <w:rsid w:val="0002608C"/>
    <w:pPr>
      <w:spacing w:after="120"/>
      <w:ind w:left="420"/>
    </w:pPr>
  </w:style>
  <w:style w:type="character" w:customStyle="1" w:styleId="Char5">
    <w:name w:val="正文文本缩进 Char"/>
    <w:basedOn w:val="a0"/>
    <w:link w:val="aa"/>
    <w:rsid w:val="0002608C"/>
    <w:rPr>
      <w:rFonts w:ascii="Times New Roman" w:eastAsia="宋体" w:hAnsi="Times New Roman" w:cs="Times New Roman"/>
      <w:szCs w:val="24"/>
    </w:rPr>
  </w:style>
  <w:style w:type="character" w:customStyle="1" w:styleId="Char6">
    <w:name w:val="注释标题 Char"/>
    <w:basedOn w:val="a0"/>
    <w:link w:val="ab"/>
    <w:rsid w:val="0002608C"/>
    <w:rPr>
      <w:rFonts w:ascii="Times New Roman" w:eastAsia="宋体" w:hAnsi="Times New Roman" w:cs="Times New Roman"/>
      <w:szCs w:val="24"/>
    </w:rPr>
  </w:style>
  <w:style w:type="paragraph" w:styleId="ab">
    <w:name w:val="Note Heading"/>
    <w:basedOn w:val="a"/>
    <w:next w:val="a"/>
    <w:link w:val="Char6"/>
    <w:rsid w:val="0002608C"/>
    <w:pPr>
      <w:jc w:val="center"/>
    </w:pPr>
  </w:style>
  <w:style w:type="character" w:customStyle="1" w:styleId="da">
    <w:name w:val="da"/>
    <w:basedOn w:val="a0"/>
    <w:rsid w:val="0002608C"/>
  </w:style>
  <w:style w:type="paragraph" w:customStyle="1" w:styleId="ac">
    <w:name w:val="特点"/>
    <w:aliases w:val="表正文,正文非缩进,段1"/>
    <w:basedOn w:val="a"/>
    <w:next w:val="ad"/>
    <w:rsid w:val="0002608C"/>
    <w:pPr>
      <w:ind w:firstLine="420"/>
    </w:pPr>
    <w:rPr>
      <w:szCs w:val="20"/>
    </w:rPr>
  </w:style>
  <w:style w:type="paragraph" w:styleId="ad">
    <w:name w:val="Normal Indent"/>
    <w:aliases w:val="正文缩进1,ALT+Z"/>
    <w:basedOn w:val="a"/>
    <w:rsid w:val="0002608C"/>
    <w:pPr>
      <w:ind w:firstLine="420"/>
    </w:pPr>
  </w:style>
  <w:style w:type="paragraph" w:styleId="33">
    <w:name w:val="Body Text Indent 3"/>
    <w:basedOn w:val="a"/>
    <w:link w:val="3Char1"/>
    <w:rsid w:val="0002608C"/>
    <w:pPr>
      <w:spacing w:after="120"/>
      <w:ind w:left="420"/>
    </w:pPr>
    <w:rPr>
      <w:sz w:val="16"/>
      <w:szCs w:val="16"/>
    </w:rPr>
  </w:style>
  <w:style w:type="character" w:customStyle="1" w:styleId="3Char1">
    <w:name w:val="正文文本缩进 3 Char"/>
    <w:basedOn w:val="a0"/>
    <w:link w:val="33"/>
    <w:rsid w:val="0002608C"/>
    <w:rPr>
      <w:rFonts w:ascii="Times New Roman" w:eastAsia="宋体" w:hAnsi="Times New Roman" w:cs="Times New Roman"/>
      <w:sz w:val="16"/>
      <w:szCs w:val="16"/>
    </w:rPr>
  </w:style>
  <w:style w:type="paragraph" w:styleId="ae">
    <w:name w:val="Plain Text"/>
    <w:basedOn w:val="a"/>
    <w:link w:val="Char7"/>
    <w:rsid w:val="0002608C"/>
    <w:rPr>
      <w:rFonts w:ascii="宋体" w:hAnsi="Courier New" w:cs="Courier New"/>
      <w:szCs w:val="21"/>
    </w:rPr>
  </w:style>
  <w:style w:type="character" w:customStyle="1" w:styleId="Char7">
    <w:name w:val="纯文本 Char"/>
    <w:basedOn w:val="a0"/>
    <w:link w:val="ae"/>
    <w:rsid w:val="0002608C"/>
    <w:rPr>
      <w:rFonts w:ascii="宋体" w:eastAsia="宋体" w:hAnsi="Courier New" w:cs="Courier New"/>
      <w:szCs w:val="21"/>
    </w:rPr>
  </w:style>
  <w:style w:type="character" w:styleId="af">
    <w:name w:val="Hyperlink"/>
    <w:basedOn w:val="a0"/>
    <w:uiPriority w:val="99"/>
    <w:rsid w:val="0002608C"/>
    <w:rPr>
      <w:color w:val="0000FF"/>
      <w:u w:val="single"/>
    </w:rPr>
  </w:style>
  <w:style w:type="character" w:customStyle="1" w:styleId="2Char0">
    <w:name w:val="正文文本缩进 2 Char"/>
    <w:basedOn w:val="a0"/>
    <w:link w:val="23"/>
    <w:rsid w:val="0002608C"/>
    <w:rPr>
      <w:rFonts w:ascii="Times New Roman" w:eastAsia="宋体" w:hAnsi="Times New Roman" w:cs="Times New Roman"/>
      <w:szCs w:val="24"/>
    </w:rPr>
  </w:style>
  <w:style w:type="paragraph" w:styleId="23">
    <w:name w:val="Body Text Indent 2"/>
    <w:basedOn w:val="a"/>
    <w:link w:val="2Char0"/>
    <w:rsid w:val="0002608C"/>
    <w:pPr>
      <w:spacing w:after="120" w:line="480" w:lineRule="auto"/>
      <w:ind w:left="420"/>
    </w:pPr>
  </w:style>
  <w:style w:type="character" w:customStyle="1" w:styleId="2Char1">
    <w:name w:val="正文文本 2 Char"/>
    <w:basedOn w:val="a0"/>
    <w:link w:val="24"/>
    <w:rsid w:val="0002608C"/>
    <w:rPr>
      <w:rFonts w:ascii="Times New Roman" w:eastAsia="宋体" w:hAnsi="Times New Roman" w:cs="Times New Roman"/>
      <w:szCs w:val="24"/>
    </w:rPr>
  </w:style>
  <w:style w:type="paragraph" w:styleId="24">
    <w:name w:val="Body Text 2"/>
    <w:basedOn w:val="a"/>
    <w:link w:val="2Char1"/>
    <w:rsid w:val="0002608C"/>
    <w:pPr>
      <w:spacing w:after="120" w:line="480" w:lineRule="auto"/>
    </w:pPr>
  </w:style>
  <w:style w:type="character" w:customStyle="1" w:styleId="HTMLChar">
    <w:name w:val="HTML 预设格式 Char"/>
    <w:basedOn w:val="a0"/>
    <w:link w:val="HTML"/>
    <w:uiPriority w:val="99"/>
    <w:rsid w:val="0002608C"/>
    <w:rPr>
      <w:rFonts w:ascii="Courier New" w:eastAsia="宋体" w:hAnsi="Courier New" w:cs="Courier New"/>
      <w:sz w:val="20"/>
      <w:szCs w:val="20"/>
    </w:rPr>
  </w:style>
  <w:style w:type="paragraph" w:styleId="HTML">
    <w:name w:val="HTML Preformatted"/>
    <w:basedOn w:val="a"/>
    <w:link w:val="HTMLChar"/>
    <w:uiPriority w:val="99"/>
    <w:rsid w:val="0002608C"/>
    <w:rPr>
      <w:rFonts w:ascii="Courier New" w:hAnsi="Courier New" w:cs="Courier New"/>
      <w:sz w:val="20"/>
      <w:szCs w:val="20"/>
    </w:rPr>
  </w:style>
  <w:style w:type="paragraph" w:styleId="af0">
    <w:name w:val="Normal (Web)"/>
    <w:basedOn w:val="a"/>
    <w:rsid w:val="0002608C"/>
    <w:rPr>
      <w:sz w:val="24"/>
    </w:rPr>
  </w:style>
  <w:style w:type="paragraph" w:styleId="af1">
    <w:name w:val="Subtitle"/>
    <w:basedOn w:val="a"/>
    <w:link w:val="Char8"/>
    <w:qFormat/>
    <w:rsid w:val="0002608C"/>
    <w:pPr>
      <w:spacing w:before="240" w:after="60" w:line="312" w:lineRule="auto"/>
      <w:jc w:val="center"/>
      <w:outlineLvl w:val="1"/>
    </w:pPr>
    <w:rPr>
      <w:rFonts w:ascii="Arial" w:hAnsi="Arial" w:cs="Arial"/>
      <w:b/>
      <w:bCs/>
      <w:kern w:val="28"/>
      <w:sz w:val="32"/>
      <w:szCs w:val="32"/>
    </w:rPr>
  </w:style>
  <w:style w:type="character" w:customStyle="1" w:styleId="Char8">
    <w:name w:val="副标题 Char"/>
    <w:basedOn w:val="a0"/>
    <w:link w:val="af1"/>
    <w:rsid w:val="0002608C"/>
    <w:rPr>
      <w:rFonts w:ascii="Arial" w:eastAsia="宋体" w:hAnsi="Arial" w:cs="Arial"/>
      <w:b/>
      <w:bCs/>
      <w:kern w:val="28"/>
      <w:sz w:val="32"/>
      <w:szCs w:val="32"/>
    </w:rPr>
  </w:style>
  <w:style w:type="character" w:styleId="af2">
    <w:name w:val="Strong"/>
    <w:basedOn w:val="a0"/>
    <w:uiPriority w:val="99"/>
    <w:qFormat/>
    <w:rsid w:val="0002608C"/>
    <w:rPr>
      <w:b/>
      <w:bCs/>
    </w:rPr>
  </w:style>
  <w:style w:type="character" w:customStyle="1" w:styleId="Char9">
    <w:name w:val="文档结构图 Char"/>
    <w:basedOn w:val="a0"/>
    <w:link w:val="af3"/>
    <w:semiHidden/>
    <w:rsid w:val="0002608C"/>
    <w:rPr>
      <w:rFonts w:ascii="Times New Roman" w:eastAsia="宋体" w:hAnsi="Times New Roman" w:cs="Times New Roman"/>
      <w:szCs w:val="24"/>
      <w:shd w:val="clear" w:color="auto" w:fill="000080"/>
    </w:rPr>
  </w:style>
  <w:style w:type="paragraph" w:styleId="af3">
    <w:name w:val="Document Map"/>
    <w:basedOn w:val="a"/>
    <w:link w:val="Char9"/>
    <w:semiHidden/>
    <w:rsid w:val="0002608C"/>
    <w:pPr>
      <w:shd w:val="clear" w:color="auto" w:fill="000080"/>
    </w:pPr>
  </w:style>
  <w:style w:type="paragraph" w:customStyle="1" w:styleId="2">
    <w:name w:val="列表2"/>
    <w:basedOn w:val="a"/>
    <w:next w:val="a6"/>
    <w:rsid w:val="0002608C"/>
    <w:pPr>
      <w:numPr>
        <w:numId w:val="32"/>
      </w:numPr>
      <w:spacing w:line="360" w:lineRule="auto"/>
    </w:pPr>
    <w:rPr>
      <w:rFonts w:ascii="宋体"/>
      <w:szCs w:val="20"/>
    </w:rPr>
  </w:style>
  <w:style w:type="character" w:customStyle="1" w:styleId="Chara">
    <w:name w:val="批注框文本 Char"/>
    <w:basedOn w:val="a0"/>
    <w:link w:val="af4"/>
    <w:semiHidden/>
    <w:rsid w:val="0002608C"/>
    <w:rPr>
      <w:rFonts w:ascii="Times New Roman" w:eastAsia="宋体" w:hAnsi="Times New Roman" w:cs="Times New Roman"/>
      <w:sz w:val="18"/>
      <w:szCs w:val="18"/>
    </w:rPr>
  </w:style>
  <w:style w:type="paragraph" w:styleId="af4">
    <w:name w:val="Balloon Text"/>
    <w:basedOn w:val="a"/>
    <w:link w:val="Chara"/>
    <w:semiHidden/>
    <w:rsid w:val="0002608C"/>
    <w:rPr>
      <w:sz w:val="18"/>
      <w:szCs w:val="18"/>
    </w:rPr>
  </w:style>
  <w:style w:type="paragraph" w:styleId="af5">
    <w:name w:val="annotation text"/>
    <w:basedOn w:val="a"/>
    <w:link w:val="Charb"/>
    <w:semiHidden/>
    <w:unhideWhenUsed/>
    <w:rsid w:val="0002608C"/>
    <w:pPr>
      <w:jc w:val="left"/>
    </w:pPr>
  </w:style>
  <w:style w:type="character" w:customStyle="1" w:styleId="Charb">
    <w:name w:val="批注文字 Char"/>
    <w:basedOn w:val="a0"/>
    <w:link w:val="af5"/>
    <w:uiPriority w:val="99"/>
    <w:semiHidden/>
    <w:rsid w:val="0002608C"/>
    <w:rPr>
      <w:rFonts w:ascii="Times New Roman" w:eastAsia="宋体" w:hAnsi="Times New Roman" w:cs="Times New Roman"/>
      <w:szCs w:val="24"/>
    </w:rPr>
  </w:style>
  <w:style w:type="character" w:customStyle="1" w:styleId="Charc">
    <w:name w:val="批注主题 Char"/>
    <w:basedOn w:val="Charb"/>
    <w:link w:val="af6"/>
    <w:semiHidden/>
    <w:rsid w:val="0002608C"/>
    <w:rPr>
      <w:rFonts w:ascii="Times New Roman" w:eastAsia="宋体" w:hAnsi="Times New Roman" w:cs="Times New Roman"/>
      <w:b/>
      <w:bCs/>
      <w:szCs w:val="24"/>
    </w:rPr>
  </w:style>
  <w:style w:type="paragraph" w:styleId="af6">
    <w:name w:val="annotation subject"/>
    <w:basedOn w:val="af5"/>
    <w:next w:val="af5"/>
    <w:link w:val="Charc"/>
    <w:semiHidden/>
    <w:rsid w:val="0002608C"/>
    <w:rPr>
      <w:b/>
      <w:bCs/>
    </w:rPr>
  </w:style>
  <w:style w:type="paragraph" w:customStyle="1" w:styleId="211211">
    <w:name w:val="样式 样式 标题 2 + 段前: 1 行 段后: 1 行2 + 段前: 1 行 段后: 1 行"/>
    <w:basedOn w:val="2112"/>
    <w:rsid w:val="0002608C"/>
    <w:pPr>
      <w:numPr>
        <w:numId w:val="35"/>
      </w:numPr>
    </w:pPr>
  </w:style>
  <w:style w:type="paragraph" w:customStyle="1" w:styleId="2112">
    <w:name w:val="样式 标题 2 + 段前: 1 行 段后: 1 行2"/>
    <w:basedOn w:val="20"/>
    <w:rsid w:val="0002608C"/>
    <w:rPr>
      <w:rFonts w:cs="宋体"/>
      <w:bCs/>
      <w:szCs w:val="20"/>
    </w:rPr>
  </w:style>
  <w:style w:type="character" w:customStyle="1" w:styleId="2Char2">
    <w:name w:val="正文首行缩进 2 Char"/>
    <w:basedOn w:val="Char5"/>
    <w:link w:val="25"/>
    <w:rsid w:val="0002608C"/>
    <w:rPr>
      <w:rFonts w:ascii="Times New Roman" w:eastAsia="宋体" w:hAnsi="Times New Roman" w:cs="Times New Roman"/>
      <w:sz w:val="24"/>
      <w:szCs w:val="24"/>
    </w:rPr>
  </w:style>
  <w:style w:type="paragraph" w:styleId="25">
    <w:name w:val="Body Text First Indent 2"/>
    <w:basedOn w:val="a"/>
    <w:link w:val="2Char2"/>
    <w:rsid w:val="0002608C"/>
    <w:pPr>
      <w:ind w:firstLineChars="200" w:firstLine="200"/>
    </w:pPr>
    <w:rPr>
      <w:sz w:val="24"/>
    </w:rPr>
  </w:style>
  <w:style w:type="character" w:customStyle="1" w:styleId="Chard">
    <w:name w:val="日期 Char"/>
    <w:basedOn w:val="a0"/>
    <w:link w:val="af7"/>
    <w:rsid w:val="0002608C"/>
    <w:rPr>
      <w:rFonts w:ascii="Times New Roman" w:eastAsia="宋体" w:hAnsi="Times New Roman" w:cs="Times New Roman"/>
      <w:b/>
      <w:bCs/>
      <w:sz w:val="24"/>
      <w:szCs w:val="20"/>
    </w:rPr>
  </w:style>
  <w:style w:type="paragraph" w:styleId="af7">
    <w:name w:val="Date"/>
    <w:basedOn w:val="a"/>
    <w:next w:val="a"/>
    <w:link w:val="Chard"/>
    <w:rsid w:val="0002608C"/>
    <w:pPr>
      <w:ind w:leftChars="2500" w:left="100" w:firstLineChars="200" w:firstLine="200"/>
    </w:pPr>
    <w:rPr>
      <w:b/>
      <w:bCs/>
      <w:sz w:val="24"/>
      <w:szCs w:val="20"/>
    </w:rPr>
  </w:style>
  <w:style w:type="character" w:customStyle="1" w:styleId="CharChar11">
    <w:name w:val="Char Char11"/>
    <w:basedOn w:val="a0"/>
    <w:locked/>
    <w:rsid w:val="006D4EFE"/>
    <w:rPr>
      <w:rFonts w:ascii="宋体" w:eastAsia="宋体" w:hAnsi="Courier New" w:cs="Courier New"/>
      <w:kern w:val="2"/>
      <w:sz w:val="21"/>
      <w:szCs w:val="21"/>
      <w:lang w:val="en-US" w:eastAsia="zh-CN" w:bidi="ar-SA"/>
    </w:rPr>
  </w:style>
  <w:style w:type="character" w:customStyle="1" w:styleId="Char10">
    <w:name w:val="纯文本 Char1"/>
    <w:basedOn w:val="a0"/>
    <w:semiHidden/>
    <w:locked/>
    <w:rsid w:val="00DE17FA"/>
    <w:rPr>
      <w:rFonts w:ascii="宋体" w:hAnsi="Courier New" w:cs="Courier New"/>
      <w:kern w:val="2"/>
      <w:sz w:val="21"/>
      <w:szCs w:val="21"/>
    </w:rPr>
  </w:style>
  <w:style w:type="paragraph" w:styleId="34">
    <w:name w:val="toc 3"/>
    <w:basedOn w:val="a"/>
    <w:next w:val="a"/>
    <w:autoRedefine/>
    <w:uiPriority w:val="39"/>
    <w:unhideWhenUsed/>
    <w:rsid w:val="00A25713"/>
    <w:pPr>
      <w:ind w:leftChars="400" w:left="840"/>
    </w:pPr>
    <w:rPr>
      <w:rFonts w:asciiTheme="minorHAnsi" w:eastAsiaTheme="minorEastAsia" w:hAnsiTheme="minorHAnsi" w:cstheme="minorBidi"/>
      <w:szCs w:val="22"/>
    </w:rPr>
  </w:style>
  <w:style w:type="paragraph" w:styleId="40">
    <w:name w:val="toc 4"/>
    <w:basedOn w:val="a"/>
    <w:next w:val="a"/>
    <w:autoRedefine/>
    <w:uiPriority w:val="39"/>
    <w:unhideWhenUsed/>
    <w:rsid w:val="00A25713"/>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25713"/>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A25713"/>
    <w:pPr>
      <w:ind w:leftChars="1000" w:left="2100"/>
    </w:pPr>
    <w:rPr>
      <w:rFonts w:asciiTheme="minorHAnsi" w:eastAsiaTheme="minorEastAsia" w:hAnsiTheme="minorHAnsi" w:cstheme="minorBidi"/>
      <w:szCs w:val="22"/>
    </w:rPr>
  </w:style>
  <w:style w:type="paragraph" w:styleId="70">
    <w:name w:val="toc 7"/>
    <w:basedOn w:val="a"/>
    <w:next w:val="a"/>
    <w:autoRedefine/>
    <w:uiPriority w:val="39"/>
    <w:unhideWhenUsed/>
    <w:rsid w:val="00A25713"/>
    <w:pPr>
      <w:ind w:leftChars="1200" w:left="2520"/>
    </w:pPr>
    <w:rPr>
      <w:rFonts w:asciiTheme="minorHAnsi" w:eastAsiaTheme="minorEastAsia" w:hAnsiTheme="minorHAnsi" w:cstheme="minorBidi"/>
      <w:szCs w:val="22"/>
    </w:rPr>
  </w:style>
  <w:style w:type="paragraph" w:styleId="80">
    <w:name w:val="toc 8"/>
    <w:basedOn w:val="a"/>
    <w:next w:val="a"/>
    <w:autoRedefine/>
    <w:uiPriority w:val="39"/>
    <w:unhideWhenUsed/>
    <w:rsid w:val="00A25713"/>
    <w:pPr>
      <w:ind w:leftChars="1400" w:left="2940"/>
    </w:pPr>
    <w:rPr>
      <w:rFonts w:asciiTheme="minorHAnsi" w:eastAsiaTheme="minorEastAsia" w:hAnsiTheme="minorHAnsi" w:cstheme="minorBidi"/>
      <w:szCs w:val="22"/>
    </w:rPr>
  </w:style>
  <w:style w:type="paragraph" w:styleId="90">
    <w:name w:val="toc 9"/>
    <w:basedOn w:val="a"/>
    <w:next w:val="a"/>
    <w:autoRedefine/>
    <w:uiPriority w:val="39"/>
    <w:unhideWhenUsed/>
    <w:rsid w:val="00A25713"/>
    <w:pPr>
      <w:ind w:leftChars="1600" w:left="3360"/>
    </w:pPr>
    <w:rPr>
      <w:rFonts w:asciiTheme="minorHAnsi" w:eastAsiaTheme="minorEastAsia" w:hAnsiTheme="minorHAnsi" w:cstheme="minorBidi"/>
      <w:szCs w:val="22"/>
    </w:rPr>
  </w:style>
  <w:style w:type="table" w:styleId="af8">
    <w:name w:val="Table Grid"/>
    <w:basedOn w:val="a1"/>
    <w:qFormat/>
    <w:rsid w:val="0082418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657653"/>
    <w:pPr>
      <w:ind w:firstLineChars="200" w:firstLine="420"/>
    </w:pPr>
  </w:style>
  <w:style w:type="paragraph" w:styleId="afa">
    <w:name w:val="Revision"/>
    <w:hidden/>
    <w:uiPriority w:val="99"/>
    <w:semiHidden/>
    <w:rsid w:val="00374B12"/>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5973">
      <w:bodyDiv w:val="1"/>
      <w:marLeft w:val="0"/>
      <w:marRight w:val="0"/>
      <w:marTop w:val="0"/>
      <w:marBottom w:val="0"/>
      <w:divBdr>
        <w:top w:val="none" w:sz="0" w:space="0" w:color="auto"/>
        <w:left w:val="none" w:sz="0" w:space="0" w:color="auto"/>
        <w:bottom w:val="none" w:sz="0" w:space="0" w:color="auto"/>
        <w:right w:val="none" w:sz="0" w:space="0" w:color="auto"/>
      </w:divBdr>
    </w:div>
    <w:div w:id="43064848">
      <w:bodyDiv w:val="1"/>
      <w:marLeft w:val="0"/>
      <w:marRight w:val="0"/>
      <w:marTop w:val="0"/>
      <w:marBottom w:val="0"/>
      <w:divBdr>
        <w:top w:val="none" w:sz="0" w:space="0" w:color="auto"/>
        <w:left w:val="none" w:sz="0" w:space="0" w:color="auto"/>
        <w:bottom w:val="none" w:sz="0" w:space="0" w:color="auto"/>
        <w:right w:val="none" w:sz="0" w:space="0" w:color="auto"/>
      </w:divBdr>
    </w:div>
    <w:div w:id="53823862">
      <w:bodyDiv w:val="1"/>
      <w:marLeft w:val="0"/>
      <w:marRight w:val="0"/>
      <w:marTop w:val="0"/>
      <w:marBottom w:val="0"/>
      <w:divBdr>
        <w:top w:val="none" w:sz="0" w:space="0" w:color="auto"/>
        <w:left w:val="none" w:sz="0" w:space="0" w:color="auto"/>
        <w:bottom w:val="none" w:sz="0" w:space="0" w:color="auto"/>
        <w:right w:val="none" w:sz="0" w:space="0" w:color="auto"/>
      </w:divBdr>
    </w:div>
    <w:div w:id="68964415">
      <w:bodyDiv w:val="1"/>
      <w:marLeft w:val="0"/>
      <w:marRight w:val="0"/>
      <w:marTop w:val="0"/>
      <w:marBottom w:val="0"/>
      <w:divBdr>
        <w:top w:val="none" w:sz="0" w:space="0" w:color="auto"/>
        <w:left w:val="none" w:sz="0" w:space="0" w:color="auto"/>
        <w:bottom w:val="none" w:sz="0" w:space="0" w:color="auto"/>
        <w:right w:val="none" w:sz="0" w:space="0" w:color="auto"/>
      </w:divBdr>
    </w:div>
    <w:div w:id="87041177">
      <w:bodyDiv w:val="1"/>
      <w:marLeft w:val="0"/>
      <w:marRight w:val="0"/>
      <w:marTop w:val="0"/>
      <w:marBottom w:val="0"/>
      <w:divBdr>
        <w:top w:val="none" w:sz="0" w:space="0" w:color="auto"/>
        <w:left w:val="none" w:sz="0" w:space="0" w:color="auto"/>
        <w:bottom w:val="none" w:sz="0" w:space="0" w:color="auto"/>
        <w:right w:val="none" w:sz="0" w:space="0" w:color="auto"/>
      </w:divBdr>
    </w:div>
    <w:div w:id="111558947">
      <w:bodyDiv w:val="1"/>
      <w:marLeft w:val="0"/>
      <w:marRight w:val="0"/>
      <w:marTop w:val="0"/>
      <w:marBottom w:val="0"/>
      <w:divBdr>
        <w:top w:val="none" w:sz="0" w:space="0" w:color="auto"/>
        <w:left w:val="none" w:sz="0" w:space="0" w:color="auto"/>
        <w:bottom w:val="none" w:sz="0" w:space="0" w:color="auto"/>
        <w:right w:val="none" w:sz="0" w:space="0" w:color="auto"/>
      </w:divBdr>
    </w:div>
    <w:div w:id="123156549">
      <w:bodyDiv w:val="1"/>
      <w:marLeft w:val="0"/>
      <w:marRight w:val="0"/>
      <w:marTop w:val="0"/>
      <w:marBottom w:val="0"/>
      <w:divBdr>
        <w:top w:val="none" w:sz="0" w:space="0" w:color="auto"/>
        <w:left w:val="none" w:sz="0" w:space="0" w:color="auto"/>
        <w:bottom w:val="none" w:sz="0" w:space="0" w:color="auto"/>
        <w:right w:val="none" w:sz="0" w:space="0" w:color="auto"/>
      </w:divBdr>
    </w:div>
    <w:div w:id="124203797">
      <w:bodyDiv w:val="1"/>
      <w:marLeft w:val="0"/>
      <w:marRight w:val="0"/>
      <w:marTop w:val="0"/>
      <w:marBottom w:val="0"/>
      <w:divBdr>
        <w:top w:val="none" w:sz="0" w:space="0" w:color="auto"/>
        <w:left w:val="none" w:sz="0" w:space="0" w:color="auto"/>
        <w:bottom w:val="none" w:sz="0" w:space="0" w:color="auto"/>
        <w:right w:val="none" w:sz="0" w:space="0" w:color="auto"/>
      </w:divBdr>
    </w:div>
    <w:div w:id="125590964">
      <w:bodyDiv w:val="1"/>
      <w:marLeft w:val="0"/>
      <w:marRight w:val="0"/>
      <w:marTop w:val="0"/>
      <w:marBottom w:val="0"/>
      <w:divBdr>
        <w:top w:val="none" w:sz="0" w:space="0" w:color="auto"/>
        <w:left w:val="none" w:sz="0" w:space="0" w:color="auto"/>
        <w:bottom w:val="none" w:sz="0" w:space="0" w:color="auto"/>
        <w:right w:val="none" w:sz="0" w:space="0" w:color="auto"/>
      </w:divBdr>
    </w:div>
    <w:div w:id="129520295">
      <w:bodyDiv w:val="1"/>
      <w:marLeft w:val="0"/>
      <w:marRight w:val="0"/>
      <w:marTop w:val="0"/>
      <w:marBottom w:val="0"/>
      <w:divBdr>
        <w:top w:val="none" w:sz="0" w:space="0" w:color="auto"/>
        <w:left w:val="none" w:sz="0" w:space="0" w:color="auto"/>
        <w:bottom w:val="none" w:sz="0" w:space="0" w:color="auto"/>
        <w:right w:val="none" w:sz="0" w:space="0" w:color="auto"/>
      </w:divBdr>
    </w:div>
    <w:div w:id="139539403">
      <w:bodyDiv w:val="1"/>
      <w:marLeft w:val="0"/>
      <w:marRight w:val="0"/>
      <w:marTop w:val="0"/>
      <w:marBottom w:val="0"/>
      <w:divBdr>
        <w:top w:val="none" w:sz="0" w:space="0" w:color="auto"/>
        <w:left w:val="none" w:sz="0" w:space="0" w:color="auto"/>
        <w:bottom w:val="none" w:sz="0" w:space="0" w:color="auto"/>
        <w:right w:val="none" w:sz="0" w:space="0" w:color="auto"/>
      </w:divBdr>
    </w:div>
    <w:div w:id="238440148">
      <w:bodyDiv w:val="1"/>
      <w:marLeft w:val="0"/>
      <w:marRight w:val="0"/>
      <w:marTop w:val="0"/>
      <w:marBottom w:val="0"/>
      <w:divBdr>
        <w:top w:val="none" w:sz="0" w:space="0" w:color="auto"/>
        <w:left w:val="none" w:sz="0" w:space="0" w:color="auto"/>
        <w:bottom w:val="none" w:sz="0" w:space="0" w:color="auto"/>
        <w:right w:val="none" w:sz="0" w:space="0" w:color="auto"/>
      </w:divBdr>
    </w:div>
    <w:div w:id="266277657">
      <w:bodyDiv w:val="1"/>
      <w:marLeft w:val="0"/>
      <w:marRight w:val="0"/>
      <w:marTop w:val="0"/>
      <w:marBottom w:val="0"/>
      <w:divBdr>
        <w:top w:val="none" w:sz="0" w:space="0" w:color="auto"/>
        <w:left w:val="none" w:sz="0" w:space="0" w:color="auto"/>
        <w:bottom w:val="none" w:sz="0" w:space="0" w:color="auto"/>
        <w:right w:val="none" w:sz="0" w:space="0" w:color="auto"/>
      </w:divBdr>
    </w:div>
    <w:div w:id="275989012">
      <w:bodyDiv w:val="1"/>
      <w:marLeft w:val="0"/>
      <w:marRight w:val="0"/>
      <w:marTop w:val="0"/>
      <w:marBottom w:val="0"/>
      <w:divBdr>
        <w:top w:val="none" w:sz="0" w:space="0" w:color="auto"/>
        <w:left w:val="none" w:sz="0" w:space="0" w:color="auto"/>
        <w:bottom w:val="none" w:sz="0" w:space="0" w:color="auto"/>
        <w:right w:val="none" w:sz="0" w:space="0" w:color="auto"/>
      </w:divBdr>
    </w:div>
    <w:div w:id="283003673">
      <w:bodyDiv w:val="1"/>
      <w:marLeft w:val="0"/>
      <w:marRight w:val="0"/>
      <w:marTop w:val="0"/>
      <w:marBottom w:val="0"/>
      <w:divBdr>
        <w:top w:val="none" w:sz="0" w:space="0" w:color="auto"/>
        <w:left w:val="none" w:sz="0" w:space="0" w:color="auto"/>
        <w:bottom w:val="none" w:sz="0" w:space="0" w:color="auto"/>
        <w:right w:val="none" w:sz="0" w:space="0" w:color="auto"/>
      </w:divBdr>
    </w:div>
    <w:div w:id="302273094">
      <w:bodyDiv w:val="1"/>
      <w:marLeft w:val="0"/>
      <w:marRight w:val="0"/>
      <w:marTop w:val="0"/>
      <w:marBottom w:val="0"/>
      <w:divBdr>
        <w:top w:val="none" w:sz="0" w:space="0" w:color="auto"/>
        <w:left w:val="none" w:sz="0" w:space="0" w:color="auto"/>
        <w:bottom w:val="none" w:sz="0" w:space="0" w:color="auto"/>
        <w:right w:val="none" w:sz="0" w:space="0" w:color="auto"/>
      </w:divBdr>
    </w:div>
    <w:div w:id="313073701">
      <w:bodyDiv w:val="1"/>
      <w:marLeft w:val="0"/>
      <w:marRight w:val="0"/>
      <w:marTop w:val="0"/>
      <w:marBottom w:val="0"/>
      <w:divBdr>
        <w:top w:val="none" w:sz="0" w:space="0" w:color="auto"/>
        <w:left w:val="none" w:sz="0" w:space="0" w:color="auto"/>
        <w:bottom w:val="none" w:sz="0" w:space="0" w:color="auto"/>
        <w:right w:val="none" w:sz="0" w:space="0" w:color="auto"/>
      </w:divBdr>
    </w:div>
    <w:div w:id="358703282">
      <w:bodyDiv w:val="1"/>
      <w:marLeft w:val="0"/>
      <w:marRight w:val="0"/>
      <w:marTop w:val="0"/>
      <w:marBottom w:val="0"/>
      <w:divBdr>
        <w:top w:val="none" w:sz="0" w:space="0" w:color="auto"/>
        <w:left w:val="none" w:sz="0" w:space="0" w:color="auto"/>
        <w:bottom w:val="none" w:sz="0" w:space="0" w:color="auto"/>
        <w:right w:val="none" w:sz="0" w:space="0" w:color="auto"/>
      </w:divBdr>
    </w:div>
    <w:div w:id="360395912">
      <w:bodyDiv w:val="1"/>
      <w:marLeft w:val="0"/>
      <w:marRight w:val="0"/>
      <w:marTop w:val="0"/>
      <w:marBottom w:val="0"/>
      <w:divBdr>
        <w:top w:val="none" w:sz="0" w:space="0" w:color="auto"/>
        <w:left w:val="none" w:sz="0" w:space="0" w:color="auto"/>
        <w:bottom w:val="none" w:sz="0" w:space="0" w:color="auto"/>
        <w:right w:val="none" w:sz="0" w:space="0" w:color="auto"/>
      </w:divBdr>
    </w:div>
    <w:div w:id="373309592">
      <w:bodyDiv w:val="1"/>
      <w:marLeft w:val="0"/>
      <w:marRight w:val="0"/>
      <w:marTop w:val="0"/>
      <w:marBottom w:val="0"/>
      <w:divBdr>
        <w:top w:val="none" w:sz="0" w:space="0" w:color="auto"/>
        <w:left w:val="none" w:sz="0" w:space="0" w:color="auto"/>
        <w:bottom w:val="none" w:sz="0" w:space="0" w:color="auto"/>
        <w:right w:val="none" w:sz="0" w:space="0" w:color="auto"/>
      </w:divBdr>
    </w:div>
    <w:div w:id="379480076">
      <w:bodyDiv w:val="1"/>
      <w:marLeft w:val="0"/>
      <w:marRight w:val="0"/>
      <w:marTop w:val="0"/>
      <w:marBottom w:val="0"/>
      <w:divBdr>
        <w:top w:val="none" w:sz="0" w:space="0" w:color="auto"/>
        <w:left w:val="none" w:sz="0" w:space="0" w:color="auto"/>
        <w:bottom w:val="none" w:sz="0" w:space="0" w:color="auto"/>
        <w:right w:val="none" w:sz="0" w:space="0" w:color="auto"/>
      </w:divBdr>
    </w:div>
    <w:div w:id="389114832">
      <w:bodyDiv w:val="1"/>
      <w:marLeft w:val="0"/>
      <w:marRight w:val="0"/>
      <w:marTop w:val="0"/>
      <w:marBottom w:val="0"/>
      <w:divBdr>
        <w:top w:val="none" w:sz="0" w:space="0" w:color="auto"/>
        <w:left w:val="none" w:sz="0" w:space="0" w:color="auto"/>
        <w:bottom w:val="none" w:sz="0" w:space="0" w:color="auto"/>
        <w:right w:val="none" w:sz="0" w:space="0" w:color="auto"/>
      </w:divBdr>
    </w:div>
    <w:div w:id="408887038">
      <w:bodyDiv w:val="1"/>
      <w:marLeft w:val="0"/>
      <w:marRight w:val="0"/>
      <w:marTop w:val="0"/>
      <w:marBottom w:val="0"/>
      <w:divBdr>
        <w:top w:val="none" w:sz="0" w:space="0" w:color="auto"/>
        <w:left w:val="none" w:sz="0" w:space="0" w:color="auto"/>
        <w:bottom w:val="none" w:sz="0" w:space="0" w:color="auto"/>
        <w:right w:val="none" w:sz="0" w:space="0" w:color="auto"/>
      </w:divBdr>
    </w:div>
    <w:div w:id="488450618">
      <w:bodyDiv w:val="1"/>
      <w:marLeft w:val="0"/>
      <w:marRight w:val="0"/>
      <w:marTop w:val="0"/>
      <w:marBottom w:val="0"/>
      <w:divBdr>
        <w:top w:val="none" w:sz="0" w:space="0" w:color="auto"/>
        <w:left w:val="none" w:sz="0" w:space="0" w:color="auto"/>
        <w:bottom w:val="none" w:sz="0" w:space="0" w:color="auto"/>
        <w:right w:val="none" w:sz="0" w:space="0" w:color="auto"/>
      </w:divBdr>
    </w:div>
    <w:div w:id="497576456">
      <w:bodyDiv w:val="1"/>
      <w:marLeft w:val="0"/>
      <w:marRight w:val="0"/>
      <w:marTop w:val="0"/>
      <w:marBottom w:val="0"/>
      <w:divBdr>
        <w:top w:val="none" w:sz="0" w:space="0" w:color="auto"/>
        <w:left w:val="none" w:sz="0" w:space="0" w:color="auto"/>
        <w:bottom w:val="none" w:sz="0" w:space="0" w:color="auto"/>
        <w:right w:val="none" w:sz="0" w:space="0" w:color="auto"/>
      </w:divBdr>
    </w:div>
    <w:div w:id="538663857">
      <w:bodyDiv w:val="1"/>
      <w:marLeft w:val="0"/>
      <w:marRight w:val="0"/>
      <w:marTop w:val="0"/>
      <w:marBottom w:val="0"/>
      <w:divBdr>
        <w:top w:val="none" w:sz="0" w:space="0" w:color="auto"/>
        <w:left w:val="none" w:sz="0" w:space="0" w:color="auto"/>
        <w:bottom w:val="none" w:sz="0" w:space="0" w:color="auto"/>
        <w:right w:val="none" w:sz="0" w:space="0" w:color="auto"/>
      </w:divBdr>
    </w:div>
    <w:div w:id="554395984">
      <w:bodyDiv w:val="1"/>
      <w:marLeft w:val="0"/>
      <w:marRight w:val="0"/>
      <w:marTop w:val="0"/>
      <w:marBottom w:val="0"/>
      <w:divBdr>
        <w:top w:val="none" w:sz="0" w:space="0" w:color="auto"/>
        <w:left w:val="none" w:sz="0" w:space="0" w:color="auto"/>
        <w:bottom w:val="none" w:sz="0" w:space="0" w:color="auto"/>
        <w:right w:val="none" w:sz="0" w:space="0" w:color="auto"/>
      </w:divBdr>
    </w:div>
    <w:div w:id="563879648">
      <w:bodyDiv w:val="1"/>
      <w:marLeft w:val="0"/>
      <w:marRight w:val="0"/>
      <w:marTop w:val="0"/>
      <w:marBottom w:val="0"/>
      <w:divBdr>
        <w:top w:val="none" w:sz="0" w:space="0" w:color="auto"/>
        <w:left w:val="none" w:sz="0" w:space="0" w:color="auto"/>
        <w:bottom w:val="none" w:sz="0" w:space="0" w:color="auto"/>
        <w:right w:val="none" w:sz="0" w:space="0" w:color="auto"/>
      </w:divBdr>
    </w:div>
    <w:div w:id="603611754">
      <w:bodyDiv w:val="1"/>
      <w:marLeft w:val="0"/>
      <w:marRight w:val="0"/>
      <w:marTop w:val="0"/>
      <w:marBottom w:val="0"/>
      <w:divBdr>
        <w:top w:val="none" w:sz="0" w:space="0" w:color="auto"/>
        <w:left w:val="none" w:sz="0" w:space="0" w:color="auto"/>
        <w:bottom w:val="none" w:sz="0" w:space="0" w:color="auto"/>
        <w:right w:val="none" w:sz="0" w:space="0" w:color="auto"/>
      </w:divBdr>
    </w:div>
    <w:div w:id="604462695">
      <w:bodyDiv w:val="1"/>
      <w:marLeft w:val="0"/>
      <w:marRight w:val="0"/>
      <w:marTop w:val="0"/>
      <w:marBottom w:val="0"/>
      <w:divBdr>
        <w:top w:val="none" w:sz="0" w:space="0" w:color="auto"/>
        <w:left w:val="none" w:sz="0" w:space="0" w:color="auto"/>
        <w:bottom w:val="none" w:sz="0" w:space="0" w:color="auto"/>
        <w:right w:val="none" w:sz="0" w:space="0" w:color="auto"/>
      </w:divBdr>
    </w:div>
    <w:div w:id="606159746">
      <w:bodyDiv w:val="1"/>
      <w:marLeft w:val="0"/>
      <w:marRight w:val="0"/>
      <w:marTop w:val="0"/>
      <w:marBottom w:val="0"/>
      <w:divBdr>
        <w:top w:val="none" w:sz="0" w:space="0" w:color="auto"/>
        <w:left w:val="none" w:sz="0" w:space="0" w:color="auto"/>
        <w:bottom w:val="none" w:sz="0" w:space="0" w:color="auto"/>
        <w:right w:val="none" w:sz="0" w:space="0" w:color="auto"/>
      </w:divBdr>
    </w:div>
    <w:div w:id="629436018">
      <w:bodyDiv w:val="1"/>
      <w:marLeft w:val="0"/>
      <w:marRight w:val="0"/>
      <w:marTop w:val="0"/>
      <w:marBottom w:val="0"/>
      <w:divBdr>
        <w:top w:val="none" w:sz="0" w:space="0" w:color="auto"/>
        <w:left w:val="none" w:sz="0" w:space="0" w:color="auto"/>
        <w:bottom w:val="none" w:sz="0" w:space="0" w:color="auto"/>
        <w:right w:val="none" w:sz="0" w:space="0" w:color="auto"/>
      </w:divBdr>
    </w:div>
    <w:div w:id="643583513">
      <w:bodyDiv w:val="1"/>
      <w:marLeft w:val="0"/>
      <w:marRight w:val="0"/>
      <w:marTop w:val="0"/>
      <w:marBottom w:val="0"/>
      <w:divBdr>
        <w:top w:val="none" w:sz="0" w:space="0" w:color="auto"/>
        <w:left w:val="none" w:sz="0" w:space="0" w:color="auto"/>
        <w:bottom w:val="none" w:sz="0" w:space="0" w:color="auto"/>
        <w:right w:val="none" w:sz="0" w:space="0" w:color="auto"/>
      </w:divBdr>
    </w:div>
    <w:div w:id="650715374">
      <w:bodyDiv w:val="1"/>
      <w:marLeft w:val="0"/>
      <w:marRight w:val="0"/>
      <w:marTop w:val="0"/>
      <w:marBottom w:val="0"/>
      <w:divBdr>
        <w:top w:val="none" w:sz="0" w:space="0" w:color="auto"/>
        <w:left w:val="none" w:sz="0" w:space="0" w:color="auto"/>
        <w:bottom w:val="none" w:sz="0" w:space="0" w:color="auto"/>
        <w:right w:val="none" w:sz="0" w:space="0" w:color="auto"/>
      </w:divBdr>
    </w:div>
    <w:div w:id="669210994">
      <w:bodyDiv w:val="1"/>
      <w:marLeft w:val="0"/>
      <w:marRight w:val="0"/>
      <w:marTop w:val="0"/>
      <w:marBottom w:val="0"/>
      <w:divBdr>
        <w:top w:val="none" w:sz="0" w:space="0" w:color="auto"/>
        <w:left w:val="none" w:sz="0" w:space="0" w:color="auto"/>
        <w:bottom w:val="none" w:sz="0" w:space="0" w:color="auto"/>
        <w:right w:val="none" w:sz="0" w:space="0" w:color="auto"/>
      </w:divBdr>
    </w:div>
    <w:div w:id="735979235">
      <w:bodyDiv w:val="1"/>
      <w:marLeft w:val="0"/>
      <w:marRight w:val="0"/>
      <w:marTop w:val="0"/>
      <w:marBottom w:val="0"/>
      <w:divBdr>
        <w:top w:val="none" w:sz="0" w:space="0" w:color="auto"/>
        <w:left w:val="none" w:sz="0" w:space="0" w:color="auto"/>
        <w:bottom w:val="none" w:sz="0" w:space="0" w:color="auto"/>
        <w:right w:val="none" w:sz="0" w:space="0" w:color="auto"/>
      </w:divBdr>
    </w:div>
    <w:div w:id="773596876">
      <w:bodyDiv w:val="1"/>
      <w:marLeft w:val="0"/>
      <w:marRight w:val="0"/>
      <w:marTop w:val="0"/>
      <w:marBottom w:val="0"/>
      <w:divBdr>
        <w:top w:val="none" w:sz="0" w:space="0" w:color="auto"/>
        <w:left w:val="none" w:sz="0" w:space="0" w:color="auto"/>
        <w:bottom w:val="none" w:sz="0" w:space="0" w:color="auto"/>
        <w:right w:val="none" w:sz="0" w:space="0" w:color="auto"/>
      </w:divBdr>
    </w:div>
    <w:div w:id="788665842">
      <w:bodyDiv w:val="1"/>
      <w:marLeft w:val="0"/>
      <w:marRight w:val="0"/>
      <w:marTop w:val="0"/>
      <w:marBottom w:val="0"/>
      <w:divBdr>
        <w:top w:val="none" w:sz="0" w:space="0" w:color="auto"/>
        <w:left w:val="none" w:sz="0" w:space="0" w:color="auto"/>
        <w:bottom w:val="none" w:sz="0" w:space="0" w:color="auto"/>
        <w:right w:val="none" w:sz="0" w:space="0" w:color="auto"/>
      </w:divBdr>
    </w:div>
    <w:div w:id="798769853">
      <w:bodyDiv w:val="1"/>
      <w:marLeft w:val="0"/>
      <w:marRight w:val="0"/>
      <w:marTop w:val="0"/>
      <w:marBottom w:val="0"/>
      <w:divBdr>
        <w:top w:val="none" w:sz="0" w:space="0" w:color="auto"/>
        <w:left w:val="none" w:sz="0" w:space="0" w:color="auto"/>
        <w:bottom w:val="none" w:sz="0" w:space="0" w:color="auto"/>
        <w:right w:val="none" w:sz="0" w:space="0" w:color="auto"/>
      </w:divBdr>
    </w:div>
    <w:div w:id="817914662">
      <w:bodyDiv w:val="1"/>
      <w:marLeft w:val="0"/>
      <w:marRight w:val="0"/>
      <w:marTop w:val="0"/>
      <w:marBottom w:val="0"/>
      <w:divBdr>
        <w:top w:val="none" w:sz="0" w:space="0" w:color="auto"/>
        <w:left w:val="none" w:sz="0" w:space="0" w:color="auto"/>
        <w:bottom w:val="none" w:sz="0" w:space="0" w:color="auto"/>
        <w:right w:val="none" w:sz="0" w:space="0" w:color="auto"/>
      </w:divBdr>
    </w:div>
    <w:div w:id="832110705">
      <w:bodyDiv w:val="1"/>
      <w:marLeft w:val="0"/>
      <w:marRight w:val="0"/>
      <w:marTop w:val="0"/>
      <w:marBottom w:val="0"/>
      <w:divBdr>
        <w:top w:val="none" w:sz="0" w:space="0" w:color="auto"/>
        <w:left w:val="none" w:sz="0" w:space="0" w:color="auto"/>
        <w:bottom w:val="none" w:sz="0" w:space="0" w:color="auto"/>
        <w:right w:val="none" w:sz="0" w:space="0" w:color="auto"/>
      </w:divBdr>
    </w:div>
    <w:div w:id="842940648">
      <w:bodyDiv w:val="1"/>
      <w:marLeft w:val="0"/>
      <w:marRight w:val="0"/>
      <w:marTop w:val="0"/>
      <w:marBottom w:val="0"/>
      <w:divBdr>
        <w:top w:val="none" w:sz="0" w:space="0" w:color="auto"/>
        <w:left w:val="none" w:sz="0" w:space="0" w:color="auto"/>
        <w:bottom w:val="none" w:sz="0" w:space="0" w:color="auto"/>
        <w:right w:val="none" w:sz="0" w:space="0" w:color="auto"/>
      </w:divBdr>
    </w:div>
    <w:div w:id="844707220">
      <w:bodyDiv w:val="1"/>
      <w:marLeft w:val="0"/>
      <w:marRight w:val="0"/>
      <w:marTop w:val="0"/>
      <w:marBottom w:val="0"/>
      <w:divBdr>
        <w:top w:val="none" w:sz="0" w:space="0" w:color="auto"/>
        <w:left w:val="none" w:sz="0" w:space="0" w:color="auto"/>
        <w:bottom w:val="none" w:sz="0" w:space="0" w:color="auto"/>
        <w:right w:val="none" w:sz="0" w:space="0" w:color="auto"/>
      </w:divBdr>
    </w:div>
    <w:div w:id="853154945">
      <w:bodyDiv w:val="1"/>
      <w:marLeft w:val="0"/>
      <w:marRight w:val="0"/>
      <w:marTop w:val="0"/>
      <w:marBottom w:val="0"/>
      <w:divBdr>
        <w:top w:val="none" w:sz="0" w:space="0" w:color="auto"/>
        <w:left w:val="none" w:sz="0" w:space="0" w:color="auto"/>
        <w:bottom w:val="none" w:sz="0" w:space="0" w:color="auto"/>
        <w:right w:val="none" w:sz="0" w:space="0" w:color="auto"/>
      </w:divBdr>
    </w:div>
    <w:div w:id="870412532">
      <w:bodyDiv w:val="1"/>
      <w:marLeft w:val="0"/>
      <w:marRight w:val="0"/>
      <w:marTop w:val="0"/>
      <w:marBottom w:val="0"/>
      <w:divBdr>
        <w:top w:val="none" w:sz="0" w:space="0" w:color="auto"/>
        <w:left w:val="none" w:sz="0" w:space="0" w:color="auto"/>
        <w:bottom w:val="none" w:sz="0" w:space="0" w:color="auto"/>
        <w:right w:val="none" w:sz="0" w:space="0" w:color="auto"/>
      </w:divBdr>
    </w:div>
    <w:div w:id="881207096">
      <w:bodyDiv w:val="1"/>
      <w:marLeft w:val="0"/>
      <w:marRight w:val="0"/>
      <w:marTop w:val="0"/>
      <w:marBottom w:val="0"/>
      <w:divBdr>
        <w:top w:val="none" w:sz="0" w:space="0" w:color="auto"/>
        <w:left w:val="none" w:sz="0" w:space="0" w:color="auto"/>
        <w:bottom w:val="none" w:sz="0" w:space="0" w:color="auto"/>
        <w:right w:val="none" w:sz="0" w:space="0" w:color="auto"/>
      </w:divBdr>
    </w:div>
    <w:div w:id="990788393">
      <w:bodyDiv w:val="1"/>
      <w:marLeft w:val="0"/>
      <w:marRight w:val="0"/>
      <w:marTop w:val="0"/>
      <w:marBottom w:val="0"/>
      <w:divBdr>
        <w:top w:val="none" w:sz="0" w:space="0" w:color="auto"/>
        <w:left w:val="none" w:sz="0" w:space="0" w:color="auto"/>
        <w:bottom w:val="none" w:sz="0" w:space="0" w:color="auto"/>
        <w:right w:val="none" w:sz="0" w:space="0" w:color="auto"/>
      </w:divBdr>
    </w:div>
    <w:div w:id="1010177664">
      <w:bodyDiv w:val="1"/>
      <w:marLeft w:val="0"/>
      <w:marRight w:val="0"/>
      <w:marTop w:val="0"/>
      <w:marBottom w:val="0"/>
      <w:divBdr>
        <w:top w:val="none" w:sz="0" w:space="0" w:color="auto"/>
        <w:left w:val="none" w:sz="0" w:space="0" w:color="auto"/>
        <w:bottom w:val="none" w:sz="0" w:space="0" w:color="auto"/>
        <w:right w:val="none" w:sz="0" w:space="0" w:color="auto"/>
      </w:divBdr>
    </w:div>
    <w:div w:id="1013187209">
      <w:bodyDiv w:val="1"/>
      <w:marLeft w:val="0"/>
      <w:marRight w:val="0"/>
      <w:marTop w:val="0"/>
      <w:marBottom w:val="0"/>
      <w:divBdr>
        <w:top w:val="none" w:sz="0" w:space="0" w:color="auto"/>
        <w:left w:val="none" w:sz="0" w:space="0" w:color="auto"/>
        <w:bottom w:val="none" w:sz="0" w:space="0" w:color="auto"/>
        <w:right w:val="none" w:sz="0" w:space="0" w:color="auto"/>
      </w:divBdr>
    </w:div>
    <w:div w:id="1013647767">
      <w:bodyDiv w:val="1"/>
      <w:marLeft w:val="0"/>
      <w:marRight w:val="0"/>
      <w:marTop w:val="0"/>
      <w:marBottom w:val="0"/>
      <w:divBdr>
        <w:top w:val="none" w:sz="0" w:space="0" w:color="auto"/>
        <w:left w:val="none" w:sz="0" w:space="0" w:color="auto"/>
        <w:bottom w:val="none" w:sz="0" w:space="0" w:color="auto"/>
        <w:right w:val="none" w:sz="0" w:space="0" w:color="auto"/>
      </w:divBdr>
    </w:div>
    <w:div w:id="1039663306">
      <w:bodyDiv w:val="1"/>
      <w:marLeft w:val="0"/>
      <w:marRight w:val="0"/>
      <w:marTop w:val="0"/>
      <w:marBottom w:val="0"/>
      <w:divBdr>
        <w:top w:val="none" w:sz="0" w:space="0" w:color="auto"/>
        <w:left w:val="none" w:sz="0" w:space="0" w:color="auto"/>
        <w:bottom w:val="none" w:sz="0" w:space="0" w:color="auto"/>
        <w:right w:val="none" w:sz="0" w:space="0" w:color="auto"/>
      </w:divBdr>
    </w:div>
    <w:div w:id="1053769195">
      <w:bodyDiv w:val="1"/>
      <w:marLeft w:val="0"/>
      <w:marRight w:val="0"/>
      <w:marTop w:val="0"/>
      <w:marBottom w:val="0"/>
      <w:divBdr>
        <w:top w:val="none" w:sz="0" w:space="0" w:color="auto"/>
        <w:left w:val="none" w:sz="0" w:space="0" w:color="auto"/>
        <w:bottom w:val="none" w:sz="0" w:space="0" w:color="auto"/>
        <w:right w:val="none" w:sz="0" w:space="0" w:color="auto"/>
      </w:divBdr>
    </w:div>
    <w:div w:id="1065421491">
      <w:bodyDiv w:val="1"/>
      <w:marLeft w:val="0"/>
      <w:marRight w:val="0"/>
      <w:marTop w:val="0"/>
      <w:marBottom w:val="0"/>
      <w:divBdr>
        <w:top w:val="none" w:sz="0" w:space="0" w:color="auto"/>
        <w:left w:val="none" w:sz="0" w:space="0" w:color="auto"/>
        <w:bottom w:val="none" w:sz="0" w:space="0" w:color="auto"/>
        <w:right w:val="none" w:sz="0" w:space="0" w:color="auto"/>
      </w:divBdr>
    </w:div>
    <w:div w:id="1068653694">
      <w:bodyDiv w:val="1"/>
      <w:marLeft w:val="0"/>
      <w:marRight w:val="0"/>
      <w:marTop w:val="0"/>
      <w:marBottom w:val="0"/>
      <w:divBdr>
        <w:top w:val="none" w:sz="0" w:space="0" w:color="auto"/>
        <w:left w:val="none" w:sz="0" w:space="0" w:color="auto"/>
        <w:bottom w:val="none" w:sz="0" w:space="0" w:color="auto"/>
        <w:right w:val="none" w:sz="0" w:space="0" w:color="auto"/>
      </w:divBdr>
    </w:div>
    <w:div w:id="1069577042">
      <w:bodyDiv w:val="1"/>
      <w:marLeft w:val="0"/>
      <w:marRight w:val="0"/>
      <w:marTop w:val="0"/>
      <w:marBottom w:val="0"/>
      <w:divBdr>
        <w:top w:val="none" w:sz="0" w:space="0" w:color="auto"/>
        <w:left w:val="none" w:sz="0" w:space="0" w:color="auto"/>
        <w:bottom w:val="none" w:sz="0" w:space="0" w:color="auto"/>
        <w:right w:val="none" w:sz="0" w:space="0" w:color="auto"/>
      </w:divBdr>
    </w:div>
    <w:div w:id="1078088495">
      <w:bodyDiv w:val="1"/>
      <w:marLeft w:val="0"/>
      <w:marRight w:val="0"/>
      <w:marTop w:val="0"/>
      <w:marBottom w:val="0"/>
      <w:divBdr>
        <w:top w:val="none" w:sz="0" w:space="0" w:color="auto"/>
        <w:left w:val="none" w:sz="0" w:space="0" w:color="auto"/>
        <w:bottom w:val="none" w:sz="0" w:space="0" w:color="auto"/>
        <w:right w:val="none" w:sz="0" w:space="0" w:color="auto"/>
      </w:divBdr>
    </w:div>
    <w:div w:id="1084298909">
      <w:bodyDiv w:val="1"/>
      <w:marLeft w:val="0"/>
      <w:marRight w:val="0"/>
      <w:marTop w:val="0"/>
      <w:marBottom w:val="0"/>
      <w:divBdr>
        <w:top w:val="none" w:sz="0" w:space="0" w:color="auto"/>
        <w:left w:val="none" w:sz="0" w:space="0" w:color="auto"/>
        <w:bottom w:val="none" w:sz="0" w:space="0" w:color="auto"/>
        <w:right w:val="none" w:sz="0" w:space="0" w:color="auto"/>
      </w:divBdr>
    </w:div>
    <w:div w:id="1091196015">
      <w:bodyDiv w:val="1"/>
      <w:marLeft w:val="0"/>
      <w:marRight w:val="0"/>
      <w:marTop w:val="0"/>
      <w:marBottom w:val="0"/>
      <w:divBdr>
        <w:top w:val="none" w:sz="0" w:space="0" w:color="auto"/>
        <w:left w:val="none" w:sz="0" w:space="0" w:color="auto"/>
        <w:bottom w:val="none" w:sz="0" w:space="0" w:color="auto"/>
        <w:right w:val="none" w:sz="0" w:space="0" w:color="auto"/>
      </w:divBdr>
    </w:div>
    <w:div w:id="1099568664">
      <w:bodyDiv w:val="1"/>
      <w:marLeft w:val="0"/>
      <w:marRight w:val="0"/>
      <w:marTop w:val="0"/>
      <w:marBottom w:val="0"/>
      <w:divBdr>
        <w:top w:val="none" w:sz="0" w:space="0" w:color="auto"/>
        <w:left w:val="none" w:sz="0" w:space="0" w:color="auto"/>
        <w:bottom w:val="none" w:sz="0" w:space="0" w:color="auto"/>
        <w:right w:val="none" w:sz="0" w:space="0" w:color="auto"/>
      </w:divBdr>
    </w:div>
    <w:div w:id="1105881611">
      <w:bodyDiv w:val="1"/>
      <w:marLeft w:val="0"/>
      <w:marRight w:val="0"/>
      <w:marTop w:val="0"/>
      <w:marBottom w:val="0"/>
      <w:divBdr>
        <w:top w:val="none" w:sz="0" w:space="0" w:color="auto"/>
        <w:left w:val="none" w:sz="0" w:space="0" w:color="auto"/>
        <w:bottom w:val="none" w:sz="0" w:space="0" w:color="auto"/>
        <w:right w:val="none" w:sz="0" w:space="0" w:color="auto"/>
      </w:divBdr>
    </w:div>
    <w:div w:id="1120300196">
      <w:bodyDiv w:val="1"/>
      <w:marLeft w:val="0"/>
      <w:marRight w:val="0"/>
      <w:marTop w:val="0"/>
      <w:marBottom w:val="0"/>
      <w:divBdr>
        <w:top w:val="none" w:sz="0" w:space="0" w:color="auto"/>
        <w:left w:val="none" w:sz="0" w:space="0" w:color="auto"/>
        <w:bottom w:val="none" w:sz="0" w:space="0" w:color="auto"/>
        <w:right w:val="none" w:sz="0" w:space="0" w:color="auto"/>
      </w:divBdr>
    </w:div>
    <w:div w:id="1127627219">
      <w:bodyDiv w:val="1"/>
      <w:marLeft w:val="0"/>
      <w:marRight w:val="0"/>
      <w:marTop w:val="0"/>
      <w:marBottom w:val="0"/>
      <w:divBdr>
        <w:top w:val="none" w:sz="0" w:space="0" w:color="auto"/>
        <w:left w:val="none" w:sz="0" w:space="0" w:color="auto"/>
        <w:bottom w:val="none" w:sz="0" w:space="0" w:color="auto"/>
        <w:right w:val="none" w:sz="0" w:space="0" w:color="auto"/>
      </w:divBdr>
    </w:div>
    <w:div w:id="1172720228">
      <w:bodyDiv w:val="1"/>
      <w:marLeft w:val="0"/>
      <w:marRight w:val="0"/>
      <w:marTop w:val="0"/>
      <w:marBottom w:val="0"/>
      <w:divBdr>
        <w:top w:val="none" w:sz="0" w:space="0" w:color="auto"/>
        <w:left w:val="none" w:sz="0" w:space="0" w:color="auto"/>
        <w:bottom w:val="none" w:sz="0" w:space="0" w:color="auto"/>
        <w:right w:val="none" w:sz="0" w:space="0" w:color="auto"/>
      </w:divBdr>
    </w:div>
    <w:div w:id="1187983519">
      <w:bodyDiv w:val="1"/>
      <w:marLeft w:val="0"/>
      <w:marRight w:val="0"/>
      <w:marTop w:val="0"/>
      <w:marBottom w:val="0"/>
      <w:divBdr>
        <w:top w:val="none" w:sz="0" w:space="0" w:color="auto"/>
        <w:left w:val="none" w:sz="0" w:space="0" w:color="auto"/>
        <w:bottom w:val="none" w:sz="0" w:space="0" w:color="auto"/>
        <w:right w:val="none" w:sz="0" w:space="0" w:color="auto"/>
      </w:divBdr>
    </w:div>
    <w:div w:id="1222836717">
      <w:bodyDiv w:val="1"/>
      <w:marLeft w:val="0"/>
      <w:marRight w:val="0"/>
      <w:marTop w:val="0"/>
      <w:marBottom w:val="0"/>
      <w:divBdr>
        <w:top w:val="none" w:sz="0" w:space="0" w:color="auto"/>
        <w:left w:val="none" w:sz="0" w:space="0" w:color="auto"/>
        <w:bottom w:val="none" w:sz="0" w:space="0" w:color="auto"/>
        <w:right w:val="none" w:sz="0" w:space="0" w:color="auto"/>
      </w:divBdr>
    </w:div>
    <w:div w:id="1250770675">
      <w:bodyDiv w:val="1"/>
      <w:marLeft w:val="0"/>
      <w:marRight w:val="0"/>
      <w:marTop w:val="0"/>
      <w:marBottom w:val="0"/>
      <w:divBdr>
        <w:top w:val="none" w:sz="0" w:space="0" w:color="auto"/>
        <w:left w:val="none" w:sz="0" w:space="0" w:color="auto"/>
        <w:bottom w:val="none" w:sz="0" w:space="0" w:color="auto"/>
        <w:right w:val="none" w:sz="0" w:space="0" w:color="auto"/>
      </w:divBdr>
    </w:div>
    <w:div w:id="1295914127">
      <w:bodyDiv w:val="1"/>
      <w:marLeft w:val="0"/>
      <w:marRight w:val="0"/>
      <w:marTop w:val="0"/>
      <w:marBottom w:val="0"/>
      <w:divBdr>
        <w:top w:val="none" w:sz="0" w:space="0" w:color="auto"/>
        <w:left w:val="none" w:sz="0" w:space="0" w:color="auto"/>
        <w:bottom w:val="none" w:sz="0" w:space="0" w:color="auto"/>
        <w:right w:val="none" w:sz="0" w:space="0" w:color="auto"/>
      </w:divBdr>
    </w:div>
    <w:div w:id="1297947433">
      <w:bodyDiv w:val="1"/>
      <w:marLeft w:val="0"/>
      <w:marRight w:val="0"/>
      <w:marTop w:val="0"/>
      <w:marBottom w:val="0"/>
      <w:divBdr>
        <w:top w:val="none" w:sz="0" w:space="0" w:color="auto"/>
        <w:left w:val="none" w:sz="0" w:space="0" w:color="auto"/>
        <w:bottom w:val="none" w:sz="0" w:space="0" w:color="auto"/>
        <w:right w:val="none" w:sz="0" w:space="0" w:color="auto"/>
      </w:divBdr>
    </w:div>
    <w:div w:id="1304310882">
      <w:bodyDiv w:val="1"/>
      <w:marLeft w:val="0"/>
      <w:marRight w:val="0"/>
      <w:marTop w:val="0"/>
      <w:marBottom w:val="0"/>
      <w:divBdr>
        <w:top w:val="none" w:sz="0" w:space="0" w:color="auto"/>
        <w:left w:val="none" w:sz="0" w:space="0" w:color="auto"/>
        <w:bottom w:val="none" w:sz="0" w:space="0" w:color="auto"/>
        <w:right w:val="none" w:sz="0" w:space="0" w:color="auto"/>
      </w:divBdr>
    </w:div>
    <w:div w:id="1332760372">
      <w:bodyDiv w:val="1"/>
      <w:marLeft w:val="0"/>
      <w:marRight w:val="0"/>
      <w:marTop w:val="0"/>
      <w:marBottom w:val="0"/>
      <w:divBdr>
        <w:top w:val="none" w:sz="0" w:space="0" w:color="auto"/>
        <w:left w:val="none" w:sz="0" w:space="0" w:color="auto"/>
        <w:bottom w:val="none" w:sz="0" w:space="0" w:color="auto"/>
        <w:right w:val="none" w:sz="0" w:space="0" w:color="auto"/>
      </w:divBdr>
    </w:div>
    <w:div w:id="1342002987">
      <w:bodyDiv w:val="1"/>
      <w:marLeft w:val="0"/>
      <w:marRight w:val="0"/>
      <w:marTop w:val="0"/>
      <w:marBottom w:val="0"/>
      <w:divBdr>
        <w:top w:val="none" w:sz="0" w:space="0" w:color="auto"/>
        <w:left w:val="none" w:sz="0" w:space="0" w:color="auto"/>
        <w:bottom w:val="none" w:sz="0" w:space="0" w:color="auto"/>
        <w:right w:val="none" w:sz="0" w:space="0" w:color="auto"/>
      </w:divBdr>
    </w:div>
    <w:div w:id="1354187716">
      <w:bodyDiv w:val="1"/>
      <w:marLeft w:val="0"/>
      <w:marRight w:val="0"/>
      <w:marTop w:val="0"/>
      <w:marBottom w:val="0"/>
      <w:divBdr>
        <w:top w:val="none" w:sz="0" w:space="0" w:color="auto"/>
        <w:left w:val="none" w:sz="0" w:space="0" w:color="auto"/>
        <w:bottom w:val="none" w:sz="0" w:space="0" w:color="auto"/>
        <w:right w:val="none" w:sz="0" w:space="0" w:color="auto"/>
      </w:divBdr>
    </w:div>
    <w:div w:id="1419055585">
      <w:bodyDiv w:val="1"/>
      <w:marLeft w:val="0"/>
      <w:marRight w:val="0"/>
      <w:marTop w:val="0"/>
      <w:marBottom w:val="0"/>
      <w:divBdr>
        <w:top w:val="none" w:sz="0" w:space="0" w:color="auto"/>
        <w:left w:val="none" w:sz="0" w:space="0" w:color="auto"/>
        <w:bottom w:val="none" w:sz="0" w:space="0" w:color="auto"/>
        <w:right w:val="none" w:sz="0" w:space="0" w:color="auto"/>
      </w:divBdr>
    </w:div>
    <w:div w:id="1426422346">
      <w:bodyDiv w:val="1"/>
      <w:marLeft w:val="0"/>
      <w:marRight w:val="0"/>
      <w:marTop w:val="0"/>
      <w:marBottom w:val="0"/>
      <w:divBdr>
        <w:top w:val="none" w:sz="0" w:space="0" w:color="auto"/>
        <w:left w:val="none" w:sz="0" w:space="0" w:color="auto"/>
        <w:bottom w:val="none" w:sz="0" w:space="0" w:color="auto"/>
        <w:right w:val="none" w:sz="0" w:space="0" w:color="auto"/>
      </w:divBdr>
    </w:div>
    <w:div w:id="1440950039">
      <w:bodyDiv w:val="1"/>
      <w:marLeft w:val="0"/>
      <w:marRight w:val="0"/>
      <w:marTop w:val="0"/>
      <w:marBottom w:val="0"/>
      <w:divBdr>
        <w:top w:val="none" w:sz="0" w:space="0" w:color="auto"/>
        <w:left w:val="none" w:sz="0" w:space="0" w:color="auto"/>
        <w:bottom w:val="none" w:sz="0" w:space="0" w:color="auto"/>
        <w:right w:val="none" w:sz="0" w:space="0" w:color="auto"/>
      </w:divBdr>
    </w:div>
    <w:div w:id="1517621912">
      <w:bodyDiv w:val="1"/>
      <w:marLeft w:val="0"/>
      <w:marRight w:val="0"/>
      <w:marTop w:val="0"/>
      <w:marBottom w:val="0"/>
      <w:divBdr>
        <w:top w:val="none" w:sz="0" w:space="0" w:color="auto"/>
        <w:left w:val="none" w:sz="0" w:space="0" w:color="auto"/>
        <w:bottom w:val="none" w:sz="0" w:space="0" w:color="auto"/>
        <w:right w:val="none" w:sz="0" w:space="0" w:color="auto"/>
      </w:divBdr>
    </w:div>
    <w:div w:id="1524322052">
      <w:bodyDiv w:val="1"/>
      <w:marLeft w:val="0"/>
      <w:marRight w:val="0"/>
      <w:marTop w:val="0"/>
      <w:marBottom w:val="0"/>
      <w:divBdr>
        <w:top w:val="none" w:sz="0" w:space="0" w:color="auto"/>
        <w:left w:val="none" w:sz="0" w:space="0" w:color="auto"/>
        <w:bottom w:val="none" w:sz="0" w:space="0" w:color="auto"/>
        <w:right w:val="none" w:sz="0" w:space="0" w:color="auto"/>
      </w:divBdr>
    </w:div>
    <w:div w:id="1528759442">
      <w:bodyDiv w:val="1"/>
      <w:marLeft w:val="0"/>
      <w:marRight w:val="0"/>
      <w:marTop w:val="0"/>
      <w:marBottom w:val="0"/>
      <w:divBdr>
        <w:top w:val="none" w:sz="0" w:space="0" w:color="auto"/>
        <w:left w:val="none" w:sz="0" w:space="0" w:color="auto"/>
        <w:bottom w:val="none" w:sz="0" w:space="0" w:color="auto"/>
        <w:right w:val="none" w:sz="0" w:space="0" w:color="auto"/>
      </w:divBdr>
    </w:div>
    <w:div w:id="1529873083">
      <w:bodyDiv w:val="1"/>
      <w:marLeft w:val="0"/>
      <w:marRight w:val="0"/>
      <w:marTop w:val="0"/>
      <w:marBottom w:val="0"/>
      <w:divBdr>
        <w:top w:val="none" w:sz="0" w:space="0" w:color="auto"/>
        <w:left w:val="none" w:sz="0" w:space="0" w:color="auto"/>
        <w:bottom w:val="none" w:sz="0" w:space="0" w:color="auto"/>
        <w:right w:val="none" w:sz="0" w:space="0" w:color="auto"/>
      </w:divBdr>
    </w:div>
    <w:div w:id="1557548000">
      <w:bodyDiv w:val="1"/>
      <w:marLeft w:val="0"/>
      <w:marRight w:val="0"/>
      <w:marTop w:val="0"/>
      <w:marBottom w:val="0"/>
      <w:divBdr>
        <w:top w:val="none" w:sz="0" w:space="0" w:color="auto"/>
        <w:left w:val="none" w:sz="0" w:space="0" w:color="auto"/>
        <w:bottom w:val="none" w:sz="0" w:space="0" w:color="auto"/>
        <w:right w:val="none" w:sz="0" w:space="0" w:color="auto"/>
      </w:divBdr>
    </w:div>
    <w:div w:id="1602644999">
      <w:bodyDiv w:val="1"/>
      <w:marLeft w:val="0"/>
      <w:marRight w:val="0"/>
      <w:marTop w:val="0"/>
      <w:marBottom w:val="0"/>
      <w:divBdr>
        <w:top w:val="none" w:sz="0" w:space="0" w:color="auto"/>
        <w:left w:val="none" w:sz="0" w:space="0" w:color="auto"/>
        <w:bottom w:val="none" w:sz="0" w:space="0" w:color="auto"/>
        <w:right w:val="none" w:sz="0" w:space="0" w:color="auto"/>
      </w:divBdr>
    </w:div>
    <w:div w:id="1615870126">
      <w:bodyDiv w:val="1"/>
      <w:marLeft w:val="0"/>
      <w:marRight w:val="0"/>
      <w:marTop w:val="0"/>
      <w:marBottom w:val="0"/>
      <w:divBdr>
        <w:top w:val="none" w:sz="0" w:space="0" w:color="auto"/>
        <w:left w:val="none" w:sz="0" w:space="0" w:color="auto"/>
        <w:bottom w:val="none" w:sz="0" w:space="0" w:color="auto"/>
        <w:right w:val="none" w:sz="0" w:space="0" w:color="auto"/>
      </w:divBdr>
    </w:div>
    <w:div w:id="1658026306">
      <w:bodyDiv w:val="1"/>
      <w:marLeft w:val="0"/>
      <w:marRight w:val="0"/>
      <w:marTop w:val="0"/>
      <w:marBottom w:val="0"/>
      <w:divBdr>
        <w:top w:val="none" w:sz="0" w:space="0" w:color="auto"/>
        <w:left w:val="none" w:sz="0" w:space="0" w:color="auto"/>
        <w:bottom w:val="none" w:sz="0" w:space="0" w:color="auto"/>
        <w:right w:val="none" w:sz="0" w:space="0" w:color="auto"/>
      </w:divBdr>
    </w:div>
    <w:div w:id="1670406928">
      <w:bodyDiv w:val="1"/>
      <w:marLeft w:val="0"/>
      <w:marRight w:val="0"/>
      <w:marTop w:val="0"/>
      <w:marBottom w:val="0"/>
      <w:divBdr>
        <w:top w:val="none" w:sz="0" w:space="0" w:color="auto"/>
        <w:left w:val="none" w:sz="0" w:space="0" w:color="auto"/>
        <w:bottom w:val="none" w:sz="0" w:space="0" w:color="auto"/>
        <w:right w:val="none" w:sz="0" w:space="0" w:color="auto"/>
      </w:divBdr>
    </w:div>
    <w:div w:id="1684822447">
      <w:bodyDiv w:val="1"/>
      <w:marLeft w:val="0"/>
      <w:marRight w:val="0"/>
      <w:marTop w:val="0"/>
      <w:marBottom w:val="0"/>
      <w:divBdr>
        <w:top w:val="none" w:sz="0" w:space="0" w:color="auto"/>
        <w:left w:val="none" w:sz="0" w:space="0" w:color="auto"/>
        <w:bottom w:val="none" w:sz="0" w:space="0" w:color="auto"/>
        <w:right w:val="none" w:sz="0" w:space="0" w:color="auto"/>
      </w:divBdr>
    </w:div>
    <w:div w:id="1689288597">
      <w:bodyDiv w:val="1"/>
      <w:marLeft w:val="0"/>
      <w:marRight w:val="0"/>
      <w:marTop w:val="0"/>
      <w:marBottom w:val="0"/>
      <w:divBdr>
        <w:top w:val="none" w:sz="0" w:space="0" w:color="auto"/>
        <w:left w:val="none" w:sz="0" w:space="0" w:color="auto"/>
        <w:bottom w:val="none" w:sz="0" w:space="0" w:color="auto"/>
        <w:right w:val="none" w:sz="0" w:space="0" w:color="auto"/>
      </w:divBdr>
    </w:div>
    <w:div w:id="1698778137">
      <w:bodyDiv w:val="1"/>
      <w:marLeft w:val="0"/>
      <w:marRight w:val="0"/>
      <w:marTop w:val="0"/>
      <w:marBottom w:val="0"/>
      <w:divBdr>
        <w:top w:val="none" w:sz="0" w:space="0" w:color="auto"/>
        <w:left w:val="none" w:sz="0" w:space="0" w:color="auto"/>
        <w:bottom w:val="none" w:sz="0" w:space="0" w:color="auto"/>
        <w:right w:val="none" w:sz="0" w:space="0" w:color="auto"/>
      </w:divBdr>
    </w:div>
    <w:div w:id="1709914232">
      <w:bodyDiv w:val="1"/>
      <w:marLeft w:val="0"/>
      <w:marRight w:val="0"/>
      <w:marTop w:val="0"/>
      <w:marBottom w:val="0"/>
      <w:divBdr>
        <w:top w:val="none" w:sz="0" w:space="0" w:color="auto"/>
        <w:left w:val="none" w:sz="0" w:space="0" w:color="auto"/>
        <w:bottom w:val="none" w:sz="0" w:space="0" w:color="auto"/>
        <w:right w:val="none" w:sz="0" w:space="0" w:color="auto"/>
      </w:divBdr>
    </w:div>
    <w:div w:id="1766538611">
      <w:bodyDiv w:val="1"/>
      <w:marLeft w:val="0"/>
      <w:marRight w:val="0"/>
      <w:marTop w:val="0"/>
      <w:marBottom w:val="0"/>
      <w:divBdr>
        <w:top w:val="none" w:sz="0" w:space="0" w:color="auto"/>
        <w:left w:val="none" w:sz="0" w:space="0" w:color="auto"/>
        <w:bottom w:val="none" w:sz="0" w:space="0" w:color="auto"/>
        <w:right w:val="none" w:sz="0" w:space="0" w:color="auto"/>
      </w:divBdr>
    </w:div>
    <w:div w:id="1789814529">
      <w:bodyDiv w:val="1"/>
      <w:marLeft w:val="0"/>
      <w:marRight w:val="0"/>
      <w:marTop w:val="0"/>
      <w:marBottom w:val="0"/>
      <w:divBdr>
        <w:top w:val="none" w:sz="0" w:space="0" w:color="auto"/>
        <w:left w:val="none" w:sz="0" w:space="0" w:color="auto"/>
        <w:bottom w:val="none" w:sz="0" w:space="0" w:color="auto"/>
        <w:right w:val="none" w:sz="0" w:space="0" w:color="auto"/>
      </w:divBdr>
    </w:div>
    <w:div w:id="1795513624">
      <w:bodyDiv w:val="1"/>
      <w:marLeft w:val="0"/>
      <w:marRight w:val="0"/>
      <w:marTop w:val="0"/>
      <w:marBottom w:val="0"/>
      <w:divBdr>
        <w:top w:val="none" w:sz="0" w:space="0" w:color="auto"/>
        <w:left w:val="none" w:sz="0" w:space="0" w:color="auto"/>
        <w:bottom w:val="none" w:sz="0" w:space="0" w:color="auto"/>
        <w:right w:val="none" w:sz="0" w:space="0" w:color="auto"/>
      </w:divBdr>
    </w:div>
    <w:div w:id="1803881838">
      <w:bodyDiv w:val="1"/>
      <w:marLeft w:val="0"/>
      <w:marRight w:val="0"/>
      <w:marTop w:val="0"/>
      <w:marBottom w:val="0"/>
      <w:divBdr>
        <w:top w:val="none" w:sz="0" w:space="0" w:color="auto"/>
        <w:left w:val="none" w:sz="0" w:space="0" w:color="auto"/>
        <w:bottom w:val="none" w:sz="0" w:space="0" w:color="auto"/>
        <w:right w:val="none" w:sz="0" w:space="0" w:color="auto"/>
      </w:divBdr>
    </w:div>
    <w:div w:id="1813062354">
      <w:bodyDiv w:val="1"/>
      <w:marLeft w:val="0"/>
      <w:marRight w:val="0"/>
      <w:marTop w:val="0"/>
      <w:marBottom w:val="0"/>
      <w:divBdr>
        <w:top w:val="none" w:sz="0" w:space="0" w:color="auto"/>
        <w:left w:val="none" w:sz="0" w:space="0" w:color="auto"/>
        <w:bottom w:val="none" w:sz="0" w:space="0" w:color="auto"/>
        <w:right w:val="none" w:sz="0" w:space="0" w:color="auto"/>
      </w:divBdr>
    </w:div>
    <w:div w:id="1867988443">
      <w:bodyDiv w:val="1"/>
      <w:marLeft w:val="0"/>
      <w:marRight w:val="0"/>
      <w:marTop w:val="0"/>
      <w:marBottom w:val="0"/>
      <w:divBdr>
        <w:top w:val="none" w:sz="0" w:space="0" w:color="auto"/>
        <w:left w:val="none" w:sz="0" w:space="0" w:color="auto"/>
        <w:bottom w:val="none" w:sz="0" w:space="0" w:color="auto"/>
        <w:right w:val="none" w:sz="0" w:space="0" w:color="auto"/>
      </w:divBdr>
    </w:div>
    <w:div w:id="1874951560">
      <w:bodyDiv w:val="1"/>
      <w:marLeft w:val="0"/>
      <w:marRight w:val="0"/>
      <w:marTop w:val="0"/>
      <w:marBottom w:val="0"/>
      <w:divBdr>
        <w:top w:val="none" w:sz="0" w:space="0" w:color="auto"/>
        <w:left w:val="none" w:sz="0" w:space="0" w:color="auto"/>
        <w:bottom w:val="none" w:sz="0" w:space="0" w:color="auto"/>
        <w:right w:val="none" w:sz="0" w:space="0" w:color="auto"/>
      </w:divBdr>
    </w:div>
    <w:div w:id="1905607093">
      <w:bodyDiv w:val="1"/>
      <w:marLeft w:val="0"/>
      <w:marRight w:val="0"/>
      <w:marTop w:val="0"/>
      <w:marBottom w:val="0"/>
      <w:divBdr>
        <w:top w:val="none" w:sz="0" w:space="0" w:color="auto"/>
        <w:left w:val="none" w:sz="0" w:space="0" w:color="auto"/>
        <w:bottom w:val="none" w:sz="0" w:space="0" w:color="auto"/>
        <w:right w:val="none" w:sz="0" w:space="0" w:color="auto"/>
      </w:divBdr>
    </w:div>
    <w:div w:id="1979264262">
      <w:bodyDiv w:val="1"/>
      <w:marLeft w:val="0"/>
      <w:marRight w:val="0"/>
      <w:marTop w:val="0"/>
      <w:marBottom w:val="0"/>
      <w:divBdr>
        <w:top w:val="none" w:sz="0" w:space="0" w:color="auto"/>
        <w:left w:val="none" w:sz="0" w:space="0" w:color="auto"/>
        <w:bottom w:val="none" w:sz="0" w:space="0" w:color="auto"/>
        <w:right w:val="none" w:sz="0" w:space="0" w:color="auto"/>
      </w:divBdr>
    </w:div>
    <w:div w:id="2037777047">
      <w:bodyDiv w:val="1"/>
      <w:marLeft w:val="0"/>
      <w:marRight w:val="0"/>
      <w:marTop w:val="0"/>
      <w:marBottom w:val="0"/>
      <w:divBdr>
        <w:top w:val="none" w:sz="0" w:space="0" w:color="auto"/>
        <w:left w:val="none" w:sz="0" w:space="0" w:color="auto"/>
        <w:bottom w:val="none" w:sz="0" w:space="0" w:color="auto"/>
        <w:right w:val="none" w:sz="0" w:space="0" w:color="auto"/>
      </w:divBdr>
    </w:div>
    <w:div w:id="2053575038">
      <w:bodyDiv w:val="1"/>
      <w:marLeft w:val="0"/>
      <w:marRight w:val="0"/>
      <w:marTop w:val="0"/>
      <w:marBottom w:val="0"/>
      <w:divBdr>
        <w:top w:val="none" w:sz="0" w:space="0" w:color="auto"/>
        <w:left w:val="none" w:sz="0" w:space="0" w:color="auto"/>
        <w:bottom w:val="none" w:sz="0" w:space="0" w:color="auto"/>
        <w:right w:val="none" w:sz="0" w:space="0" w:color="auto"/>
      </w:divBdr>
    </w:div>
    <w:div w:id="2079860502">
      <w:bodyDiv w:val="1"/>
      <w:marLeft w:val="0"/>
      <w:marRight w:val="0"/>
      <w:marTop w:val="0"/>
      <w:marBottom w:val="0"/>
      <w:divBdr>
        <w:top w:val="none" w:sz="0" w:space="0" w:color="auto"/>
        <w:left w:val="none" w:sz="0" w:space="0" w:color="auto"/>
        <w:bottom w:val="none" w:sz="0" w:space="0" w:color="auto"/>
        <w:right w:val="none" w:sz="0" w:space="0" w:color="auto"/>
      </w:divBdr>
    </w:div>
    <w:div w:id="2116053558">
      <w:bodyDiv w:val="1"/>
      <w:marLeft w:val="0"/>
      <w:marRight w:val="0"/>
      <w:marTop w:val="0"/>
      <w:marBottom w:val="0"/>
      <w:divBdr>
        <w:top w:val="none" w:sz="0" w:space="0" w:color="auto"/>
        <w:left w:val="none" w:sz="0" w:space="0" w:color="auto"/>
        <w:bottom w:val="none" w:sz="0" w:space="0" w:color="auto"/>
        <w:right w:val="none" w:sz="0" w:space="0" w:color="auto"/>
      </w:divBdr>
    </w:div>
    <w:div w:id="21244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service@efunds.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hyperlink" Target="https://www.qcc.com/firm_54813a9d966ad1869761c8afeaa0002e.html"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798267-18F8-4809-B5EE-A351C83C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160</Pages>
  <Words>18584</Words>
  <Characters>105931</Characters>
  <Application>Microsoft Office Word</Application>
  <DocSecurity>0</DocSecurity>
  <Lines>882</Lines>
  <Paragraphs>248</Paragraphs>
  <ScaleCrop>false</ScaleCrop>
  <Company>E FUND</Company>
  <LinksUpToDate>false</LinksUpToDate>
  <CharactersWithSpaces>124267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陈红</dc:creator>
  <cp:lastModifiedBy>陈红</cp:lastModifiedBy>
  <cp:revision>9</cp:revision>
  <dcterms:created xsi:type="dcterms:W3CDTF">2020-05-26T12:00:00Z</dcterms:created>
  <dcterms:modified xsi:type="dcterms:W3CDTF">2020-07-14T07:16:00Z</dcterms:modified>
</cp:coreProperties>
</file>