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17" w:rsidRPr="00456512" w:rsidRDefault="00084917" w:rsidP="00084917">
      <w:pPr>
        <w:snapToGrid w:val="0"/>
        <w:spacing w:line="360" w:lineRule="auto"/>
        <w:ind w:firstLine="881"/>
        <w:jc w:val="center"/>
        <w:rPr>
          <w:rFonts w:asciiTheme="minorEastAsia" w:eastAsiaTheme="minorEastAsia" w:hAnsiTheme="minorEastAsia"/>
          <w:b/>
          <w:sz w:val="44"/>
        </w:rPr>
      </w:pPr>
    </w:p>
    <w:p w:rsidR="00084917" w:rsidRPr="00456512" w:rsidRDefault="00084917" w:rsidP="00084917">
      <w:pPr>
        <w:snapToGrid w:val="0"/>
        <w:spacing w:line="360" w:lineRule="auto"/>
        <w:ind w:firstLine="881"/>
        <w:jc w:val="center"/>
        <w:rPr>
          <w:rFonts w:asciiTheme="minorEastAsia" w:eastAsiaTheme="minorEastAsia" w:hAnsiTheme="minorEastAsia"/>
          <w:b/>
          <w:sz w:val="44"/>
        </w:rPr>
      </w:pPr>
    </w:p>
    <w:p w:rsidR="00084917" w:rsidRPr="00456512" w:rsidRDefault="00084917" w:rsidP="00084917">
      <w:pPr>
        <w:snapToGrid w:val="0"/>
        <w:spacing w:line="360" w:lineRule="auto"/>
        <w:ind w:firstLine="881"/>
        <w:jc w:val="center"/>
        <w:rPr>
          <w:rFonts w:asciiTheme="minorEastAsia" w:eastAsiaTheme="minorEastAsia" w:hAnsiTheme="minorEastAsia"/>
          <w:b/>
          <w:sz w:val="44"/>
        </w:rPr>
      </w:pPr>
    </w:p>
    <w:p w:rsidR="00084917" w:rsidRPr="00456512" w:rsidRDefault="00084917" w:rsidP="00084917">
      <w:pPr>
        <w:snapToGrid w:val="0"/>
        <w:spacing w:line="360" w:lineRule="auto"/>
        <w:ind w:firstLine="881"/>
        <w:jc w:val="center"/>
        <w:rPr>
          <w:rFonts w:asciiTheme="minorEastAsia" w:eastAsiaTheme="minorEastAsia" w:hAnsiTheme="minorEastAsia"/>
          <w:b/>
          <w:sz w:val="44"/>
        </w:rPr>
      </w:pPr>
    </w:p>
    <w:p w:rsidR="001D2E2F" w:rsidRPr="00456512" w:rsidRDefault="001D2E2F" w:rsidP="00084917">
      <w:pPr>
        <w:snapToGrid w:val="0"/>
        <w:spacing w:line="360" w:lineRule="auto"/>
        <w:ind w:firstLine="881"/>
        <w:jc w:val="center"/>
        <w:rPr>
          <w:rFonts w:asciiTheme="minorEastAsia" w:eastAsiaTheme="minorEastAsia" w:hAnsiTheme="minorEastAsia"/>
          <w:b/>
          <w:sz w:val="44"/>
        </w:rPr>
      </w:pPr>
      <w:r w:rsidRPr="00456512">
        <w:rPr>
          <w:rFonts w:asciiTheme="minorEastAsia" w:eastAsiaTheme="minorEastAsia" w:hAnsiTheme="minorEastAsia" w:hint="eastAsia"/>
          <w:b/>
          <w:sz w:val="44"/>
        </w:rPr>
        <w:t>易方达积极成长证券投资基金</w:t>
      </w:r>
    </w:p>
    <w:p w:rsidR="001D2E2F" w:rsidRPr="00456512" w:rsidRDefault="001D2E2F" w:rsidP="00084917">
      <w:pPr>
        <w:snapToGrid w:val="0"/>
        <w:spacing w:line="360" w:lineRule="auto"/>
        <w:ind w:firstLine="881"/>
        <w:jc w:val="center"/>
        <w:rPr>
          <w:rFonts w:asciiTheme="minorEastAsia" w:eastAsiaTheme="minorEastAsia" w:hAnsiTheme="minorEastAsia"/>
          <w:b/>
          <w:sz w:val="44"/>
        </w:rPr>
      </w:pPr>
      <w:r w:rsidRPr="00456512">
        <w:rPr>
          <w:rFonts w:asciiTheme="minorEastAsia" w:eastAsiaTheme="minorEastAsia" w:hAnsiTheme="minorEastAsia" w:hint="eastAsia"/>
          <w:b/>
          <w:bCs/>
          <w:sz w:val="44"/>
        </w:rPr>
        <w:t>更新的招募说明书</w:t>
      </w:r>
    </w:p>
    <w:p w:rsidR="001D2E2F" w:rsidRPr="00456512" w:rsidRDefault="001D2E2F" w:rsidP="00084917">
      <w:pPr>
        <w:snapToGrid w:val="0"/>
        <w:spacing w:line="360" w:lineRule="auto"/>
        <w:ind w:firstLine="600"/>
        <w:jc w:val="center"/>
        <w:rPr>
          <w:rFonts w:asciiTheme="minorEastAsia" w:eastAsiaTheme="minorEastAsia" w:hAnsiTheme="minorEastAsia"/>
          <w:sz w:val="24"/>
        </w:rPr>
      </w:pPr>
    </w:p>
    <w:p w:rsidR="001D2E2F" w:rsidRPr="00456512" w:rsidRDefault="001D2E2F" w:rsidP="00084917">
      <w:pPr>
        <w:snapToGrid w:val="0"/>
        <w:spacing w:line="360" w:lineRule="auto"/>
        <w:ind w:leftChars="800" w:left="1680"/>
        <w:rPr>
          <w:rFonts w:asciiTheme="minorEastAsia" w:eastAsiaTheme="minorEastAsia" w:hAnsiTheme="minorEastAsia"/>
          <w:sz w:val="30"/>
          <w:szCs w:val="30"/>
        </w:rPr>
      </w:pPr>
    </w:p>
    <w:p w:rsidR="001D2E2F" w:rsidRPr="00456512" w:rsidRDefault="001D2E2F" w:rsidP="00084917">
      <w:pPr>
        <w:snapToGrid w:val="0"/>
        <w:spacing w:line="360" w:lineRule="auto"/>
        <w:ind w:leftChars="800" w:left="1680"/>
        <w:rPr>
          <w:rFonts w:asciiTheme="minorEastAsia" w:eastAsiaTheme="minorEastAsia" w:hAnsiTheme="minorEastAsia"/>
          <w:sz w:val="30"/>
          <w:szCs w:val="30"/>
        </w:rPr>
      </w:pPr>
    </w:p>
    <w:p w:rsidR="00084917" w:rsidRPr="00456512" w:rsidRDefault="00084917" w:rsidP="00084917">
      <w:pPr>
        <w:snapToGrid w:val="0"/>
        <w:spacing w:line="360" w:lineRule="auto"/>
        <w:ind w:leftChars="800" w:left="1680"/>
        <w:rPr>
          <w:rFonts w:asciiTheme="minorEastAsia" w:eastAsiaTheme="minorEastAsia" w:hAnsiTheme="minorEastAsia"/>
          <w:sz w:val="30"/>
          <w:szCs w:val="30"/>
        </w:rPr>
      </w:pPr>
    </w:p>
    <w:p w:rsidR="00084917" w:rsidRPr="00456512" w:rsidRDefault="00084917" w:rsidP="00084917">
      <w:pPr>
        <w:snapToGrid w:val="0"/>
        <w:spacing w:line="360" w:lineRule="auto"/>
        <w:ind w:leftChars="800" w:left="1680"/>
        <w:rPr>
          <w:rFonts w:asciiTheme="minorEastAsia" w:eastAsiaTheme="minorEastAsia" w:hAnsiTheme="minorEastAsia"/>
          <w:sz w:val="30"/>
          <w:szCs w:val="30"/>
        </w:rPr>
      </w:pPr>
    </w:p>
    <w:p w:rsidR="001D2E2F" w:rsidRPr="00456512" w:rsidRDefault="001D2E2F" w:rsidP="00084917">
      <w:pPr>
        <w:snapToGrid w:val="0"/>
        <w:spacing w:line="360" w:lineRule="auto"/>
        <w:ind w:leftChars="800" w:left="1680"/>
        <w:rPr>
          <w:rFonts w:asciiTheme="minorEastAsia" w:eastAsiaTheme="minorEastAsia" w:hAnsiTheme="minorEastAsia"/>
          <w:sz w:val="30"/>
          <w:szCs w:val="30"/>
        </w:rPr>
      </w:pPr>
    </w:p>
    <w:p w:rsidR="001D2E2F" w:rsidRPr="00456512" w:rsidRDefault="001D2E2F" w:rsidP="00084917">
      <w:pPr>
        <w:snapToGrid w:val="0"/>
        <w:spacing w:line="360" w:lineRule="auto"/>
        <w:ind w:leftChars="800" w:left="1680"/>
        <w:rPr>
          <w:rFonts w:asciiTheme="minorEastAsia" w:eastAsiaTheme="minorEastAsia" w:hAnsiTheme="minorEastAsia"/>
          <w:sz w:val="30"/>
          <w:szCs w:val="30"/>
        </w:rPr>
      </w:pPr>
    </w:p>
    <w:p w:rsidR="00084917" w:rsidRPr="00456512" w:rsidRDefault="00084917" w:rsidP="00084917">
      <w:pPr>
        <w:snapToGrid w:val="0"/>
        <w:spacing w:line="360" w:lineRule="auto"/>
        <w:ind w:leftChars="800" w:left="1680"/>
        <w:rPr>
          <w:rFonts w:asciiTheme="minorEastAsia" w:eastAsiaTheme="minorEastAsia" w:hAnsiTheme="minorEastAsia"/>
          <w:sz w:val="30"/>
          <w:szCs w:val="30"/>
        </w:rPr>
      </w:pPr>
    </w:p>
    <w:p w:rsidR="001D2E2F" w:rsidRPr="00456512" w:rsidRDefault="001D2E2F" w:rsidP="00084917">
      <w:pPr>
        <w:snapToGrid w:val="0"/>
        <w:spacing w:line="360" w:lineRule="auto"/>
        <w:ind w:leftChars="800" w:left="1680"/>
        <w:rPr>
          <w:rFonts w:asciiTheme="minorEastAsia" w:eastAsiaTheme="minorEastAsia" w:hAnsiTheme="minorEastAsia"/>
          <w:sz w:val="30"/>
          <w:szCs w:val="30"/>
        </w:rPr>
      </w:pPr>
    </w:p>
    <w:p w:rsidR="001D2E2F" w:rsidRPr="00456512" w:rsidRDefault="001D2E2F" w:rsidP="00084917">
      <w:pPr>
        <w:snapToGrid w:val="0"/>
        <w:spacing w:line="360" w:lineRule="auto"/>
        <w:jc w:val="center"/>
        <w:rPr>
          <w:rFonts w:asciiTheme="minorEastAsia" w:eastAsiaTheme="minorEastAsia" w:hAnsiTheme="minorEastAsia"/>
          <w:sz w:val="30"/>
          <w:szCs w:val="30"/>
        </w:rPr>
      </w:pPr>
      <w:r w:rsidRPr="00456512">
        <w:rPr>
          <w:rFonts w:asciiTheme="minorEastAsia" w:eastAsiaTheme="minorEastAsia" w:hAnsiTheme="minorEastAsia" w:hint="eastAsia"/>
          <w:sz w:val="30"/>
          <w:szCs w:val="30"/>
        </w:rPr>
        <w:t>基金管理人：易方达基金管理有限公司</w:t>
      </w:r>
    </w:p>
    <w:p w:rsidR="001D2E2F" w:rsidRPr="00456512" w:rsidRDefault="001D2E2F" w:rsidP="00084917">
      <w:pPr>
        <w:snapToGrid w:val="0"/>
        <w:spacing w:line="360" w:lineRule="auto"/>
        <w:jc w:val="center"/>
        <w:rPr>
          <w:rFonts w:asciiTheme="minorEastAsia" w:eastAsiaTheme="minorEastAsia" w:hAnsiTheme="minorEastAsia"/>
          <w:sz w:val="30"/>
          <w:szCs w:val="30"/>
        </w:rPr>
      </w:pPr>
      <w:r w:rsidRPr="00456512">
        <w:rPr>
          <w:rFonts w:asciiTheme="minorEastAsia" w:eastAsiaTheme="minorEastAsia" w:hAnsiTheme="minorEastAsia" w:hint="eastAsia"/>
          <w:sz w:val="30"/>
          <w:szCs w:val="30"/>
        </w:rPr>
        <w:t>基金托管人：中国银行股份有限公司</w:t>
      </w:r>
    </w:p>
    <w:p w:rsidR="00BB0801" w:rsidRPr="00456512" w:rsidRDefault="00BB0801" w:rsidP="00084917">
      <w:pPr>
        <w:snapToGrid w:val="0"/>
        <w:spacing w:line="360" w:lineRule="auto"/>
        <w:ind w:leftChars="800" w:left="1680"/>
        <w:jc w:val="center"/>
        <w:rPr>
          <w:rFonts w:asciiTheme="minorEastAsia" w:eastAsiaTheme="minorEastAsia" w:hAnsiTheme="minorEastAsia"/>
          <w:sz w:val="30"/>
          <w:szCs w:val="30"/>
        </w:rPr>
      </w:pPr>
    </w:p>
    <w:p w:rsidR="00083CDE" w:rsidRPr="00456512" w:rsidRDefault="00083CDE" w:rsidP="002F25CF">
      <w:pPr>
        <w:snapToGrid w:val="0"/>
        <w:spacing w:line="360" w:lineRule="auto"/>
        <w:ind w:firstLine="561"/>
        <w:jc w:val="center"/>
        <w:rPr>
          <w:rFonts w:asciiTheme="minorEastAsia" w:eastAsiaTheme="minorEastAsia" w:hAnsiTheme="minorEastAsia"/>
          <w:b/>
          <w:bCs/>
          <w:sz w:val="30"/>
          <w:szCs w:val="30"/>
        </w:rPr>
      </w:pPr>
      <w:r w:rsidRPr="00456512">
        <w:rPr>
          <w:rFonts w:asciiTheme="minorEastAsia" w:eastAsiaTheme="minorEastAsia" w:hAnsiTheme="minorEastAsia" w:hint="eastAsia"/>
          <w:b/>
          <w:bCs/>
          <w:sz w:val="30"/>
          <w:szCs w:val="30"/>
        </w:rPr>
        <w:t>二○二○年</w:t>
      </w:r>
      <w:r w:rsidR="00E26FDB" w:rsidRPr="00456512">
        <w:rPr>
          <w:rFonts w:asciiTheme="minorEastAsia" w:eastAsiaTheme="minorEastAsia" w:hAnsiTheme="minorEastAsia"/>
          <w:b/>
          <w:bCs/>
          <w:sz w:val="30"/>
          <w:szCs w:val="30"/>
        </w:rPr>
        <w:t>七</w:t>
      </w:r>
      <w:r w:rsidRPr="00456512">
        <w:rPr>
          <w:rFonts w:asciiTheme="minorEastAsia" w:eastAsiaTheme="minorEastAsia" w:hAnsiTheme="minorEastAsia" w:hint="eastAsia"/>
          <w:b/>
          <w:bCs/>
          <w:sz w:val="30"/>
          <w:szCs w:val="30"/>
        </w:rPr>
        <w:t>月</w:t>
      </w:r>
    </w:p>
    <w:p w:rsidR="001D2E2F" w:rsidRPr="00456512" w:rsidRDefault="001D2E2F" w:rsidP="002F25CF">
      <w:pPr>
        <w:snapToGrid w:val="0"/>
        <w:spacing w:line="360" w:lineRule="auto"/>
        <w:ind w:firstLine="561"/>
        <w:jc w:val="center"/>
        <w:rPr>
          <w:rFonts w:asciiTheme="minorEastAsia" w:eastAsiaTheme="minorEastAsia" w:hAnsiTheme="minorEastAsia"/>
          <w:b/>
          <w:sz w:val="24"/>
        </w:rPr>
        <w:sectPr w:rsidR="001D2E2F" w:rsidRPr="00456512" w:rsidSect="00796CD9">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titlePg/>
          <w:docGrid w:type="lines" w:linePitch="447"/>
        </w:sectPr>
      </w:pPr>
    </w:p>
    <w:p w:rsidR="001D2E2F" w:rsidRPr="00456512" w:rsidRDefault="001D2E2F" w:rsidP="00084917">
      <w:pPr>
        <w:snapToGrid w:val="0"/>
        <w:spacing w:line="360" w:lineRule="auto"/>
        <w:jc w:val="center"/>
        <w:rPr>
          <w:rFonts w:asciiTheme="minorEastAsia" w:eastAsiaTheme="minorEastAsia" w:hAnsiTheme="minorEastAsia"/>
          <w:b/>
          <w:sz w:val="28"/>
          <w:szCs w:val="28"/>
        </w:rPr>
      </w:pPr>
      <w:r w:rsidRPr="00456512">
        <w:rPr>
          <w:rFonts w:asciiTheme="minorEastAsia" w:eastAsiaTheme="minorEastAsia" w:hAnsiTheme="minorEastAsia" w:hint="eastAsia"/>
          <w:b/>
          <w:sz w:val="28"/>
          <w:szCs w:val="28"/>
        </w:rPr>
        <w:lastRenderedPageBreak/>
        <w:t>重要提示</w:t>
      </w:r>
    </w:p>
    <w:p w:rsidR="001D2E2F" w:rsidRPr="00456512" w:rsidRDefault="001D2E2F" w:rsidP="00084917">
      <w:pPr>
        <w:snapToGrid w:val="0"/>
        <w:spacing w:line="360" w:lineRule="auto"/>
        <w:ind w:firstLineChars="200" w:firstLine="422"/>
        <w:rPr>
          <w:rFonts w:asciiTheme="minorEastAsia" w:eastAsiaTheme="minorEastAsia" w:hAnsiTheme="minorEastAsia"/>
          <w:b/>
          <w:bCs/>
          <w:szCs w:val="21"/>
        </w:rPr>
      </w:pPr>
      <w:r w:rsidRPr="00456512">
        <w:rPr>
          <w:rFonts w:asciiTheme="minorEastAsia" w:eastAsiaTheme="minorEastAsia" w:hAnsiTheme="minorEastAsia"/>
          <w:b/>
          <w:szCs w:val="21"/>
        </w:rPr>
        <w:t>本基金经中国证监会</w:t>
      </w:r>
      <w:r w:rsidRPr="00456512">
        <w:rPr>
          <w:rFonts w:asciiTheme="minorEastAsia" w:eastAsiaTheme="minorEastAsia" w:hAnsiTheme="minorEastAsia" w:hint="eastAsia"/>
          <w:b/>
          <w:szCs w:val="21"/>
        </w:rPr>
        <w:t>2004</w:t>
      </w:r>
      <w:r w:rsidRPr="00456512">
        <w:rPr>
          <w:rFonts w:asciiTheme="minorEastAsia" w:eastAsiaTheme="minorEastAsia" w:hAnsiTheme="minorEastAsia"/>
          <w:b/>
          <w:szCs w:val="21"/>
        </w:rPr>
        <w:t>年</w:t>
      </w:r>
      <w:r w:rsidRPr="00456512">
        <w:rPr>
          <w:rFonts w:asciiTheme="minorEastAsia" w:eastAsiaTheme="minorEastAsia" w:hAnsiTheme="minorEastAsia" w:hint="eastAsia"/>
          <w:b/>
          <w:szCs w:val="21"/>
        </w:rPr>
        <w:t>6</w:t>
      </w:r>
      <w:r w:rsidRPr="00456512">
        <w:rPr>
          <w:rFonts w:asciiTheme="minorEastAsia" w:eastAsiaTheme="minorEastAsia" w:hAnsiTheme="minorEastAsia"/>
          <w:b/>
          <w:szCs w:val="21"/>
        </w:rPr>
        <w:t>月</w:t>
      </w:r>
      <w:r w:rsidRPr="00456512">
        <w:rPr>
          <w:rFonts w:asciiTheme="minorEastAsia" w:eastAsiaTheme="minorEastAsia" w:hAnsiTheme="minorEastAsia" w:hint="eastAsia"/>
          <w:b/>
          <w:szCs w:val="21"/>
        </w:rPr>
        <w:t>8</w:t>
      </w:r>
      <w:r w:rsidRPr="00456512">
        <w:rPr>
          <w:rFonts w:asciiTheme="minorEastAsia" w:eastAsiaTheme="minorEastAsia" w:hAnsiTheme="minorEastAsia"/>
          <w:b/>
          <w:szCs w:val="21"/>
        </w:rPr>
        <w:t>日证监基金字</w:t>
      </w:r>
      <w:r w:rsidRPr="00456512">
        <w:rPr>
          <w:rFonts w:asciiTheme="minorEastAsia" w:eastAsiaTheme="minorEastAsia" w:hAnsiTheme="minorEastAsia" w:hint="eastAsia"/>
          <w:b/>
          <w:bCs/>
          <w:szCs w:val="21"/>
        </w:rPr>
        <w:t>[2004]77号文</w:t>
      </w:r>
      <w:r w:rsidRPr="00456512">
        <w:rPr>
          <w:rFonts w:asciiTheme="minorEastAsia" w:eastAsiaTheme="minorEastAsia" w:hAnsiTheme="minorEastAsia"/>
          <w:b/>
          <w:szCs w:val="21"/>
        </w:rPr>
        <w:t>件批准</w:t>
      </w:r>
      <w:r w:rsidRPr="00456512">
        <w:rPr>
          <w:rFonts w:asciiTheme="minorEastAsia" w:eastAsiaTheme="minorEastAsia" w:hAnsiTheme="minorEastAsia" w:hint="eastAsia"/>
          <w:b/>
          <w:bCs/>
          <w:szCs w:val="21"/>
        </w:rPr>
        <w:t>募集</w:t>
      </w:r>
      <w:r w:rsidRPr="00456512">
        <w:rPr>
          <w:rFonts w:asciiTheme="minorEastAsia" w:eastAsiaTheme="minorEastAsia" w:hAnsiTheme="minorEastAsia"/>
          <w:b/>
          <w:bCs/>
          <w:szCs w:val="21"/>
        </w:rPr>
        <w:t>。</w:t>
      </w:r>
      <w:r w:rsidRPr="00456512">
        <w:rPr>
          <w:rFonts w:asciiTheme="minorEastAsia" w:eastAsiaTheme="minorEastAsia" w:hAnsiTheme="minorEastAsia" w:hint="eastAsia"/>
          <w:b/>
          <w:bCs/>
          <w:szCs w:val="21"/>
        </w:rPr>
        <w:t>本基金的基金合同于2004年9月9日正式生效。本基金类型为契约型开放式。</w:t>
      </w:r>
    </w:p>
    <w:p w:rsidR="001D2E2F" w:rsidRPr="00456512" w:rsidRDefault="001D2E2F" w:rsidP="00084917">
      <w:pPr>
        <w:snapToGrid w:val="0"/>
        <w:spacing w:line="360" w:lineRule="auto"/>
        <w:ind w:firstLineChars="200" w:firstLine="422"/>
        <w:rPr>
          <w:rFonts w:asciiTheme="minorEastAsia" w:eastAsiaTheme="minorEastAsia" w:hAnsiTheme="minorEastAsia"/>
          <w:b/>
          <w:szCs w:val="21"/>
        </w:rPr>
      </w:pPr>
      <w:r w:rsidRPr="00456512">
        <w:rPr>
          <w:rFonts w:asciiTheme="minorEastAsia" w:eastAsiaTheme="minorEastAsia" w:hAnsiTheme="minorEastAsia"/>
          <w:b/>
          <w:szCs w:val="21"/>
        </w:rPr>
        <w:t>基金管理人保证本招募说明书的内容真实、准确、完整。本招募说明书经中国证监会核准</w:t>
      </w:r>
      <w:r w:rsidR="008D32BF" w:rsidRPr="00456512">
        <w:rPr>
          <w:rFonts w:asciiTheme="minorEastAsia" w:eastAsiaTheme="minorEastAsia" w:hAnsiTheme="minorEastAsia" w:hint="eastAsia"/>
          <w:b/>
          <w:szCs w:val="21"/>
        </w:rPr>
        <w:t>，</w:t>
      </w:r>
      <w:r w:rsidRPr="00456512">
        <w:rPr>
          <w:rFonts w:asciiTheme="minorEastAsia" w:eastAsiaTheme="minorEastAsia" w:hAnsiTheme="minorEastAsia"/>
          <w:b/>
          <w:szCs w:val="21"/>
        </w:rPr>
        <w:t>但中国证监会对本基金募集的核准</w:t>
      </w:r>
      <w:r w:rsidRPr="00456512">
        <w:rPr>
          <w:rFonts w:asciiTheme="minorEastAsia" w:eastAsiaTheme="minorEastAsia" w:hAnsiTheme="minorEastAsia" w:hint="eastAsia"/>
          <w:b/>
          <w:szCs w:val="21"/>
        </w:rPr>
        <w:t>，</w:t>
      </w:r>
      <w:r w:rsidRPr="00456512">
        <w:rPr>
          <w:rFonts w:asciiTheme="minorEastAsia" w:eastAsiaTheme="minorEastAsia" w:hAnsiTheme="minorEastAsia"/>
          <w:b/>
          <w:szCs w:val="21"/>
        </w:rPr>
        <w:t>并不表明其对本基金的价值和收益</w:t>
      </w:r>
      <w:r w:rsidRPr="00456512">
        <w:rPr>
          <w:rFonts w:asciiTheme="minorEastAsia" w:eastAsiaTheme="minorEastAsia" w:hAnsiTheme="minorEastAsia" w:hint="eastAsia"/>
          <w:b/>
          <w:szCs w:val="21"/>
        </w:rPr>
        <w:t>作</w:t>
      </w:r>
      <w:r w:rsidRPr="00456512">
        <w:rPr>
          <w:rFonts w:asciiTheme="minorEastAsia" w:eastAsiaTheme="minorEastAsia" w:hAnsiTheme="minorEastAsia"/>
          <w:b/>
          <w:szCs w:val="21"/>
        </w:rPr>
        <w:t>出实质性判断或保证</w:t>
      </w:r>
      <w:r w:rsidRPr="00456512">
        <w:rPr>
          <w:rFonts w:asciiTheme="minorEastAsia" w:eastAsiaTheme="minorEastAsia" w:hAnsiTheme="minorEastAsia" w:hint="eastAsia"/>
          <w:b/>
          <w:szCs w:val="21"/>
        </w:rPr>
        <w:t>，</w:t>
      </w:r>
      <w:r w:rsidRPr="00456512">
        <w:rPr>
          <w:rFonts w:asciiTheme="minorEastAsia" w:eastAsiaTheme="minorEastAsia" w:hAnsiTheme="minorEastAsia"/>
          <w:b/>
          <w:szCs w:val="21"/>
        </w:rPr>
        <w:t>也不表明投资于本基金没有风险。</w:t>
      </w:r>
    </w:p>
    <w:p w:rsidR="001D2E2F" w:rsidRPr="00456512" w:rsidRDefault="000F28B9" w:rsidP="00084917">
      <w:pPr>
        <w:snapToGrid w:val="0"/>
        <w:spacing w:line="360" w:lineRule="auto"/>
        <w:ind w:firstLineChars="200" w:firstLine="422"/>
        <w:rPr>
          <w:rFonts w:asciiTheme="minorEastAsia" w:eastAsiaTheme="minorEastAsia" w:hAnsiTheme="minorEastAsia"/>
          <w:b/>
          <w:szCs w:val="21"/>
        </w:rPr>
      </w:pPr>
      <w:r w:rsidRPr="00456512">
        <w:rPr>
          <w:rFonts w:asciiTheme="minorEastAsia" w:eastAsiaTheme="minorEastAsia" w:hAnsiTheme="minorEastAsia"/>
          <w:b/>
          <w:szCs w:val="21"/>
        </w:rPr>
        <w:t>投资有风险</w:t>
      </w:r>
      <w:r w:rsidRPr="00456512">
        <w:rPr>
          <w:rFonts w:asciiTheme="minorEastAsia" w:eastAsiaTheme="minorEastAsia" w:hAnsiTheme="minorEastAsia" w:hint="eastAsia"/>
          <w:b/>
          <w:szCs w:val="21"/>
        </w:rPr>
        <w:t>，</w:t>
      </w:r>
      <w:r w:rsidRPr="00456512">
        <w:rPr>
          <w:rFonts w:asciiTheme="minorEastAsia" w:eastAsiaTheme="minorEastAsia" w:hAnsiTheme="minorEastAsia"/>
          <w:b/>
          <w:szCs w:val="21"/>
        </w:rPr>
        <w:t>投资者申购基金时应认真阅读本</w:t>
      </w:r>
      <w:r w:rsidRPr="00456512">
        <w:rPr>
          <w:rFonts w:asciiTheme="minorEastAsia" w:eastAsiaTheme="minorEastAsia" w:hAnsiTheme="minorEastAsia" w:hint="eastAsia"/>
          <w:b/>
          <w:szCs w:val="21"/>
        </w:rPr>
        <w:t>招募说明书、基金合同和基金产品资料概要等信息披露文件</w:t>
      </w:r>
      <w:r w:rsidRPr="00456512">
        <w:rPr>
          <w:rFonts w:asciiTheme="minorEastAsia" w:eastAsiaTheme="minorEastAsia" w:hAnsiTheme="minorEastAsia"/>
          <w:b/>
          <w:szCs w:val="21"/>
        </w:rPr>
        <w:t>。</w:t>
      </w:r>
    </w:p>
    <w:p w:rsidR="001D2E2F" w:rsidRPr="00456512" w:rsidRDefault="001D2E2F" w:rsidP="00084917">
      <w:pPr>
        <w:snapToGrid w:val="0"/>
        <w:spacing w:line="360" w:lineRule="auto"/>
        <w:ind w:firstLineChars="200" w:firstLine="422"/>
        <w:rPr>
          <w:rFonts w:asciiTheme="minorEastAsia" w:eastAsiaTheme="minorEastAsia" w:hAnsiTheme="minorEastAsia"/>
          <w:b/>
          <w:szCs w:val="21"/>
        </w:rPr>
      </w:pPr>
      <w:r w:rsidRPr="00456512">
        <w:rPr>
          <w:rFonts w:asciiTheme="minorEastAsia" w:eastAsiaTheme="minorEastAsia" w:hAnsiTheme="minorEastAsia"/>
          <w:b/>
          <w:szCs w:val="21"/>
        </w:rPr>
        <w:t>基金的过往业绩并不预示其未来表现。</w:t>
      </w:r>
    </w:p>
    <w:p w:rsidR="001D2E2F" w:rsidRPr="00456512" w:rsidRDefault="001D2E2F" w:rsidP="00084917">
      <w:pPr>
        <w:snapToGrid w:val="0"/>
        <w:spacing w:line="360" w:lineRule="auto"/>
        <w:ind w:firstLineChars="200" w:firstLine="422"/>
        <w:rPr>
          <w:rFonts w:asciiTheme="minorEastAsia" w:eastAsiaTheme="minorEastAsia" w:hAnsiTheme="minorEastAsia"/>
          <w:b/>
          <w:szCs w:val="21"/>
        </w:rPr>
      </w:pPr>
      <w:r w:rsidRPr="00456512">
        <w:rPr>
          <w:rFonts w:asciiTheme="minorEastAsia" w:eastAsiaTheme="minorEastAsia" w:hAnsiTheme="minorEastAsia"/>
          <w:b/>
          <w:szCs w:val="21"/>
        </w:rPr>
        <w:t>基金管理人依照恪尽职守、诚实信用、谨慎勤勉的原则管理和运用基金</w:t>
      </w:r>
      <w:r w:rsidRPr="00456512">
        <w:rPr>
          <w:rFonts w:asciiTheme="minorEastAsia" w:eastAsiaTheme="minorEastAsia" w:hAnsiTheme="minorEastAsia" w:hint="eastAsia"/>
          <w:b/>
          <w:szCs w:val="21"/>
        </w:rPr>
        <w:t>财产，</w:t>
      </w:r>
      <w:r w:rsidRPr="00456512">
        <w:rPr>
          <w:rFonts w:asciiTheme="minorEastAsia" w:eastAsiaTheme="minorEastAsia" w:hAnsiTheme="minorEastAsia"/>
          <w:b/>
          <w:szCs w:val="21"/>
        </w:rPr>
        <w:t>但不保证基金一定盈利</w:t>
      </w:r>
      <w:r w:rsidR="003F5C66" w:rsidRPr="00456512">
        <w:rPr>
          <w:rFonts w:asciiTheme="minorEastAsia" w:eastAsiaTheme="minorEastAsia" w:hAnsiTheme="minorEastAsia" w:hint="eastAsia"/>
          <w:b/>
          <w:szCs w:val="21"/>
        </w:rPr>
        <w:t>，</w:t>
      </w:r>
      <w:r w:rsidRPr="00456512">
        <w:rPr>
          <w:rFonts w:asciiTheme="minorEastAsia" w:eastAsiaTheme="minorEastAsia" w:hAnsiTheme="minorEastAsia"/>
          <w:b/>
          <w:szCs w:val="21"/>
        </w:rPr>
        <w:t>也不保证最低收益。</w:t>
      </w:r>
    </w:p>
    <w:p w:rsidR="00F50CA5" w:rsidRPr="00456512" w:rsidRDefault="00F50CA5" w:rsidP="00084917">
      <w:pPr>
        <w:snapToGrid w:val="0"/>
        <w:spacing w:line="360" w:lineRule="auto"/>
        <w:ind w:firstLineChars="200" w:firstLine="422"/>
        <w:rPr>
          <w:rFonts w:asciiTheme="minorEastAsia" w:eastAsiaTheme="minorEastAsia" w:hAnsiTheme="minorEastAsia"/>
          <w:b/>
          <w:szCs w:val="21"/>
        </w:rPr>
      </w:pPr>
      <w:r w:rsidRPr="00456512">
        <w:rPr>
          <w:rFonts w:asciiTheme="minorEastAsia" w:eastAsiaTheme="minorEastAsia" w:hAnsiTheme="minorEastAsia" w:hint="eastAsia"/>
          <w:b/>
          <w:bCs/>
        </w:rPr>
        <w:t>基金合同约定的基金产品资料概要编制、披露与更新要求，自《信息披露办法》实施之日起一年后开始执行。</w:t>
      </w:r>
    </w:p>
    <w:p w:rsidR="001D2E2F" w:rsidRPr="00456512" w:rsidRDefault="00892B84" w:rsidP="00084917">
      <w:pPr>
        <w:snapToGrid w:val="0"/>
        <w:spacing w:line="360" w:lineRule="auto"/>
        <w:ind w:firstLineChars="200" w:firstLine="422"/>
        <w:rPr>
          <w:rFonts w:asciiTheme="minorEastAsia" w:eastAsiaTheme="minorEastAsia" w:hAnsiTheme="minorEastAsia"/>
          <w:b/>
          <w:szCs w:val="21"/>
        </w:rPr>
        <w:sectPr w:rsidR="001D2E2F" w:rsidRPr="00456512" w:rsidSect="00D937F5">
          <w:footerReference w:type="default" r:id="rId15"/>
          <w:pgSz w:w="11906" w:h="16838" w:code="9"/>
          <w:pgMar w:top="1701" w:right="1814" w:bottom="1701" w:left="1814" w:header="1134" w:footer="1247" w:gutter="0"/>
          <w:pgNumType w:fmt="upperRoman" w:start="1"/>
          <w:cols w:space="425"/>
          <w:docGrid w:type="lines" w:linePitch="447"/>
        </w:sectPr>
      </w:pPr>
      <w:r w:rsidRPr="00456512">
        <w:rPr>
          <w:rFonts w:asciiTheme="minorEastAsia" w:eastAsiaTheme="minorEastAsia" w:hAnsiTheme="minorEastAsia" w:hint="eastAsia"/>
          <w:b/>
          <w:bCs/>
        </w:rPr>
        <w:t>本基金本次更新招募说明书对</w:t>
      </w:r>
      <w:r w:rsidR="00E26FDB" w:rsidRPr="00456512">
        <w:rPr>
          <w:rFonts w:asciiTheme="minorEastAsia" w:eastAsiaTheme="minorEastAsia" w:hAnsiTheme="minorEastAsia" w:hint="eastAsia"/>
          <w:b/>
          <w:bCs/>
        </w:rPr>
        <w:t>基金合同修订和董事、监事、高级管理人员相关信息进行更新，相关信息更新截止日为2020年7月11日。</w:t>
      </w:r>
      <w:r w:rsidR="00991ECF" w:rsidRPr="00456512">
        <w:rPr>
          <w:rFonts w:asciiTheme="minorEastAsia" w:eastAsiaTheme="minorEastAsia" w:hAnsiTheme="minorEastAsia" w:hint="eastAsia"/>
          <w:b/>
          <w:szCs w:val="21"/>
        </w:rPr>
        <w:t>除非另有说明，</w:t>
      </w:r>
      <w:r w:rsidR="00083CDE" w:rsidRPr="00456512">
        <w:rPr>
          <w:rFonts w:asciiTheme="minorEastAsia" w:eastAsiaTheme="minorEastAsia" w:hAnsiTheme="minorEastAsia" w:hint="eastAsia"/>
          <w:b/>
          <w:szCs w:val="21"/>
        </w:rPr>
        <w:t>本招募说明书</w:t>
      </w:r>
      <w:r w:rsidR="00E26FDB" w:rsidRPr="00456512">
        <w:rPr>
          <w:rFonts w:asciiTheme="minorEastAsia" w:eastAsiaTheme="minorEastAsia" w:hAnsiTheme="minorEastAsia" w:hint="eastAsia"/>
          <w:b/>
          <w:szCs w:val="21"/>
        </w:rPr>
        <w:t>其他</w:t>
      </w:r>
      <w:r w:rsidR="00083CDE" w:rsidRPr="00456512">
        <w:rPr>
          <w:rFonts w:asciiTheme="minorEastAsia" w:eastAsiaTheme="minorEastAsia" w:hAnsiTheme="minorEastAsia" w:hint="eastAsia"/>
          <w:b/>
          <w:szCs w:val="21"/>
        </w:rPr>
        <w:t>所载内容截止日为2019年12月</w:t>
      </w:r>
      <w:r w:rsidR="00F15A5F" w:rsidRPr="00456512">
        <w:rPr>
          <w:rFonts w:asciiTheme="minorEastAsia" w:eastAsiaTheme="minorEastAsia" w:hAnsiTheme="minorEastAsia" w:hint="eastAsia"/>
          <w:b/>
          <w:szCs w:val="21"/>
        </w:rPr>
        <w:t>31</w:t>
      </w:r>
      <w:r w:rsidR="00083CDE" w:rsidRPr="00456512">
        <w:rPr>
          <w:rFonts w:asciiTheme="minorEastAsia" w:eastAsiaTheme="minorEastAsia" w:hAnsiTheme="minorEastAsia" w:hint="eastAsia"/>
          <w:b/>
          <w:szCs w:val="21"/>
        </w:rPr>
        <w:t>日</w:t>
      </w:r>
      <w:r w:rsidR="00991ECF" w:rsidRPr="00456512">
        <w:rPr>
          <w:rFonts w:asciiTheme="minorEastAsia" w:eastAsiaTheme="minorEastAsia" w:hAnsiTheme="minorEastAsia" w:hint="eastAsia"/>
          <w:b/>
          <w:szCs w:val="21"/>
        </w:rPr>
        <w:t>，</w:t>
      </w:r>
      <w:r w:rsidR="00083CDE" w:rsidRPr="00456512">
        <w:rPr>
          <w:rFonts w:asciiTheme="minorEastAsia" w:eastAsiaTheme="minorEastAsia" w:hAnsiTheme="minorEastAsia" w:hint="eastAsia"/>
          <w:b/>
          <w:szCs w:val="21"/>
        </w:rPr>
        <w:t>有关财务数据截止日为2019年9月30日</w:t>
      </w:r>
      <w:r w:rsidR="00991ECF" w:rsidRPr="00456512">
        <w:rPr>
          <w:rFonts w:asciiTheme="minorEastAsia" w:eastAsiaTheme="minorEastAsia" w:hAnsiTheme="minorEastAsia" w:hint="eastAsia"/>
          <w:b/>
          <w:szCs w:val="21"/>
        </w:rPr>
        <w:t>，</w:t>
      </w:r>
      <w:r w:rsidR="00083CDE" w:rsidRPr="00456512">
        <w:rPr>
          <w:rFonts w:asciiTheme="minorEastAsia" w:eastAsiaTheme="minorEastAsia" w:hAnsiTheme="minorEastAsia" w:hint="eastAsia"/>
          <w:b/>
          <w:szCs w:val="21"/>
        </w:rPr>
        <w:t>净值表现截止日为2019年12月31日</w:t>
      </w:r>
      <w:r w:rsidR="00991ECF" w:rsidRPr="00456512">
        <w:rPr>
          <w:rFonts w:asciiTheme="minorEastAsia" w:eastAsiaTheme="minorEastAsia" w:hAnsiTheme="minorEastAsia" w:hint="eastAsia"/>
          <w:b/>
          <w:szCs w:val="21"/>
        </w:rPr>
        <w:t>。（本报告中财务数据未经审计）</w:t>
      </w:r>
    </w:p>
    <w:p w:rsidR="001D2E2F" w:rsidRPr="00456512" w:rsidRDefault="001D2E2F" w:rsidP="00084917">
      <w:pPr>
        <w:snapToGrid w:val="0"/>
        <w:spacing w:line="360" w:lineRule="auto"/>
        <w:ind w:leftChars="-43" w:left="-90" w:firstLineChars="250" w:firstLine="703"/>
        <w:jc w:val="center"/>
        <w:rPr>
          <w:rFonts w:asciiTheme="minorEastAsia" w:eastAsiaTheme="minorEastAsia" w:hAnsiTheme="minorEastAsia"/>
          <w:b/>
          <w:sz w:val="28"/>
          <w:szCs w:val="28"/>
        </w:rPr>
      </w:pPr>
      <w:r w:rsidRPr="00456512">
        <w:rPr>
          <w:rFonts w:asciiTheme="minorEastAsia" w:eastAsiaTheme="minorEastAsia" w:hAnsiTheme="minorEastAsia" w:hint="eastAsia"/>
          <w:b/>
          <w:sz w:val="28"/>
          <w:szCs w:val="28"/>
        </w:rPr>
        <w:lastRenderedPageBreak/>
        <w:t>目录</w:t>
      </w:r>
    </w:p>
    <w:p w:rsidR="00CE5A41" w:rsidRPr="00456512" w:rsidRDefault="00531B35">
      <w:pPr>
        <w:pStyle w:val="11"/>
        <w:rPr>
          <w:rFonts w:asciiTheme="minorEastAsia" w:eastAsiaTheme="minorEastAsia" w:hAnsiTheme="minorEastAsia" w:cstheme="minorBidi"/>
          <w:bCs w:val="0"/>
          <w:caps w:val="0"/>
          <w:kern w:val="2"/>
          <w:sz w:val="21"/>
          <w:szCs w:val="22"/>
        </w:rPr>
      </w:pPr>
      <w:r w:rsidRPr="00456512">
        <w:rPr>
          <w:rFonts w:asciiTheme="minorEastAsia" w:eastAsiaTheme="minorEastAsia" w:hAnsiTheme="minorEastAsia"/>
          <w:b/>
          <w:bCs w:val="0"/>
          <w:szCs w:val="21"/>
        </w:rPr>
        <w:fldChar w:fldCharType="begin"/>
      </w:r>
      <w:r w:rsidR="001D2E2F" w:rsidRPr="00456512">
        <w:rPr>
          <w:rFonts w:asciiTheme="minorEastAsia" w:eastAsiaTheme="minorEastAsia" w:hAnsiTheme="minorEastAsia"/>
          <w:b/>
          <w:bCs w:val="0"/>
          <w:szCs w:val="21"/>
        </w:rPr>
        <w:instrText xml:space="preserve"> TOC \o "1-2" \h \z \u </w:instrText>
      </w:r>
      <w:r w:rsidRPr="00456512">
        <w:rPr>
          <w:rFonts w:asciiTheme="minorEastAsia" w:eastAsiaTheme="minorEastAsia" w:hAnsiTheme="minorEastAsia"/>
          <w:b/>
          <w:bCs w:val="0"/>
          <w:szCs w:val="21"/>
        </w:rPr>
        <w:fldChar w:fldCharType="separate"/>
      </w:r>
      <w:hyperlink w:anchor="_Toc30161758" w:history="1">
        <w:r w:rsidR="00CE5A41" w:rsidRPr="00456512">
          <w:rPr>
            <w:rStyle w:val="a9"/>
            <w:rFonts w:asciiTheme="minorEastAsia" w:eastAsiaTheme="minorEastAsia" w:hAnsiTheme="minorEastAsia" w:hint="eastAsia"/>
            <w:b/>
            <w:color w:val="auto"/>
            <w:u w:val="none"/>
          </w:rPr>
          <w:t>一、绪言</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_Toc30161758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59" w:history="1">
        <w:r w:rsidR="00CE5A41" w:rsidRPr="00456512">
          <w:rPr>
            <w:rStyle w:val="a9"/>
            <w:rFonts w:asciiTheme="minorEastAsia" w:eastAsiaTheme="minorEastAsia" w:hAnsiTheme="minorEastAsia" w:hint="eastAsia"/>
            <w:b/>
            <w:color w:val="auto"/>
            <w:u w:val="none"/>
          </w:rPr>
          <w:t>二、释义</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_Toc30161759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2</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60" w:history="1">
        <w:r w:rsidR="00CE5A41" w:rsidRPr="00456512">
          <w:rPr>
            <w:rStyle w:val="a9"/>
            <w:rFonts w:asciiTheme="minorEastAsia" w:eastAsiaTheme="minorEastAsia" w:hAnsiTheme="minorEastAsia" w:hint="eastAsia"/>
            <w:color w:val="auto"/>
            <w:u w:val="none"/>
          </w:rPr>
          <w:t>三、</w:t>
        </w:r>
        <w:r w:rsidR="00CE5A41" w:rsidRPr="00456512">
          <w:rPr>
            <w:rStyle w:val="a9"/>
            <w:rFonts w:asciiTheme="minorEastAsia" w:eastAsiaTheme="minorEastAsia" w:hAnsiTheme="minorEastAsia" w:hint="eastAsia"/>
            <w:b/>
            <w:color w:val="auto"/>
            <w:u w:val="none"/>
          </w:rPr>
          <w:t>基金管理人</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_Toc30161760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5</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1" w:history="1">
        <w:r w:rsidR="00CE5A41" w:rsidRPr="00456512">
          <w:rPr>
            <w:rStyle w:val="a9"/>
            <w:rFonts w:asciiTheme="minorEastAsia" w:eastAsiaTheme="minorEastAsia" w:hAnsiTheme="minorEastAsia" w:hint="eastAsia"/>
            <w:bCs/>
            <w:noProof/>
            <w:color w:val="auto"/>
            <w:u w:val="none"/>
          </w:rPr>
          <w:t>（一）基金管理人基本情况</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5</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2" w:history="1">
        <w:r w:rsidR="00CE5A41" w:rsidRPr="00456512">
          <w:rPr>
            <w:rStyle w:val="a9"/>
            <w:rFonts w:asciiTheme="minorEastAsia" w:eastAsiaTheme="minorEastAsia" w:hAnsiTheme="minorEastAsia" w:hint="eastAsia"/>
            <w:bCs/>
            <w:noProof/>
            <w:color w:val="auto"/>
            <w:u w:val="none"/>
          </w:rPr>
          <w:t>（二）主要人员情况</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_Toc30161762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5</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3" w:history="1">
        <w:r w:rsidR="00CE5A41" w:rsidRPr="00456512">
          <w:rPr>
            <w:rStyle w:val="a9"/>
            <w:rFonts w:asciiTheme="minorEastAsia" w:eastAsiaTheme="minorEastAsia" w:hAnsiTheme="minorEastAsia" w:hint="eastAsia"/>
            <w:bCs/>
            <w:noProof/>
            <w:color w:val="auto"/>
            <w:u w:val="none"/>
          </w:rPr>
          <w:t>（三）基金管理人的职责</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4" w:history="1">
        <w:r w:rsidR="00CE5A41" w:rsidRPr="00456512">
          <w:rPr>
            <w:rStyle w:val="a9"/>
            <w:rFonts w:asciiTheme="minorEastAsia" w:eastAsiaTheme="minorEastAsia" w:hAnsiTheme="minorEastAsia" w:hint="eastAsia"/>
            <w:bCs/>
            <w:noProof/>
            <w:color w:val="auto"/>
            <w:u w:val="none"/>
          </w:rPr>
          <w:t>（四）基金管理人的承诺</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5" w:history="1">
        <w:r w:rsidR="00CE5A41" w:rsidRPr="00456512">
          <w:rPr>
            <w:rStyle w:val="a9"/>
            <w:rFonts w:asciiTheme="minorEastAsia" w:eastAsiaTheme="minorEastAsia" w:hAnsiTheme="minorEastAsia" w:hint="eastAsia"/>
            <w:bCs/>
            <w:noProof/>
            <w:color w:val="auto"/>
            <w:u w:val="none"/>
          </w:rPr>
          <w:t>（五）基金管理人的内部控制制度</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12</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66" w:history="1">
        <w:r w:rsidR="00CE5A41" w:rsidRPr="00456512">
          <w:rPr>
            <w:rStyle w:val="a9"/>
            <w:rFonts w:asciiTheme="minorEastAsia" w:eastAsiaTheme="minorEastAsia" w:hAnsiTheme="minorEastAsia" w:hint="eastAsia"/>
            <w:b/>
            <w:color w:val="auto"/>
            <w:u w:val="none"/>
          </w:rPr>
          <w:t>四、基金托管人</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_Toc30161766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15</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67" w:history="1">
        <w:r w:rsidR="00CE5A41" w:rsidRPr="00456512">
          <w:rPr>
            <w:rStyle w:val="a9"/>
            <w:rFonts w:asciiTheme="minorEastAsia" w:eastAsiaTheme="minorEastAsia" w:hAnsiTheme="minorEastAsia" w:hint="eastAsia"/>
            <w:b/>
            <w:color w:val="auto"/>
            <w:u w:val="none"/>
          </w:rPr>
          <w:t>五、相关服务机构</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_Toc30161767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17</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8" w:history="1">
        <w:r w:rsidR="00CE5A41" w:rsidRPr="00456512">
          <w:rPr>
            <w:rStyle w:val="a9"/>
            <w:rFonts w:asciiTheme="minorEastAsia" w:eastAsiaTheme="minorEastAsia" w:hAnsiTheme="minorEastAsia" w:hint="eastAsia"/>
            <w:noProof/>
            <w:color w:val="auto"/>
            <w:u w:val="none"/>
          </w:rPr>
          <w:t>（一）基金份额销售机构</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17</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69" w:history="1">
        <w:r w:rsidR="00CE5A41" w:rsidRPr="00456512">
          <w:rPr>
            <w:rStyle w:val="a9"/>
            <w:rFonts w:asciiTheme="minorEastAsia" w:eastAsiaTheme="minorEastAsia" w:hAnsiTheme="minorEastAsia" w:hint="eastAsia"/>
            <w:noProof/>
            <w:color w:val="auto"/>
            <w:u w:val="none"/>
          </w:rPr>
          <w:t>（二）注册登记机构</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_Toc30161769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74</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0" w:history="1">
        <w:r w:rsidR="00CE5A41" w:rsidRPr="00456512">
          <w:rPr>
            <w:rStyle w:val="a9"/>
            <w:rFonts w:asciiTheme="minorEastAsia" w:eastAsiaTheme="minorEastAsia" w:hAnsiTheme="minorEastAsia" w:hint="eastAsia"/>
            <w:noProof/>
            <w:color w:val="auto"/>
            <w:u w:val="none"/>
          </w:rPr>
          <w:t>（三）律师事务所和经办律师</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_Toc30161770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74</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1" w:history="1">
        <w:r w:rsidR="00CE5A41" w:rsidRPr="00456512">
          <w:rPr>
            <w:rStyle w:val="a9"/>
            <w:rFonts w:asciiTheme="minorEastAsia" w:eastAsiaTheme="minorEastAsia" w:hAnsiTheme="minorEastAsia" w:hint="eastAsia"/>
            <w:noProof/>
            <w:color w:val="auto"/>
            <w:u w:val="none"/>
          </w:rPr>
          <w:t>（四）会计师事务所和经办注册会计师</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74</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72" w:history="1">
        <w:r w:rsidR="00CE5A41" w:rsidRPr="00456512">
          <w:rPr>
            <w:rStyle w:val="a9"/>
            <w:rFonts w:asciiTheme="minorEastAsia" w:eastAsiaTheme="minorEastAsia" w:hAnsiTheme="minorEastAsia" w:hint="eastAsia"/>
            <w:b/>
            <w:color w:val="auto"/>
            <w:u w:val="none"/>
          </w:rPr>
          <w:t>六、基金份额的申购、赎回和转换</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_Toc30161772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76</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3" w:history="1">
        <w:r w:rsidR="00CE5A41" w:rsidRPr="00456512">
          <w:rPr>
            <w:rStyle w:val="a9"/>
            <w:rFonts w:asciiTheme="minorEastAsia" w:eastAsiaTheme="minorEastAsia" w:hAnsiTheme="minorEastAsia" w:hint="eastAsia"/>
            <w:bCs/>
            <w:noProof/>
            <w:color w:val="auto"/>
            <w:u w:val="none"/>
          </w:rPr>
          <w:t>（一）投资者范围</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76</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4" w:history="1">
        <w:r w:rsidR="00CE5A41" w:rsidRPr="00456512">
          <w:rPr>
            <w:rStyle w:val="a9"/>
            <w:rFonts w:asciiTheme="minorEastAsia" w:eastAsiaTheme="minorEastAsia" w:hAnsiTheme="minorEastAsia" w:hint="eastAsia"/>
            <w:bCs/>
            <w:noProof/>
            <w:color w:val="auto"/>
            <w:u w:val="none"/>
          </w:rPr>
          <w:t>（</w:t>
        </w:r>
        <w:r w:rsidR="00CE5A41" w:rsidRPr="00456512">
          <w:rPr>
            <w:rStyle w:val="a9"/>
            <w:rFonts w:asciiTheme="minorEastAsia" w:eastAsiaTheme="minorEastAsia" w:hAnsiTheme="minorEastAsia" w:hint="eastAsia"/>
            <w:noProof/>
            <w:color w:val="auto"/>
            <w:u w:val="none"/>
          </w:rPr>
          <w:t>二</w:t>
        </w:r>
        <w:r w:rsidR="00CE5A41" w:rsidRPr="00456512">
          <w:rPr>
            <w:rStyle w:val="a9"/>
            <w:rFonts w:asciiTheme="minorEastAsia" w:eastAsiaTheme="minorEastAsia" w:hAnsiTheme="minorEastAsia" w:hint="eastAsia"/>
            <w:bCs/>
            <w:noProof/>
            <w:color w:val="auto"/>
            <w:u w:val="none"/>
          </w:rPr>
          <w:t>）申购、赎回和转换场所</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76</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5" w:history="1">
        <w:r w:rsidR="00CE5A41" w:rsidRPr="00456512">
          <w:rPr>
            <w:rStyle w:val="a9"/>
            <w:rFonts w:asciiTheme="minorEastAsia" w:eastAsiaTheme="minorEastAsia" w:hAnsiTheme="minorEastAsia" w:hint="eastAsia"/>
            <w:bCs/>
            <w:noProof/>
            <w:color w:val="auto"/>
            <w:u w:val="none"/>
          </w:rPr>
          <w:t>（三）申购、赎回和转换的开放日期及办理时间</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76</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6" w:history="1">
        <w:r w:rsidR="00CE5A41" w:rsidRPr="00456512">
          <w:rPr>
            <w:rStyle w:val="a9"/>
            <w:rFonts w:asciiTheme="minorEastAsia" w:eastAsiaTheme="minorEastAsia" w:hAnsiTheme="minorEastAsia" w:hint="eastAsia"/>
            <w:bCs/>
            <w:noProof/>
            <w:color w:val="auto"/>
            <w:u w:val="none"/>
          </w:rPr>
          <w:t>（四）申购、赎回和转换的原则</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_Toc30161776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76</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7" w:history="1">
        <w:r w:rsidR="00CE5A41" w:rsidRPr="00456512">
          <w:rPr>
            <w:rStyle w:val="a9"/>
            <w:rFonts w:asciiTheme="minorEastAsia" w:eastAsiaTheme="minorEastAsia" w:hAnsiTheme="minorEastAsia" w:hint="eastAsia"/>
            <w:bCs/>
            <w:noProof/>
            <w:color w:val="auto"/>
            <w:u w:val="none"/>
          </w:rPr>
          <w:t>（五）申购、赎回和转换的程序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_Toc30161777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77</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8" w:history="1">
        <w:r w:rsidR="00CE5A41" w:rsidRPr="00456512">
          <w:rPr>
            <w:rStyle w:val="a9"/>
            <w:rFonts w:asciiTheme="minorEastAsia" w:eastAsiaTheme="minorEastAsia" w:hAnsiTheme="minorEastAsia" w:hint="eastAsia"/>
            <w:bCs/>
            <w:noProof/>
            <w:color w:val="auto"/>
            <w:u w:val="none"/>
          </w:rPr>
          <w:t>（六）申购、赎回和转换的数额限制</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77</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79" w:history="1">
        <w:r w:rsidR="00CE5A41" w:rsidRPr="00456512">
          <w:rPr>
            <w:rStyle w:val="a9"/>
            <w:rFonts w:asciiTheme="minorEastAsia" w:eastAsiaTheme="minorEastAsia" w:hAnsiTheme="minorEastAsia" w:hint="eastAsia"/>
            <w:bCs/>
            <w:noProof/>
            <w:color w:val="auto"/>
            <w:u w:val="none"/>
          </w:rPr>
          <w:t>（七）申购份额、赎回金额和转换份额的计算方式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_Toc30161779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78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80" w:history="1">
        <w:r w:rsidR="00CE5A41" w:rsidRPr="00456512">
          <w:rPr>
            <w:rStyle w:val="a9"/>
            <w:rFonts w:asciiTheme="minorEastAsia" w:eastAsiaTheme="minorEastAsia" w:hAnsiTheme="minorEastAsia" w:hint="eastAsia"/>
            <w:bCs/>
            <w:noProof/>
            <w:color w:val="auto"/>
            <w:u w:val="none"/>
          </w:rPr>
          <w:t>（八）申购、赎回和转换的注册登记</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_Toc30161780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81" w:history="1">
        <w:r w:rsidR="00CE5A41" w:rsidRPr="00456512">
          <w:rPr>
            <w:rStyle w:val="a9"/>
            <w:rFonts w:asciiTheme="minorEastAsia" w:eastAsiaTheme="minorEastAsia" w:hAnsiTheme="minorEastAsia" w:hint="eastAsia"/>
            <w:bCs/>
            <w:noProof/>
            <w:color w:val="auto"/>
            <w:u w:val="none"/>
          </w:rPr>
          <w:t>（九）巨额赎回的认定及处理方式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82" w:history="1">
        <w:r w:rsidR="00CE5A41" w:rsidRPr="00456512">
          <w:rPr>
            <w:rStyle w:val="a9"/>
            <w:rFonts w:asciiTheme="minorEastAsia" w:eastAsiaTheme="minorEastAsia" w:hAnsiTheme="minorEastAsia" w:hint="eastAsia"/>
            <w:bCs/>
            <w:noProof/>
            <w:color w:val="auto"/>
            <w:u w:val="none"/>
          </w:rPr>
          <w:t>（十）拒绝或暂停申购、赎回和转换的情形及处理方式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_Toc30161782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83</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83" w:history="1">
        <w:r w:rsidR="00CE5A41" w:rsidRPr="00456512">
          <w:rPr>
            <w:rStyle w:val="a9"/>
            <w:rFonts w:asciiTheme="minorEastAsia" w:eastAsiaTheme="minorEastAsia" w:hAnsiTheme="minorEastAsia" w:hint="eastAsia"/>
            <w:b/>
            <w:color w:val="auto"/>
            <w:u w:val="none"/>
          </w:rPr>
          <w:t>七、基金的非交易过户、转托管、冻结与质押</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_Toc30161783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86</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84" w:history="1">
        <w:r w:rsidR="00CE5A41" w:rsidRPr="00456512">
          <w:rPr>
            <w:rStyle w:val="a9"/>
            <w:rFonts w:asciiTheme="minorEastAsia" w:eastAsiaTheme="minorEastAsia" w:hAnsiTheme="minorEastAsia" w:hint="eastAsia"/>
            <w:b/>
            <w:color w:val="auto"/>
            <w:u w:val="none"/>
          </w:rPr>
          <w:t>八、基金的投资</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_Toc30161784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88</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85" w:history="1">
        <w:r w:rsidR="00CE5A41" w:rsidRPr="00456512">
          <w:rPr>
            <w:rStyle w:val="a9"/>
            <w:rFonts w:asciiTheme="minorEastAsia" w:eastAsiaTheme="minorEastAsia" w:hAnsiTheme="minorEastAsia" w:hint="eastAsia"/>
            <w:noProof/>
            <w:color w:val="auto"/>
            <w:u w:val="none"/>
          </w:rPr>
          <w:t>（一）</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投资目标</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86" w:history="1">
        <w:r w:rsidR="00CE5A41" w:rsidRPr="00456512">
          <w:rPr>
            <w:rStyle w:val="a9"/>
            <w:rFonts w:asciiTheme="minorEastAsia" w:eastAsiaTheme="minorEastAsia" w:hAnsiTheme="minorEastAsia" w:hint="eastAsia"/>
            <w:noProof/>
            <w:color w:val="auto"/>
            <w:u w:val="none"/>
          </w:rPr>
          <w:t>（二）</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投资方向</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_Toc30161786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87" w:history="1">
        <w:r w:rsidR="00CE5A41" w:rsidRPr="00456512">
          <w:rPr>
            <w:rStyle w:val="a9"/>
            <w:rFonts w:asciiTheme="minorEastAsia" w:eastAsiaTheme="minorEastAsia" w:hAnsiTheme="minorEastAsia" w:hint="eastAsia"/>
            <w:noProof/>
            <w:color w:val="auto"/>
            <w:u w:val="none"/>
          </w:rPr>
          <w:t>（三）</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投资理念</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_Toc30161787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88" w:history="1">
        <w:r w:rsidR="00CE5A41" w:rsidRPr="00456512">
          <w:rPr>
            <w:rStyle w:val="a9"/>
            <w:rFonts w:asciiTheme="minorEastAsia" w:eastAsiaTheme="minorEastAsia" w:hAnsiTheme="minorEastAsia" w:hint="eastAsia"/>
            <w:noProof/>
            <w:color w:val="auto"/>
            <w:u w:val="none"/>
          </w:rPr>
          <w:t>（四）</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投资策略</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88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89" w:history="1">
        <w:r w:rsidR="00CE5A41" w:rsidRPr="00456512">
          <w:rPr>
            <w:rStyle w:val="a9"/>
            <w:rFonts w:asciiTheme="minorEastAsia" w:eastAsiaTheme="minorEastAsia" w:hAnsiTheme="minorEastAsia" w:hint="eastAsia"/>
            <w:noProof/>
            <w:color w:val="auto"/>
            <w:u w:val="none"/>
          </w:rPr>
          <w:t>（五）</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业绩比较基准</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_Toc30161789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90" w:history="1">
        <w:r w:rsidR="00CE5A41" w:rsidRPr="00456512">
          <w:rPr>
            <w:rStyle w:val="a9"/>
            <w:rFonts w:asciiTheme="minorEastAsia" w:eastAsiaTheme="minorEastAsia" w:hAnsiTheme="minorEastAsia" w:hint="eastAsia"/>
            <w:noProof/>
            <w:color w:val="auto"/>
            <w:u w:val="none"/>
          </w:rPr>
          <w:t>（六）</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投资程序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_Toc30161790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91" w:history="1">
        <w:r w:rsidR="00CE5A41" w:rsidRPr="00456512">
          <w:rPr>
            <w:rStyle w:val="a9"/>
            <w:rFonts w:asciiTheme="minorEastAsia" w:eastAsiaTheme="minorEastAsia" w:hAnsiTheme="minorEastAsia" w:hint="eastAsia"/>
            <w:noProof/>
            <w:color w:val="auto"/>
            <w:u w:val="none"/>
          </w:rPr>
          <w:t>（七）</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基金投资限制</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92" w:history="1">
        <w:r w:rsidR="00CE5A41" w:rsidRPr="00456512">
          <w:rPr>
            <w:rStyle w:val="a9"/>
            <w:rFonts w:asciiTheme="minorEastAsia" w:eastAsiaTheme="minorEastAsia" w:hAnsiTheme="minorEastAsia" w:hint="eastAsia"/>
            <w:noProof/>
            <w:color w:val="auto"/>
            <w:u w:val="none"/>
          </w:rPr>
          <w:t>（八）</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禁止行为</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_Toc30161792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93" w:history="1">
        <w:r w:rsidR="00CE5A41" w:rsidRPr="00456512">
          <w:rPr>
            <w:rStyle w:val="a9"/>
            <w:rFonts w:asciiTheme="minorEastAsia" w:eastAsiaTheme="minorEastAsia" w:hAnsiTheme="minorEastAsia" w:hint="eastAsia"/>
            <w:noProof/>
            <w:color w:val="auto"/>
            <w:u w:val="none"/>
          </w:rPr>
          <w:t>（九）</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基金管理人代表基金行使所投资证券产生权利的处理原则及方法</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left" w:pos="1680"/>
          <w:tab w:val="right" w:leader="dot" w:pos="8268"/>
        </w:tabs>
        <w:ind w:firstLine="420"/>
        <w:rPr>
          <w:rFonts w:asciiTheme="minorEastAsia" w:eastAsiaTheme="minorEastAsia" w:hAnsiTheme="minorEastAsia" w:cstheme="minorBidi"/>
          <w:smallCaps w:val="0"/>
          <w:noProof/>
          <w:szCs w:val="22"/>
        </w:rPr>
      </w:pPr>
      <w:hyperlink w:anchor="_Toc30161794" w:history="1">
        <w:r w:rsidR="00CE5A41" w:rsidRPr="00456512">
          <w:rPr>
            <w:rStyle w:val="a9"/>
            <w:rFonts w:asciiTheme="minorEastAsia" w:eastAsiaTheme="minorEastAsia" w:hAnsiTheme="minorEastAsia" w:hint="eastAsia"/>
            <w:noProof/>
            <w:color w:val="auto"/>
            <w:u w:val="none"/>
          </w:rPr>
          <w:t>（十）</w:t>
        </w:r>
        <w:r w:rsidR="00CE5A41" w:rsidRPr="00456512">
          <w:rPr>
            <w:rFonts w:asciiTheme="minorEastAsia" w:eastAsiaTheme="minorEastAsia" w:hAnsiTheme="minorEastAsia" w:cstheme="minorBidi"/>
            <w:smallCaps w:val="0"/>
            <w:noProof/>
            <w:szCs w:val="22"/>
          </w:rPr>
          <w:tab/>
        </w:r>
        <w:r w:rsidR="00CE5A41" w:rsidRPr="00456512">
          <w:rPr>
            <w:rStyle w:val="a9"/>
            <w:rFonts w:asciiTheme="minorEastAsia" w:eastAsiaTheme="minorEastAsia" w:hAnsiTheme="minorEastAsia" w:hint="eastAsia"/>
            <w:noProof/>
            <w:color w:val="auto"/>
            <w:u w:val="none"/>
          </w:rPr>
          <w:t>基金投资组合报告（未经审计）</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93</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95" w:history="1">
        <w:r w:rsidR="00CE5A41" w:rsidRPr="00456512">
          <w:rPr>
            <w:rStyle w:val="a9"/>
            <w:rFonts w:asciiTheme="minorEastAsia" w:eastAsiaTheme="minorEastAsia" w:hAnsiTheme="minorEastAsia" w:hint="eastAsia"/>
            <w:b/>
            <w:color w:val="auto"/>
            <w:u w:val="none"/>
          </w:rPr>
          <w:t>九、基金的业绩</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_Toc30161795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98</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96" w:history="1">
        <w:r w:rsidR="00CE5A41" w:rsidRPr="00456512">
          <w:rPr>
            <w:rStyle w:val="a9"/>
            <w:rFonts w:asciiTheme="minorEastAsia" w:eastAsiaTheme="minorEastAsia" w:hAnsiTheme="minorEastAsia" w:hint="eastAsia"/>
            <w:b/>
            <w:color w:val="auto"/>
            <w:u w:val="none"/>
          </w:rPr>
          <w:t>十、基金的财产</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_Toc30161796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99</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797" w:history="1">
        <w:r w:rsidR="00CE5A41" w:rsidRPr="00456512">
          <w:rPr>
            <w:rStyle w:val="a9"/>
            <w:rFonts w:asciiTheme="minorEastAsia" w:eastAsiaTheme="minorEastAsia" w:hAnsiTheme="minorEastAsia" w:hint="eastAsia"/>
            <w:b/>
            <w:color w:val="auto"/>
            <w:u w:val="none"/>
          </w:rPr>
          <w:t>十一、基金资产的估值</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_Toc30161797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100</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98" w:history="1">
        <w:r w:rsidR="00CE5A41" w:rsidRPr="00456512">
          <w:rPr>
            <w:rStyle w:val="a9"/>
            <w:rFonts w:asciiTheme="minorEastAsia" w:eastAsiaTheme="minorEastAsia" w:hAnsiTheme="minorEastAsia" w:hint="eastAsia"/>
            <w:noProof/>
            <w:color w:val="auto"/>
            <w:u w:val="none"/>
          </w:rPr>
          <w:t>（一）估值目的</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100</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799" w:history="1">
        <w:r w:rsidR="00CE5A41" w:rsidRPr="00456512">
          <w:rPr>
            <w:rStyle w:val="a9"/>
            <w:rFonts w:asciiTheme="minorEastAsia" w:eastAsiaTheme="minorEastAsia" w:hAnsiTheme="minorEastAsia" w:hint="eastAsia"/>
            <w:noProof/>
            <w:color w:val="auto"/>
            <w:u w:val="none"/>
          </w:rPr>
          <w:t>（二）估值日</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_Toc30161799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100</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0" w:history="1">
        <w:r w:rsidR="00CE5A41" w:rsidRPr="00456512">
          <w:rPr>
            <w:rStyle w:val="a9"/>
            <w:rFonts w:asciiTheme="minorEastAsia" w:eastAsiaTheme="minorEastAsia" w:hAnsiTheme="minorEastAsia" w:hint="eastAsia"/>
            <w:noProof/>
            <w:color w:val="auto"/>
            <w:u w:val="none"/>
          </w:rPr>
          <w:t>（三）估值对象</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_Toc30161800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100</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1" w:history="1">
        <w:r w:rsidR="00CE5A41" w:rsidRPr="00456512">
          <w:rPr>
            <w:rStyle w:val="a9"/>
            <w:rFonts w:asciiTheme="minorEastAsia" w:eastAsiaTheme="minorEastAsia" w:hAnsiTheme="minorEastAsia" w:hint="eastAsia"/>
            <w:noProof/>
            <w:color w:val="auto"/>
            <w:u w:val="none"/>
          </w:rPr>
          <w:t>（四）估值方法</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100</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2" w:history="1">
        <w:r w:rsidR="00CE5A41" w:rsidRPr="00456512">
          <w:rPr>
            <w:rStyle w:val="a9"/>
            <w:rFonts w:asciiTheme="minorEastAsia" w:eastAsiaTheme="minorEastAsia" w:hAnsiTheme="minorEastAsia" w:hint="eastAsia"/>
            <w:noProof/>
            <w:color w:val="auto"/>
            <w:u w:val="none"/>
          </w:rPr>
          <w:t>（五）估值程序</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_Toc30161802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3" w:history="1">
        <w:r w:rsidR="00CE5A41" w:rsidRPr="00456512">
          <w:rPr>
            <w:rStyle w:val="a9"/>
            <w:rFonts w:asciiTheme="minorEastAsia" w:eastAsiaTheme="minorEastAsia" w:hAnsiTheme="minorEastAsia" w:hint="eastAsia"/>
            <w:noProof/>
            <w:color w:val="auto"/>
            <w:u w:val="none"/>
          </w:rPr>
          <w:t>（六）暂停估值的情形</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4" w:history="1">
        <w:r w:rsidR="00CE5A41" w:rsidRPr="00456512">
          <w:rPr>
            <w:rStyle w:val="a9"/>
            <w:rFonts w:asciiTheme="minorEastAsia" w:eastAsiaTheme="minorEastAsia" w:hAnsiTheme="minorEastAsia" w:hint="eastAsia"/>
            <w:noProof/>
            <w:color w:val="auto"/>
            <w:u w:val="none"/>
          </w:rPr>
          <w:t>（七）基金份额净值的确认</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101</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5" w:history="1">
        <w:r w:rsidR="00CE5A41" w:rsidRPr="00456512">
          <w:rPr>
            <w:rStyle w:val="a9"/>
            <w:rFonts w:asciiTheme="minorEastAsia" w:eastAsiaTheme="minorEastAsia" w:hAnsiTheme="minorEastAsia" w:hint="eastAsia"/>
            <w:noProof/>
            <w:color w:val="auto"/>
            <w:u w:val="none"/>
          </w:rPr>
          <w:t>（八）估值错误的处理</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6" w:history="1">
        <w:r w:rsidR="00CE5A41" w:rsidRPr="00456512">
          <w:rPr>
            <w:rStyle w:val="a9"/>
            <w:rFonts w:asciiTheme="minorEastAsia" w:eastAsiaTheme="minorEastAsia" w:hAnsiTheme="minorEastAsia" w:hint="eastAsia"/>
            <w:noProof/>
            <w:color w:val="auto"/>
            <w:u w:val="none"/>
          </w:rPr>
          <w:t>（九）特殊情形的处理</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_Toc30161806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102</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07" w:history="1">
        <w:r w:rsidR="00CE5A41" w:rsidRPr="00456512">
          <w:rPr>
            <w:rStyle w:val="a9"/>
            <w:rFonts w:asciiTheme="minorEastAsia" w:eastAsiaTheme="minorEastAsia" w:hAnsiTheme="minorEastAsia" w:hint="eastAsia"/>
            <w:b/>
            <w:color w:val="auto"/>
            <w:u w:val="none"/>
          </w:rPr>
          <w:t>十二、基金的收益分配</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_Toc30161807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103</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8" w:history="1">
        <w:r w:rsidR="00CE5A41" w:rsidRPr="00456512">
          <w:rPr>
            <w:rStyle w:val="a9"/>
            <w:rFonts w:asciiTheme="minorEastAsia" w:eastAsiaTheme="minorEastAsia" w:hAnsiTheme="minorEastAsia" w:hint="eastAsia"/>
            <w:bCs/>
            <w:noProof/>
            <w:color w:val="auto"/>
            <w:u w:val="none"/>
          </w:rPr>
          <w:t>（一）收益的构成</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09" w:history="1">
        <w:r w:rsidR="00CE5A41" w:rsidRPr="00456512">
          <w:rPr>
            <w:rStyle w:val="a9"/>
            <w:rFonts w:asciiTheme="minorEastAsia" w:eastAsiaTheme="minorEastAsia" w:hAnsiTheme="minorEastAsia" w:hint="eastAsia"/>
            <w:bCs/>
            <w:noProof/>
            <w:color w:val="auto"/>
            <w:u w:val="none"/>
          </w:rPr>
          <w:t>（二）收益分配原则</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_Toc30161809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0" w:history="1">
        <w:r w:rsidR="00CE5A41" w:rsidRPr="00456512">
          <w:rPr>
            <w:rStyle w:val="a9"/>
            <w:rFonts w:asciiTheme="minorEastAsia" w:eastAsiaTheme="minorEastAsia" w:hAnsiTheme="minorEastAsia" w:hint="eastAsia"/>
            <w:bCs/>
            <w:noProof/>
            <w:color w:val="auto"/>
            <w:u w:val="none"/>
          </w:rPr>
          <w:t>（三）收益分配方案的确定与公告</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_Toc30161810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1" w:history="1">
        <w:r w:rsidR="00CE5A41" w:rsidRPr="00456512">
          <w:rPr>
            <w:rStyle w:val="a9"/>
            <w:rFonts w:asciiTheme="minorEastAsia" w:eastAsiaTheme="minorEastAsia" w:hAnsiTheme="minorEastAsia" w:hint="eastAsia"/>
            <w:bCs/>
            <w:noProof/>
            <w:color w:val="auto"/>
            <w:u w:val="none"/>
          </w:rPr>
          <w:t>（四）收益分配中发生的费用</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103</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12" w:history="1">
        <w:r w:rsidR="00CE5A41" w:rsidRPr="00456512">
          <w:rPr>
            <w:rStyle w:val="a9"/>
            <w:rFonts w:asciiTheme="minorEastAsia" w:eastAsiaTheme="minorEastAsia" w:hAnsiTheme="minorEastAsia" w:hint="eastAsia"/>
            <w:b/>
            <w:color w:val="auto"/>
            <w:u w:val="none"/>
          </w:rPr>
          <w:t>十三、基金的费用与税收</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_Toc30161812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105</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3" w:history="1">
        <w:r w:rsidR="00CE5A41" w:rsidRPr="00456512">
          <w:rPr>
            <w:rStyle w:val="a9"/>
            <w:rFonts w:asciiTheme="minorEastAsia" w:eastAsiaTheme="minorEastAsia" w:hAnsiTheme="minorEastAsia" w:hint="eastAsia"/>
            <w:bCs/>
            <w:noProof/>
            <w:color w:val="auto"/>
            <w:u w:val="none"/>
          </w:rPr>
          <w:t>（一）与基金运作有关的费用</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105</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4" w:history="1">
        <w:r w:rsidR="00CE5A41" w:rsidRPr="00456512">
          <w:rPr>
            <w:rStyle w:val="a9"/>
            <w:rFonts w:asciiTheme="minorEastAsia" w:eastAsiaTheme="minorEastAsia" w:hAnsiTheme="minorEastAsia" w:hint="eastAsia"/>
            <w:bCs/>
            <w:noProof/>
            <w:color w:val="auto"/>
            <w:u w:val="none"/>
          </w:rPr>
          <w:t>（二）与基金销售有关的费用</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106</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5" w:history="1">
        <w:r w:rsidR="00CE5A41" w:rsidRPr="00456512">
          <w:rPr>
            <w:rStyle w:val="a9"/>
            <w:rFonts w:asciiTheme="minorEastAsia" w:eastAsiaTheme="minorEastAsia" w:hAnsiTheme="minorEastAsia" w:hint="eastAsia"/>
            <w:bCs/>
            <w:noProof/>
            <w:color w:val="auto"/>
            <w:u w:val="none"/>
          </w:rPr>
          <w:t>（三）基金税收</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107</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16" w:history="1">
        <w:r w:rsidR="00CE5A41" w:rsidRPr="00456512">
          <w:rPr>
            <w:rStyle w:val="a9"/>
            <w:rFonts w:asciiTheme="minorEastAsia" w:eastAsiaTheme="minorEastAsia" w:hAnsiTheme="minorEastAsia" w:hint="eastAsia"/>
            <w:b/>
            <w:color w:val="auto"/>
            <w:u w:val="none"/>
          </w:rPr>
          <w:t>十四、基金的会计与审计</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_Toc30161816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108</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7" w:history="1">
        <w:r w:rsidR="00CE5A41" w:rsidRPr="00456512">
          <w:rPr>
            <w:rStyle w:val="a9"/>
            <w:rFonts w:asciiTheme="minorEastAsia" w:eastAsiaTheme="minorEastAsia" w:hAnsiTheme="minorEastAsia" w:hint="eastAsia"/>
            <w:bCs/>
            <w:noProof/>
            <w:color w:val="auto"/>
            <w:u w:val="none"/>
          </w:rPr>
          <w:t>（一）基金会计政策</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_Toc30161817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108</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18" w:history="1">
        <w:r w:rsidR="00CE5A41" w:rsidRPr="00456512">
          <w:rPr>
            <w:rStyle w:val="a9"/>
            <w:rFonts w:asciiTheme="minorEastAsia" w:eastAsiaTheme="minorEastAsia" w:hAnsiTheme="minorEastAsia" w:hint="eastAsia"/>
            <w:bCs/>
            <w:noProof/>
            <w:color w:val="auto"/>
            <w:u w:val="none"/>
          </w:rPr>
          <w:t>（二）基金的审计</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_Toc30161818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108</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19" w:history="1">
        <w:r w:rsidR="00CE5A41" w:rsidRPr="00456512">
          <w:rPr>
            <w:rStyle w:val="a9"/>
            <w:rFonts w:asciiTheme="minorEastAsia" w:eastAsiaTheme="minorEastAsia" w:hAnsiTheme="minorEastAsia" w:hint="eastAsia"/>
            <w:b/>
            <w:color w:val="auto"/>
            <w:u w:val="none"/>
          </w:rPr>
          <w:t>十五、基金的信息披露</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_Toc30161819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109</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20" w:history="1">
        <w:r w:rsidR="00CE5A41" w:rsidRPr="00456512">
          <w:rPr>
            <w:rStyle w:val="a9"/>
            <w:rFonts w:asciiTheme="minorEastAsia" w:eastAsiaTheme="minorEastAsia" w:hAnsiTheme="minorEastAsia" w:hint="eastAsia"/>
            <w:b/>
            <w:color w:val="auto"/>
            <w:u w:val="none"/>
          </w:rPr>
          <w:t>十六、风险揭示</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_Toc30161820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112</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1" w:history="1">
        <w:r w:rsidR="00CE5A41" w:rsidRPr="00456512">
          <w:rPr>
            <w:rStyle w:val="a9"/>
            <w:rFonts w:asciiTheme="minorEastAsia" w:eastAsiaTheme="minorEastAsia" w:hAnsiTheme="minorEastAsia" w:hint="eastAsia"/>
            <w:bCs/>
            <w:noProof/>
            <w:color w:val="auto"/>
            <w:u w:val="none"/>
          </w:rPr>
          <w:t>（一）市场风险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_Toc30161821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2" w:history="1">
        <w:r w:rsidR="00CE5A41" w:rsidRPr="00456512">
          <w:rPr>
            <w:rStyle w:val="a9"/>
            <w:rFonts w:asciiTheme="minorEastAsia" w:eastAsiaTheme="minorEastAsia" w:hAnsiTheme="minorEastAsia" w:hint="eastAsia"/>
            <w:bCs/>
            <w:noProof/>
            <w:color w:val="auto"/>
            <w:u w:val="none"/>
          </w:rPr>
          <w:t>（二）本基金特有的风险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_Toc30161822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3" w:history="1">
        <w:r w:rsidR="00CE5A41" w:rsidRPr="00456512">
          <w:rPr>
            <w:rStyle w:val="a9"/>
            <w:rFonts w:asciiTheme="minorEastAsia" w:eastAsiaTheme="minorEastAsia" w:hAnsiTheme="minorEastAsia" w:hint="eastAsia"/>
            <w:bCs/>
            <w:noProof/>
            <w:color w:val="auto"/>
            <w:u w:val="none"/>
          </w:rPr>
          <w:t>（三）流动性风险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_Toc30161823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112</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4" w:history="1">
        <w:r w:rsidR="00CE5A41" w:rsidRPr="00456512">
          <w:rPr>
            <w:rStyle w:val="a9"/>
            <w:rFonts w:asciiTheme="minorEastAsia" w:eastAsiaTheme="minorEastAsia" w:hAnsiTheme="minorEastAsia" w:hint="eastAsia"/>
            <w:bCs/>
            <w:noProof/>
            <w:color w:val="auto"/>
            <w:u w:val="none"/>
          </w:rPr>
          <w:t>（四）本基金法律文件中涉及基金风险特征的表述与销售机构对基金的风险评级可能不一致的风险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_Toc30161824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113</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5" w:history="1">
        <w:r w:rsidR="00CE5A41" w:rsidRPr="00456512">
          <w:rPr>
            <w:rStyle w:val="a9"/>
            <w:rFonts w:asciiTheme="minorEastAsia" w:eastAsiaTheme="minorEastAsia" w:hAnsiTheme="minorEastAsia" w:hint="eastAsia"/>
            <w:bCs/>
            <w:noProof/>
            <w:color w:val="auto"/>
            <w:u w:val="none"/>
          </w:rPr>
          <w:t>（五）管理风险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_Toc30161825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114</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6" w:history="1">
        <w:r w:rsidR="00CE5A41" w:rsidRPr="00456512">
          <w:rPr>
            <w:rStyle w:val="a9"/>
            <w:rFonts w:asciiTheme="minorEastAsia" w:eastAsiaTheme="minorEastAsia" w:hAnsiTheme="minorEastAsia" w:hint="eastAsia"/>
            <w:bCs/>
            <w:noProof/>
            <w:color w:val="auto"/>
            <w:u w:val="none"/>
          </w:rPr>
          <w:t>（六）其他风险</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_Toc30161826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114</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27" w:history="1">
        <w:r w:rsidR="00CE5A41" w:rsidRPr="00456512">
          <w:rPr>
            <w:rStyle w:val="a9"/>
            <w:rFonts w:asciiTheme="minorEastAsia" w:eastAsiaTheme="minorEastAsia" w:hAnsiTheme="minorEastAsia" w:hint="eastAsia"/>
            <w:b/>
            <w:color w:val="auto"/>
            <w:u w:val="none"/>
          </w:rPr>
          <w:t>十七、基金合同的终止与基金财产的清算</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_Toc30161827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115</w:t>
        </w:r>
        <w:r w:rsidR="00CE5A41" w:rsidRPr="00456512">
          <w:rPr>
            <w:rFonts w:asciiTheme="minorEastAsia" w:eastAsiaTheme="minorEastAsia" w:hAnsiTheme="minorEastAsia"/>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8" w:history="1">
        <w:r w:rsidR="00CE5A41" w:rsidRPr="00456512">
          <w:rPr>
            <w:rStyle w:val="a9"/>
            <w:rFonts w:asciiTheme="minorEastAsia" w:eastAsiaTheme="minorEastAsia" w:hAnsiTheme="minorEastAsia" w:hint="eastAsia"/>
            <w:bCs/>
            <w:noProof/>
            <w:color w:val="auto"/>
            <w:u w:val="none"/>
          </w:rPr>
          <w:t>（一）基金合同的终止</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_Toc30161828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115</w:t>
        </w:r>
        <w:r w:rsidR="00CE5A41" w:rsidRPr="00456512">
          <w:rPr>
            <w:rFonts w:asciiTheme="minorEastAsia" w:eastAsiaTheme="minorEastAsia" w:hAnsiTheme="minorEastAsia"/>
            <w:noProof/>
            <w:webHidden/>
          </w:rPr>
          <w:fldChar w:fldCharType="end"/>
        </w:r>
      </w:hyperlink>
    </w:p>
    <w:p w:rsidR="00CE5A41" w:rsidRPr="00456512" w:rsidRDefault="00A37DE8">
      <w:pPr>
        <w:pStyle w:val="24"/>
        <w:tabs>
          <w:tab w:val="right" w:leader="dot" w:pos="8268"/>
        </w:tabs>
        <w:ind w:firstLine="420"/>
        <w:rPr>
          <w:rFonts w:asciiTheme="minorEastAsia" w:eastAsiaTheme="minorEastAsia" w:hAnsiTheme="minorEastAsia" w:cstheme="minorBidi"/>
          <w:smallCaps w:val="0"/>
          <w:noProof/>
          <w:szCs w:val="22"/>
        </w:rPr>
      </w:pPr>
      <w:hyperlink w:anchor="_Toc30161829" w:history="1">
        <w:r w:rsidR="00CE5A41" w:rsidRPr="00456512">
          <w:rPr>
            <w:rStyle w:val="a9"/>
            <w:rFonts w:asciiTheme="minorEastAsia" w:eastAsiaTheme="minorEastAsia" w:hAnsiTheme="minorEastAsia" w:hint="eastAsia"/>
            <w:bCs/>
            <w:noProof/>
            <w:color w:val="auto"/>
            <w:u w:val="none"/>
          </w:rPr>
          <w:t>（二）基金财产的清算</w:t>
        </w:r>
        <w:r w:rsidR="00CE5A41" w:rsidRPr="00456512">
          <w:rPr>
            <w:rFonts w:asciiTheme="minorEastAsia" w:eastAsiaTheme="minorEastAsia" w:hAnsiTheme="minorEastAsia"/>
            <w:noProof/>
            <w:webHidden/>
          </w:rPr>
          <w:tab/>
        </w:r>
        <w:r w:rsidR="00CE5A41" w:rsidRPr="00456512">
          <w:rPr>
            <w:rFonts w:asciiTheme="minorEastAsia" w:eastAsiaTheme="minorEastAsia" w:hAnsiTheme="minorEastAsia"/>
            <w:noProof/>
            <w:webHidden/>
          </w:rPr>
          <w:fldChar w:fldCharType="begin"/>
        </w:r>
        <w:r w:rsidR="00CE5A41" w:rsidRPr="00456512">
          <w:rPr>
            <w:rFonts w:asciiTheme="minorEastAsia" w:eastAsiaTheme="minorEastAsia" w:hAnsiTheme="minorEastAsia"/>
            <w:noProof/>
            <w:webHidden/>
          </w:rPr>
          <w:instrText xml:space="preserve"> PAGEREF _Toc30161829 \h </w:instrText>
        </w:r>
        <w:r w:rsidR="00CE5A41" w:rsidRPr="00456512">
          <w:rPr>
            <w:rFonts w:asciiTheme="minorEastAsia" w:eastAsiaTheme="minorEastAsia" w:hAnsiTheme="minorEastAsia"/>
            <w:noProof/>
            <w:webHidden/>
          </w:rPr>
        </w:r>
        <w:r w:rsidR="00CE5A41" w:rsidRPr="00456512">
          <w:rPr>
            <w:rFonts w:asciiTheme="minorEastAsia" w:eastAsiaTheme="minorEastAsia" w:hAnsiTheme="minorEastAsia"/>
            <w:noProof/>
            <w:webHidden/>
          </w:rPr>
          <w:fldChar w:fldCharType="separate"/>
        </w:r>
        <w:r w:rsidR="00274C8B">
          <w:rPr>
            <w:rFonts w:asciiTheme="minorEastAsia" w:eastAsiaTheme="minorEastAsia" w:hAnsiTheme="minorEastAsia"/>
            <w:noProof/>
            <w:webHidden/>
          </w:rPr>
          <w:t>115</w:t>
        </w:r>
        <w:r w:rsidR="00CE5A41" w:rsidRPr="00456512">
          <w:rPr>
            <w:rFonts w:asciiTheme="minorEastAsia" w:eastAsiaTheme="minorEastAsia" w:hAnsiTheme="minorEastAsia"/>
            <w:noProof/>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0" w:history="1">
        <w:r w:rsidR="00CE5A41" w:rsidRPr="00456512">
          <w:rPr>
            <w:rStyle w:val="a9"/>
            <w:rFonts w:asciiTheme="minorEastAsia" w:eastAsiaTheme="minorEastAsia" w:hAnsiTheme="minorEastAsia" w:hint="eastAsia"/>
            <w:b/>
            <w:color w:val="auto"/>
            <w:u w:val="none"/>
          </w:rPr>
          <w:t>十八、基金合同的内容摘要</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_Toc30161830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117</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1" w:history="1">
        <w:r w:rsidR="00CE5A41" w:rsidRPr="00456512">
          <w:rPr>
            <w:rStyle w:val="a9"/>
            <w:rFonts w:asciiTheme="minorEastAsia" w:eastAsiaTheme="minorEastAsia" w:hAnsiTheme="minorEastAsia" w:hint="eastAsia"/>
            <w:b/>
            <w:color w:val="auto"/>
            <w:u w:val="none"/>
          </w:rPr>
          <w:t>十九、基金托管协议的内容摘要</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_Toc30161831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128</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2" w:history="1">
        <w:r w:rsidR="00CE5A41" w:rsidRPr="00456512">
          <w:rPr>
            <w:rStyle w:val="a9"/>
            <w:rFonts w:asciiTheme="minorEastAsia" w:eastAsiaTheme="minorEastAsia" w:hAnsiTheme="minorEastAsia" w:hint="eastAsia"/>
            <w:b/>
            <w:color w:val="auto"/>
            <w:u w:val="none"/>
          </w:rPr>
          <w:t>二十、对基金份额持有人的服务</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_Toc30161832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133</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3" w:history="1">
        <w:r w:rsidR="00CE5A41" w:rsidRPr="00456512">
          <w:rPr>
            <w:rStyle w:val="a9"/>
            <w:rFonts w:asciiTheme="minorEastAsia" w:eastAsiaTheme="minorEastAsia" w:hAnsiTheme="minorEastAsia" w:hint="eastAsia"/>
            <w:b/>
            <w:color w:val="auto"/>
            <w:u w:val="none"/>
          </w:rPr>
          <w:t>二十一、其他应披露事项</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_Toc30161833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134</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4" w:history="1">
        <w:r w:rsidR="00CE5A41" w:rsidRPr="00456512">
          <w:rPr>
            <w:rStyle w:val="a9"/>
            <w:rFonts w:asciiTheme="minorEastAsia" w:eastAsiaTheme="minorEastAsia" w:hAnsiTheme="minorEastAsia" w:hint="eastAsia"/>
            <w:b/>
            <w:color w:val="auto"/>
            <w:u w:val="none"/>
          </w:rPr>
          <w:t>二十二、招募说明书的存放及查阅方式</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_Toc30161834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136</w:t>
        </w:r>
        <w:r w:rsidR="00CE5A41" w:rsidRPr="00456512">
          <w:rPr>
            <w:rFonts w:asciiTheme="minorEastAsia" w:eastAsiaTheme="minorEastAsia" w:hAnsiTheme="minorEastAsia"/>
            <w:webHidden/>
          </w:rPr>
          <w:fldChar w:fldCharType="end"/>
        </w:r>
      </w:hyperlink>
    </w:p>
    <w:p w:rsidR="00CE5A41" w:rsidRPr="00456512" w:rsidRDefault="00A37DE8">
      <w:pPr>
        <w:pStyle w:val="11"/>
        <w:rPr>
          <w:rFonts w:asciiTheme="minorEastAsia" w:eastAsiaTheme="minorEastAsia" w:hAnsiTheme="minorEastAsia" w:cstheme="minorBidi"/>
          <w:bCs w:val="0"/>
          <w:caps w:val="0"/>
          <w:kern w:val="2"/>
          <w:sz w:val="21"/>
          <w:szCs w:val="22"/>
        </w:rPr>
      </w:pPr>
      <w:hyperlink w:anchor="_Toc30161835" w:history="1">
        <w:r w:rsidR="00CE5A41" w:rsidRPr="00456512">
          <w:rPr>
            <w:rStyle w:val="a9"/>
            <w:rFonts w:asciiTheme="minorEastAsia" w:eastAsiaTheme="minorEastAsia" w:hAnsiTheme="minorEastAsia" w:hint="eastAsia"/>
            <w:b/>
            <w:color w:val="auto"/>
            <w:u w:val="none"/>
          </w:rPr>
          <w:t>二十三、备查文件</w:t>
        </w:r>
        <w:r w:rsidR="00CE5A41" w:rsidRPr="00456512">
          <w:rPr>
            <w:rFonts w:asciiTheme="minorEastAsia" w:eastAsiaTheme="minorEastAsia" w:hAnsiTheme="minorEastAsia"/>
            <w:webHidden/>
          </w:rPr>
          <w:tab/>
        </w:r>
        <w:r w:rsidR="00CE5A41" w:rsidRPr="00456512">
          <w:rPr>
            <w:rFonts w:asciiTheme="minorEastAsia" w:eastAsiaTheme="minorEastAsia" w:hAnsiTheme="minorEastAsia"/>
            <w:webHidden/>
          </w:rPr>
          <w:fldChar w:fldCharType="begin"/>
        </w:r>
        <w:r w:rsidR="00CE5A41" w:rsidRPr="00456512">
          <w:rPr>
            <w:rFonts w:asciiTheme="minorEastAsia" w:eastAsiaTheme="minorEastAsia" w:hAnsiTheme="minorEastAsia"/>
            <w:webHidden/>
          </w:rPr>
          <w:instrText xml:space="preserve"> PAGEREF _Toc30161835 \h </w:instrText>
        </w:r>
        <w:r w:rsidR="00CE5A41" w:rsidRPr="00456512">
          <w:rPr>
            <w:rFonts w:asciiTheme="minorEastAsia" w:eastAsiaTheme="minorEastAsia" w:hAnsiTheme="minorEastAsia"/>
            <w:webHidden/>
          </w:rPr>
        </w:r>
        <w:r w:rsidR="00CE5A41" w:rsidRPr="00456512">
          <w:rPr>
            <w:rFonts w:asciiTheme="minorEastAsia" w:eastAsiaTheme="minorEastAsia" w:hAnsiTheme="minorEastAsia"/>
            <w:webHidden/>
          </w:rPr>
          <w:fldChar w:fldCharType="separate"/>
        </w:r>
        <w:r w:rsidR="00274C8B">
          <w:rPr>
            <w:rFonts w:asciiTheme="minorEastAsia" w:eastAsiaTheme="minorEastAsia" w:hAnsiTheme="minorEastAsia"/>
            <w:webHidden/>
          </w:rPr>
          <w:t>137</w:t>
        </w:r>
        <w:r w:rsidR="00CE5A41" w:rsidRPr="00456512">
          <w:rPr>
            <w:rFonts w:asciiTheme="minorEastAsia" w:eastAsiaTheme="minorEastAsia" w:hAnsiTheme="minorEastAsia"/>
            <w:webHidden/>
          </w:rPr>
          <w:fldChar w:fldCharType="end"/>
        </w:r>
      </w:hyperlink>
    </w:p>
    <w:p w:rsidR="001D2E2F" w:rsidRPr="00456512" w:rsidRDefault="00531B35" w:rsidP="00084917">
      <w:pPr>
        <w:snapToGrid w:val="0"/>
        <w:spacing w:line="360" w:lineRule="auto"/>
        <w:ind w:firstLine="560"/>
        <w:jc w:val="center"/>
        <w:rPr>
          <w:rFonts w:asciiTheme="minorEastAsia" w:eastAsiaTheme="minorEastAsia" w:hAnsiTheme="minorEastAsia"/>
          <w:sz w:val="24"/>
          <w:szCs w:val="21"/>
        </w:rPr>
        <w:sectPr w:rsidR="001D2E2F" w:rsidRPr="00456512" w:rsidSect="00D937F5">
          <w:footerReference w:type="default" r:id="rId16"/>
          <w:pgSz w:w="11906" w:h="16838" w:code="9"/>
          <w:pgMar w:top="1701" w:right="1814" w:bottom="1701" w:left="1814" w:header="1134" w:footer="1247" w:gutter="0"/>
          <w:pgNumType w:fmt="upperRoman" w:start="1"/>
          <w:cols w:space="425"/>
          <w:docGrid w:type="lines" w:linePitch="447"/>
        </w:sectPr>
      </w:pPr>
      <w:r w:rsidRPr="00456512">
        <w:rPr>
          <w:rFonts w:asciiTheme="minorEastAsia" w:eastAsiaTheme="minorEastAsia" w:hAnsiTheme="minorEastAsia"/>
          <w:b/>
          <w:bCs/>
          <w:noProof/>
          <w:kern w:val="44"/>
          <w:szCs w:val="21"/>
        </w:rPr>
        <w:fldChar w:fldCharType="end"/>
      </w:r>
    </w:p>
    <w:p w:rsidR="001D2E2F" w:rsidRPr="00456512" w:rsidRDefault="001D2E2F" w:rsidP="00084917">
      <w:pPr>
        <w:pStyle w:val="111"/>
        <w:snapToGrid w:val="0"/>
        <w:spacing w:before="312" w:after="312" w:line="360" w:lineRule="auto"/>
        <w:ind w:firstLine="643"/>
        <w:rPr>
          <w:rFonts w:asciiTheme="minorEastAsia" w:eastAsiaTheme="minorEastAsia" w:hAnsiTheme="minorEastAsia"/>
          <w:b/>
          <w:szCs w:val="32"/>
        </w:rPr>
      </w:pPr>
      <w:bookmarkStart w:id="0" w:name="_Toc38432421"/>
      <w:bookmarkStart w:id="1" w:name="_Toc30161758"/>
      <w:r w:rsidRPr="00456512">
        <w:rPr>
          <w:rFonts w:asciiTheme="minorEastAsia" w:eastAsiaTheme="minorEastAsia" w:hAnsiTheme="minorEastAsia" w:hint="eastAsia"/>
          <w:b/>
          <w:szCs w:val="32"/>
        </w:rPr>
        <w:lastRenderedPageBreak/>
        <w:t>一、绪言</w:t>
      </w:r>
      <w:bookmarkEnd w:id="0"/>
      <w:bookmarkEnd w:id="1"/>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w:t>
      </w:r>
      <w:r w:rsidR="00312ED6" w:rsidRPr="00456512">
        <w:rPr>
          <w:rFonts w:asciiTheme="minorEastAsia" w:eastAsiaTheme="minorEastAsia" w:hAnsiTheme="minorEastAsia" w:hint="eastAsia"/>
        </w:rPr>
        <w:t>公开募集</w:t>
      </w:r>
      <w:r w:rsidRPr="00456512">
        <w:rPr>
          <w:rFonts w:asciiTheme="minorEastAsia" w:eastAsiaTheme="minorEastAsia" w:hAnsiTheme="minorEastAsia" w:hint="eastAsia"/>
        </w:rPr>
        <w:t>证券投资基金信息披露管理办法》（以下简称《信息披露办法》）、《证券投资基金信息披露内容与格式准则第</w:t>
      </w:r>
      <w:r w:rsidRPr="00456512">
        <w:rPr>
          <w:rFonts w:asciiTheme="minorEastAsia" w:eastAsiaTheme="minorEastAsia" w:hAnsiTheme="minorEastAsia"/>
        </w:rPr>
        <w:t>5</w:t>
      </w:r>
      <w:r w:rsidRPr="00456512">
        <w:rPr>
          <w:rFonts w:asciiTheme="minorEastAsia" w:eastAsiaTheme="minorEastAsia" w:hAnsiTheme="minorEastAsia" w:hint="eastAsia"/>
        </w:rPr>
        <w:t>号</w:t>
      </w:r>
      <w:r w:rsidRPr="00456512">
        <w:rPr>
          <w:rFonts w:asciiTheme="minorEastAsia" w:eastAsiaTheme="minorEastAsia" w:hAnsiTheme="minorEastAsia"/>
        </w:rPr>
        <w:t>&lt;</w:t>
      </w:r>
      <w:r w:rsidRPr="00456512">
        <w:rPr>
          <w:rFonts w:asciiTheme="minorEastAsia" w:eastAsiaTheme="minorEastAsia" w:hAnsiTheme="minorEastAsia" w:hint="eastAsia"/>
        </w:rPr>
        <w:t>招募说明书的内容与格式</w:t>
      </w:r>
      <w:r w:rsidRPr="00456512">
        <w:rPr>
          <w:rFonts w:asciiTheme="minorEastAsia" w:eastAsiaTheme="minorEastAsia" w:hAnsiTheme="minorEastAsia"/>
        </w:rPr>
        <w:t>&gt;</w:t>
      </w:r>
      <w:r w:rsidRPr="00456512">
        <w:rPr>
          <w:rFonts w:asciiTheme="minorEastAsia" w:eastAsiaTheme="minorEastAsia" w:hAnsiTheme="minorEastAsia" w:hint="eastAsia"/>
        </w:rPr>
        <w:t>》、</w:t>
      </w:r>
      <w:r w:rsidR="00117EDD" w:rsidRPr="00456512">
        <w:rPr>
          <w:rFonts w:asciiTheme="minorEastAsia" w:eastAsiaTheme="minorEastAsia" w:hAnsiTheme="minorEastAsia" w:hint="eastAsia"/>
        </w:rPr>
        <w:t>《公开募集开放式证券投资基金流动性风险管理规定》（以下简称“《管理规定》”）、</w:t>
      </w:r>
      <w:r w:rsidRPr="00456512">
        <w:rPr>
          <w:rFonts w:asciiTheme="minorEastAsia" w:eastAsiaTheme="minorEastAsia" w:hAnsiTheme="minorEastAsia" w:hint="eastAsia"/>
        </w:rPr>
        <w:t>《易方达积极成长证券投资基金基金合同》（以下简称基金合同）及其它有关规定等编写。</w:t>
      </w:r>
    </w:p>
    <w:p w:rsidR="001D2E2F" w:rsidRPr="00456512" w:rsidRDefault="001D2E2F" w:rsidP="00084917">
      <w:pPr>
        <w:snapToGrid w:val="0"/>
        <w:spacing w:line="360" w:lineRule="auto"/>
        <w:ind w:firstLine="482"/>
        <w:rPr>
          <w:rFonts w:asciiTheme="minorEastAsia" w:eastAsiaTheme="minorEastAsia" w:hAnsiTheme="minorEastAsia"/>
        </w:rPr>
      </w:pPr>
      <w:r w:rsidRPr="00456512">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或对本招募说明书作任何解释或者说明。</w:t>
      </w:r>
    </w:p>
    <w:p w:rsidR="001D2E2F" w:rsidRPr="00456512" w:rsidRDefault="001D2E2F" w:rsidP="00084917">
      <w:pPr>
        <w:snapToGrid w:val="0"/>
        <w:spacing w:line="360" w:lineRule="auto"/>
        <w:ind w:firstLine="482"/>
        <w:rPr>
          <w:rFonts w:asciiTheme="minorEastAsia" w:eastAsiaTheme="minorEastAsia" w:hAnsiTheme="minorEastAsia"/>
          <w:szCs w:val="21"/>
        </w:rPr>
      </w:pPr>
      <w:r w:rsidRPr="00456512">
        <w:rPr>
          <w:rStyle w:val="da"/>
          <w:rFonts w:asciiTheme="minorEastAsia" w:eastAsiaTheme="minorEastAsia" w:hAnsiTheme="minorEastAsia"/>
        </w:rPr>
        <w:t>本招募说明书根据本基金的基金合同编写</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即成为基金份额持有人和本基金合同的当事人</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其持有基金份额的行为本身即表明其对基金合同的承认和接受</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并按照《基金法》、基金合同及其他有关规定享有权利、承担义务。基金投资人欲了解基金份额持有人的权利和义务</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应详细查阅基金合同。</w:t>
      </w:r>
    </w:p>
    <w:p w:rsidR="001D2E2F" w:rsidRPr="00456512" w:rsidRDefault="001D2E2F" w:rsidP="00084917">
      <w:pPr>
        <w:snapToGrid w:val="0"/>
        <w:spacing w:line="360" w:lineRule="auto"/>
        <w:ind w:firstLine="482"/>
        <w:rPr>
          <w:rFonts w:asciiTheme="minorEastAsia" w:eastAsiaTheme="minorEastAsia" w:hAnsiTheme="minorEastAsia"/>
          <w:sz w:val="24"/>
          <w:szCs w:val="21"/>
        </w:rPr>
      </w:pPr>
    </w:p>
    <w:p w:rsidR="001D2E2F" w:rsidRPr="00456512" w:rsidRDefault="001D2E2F" w:rsidP="00084917">
      <w:pPr>
        <w:pStyle w:val="111"/>
        <w:snapToGrid w:val="0"/>
        <w:spacing w:before="312" w:after="312" w:line="360" w:lineRule="auto"/>
        <w:ind w:firstLine="643"/>
        <w:rPr>
          <w:rFonts w:asciiTheme="minorEastAsia" w:eastAsiaTheme="minorEastAsia" w:hAnsiTheme="minorEastAsia"/>
          <w:b/>
          <w:szCs w:val="32"/>
        </w:rPr>
      </w:pPr>
      <w:bookmarkStart w:id="2" w:name="_Toc38432422"/>
      <w:bookmarkStart w:id="3" w:name="_Toc30161759"/>
      <w:r w:rsidRPr="00456512">
        <w:rPr>
          <w:rFonts w:asciiTheme="minorEastAsia" w:eastAsiaTheme="minorEastAsia" w:hAnsiTheme="minorEastAsia" w:hint="eastAsia"/>
          <w:b/>
          <w:szCs w:val="32"/>
        </w:rPr>
        <w:lastRenderedPageBreak/>
        <w:t>二、释义</w:t>
      </w:r>
      <w:bookmarkEnd w:id="2"/>
      <w:bookmarkEnd w:id="3"/>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本《招募说明书》中除非文意另有所指</w:t>
      </w:r>
      <w:r w:rsidRPr="00456512">
        <w:rPr>
          <w:rFonts w:asciiTheme="minorEastAsia" w:eastAsiaTheme="minorEastAsia" w:hAnsiTheme="minorEastAsia"/>
          <w:szCs w:val="21"/>
        </w:rPr>
        <w:t>，</w:t>
      </w:r>
      <w:r w:rsidRPr="00456512">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601"/>
        <w:gridCol w:w="119"/>
      </w:tblGrid>
      <w:tr w:rsidR="00456512" w:rsidRPr="00456512" w:rsidTr="00D937F5">
        <w:trPr>
          <w:trHeight w:val="762"/>
        </w:trPr>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《基金合同》：</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指《易方达积极成长证券投资基金基金合同》及对该合同的任何修订和补充</w:t>
            </w:r>
          </w:p>
        </w:tc>
      </w:tr>
      <w:tr w:rsidR="00456512" w:rsidRPr="00456512" w:rsidTr="00D937F5">
        <w:trPr>
          <w:trHeight w:val="770"/>
        </w:trPr>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《托管协议》</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指《易方达积极成长证券投资基金托管协议》及对该协议的任何修订和补充</w:t>
            </w:r>
          </w:p>
        </w:tc>
      </w:tr>
      <w:tr w:rsidR="00456512" w:rsidRPr="00456512" w:rsidTr="00D937F5">
        <w:trPr>
          <w:gridAfter w:val="1"/>
          <w:wAfter w:w="119" w:type="dxa"/>
        </w:trPr>
        <w:tc>
          <w:tcPr>
            <w:tcW w:w="2552" w:type="dxa"/>
          </w:tcPr>
          <w:p w:rsidR="00312ED6" w:rsidRPr="00456512" w:rsidRDefault="00312ED6"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《招募说明书》</w:t>
            </w:r>
          </w:p>
        </w:tc>
        <w:tc>
          <w:tcPr>
            <w:tcW w:w="5601" w:type="dxa"/>
          </w:tcPr>
          <w:p w:rsidR="00312ED6" w:rsidRPr="00456512" w:rsidRDefault="00312ED6"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指《易方达积极成长证券投资基金招募说明书》及其更新</w:t>
            </w:r>
          </w:p>
        </w:tc>
      </w:tr>
      <w:tr w:rsidR="00456512" w:rsidRPr="00456512" w:rsidTr="00D937F5">
        <w:trPr>
          <w:gridAfter w:val="1"/>
          <w:wAfter w:w="119" w:type="dxa"/>
        </w:trPr>
        <w:tc>
          <w:tcPr>
            <w:tcW w:w="2552" w:type="dxa"/>
          </w:tcPr>
          <w:p w:rsidR="00312ED6" w:rsidRPr="00456512" w:rsidRDefault="00312ED6"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基金产品资料概要</w:t>
            </w:r>
          </w:p>
        </w:tc>
        <w:tc>
          <w:tcPr>
            <w:tcW w:w="5601" w:type="dxa"/>
          </w:tcPr>
          <w:p w:rsidR="00312ED6" w:rsidRPr="00456512" w:rsidRDefault="00312ED6"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指《易方达积极成长证券投资基金基金产品资料概要》及其更新</w:t>
            </w:r>
          </w:p>
        </w:tc>
      </w:tr>
      <w:tr w:rsidR="00456512" w:rsidRPr="00456512" w:rsidTr="00D937F5">
        <w:trPr>
          <w:gridAfter w:val="1"/>
          <w:wAfter w:w="119" w:type="dxa"/>
        </w:trPr>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《信托法》</w:t>
            </w:r>
          </w:p>
        </w:tc>
        <w:tc>
          <w:tcPr>
            <w:tcW w:w="5601"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指《中华人民共和国信托法》</w:t>
            </w:r>
          </w:p>
        </w:tc>
      </w:tr>
      <w:tr w:rsidR="00456512" w:rsidRPr="00456512" w:rsidTr="00D937F5">
        <w:trPr>
          <w:gridAfter w:val="1"/>
          <w:wAfter w:w="119" w:type="dxa"/>
        </w:trPr>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《证券法》：</w:t>
            </w:r>
          </w:p>
        </w:tc>
        <w:tc>
          <w:tcPr>
            <w:tcW w:w="5601"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指《中华人民共和国证券法》</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《基金法》：</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w:t>
            </w:r>
            <w:bookmarkStart w:id="4" w:name="_Toc78339150"/>
            <w:r w:rsidRPr="00456512">
              <w:rPr>
                <w:rFonts w:asciiTheme="minorEastAsia" w:eastAsiaTheme="minorEastAsia" w:hAnsiTheme="minorEastAsia"/>
              </w:rPr>
              <w:t>中华人民共和国证券投资基金法</w:t>
            </w:r>
            <w:bookmarkEnd w:id="4"/>
            <w:r w:rsidRPr="00456512">
              <w:rPr>
                <w:rFonts w:asciiTheme="minorEastAsia" w:eastAsiaTheme="minorEastAsia" w:hAnsiTheme="minorEastAsia" w:hint="eastAsia"/>
                <w:szCs w:val="21"/>
              </w:rPr>
              <w:t>》</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《运作办法》：</w:t>
            </w:r>
          </w:p>
          <w:p w:rsidR="00117EDD" w:rsidRPr="00456512" w:rsidRDefault="00117EDD"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《管理规定》：</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指《证券投资基金运作管理办法》</w:t>
            </w:r>
          </w:p>
          <w:p w:rsidR="00117EDD" w:rsidRPr="00456512" w:rsidRDefault="00117EDD"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《销售办法》：</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指《证券投资基金销售管理办法》</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《信息披露办法》：</w:t>
            </w:r>
          </w:p>
        </w:tc>
        <w:tc>
          <w:tcPr>
            <w:tcW w:w="5720" w:type="dxa"/>
            <w:gridSpan w:val="2"/>
          </w:tcPr>
          <w:p w:rsidR="001D2E2F" w:rsidRPr="00456512" w:rsidRDefault="00312ED6"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指中国证监会2019年7月26日颁布、同年9月1日实施的《公开募集证券投资基金信息披露管理办法》及颁布机关对其不时做出的修订</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元：</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指人民币元</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本基金、基金：</w:t>
            </w:r>
          </w:p>
        </w:tc>
        <w:tc>
          <w:tcPr>
            <w:tcW w:w="5720" w:type="dxa"/>
            <w:gridSpan w:val="2"/>
          </w:tcPr>
          <w:p w:rsidR="001D2E2F" w:rsidRPr="00456512" w:rsidRDefault="001D2E2F" w:rsidP="00084917">
            <w:pPr>
              <w:pStyle w:val="af4"/>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指依据《基金合同》所募集的易方达积极成长证券投资基金</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中国证监会：</w:t>
            </w:r>
          </w:p>
        </w:tc>
        <w:tc>
          <w:tcPr>
            <w:tcW w:w="5720" w:type="dxa"/>
            <w:gridSpan w:val="2"/>
          </w:tcPr>
          <w:p w:rsidR="001D2E2F" w:rsidRPr="00456512" w:rsidRDefault="001D2E2F" w:rsidP="00084917">
            <w:pPr>
              <w:pStyle w:val="af4"/>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指中国证券监督管理委员会</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基金管理人：</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指易方达基金管理有限公司</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基金发起人：</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指易方达基金管理有限公司</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基金托管人：</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指中国银行股份有限公司</w:t>
            </w:r>
          </w:p>
        </w:tc>
      </w:tr>
      <w:tr w:rsidR="00456512" w:rsidRPr="00456512" w:rsidTr="00D937F5">
        <w:tc>
          <w:tcPr>
            <w:tcW w:w="2552" w:type="dxa"/>
          </w:tcPr>
          <w:p w:rsidR="001D2E2F" w:rsidRPr="00456512" w:rsidRDefault="006A5737"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非直销销售</w:t>
            </w:r>
            <w:r w:rsidR="001D2E2F" w:rsidRPr="00456512">
              <w:rPr>
                <w:rFonts w:asciiTheme="minorEastAsia" w:eastAsiaTheme="minorEastAsia" w:hAnsiTheme="minorEastAsia" w:hint="eastAsia"/>
                <w:szCs w:val="21"/>
              </w:rPr>
              <w:t>机构：</w:t>
            </w:r>
          </w:p>
        </w:tc>
        <w:tc>
          <w:tcPr>
            <w:tcW w:w="5720" w:type="dxa"/>
            <w:gridSpan w:val="2"/>
          </w:tcPr>
          <w:p w:rsidR="001D2E2F" w:rsidRPr="00456512" w:rsidRDefault="006A5737"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指</w:t>
            </w:r>
            <w:r w:rsidRPr="00456512">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基金注册登记机构：</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指基金管理人或接受基金管理人委托代为办理本基金注册与过户登记业务的机构</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个人投资者：</w:t>
            </w:r>
          </w:p>
        </w:tc>
        <w:tc>
          <w:tcPr>
            <w:tcW w:w="5720" w:type="dxa"/>
            <w:gridSpan w:val="2"/>
          </w:tcPr>
          <w:p w:rsidR="001D2E2F" w:rsidRPr="00456512" w:rsidRDefault="001D2E2F" w:rsidP="00084917">
            <w:pPr>
              <w:pStyle w:val="af4"/>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指依据中华人民共和国有关法律法规及其他有关规定可以投</w:t>
            </w:r>
            <w:r w:rsidRPr="00456512">
              <w:rPr>
                <w:rFonts w:asciiTheme="minorEastAsia" w:eastAsiaTheme="minorEastAsia" w:hAnsiTheme="minorEastAsia" w:hint="eastAsia"/>
                <w:szCs w:val="21"/>
              </w:rPr>
              <w:lastRenderedPageBreak/>
              <w:t>资于证券投资基金的自然人投资者</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机构投资者：</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指依据中华人民共和国有关法律法规及其他有关规定可以投资于证券投资基金的法人、社会团体、其它组织或投资主体</w:t>
            </w:r>
          </w:p>
        </w:tc>
      </w:tr>
      <w:tr w:rsidR="00456512" w:rsidRPr="00456512" w:rsidTr="003F5C66">
        <w:trPr>
          <w:trHeight w:val="568"/>
        </w:trPr>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募集期：</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指自基金份额开始发售之日起到基金份额发售结束之日止的时间段，最长不超过3个月。本基金的募集期为：</w:t>
            </w:r>
            <w:r w:rsidRPr="00456512">
              <w:rPr>
                <w:rFonts w:asciiTheme="minorEastAsia" w:eastAsiaTheme="minorEastAsia" w:hAnsiTheme="minorEastAsia" w:hint="eastAsia"/>
              </w:rPr>
              <w:t>2004年8月6日到2004年9月6日</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基金合同生效日：</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指基金合同达到生效条件后，基金管理人宣布基金合同生效的日期</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存续期限：</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指基金合同生效并存续的不定期之期限</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工作日：</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指上海证券交易所和深圳证券交易所的正常交易日</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开放日：</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指为投资者办理基金申购、赎回等业务的工作日</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T日：</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指申购、赎回或其他交易的申请日</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认购：</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指在募集期内购买基金份额的行为</w:t>
            </w:r>
          </w:p>
        </w:tc>
      </w:tr>
      <w:tr w:rsidR="00456512" w:rsidRPr="00456512" w:rsidTr="00D937F5">
        <w:tc>
          <w:tcPr>
            <w:tcW w:w="2552" w:type="dxa"/>
          </w:tcPr>
          <w:p w:rsidR="001D2E2F" w:rsidRPr="00456512" w:rsidRDefault="001D2E2F" w:rsidP="00084917">
            <w:pPr>
              <w:autoSpaceDE w:val="0"/>
              <w:autoSpaceDN w:val="0"/>
              <w:snapToGrid w:val="0"/>
              <w:spacing w:line="360" w:lineRule="auto"/>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申购：</w:t>
            </w:r>
          </w:p>
        </w:tc>
        <w:tc>
          <w:tcPr>
            <w:tcW w:w="5720" w:type="dxa"/>
            <w:gridSpan w:val="2"/>
          </w:tcPr>
          <w:p w:rsidR="001D2E2F" w:rsidRPr="00456512" w:rsidRDefault="001D2E2F" w:rsidP="00084917">
            <w:pPr>
              <w:autoSpaceDE w:val="0"/>
              <w:autoSpaceDN w:val="0"/>
              <w:snapToGrid w:val="0"/>
              <w:spacing w:line="360" w:lineRule="auto"/>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指本基金合同生效后，基金投资者购买基金份额的行为</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赎回：</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指本基金合同生效后，基金投资者卖出基金份额的行为</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转换：</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基金收益：</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指基金投资所得红利、股息、债券利息、买卖证券差价、银行存款利息以及其他收益</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基金资产总值：</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指基金所购买的各类证券价值、银行存款本息和基金应收的申购款项以及其他投资所形成的价值总和</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基金资产净值：</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指基金资产总值减去负债后的价值</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基金资产估值：</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指计算评估基金资产和负债的价值，以确定基金资产净值和</w:t>
            </w:r>
            <w:r w:rsidRPr="00456512">
              <w:rPr>
                <w:rFonts w:asciiTheme="minorEastAsia" w:eastAsiaTheme="minorEastAsia" w:hAnsiTheme="minorEastAsia" w:hint="eastAsia"/>
              </w:rPr>
              <w:t>基金份额净值</w:t>
            </w:r>
            <w:r w:rsidRPr="00456512">
              <w:rPr>
                <w:rFonts w:asciiTheme="minorEastAsia" w:eastAsiaTheme="minorEastAsia" w:hAnsiTheme="minorEastAsia" w:hint="eastAsia"/>
                <w:szCs w:val="21"/>
              </w:rPr>
              <w:t>的过程</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基金份额持有人服务：</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指基金管理人承诺为基金份额持有人提供的一系列服务</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销售机构：</w:t>
            </w:r>
          </w:p>
          <w:p w:rsidR="001D2E2F" w:rsidRPr="00456512" w:rsidRDefault="001D2E2F" w:rsidP="00084917">
            <w:pPr>
              <w:snapToGrid w:val="0"/>
              <w:spacing w:line="360" w:lineRule="auto"/>
              <w:rPr>
                <w:rFonts w:asciiTheme="minorEastAsia" w:eastAsiaTheme="minorEastAsia" w:hAnsiTheme="minorEastAsia"/>
                <w:szCs w:val="21"/>
              </w:rPr>
            </w:pP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指依据有关规定办理本基金申购、赎回和其他业务的机构，包括基金管理人和基金</w:t>
            </w:r>
            <w:r w:rsidR="006A5737" w:rsidRPr="00456512">
              <w:rPr>
                <w:rFonts w:asciiTheme="minorEastAsia" w:eastAsiaTheme="minorEastAsia" w:hAnsiTheme="minorEastAsia" w:hint="eastAsia"/>
                <w:szCs w:val="21"/>
              </w:rPr>
              <w:t>非直销销售</w:t>
            </w:r>
            <w:r w:rsidRPr="00456512">
              <w:rPr>
                <w:rFonts w:asciiTheme="minorEastAsia" w:eastAsiaTheme="minorEastAsia" w:hAnsiTheme="minorEastAsia" w:hint="eastAsia"/>
                <w:szCs w:val="21"/>
              </w:rPr>
              <w:t>机构</w:t>
            </w:r>
          </w:p>
        </w:tc>
      </w:tr>
      <w:tr w:rsidR="00456512" w:rsidRPr="00456512" w:rsidTr="00D937F5">
        <w:tc>
          <w:tcPr>
            <w:tcW w:w="2552"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基金销售网点：</w:t>
            </w:r>
          </w:p>
        </w:tc>
        <w:tc>
          <w:tcPr>
            <w:tcW w:w="5720" w:type="dxa"/>
            <w:gridSpan w:val="2"/>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指基金管理人的直销</w:t>
            </w:r>
            <w:r w:rsidR="00D772A0" w:rsidRPr="00456512">
              <w:rPr>
                <w:rFonts w:asciiTheme="minorEastAsia" w:eastAsiaTheme="minorEastAsia" w:hAnsiTheme="minorEastAsia" w:hint="eastAsia"/>
                <w:szCs w:val="21"/>
              </w:rPr>
              <w:t>机构网点</w:t>
            </w:r>
            <w:r w:rsidRPr="00456512">
              <w:rPr>
                <w:rFonts w:asciiTheme="minorEastAsia" w:eastAsiaTheme="minorEastAsia" w:hAnsiTheme="minorEastAsia" w:hint="eastAsia"/>
                <w:szCs w:val="21"/>
              </w:rPr>
              <w:t>及</w:t>
            </w:r>
            <w:r w:rsidR="006A5737" w:rsidRPr="00456512">
              <w:rPr>
                <w:rFonts w:asciiTheme="minorEastAsia" w:eastAsiaTheme="minorEastAsia" w:hAnsiTheme="minorEastAsia" w:hint="eastAsia"/>
                <w:szCs w:val="21"/>
              </w:rPr>
              <w:t>非直销销售</w:t>
            </w:r>
            <w:r w:rsidRPr="00456512">
              <w:rPr>
                <w:rFonts w:asciiTheme="minorEastAsia" w:eastAsiaTheme="minorEastAsia" w:hAnsiTheme="minorEastAsia" w:hint="eastAsia"/>
                <w:szCs w:val="21"/>
              </w:rPr>
              <w:t>机构</w:t>
            </w:r>
            <w:r w:rsidR="006A5737" w:rsidRPr="00456512">
              <w:rPr>
                <w:rFonts w:asciiTheme="minorEastAsia" w:eastAsiaTheme="minorEastAsia" w:hAnsiTheme="minorEastAsia" w:hint="eastAsia"/>
                <w:szCs w:val="21"/>
              </w:rPr>
              <w:t>的销售</w:t>
            </w:r>
            <w:r w:rsidRPr="00456512">
              <w:rPr>
                <w:rFonts w:asciiTheme="minorEastAsia" w:eastAsiaTheme="minorEastAsia" w:hAnsiTheme="minorEastAsia" w:hint="eastAsia"/>
                <w:szCs w:val="21"/>
              </w:rPr>
              <w:t>网点</w:t>
            </w:r>
          </w:p>
        </w:tc>
      </w:tr>
      <w:tr w:rsidR="00456512" w:rsidRPr="00456512" w:rsidTr="00D937F5">
        <w:tc>
          <w:tcPr>
            <w:tcW w:w="2552" w:type="dxa"/>
          </w:tcPr>
          <w:p w:rsidR="00312ED6" w:rsidRPr="00456512" w:rsidRDefault="00312ED6"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指定媒介：</w:t>
            </w:r>
          </w:p>
        </w:tc>
        <w:tc>
          <w:tcPr>
            <w:tcW w:w="5720" w:type="dxa"/>
            <w:gridSpan w:val="2"/>
          </w:tcPr>
          <w:p w:rsidR="00312ED6" w:rsidRPr="00456512" w:rsidDel="00312ED6" w:rsidRDefault="00312ED6"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tc>
      </w:tr>
      <w:tr w:rsidR="008C5604" w:rsidRPr="00456512" w:rsidTr="00D937F5">
        <w:tc>
          <w:tcPr>
            <w:tcW w:w="2552" w:type="dxa"/>
          </w:tcPr>
          <w:p w:rsidR="00117EDD" w:rsidRPr="00456512" w:rsidRDefault="00117EDD" w:rsidP="00312ED6">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流动性受限资产：</w:t>
            </w:r>
          </w:p>
        </w:tc>
        <w:tc>
          <w:tcPr>
            <w:tcW w:w="5720" w:type="dxa"/>
            <w:gridSpan w:val="2"/>
          </w:tcPr>
          <w:p w:rsidR="00117EDD" w:rsidRPr="00456512" w:rsidRDefault="00117EDD" w:rsidP="00312ED6">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w:t>
            </w:r>
            <w:r w:rsidRPr="00456512">
              <w:rPr>
                <w:rFonts w:asciiTheme="minorEastAsia" w:eastAsiaTheme="minorEastAsia" w:hAnsiTheme="minorEastAsia" w:hint="eastAsia"/>
                <w:kern w:val="0"/>
                <w:szCs w:val="21"/>
              </w:rPr>
              <w:lastRenderedPageBreak/>
              <w:t>上的逆回购与银行定期存款（含协议约定有条件提前支取的银行存款）、停牌股票、流通受限的新股及非公开发行股票、资产支持证券、因发行人债务违约无法进行转让或交易的债券等</w:t>
            </w:r>
          </w:p>
        </w:tc>
      </w:tr>
    </w:tbl>
    <w:p w:rsidR="001D2E2F" w:rsidRPr="00456512" w:rsidRDefault="001D2E2F" w:rsidP="00084917">
      <w:pPr>
        <w:snapToGrid w:val="0"/>
        <w:spacing w:line="360" w:lineRule="auto"/>
        <w:ind w:firstLine="480"/>
        <w:jc w:val="center"/>
        <w:rPr>
          <w:rFonts w:asciiTheme="minorEastAsia" w:eastAsiaTheme="minorEastAsia" w:hAnsiTheme="minorEastAsia"/>
          <w:szCs w:val="21"/>
        </w:rPr>
      </w:pPr>
    </w:p>
    <w:p w:rsidR="001D2E2F" w:rsidRPr="00456512" w:rsidRDefault="001D2E2F" w:rsidP="00084917">
      <w:pPr>
        <w:pStyle w:val="111"/>
        <w:snapToGrid w:val="0"/>
        <w:spacing w:before="312" w:after="312" w:line="360" w:lineRule="auto"/>
        <w:ind w:firstLineChars="0" w:firstLine="0"/>
        <w:rPr>
          <w:rFonts w:asciiTheme="minorEastAsia" w:eastAsiaTheme="minorEastAsia" w:hAnsiTheme="minorEastAsia"/>
          <w:szCs w:val="32"/>
        </w:rPr>
      </w:pPr>
      <w:bookmarkStart w:id="5" w:name="_Toc30161760"/>
      <w:r w:rsidRPr="00456512">
        <w:rPr>
          <w:rFonts w:asciiTheme="minorEastAsia" w:eastAsiaTheme="minorEastAsia" w:hAnsiTheme="minorEastAsia" w:hint="eastAsia"/>
          <w:szCs w:val="32"/>
        </w:rPr>
        <w:lastRenderedPageBreak/>
        <w:t>三、</w:t>
      </w:r>
      <w:r w:rsidRPr="00456512">
        <w:rPr>
          <w:rFonts w:asciiTheme="minorEastAsia" w:eastAsiaTheme="minorEastAsia" w:hAnsiTheme="minorEastAsia"/>
          <w:b/>
          <w:bCs/>
          <w:kern w:val="44"/>
          <w:szCs w:val="44"/>
        </w:rPr>
        <w:t>基金管理人</w:t>
      </w:r>
      <w:bookmarkEnd w:id="5"/>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szCs w:val="21"/>
        </w:rPr>
      </w:pPr>
      <w:bookmarkStart w:id="6" w:name="_Toc30161761"/>
      <w:r w:rsidRPr="00456512">
        <w:rPr>
          <w:rFonts w:asciiTheme="minorEastAsia" w:eastAsiaTheme="minorEastAsia" w:hAnsiTheme="minorEastAsia" w:hint="eastAsia"/>
          <w:bCs/>
          <w:szCs w:val="21"/>
        </w:rPr>
        <w:t>（一）</w:t>
      </w:r>
      <w:r w:rsidRPr="00456512">
        <w:rPr>
          <w:rFonts w:asciiTheme="minorEastAsia" w:eastAsiaTheme="minorEastAsia" w:hAnsiTheme="minorEastAsia"/>
          <w:bCs/>
          <w:szCs w:val="21"/>
        </w:rPr>
        <w:t>基金管理人</w:t>
      </w:r>
      <w:r w:rsidRPr="00456512">
        <w:rPr>
          <w:rFonts w:asciiTheme="minorEastAsia" w:eastAsiaTheme="minorEastAsia" w:hAnsiTheme="minorEastAsia" w:hint="eastAsia"/>
          <w:bCs/>
          <w:szCs w:val="21"/>
        </w:rPr>
        <w:t>基本情况</w:t>
      </w:r>
      <w:bookmarkEnd w:id="6"/>
    </w:p>
    <w:p w:rsidR="001D2E2F" w:rsidRPr="00456512" w:rsidRDefault="001D2E2F" w:rsidP="00084917">
      <w:pPr>
        <w:pStyle w:val="a7"/>
        <w:snapToGrid w:val="0"/>
        <w:spacing w:line="360" w:lineRule="auto"/>
        <w:ind w:firstLine="420"/>
        <w:textAlignment w:val="baseline"/>
        <w:rPr>
          <w:rFonts w:asciiTheme="minorEastAsia" w:eastAsiaTheme="minorEastAsia" w:hAnsiTheme="minorEastAsia"/>
          <w:sz w:val="21"/>
        </w:rPr>
      </w:pPr>
      <w:r w:rsidRPr="00456512">
        <w:rPr>
          <w:rFonts w:asciiTheme="minorEastAsia" w:eastAsiaTheme="minorEastAsia" w:hAnsiTheme="minorEastAsia"/>
          <w:bCs/>
          <w:sz w:val="21"/>
        </w:rPr>
        <w:t>基金管理人：易方达基金管理有限公司</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bCs/>
        </w:rPr>
        <w:t>注册地址：</w:t>
      </w:r>
      <w:r w:rsidR="001232E8" w:rsidRPr="00456512">
        <w:rPr>
          <w:rFonts w:asciiTheme="minorEastAsia" w:eastAsiaTheme="minorEastAsia" w:hAnsiTheme="minorEastAsia" w:hint="eastAsia"/>
        </w:rPr>
        <w:t>广东省珠海市横琴新区宝华路6号105室-42891（集中办公区）</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bCs/>
        </w:rPr>
        <w:t>办公地址：</w:t>
      </w:r>
      <w:r w:rsidRPr="00456512">
        <w:rPr>
          <w:rFonts w:asciiTheme="minorEastAsia" w:eastAsiaTheme="minorEastAsia" w:hAnsiTheme="minorEastAsia"/>
        </w:rPr>
        <w:t>广州市</w:t>
      </w:r>
      <w:r w:rsidR="00D37056" w:rsidRPr="00456512">
        <w:rPr>
          <w:rFonts w:asciiTheme="minorEastAsia" w:eastAsiaTheme="minorEastAsia" w:hAnsiTheme="minorEastAsia" w:hint="eastAsia"/>
        </w:rPr>
        <w:t>天河区珠江新城珠江东路30号广州银行大厦40-43楼</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bCs/>
        </w:rPr>
        <w:t>设立日期：</w:t>
      </w:r>
      <w:r w:rsidRPr="00456512">
        <w:rPr>
          <w:rFonts w:asciiTheme="minorEastAsia" w:eastAsiaTheme="minorEastAsia" w:hAnsiTheme="minorEastAsia" w:hint="eastAsia"/>
        </w:rPr>
        <w:t>2001年4月17日</w:t>
      </w:r>
      <w:r w:rsidRPr="00456512">
        <w:rPr>
          <w:rFonts w:asciiTheme="minorEastAsia" w:eastAsiaTheme="minorEastAsia" w:hAnsiTheme="minorEastAsia"/>
        </w:rPr>
        <w:tab/>
      </w:r>
    </w:p>
    <w:p w:rsidR="003E78A1" w:rsidRPr="00456512" w:rsidRDefault="001D2E2F" w:rsidP="00084917">
      <w:pPr>
        <w:snapToGrid w:val="0"/>
        <w:spacing w:line="360" w:lineRule="auto"/>
        <w:ind w:firstLineChars="200" w:firstLine="420"/>
        <w:jc w:val="left"/>
        <w:rPr>
          <w:rFonts w:asciiTheme="minorEastAsia" w:eastAsiaTheme="minorEastAsia" w:hAnsiTheme="minorEastAsia"/>
        </w:rPr>
      </w:pPr>
      <w:r w:rsidRPr="00456512">
        <w:rPr>
          <w:rFonts w:asciiTheme="minorEastAsia" w:eastAsiaTheme="minorEastAsia" w:hAnsiTheme="minorEastAsia"/>
          <w:bCs/>
        </w:rPr>
        <w:t>法定代表人：</w:t>
      </w:r>
      <w:r w:rsidR="00AC7228" w:rsidRPr="00456512">
        <w:rPr>
          <w:rFonts w:asciiTheme="minorEastAsia" w:eastAsiaTheme="minorEastAsia" w:hAnsiTheme="minorEastAsia" w:hint="eastAsia"/>
        </w:rPr>
        <w:t>刘晓艳</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bCs/>
        </w:rPr>
        <w:t>联系</w:t>
      </w:r>
      <w:r w:rsidRPr="00456512">
        <w:rPr>
          <w:rFonts w:asciiTheme="minorEastAsia" w:eastAsiaTheme="minorEastAsia" w:hAnsiTheme="minorEastAsia"/>
          <w:bCs/>
        </w:rPr>
        <w:t>电话：</w:t>
      </w:r>
      <w:r w:rsidRPr="00456512">
        <w:rPr>
          <w:rFonts w:asciiTheme="minorEastAsia" w:eastAsiaTheme="minorEastAsia" w:hAnsiTheme="minorEastAsia"/>
        </w:rPr>
        <w:t>4008818088</w:t>
      </w:r>
    </w:p>
    <w:p w:rsidR="001D2E2F" w:rsidRPr="00456512" w:rsidRDefault="00FF3B4A"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bCs/>
        </w:rPr>
        <w:t>联系人：李红枫</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bCs/>
        </w:rPr>
        <w:t>注册资本：</w:t>
      </w:r>
      <w:r w:rsidR="000D1C2C" w:rsidRPr="00456512">
        <w:rPr>
          <w:rFonts w:asciiTheme="minorEastAsia" w:eastAsiaTheme="minorEastAsia" w:hAnsiTheme="minorEastAsia" w:hint="eastAsia"/>
        </w:rPr>
        <w:t>13,244.2万元人民币</w:t>
      </w:r>
    </w:p>
    <w:p w:rsidR="001D2E2F" w:rsidRPr="00456512" w:rsidRDefault="001D2E2F" w:rsidP="00084917">
      <w:pPr>
        <w:snapToGrid w:val="0"/>
        <w:spacing w:line="360" w:lineRule="auto"/>
        <w:ind w:firstLineChars="200" w:firstLine="420"/>
        <w:rPr>
          <w:rFonts w:asciiTheme="minorEastAsia" w:eastAsiaTheme="minorEastAsia" w:hAnsiTheme="minorEastAsia"/>
          <w:bCs/>
        </w:rPr>
      </w:pPr>
      <w:r w:rsidRPr="00456512">
        <w:rPr>
          <w:rFonts w:asciiTheme="minorEastAsia" w:eastAsiaTheme="minorEastAsia" w:hAnsiTheme="minorEastAsia" w:hint="eastAsia"/>
          <w:bCs/>
        </w:rPr>
        <w:t>股权结构：</w:t>
      </w: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3544"/>
      </w:tblGrid>
      <w:tr w:rsidR="00456512" w:rsidRPr="00456512" w:rsidTr="00A8776C">
        <w:tc>
          <w:tcPr>
            <w:tcW w:w="4715" w:type="dxa"/>
          </w:tcPr>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股东名称</w:t>
            </w:r>
          </w:p>
        </w:tc>
        <w:tc>
          <w:tcPr>
            <w:tcW w:w="3544" w:type="dxa"/>
          </w:tcPr>
          <w:p w:rsidR="001D2E2F" w:rsidRPr="00456512" w:rsidRDefault="001D2E2F" w:rsidP="00A8776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出资比例</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广东粤财信托有限公司</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22.6514％</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广发证券股份有限公司</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22.6514％</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盈峰控股集团有限公司</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22.6514％</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广东省广晟资产经营有限公司</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15.1010％</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广州市广永国有资产经营有限公司</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7.5505％</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珠海祺荣宝股权投资合伙企业（有限合伙）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1.5087％</w:t>
            </w:r>
          </w:p>
        </w:tc>
      </w:tr>
      <w:tr w:rsidR="00456512" w:rsidRPr="00456512" w:rsidTr="00A8776C">
        <w:tc>
          <w:tcPr>
            <w:tcW w:w="4715" w:type="dxa"/>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珠海祺泰宝股权投资合伙企业（有限合伙）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1.6205％</w:t>
            </w:r>
          </w:p>
        </w:tc>
      </w:tr>
      <w:tr w:rsidR="00456512" w:rsidRPr="00456512" w:rsidTr="00A8776C">
        <w:tc>
          <w:tcPr>
            <w:tcW w:w="4715" w:type="dxa"/>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珠海祺丰宝股权投资合伙企业（有限合伙）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1.5309％</w:t>
            </w:r>
          </w:p>
        </w:tc>
      </w:tr>
      <w:tr w:rsidR="00456512" w:rsidRPr="00456512" w:rsidTr="00A8776C">
        <w:tc>
          <w:tcPr>
            <w:tcW w:w="4715" w:type="dxa"/>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珠海聚莱康股权投资合伙企业（有限合伙）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1.7558％</w:t>
            </w:r>
          </w:p>
        </w:tc>
      </w:tr>
      <w:tr w:rsidR="00456512" w:rsidRPr="00456512" w:rsidTr="00A8776C">
        <w:tc>
          <w:tcPr>
            <w:tcW w:w="4715" w:type="dxa"/>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珠海聚宁康股权投资合伙企业（有限合伙）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1.4396％</w:t>
            </w:r>
          </w:p>
        </w:tc>
      </w:tr>
      <w:tr w:rsidR="00456512" w:rsidRPr="00456512" w:rsidTr="00A8776C">
        <w:tc>
          <w:tcPr>
            <w:tcW w:w="4715" w:type="dxa"/>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珠海聚弘康股权投资合伙企业（有限合伙）</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1.5388％</w:t>
            </w:r>
          </w:p>
        </w:tc>
      </w:tr>
      <w:tr w:rsidR="00456512" w:rsidRPr="00456512" w:rsidTr="00960F82">
        <w:tc>
          <w:tcPr>
            <w:tcW w:w="4715" w:type="dxa"/>
            <w:vAlign w:val="center"/>
          </w:tcPr>
          <w:p w:rsidR="000D1C2C" w:rsidRPr="00456512" w:rsidRDefault="000D1C2C" w:rsidP="000D1C2C">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总   计</w:t>
            </w:r>
          </w:p>
        </w:tc>
        <w:tc>
          <w:tcPr>
            <w:tcW w:w="3544" w:type="dxa"/>
            <w:vAlign w:val="center"/>
          </w:tcPr>
          <w:p w:rsidR="000D1C2C" w:rsidRPr="00456512" w:rsidRDefault="000D1C2C" w:rsidP="000D1C2C">
            <w:pPr>
              <w:snapToGrid w:val="0"/>
              <w:spacing w:line="360" w:lineRule="auto"/>
              <w:ind w:firstLine="420"/>
              <w:jc w:val="center"/>
              <w:rPr>
                <w:rFonts w:asciiTheme="minorEastAsia" w:eastAsiaTheme="minorEastAsia" w:hAnsiTheme="minorEastAsia"/>
              </w:rPr>
            </w:pPr>
            <w:r w:rsidRPr="00456512">
              <w:rPr>
                <w:rFonts w:asciiTheme="minorEastAsia" w:eastAsiaTheme="minorEastAsia" w:hAnsiTheme="minorEastAsia" w:hint="eastAsia"/>
              </w:rPr>
              <w:t>100％</w:t>
            </w:r>
          </w:p>
        </w:tc>
      </w:tr>
    </w:tbl>
    <w:p w:rsidR="001D2E2F" w:rsidRPr="00456512" w:rsidRDefault="001D2E2F" w:rsidP="00960F82">
      <w:pPr>
        <w:pStyle w:val="23"/>
        <w:tabs>
          <w:tab w:val="right" w:pos="8306"/>
        </w:tabs>
        <w:snapToGrid w:val="0"/>
        <w:spacing w:before="312" w:after="312" w:line="360" w:lineRule="auto"/>
        <w:ind w:firstLineChars="0" w:firstLine="0"/>
        <w:rPr>
          <w:rFonts w:asciiTheme="minorEastAsia" w:eastAsiaTheme="minorEastAsia" w:hAnsiTheme="minorEastAsia"/>
          <w:bCs/>
          <w:szCs w:val="21"/>
        </w:rPr>
      </w:pPr>
      <w:bookmarkStart w:id="7" w:name="_Toc30161762"/>
      <w:r w:rsidRPr="00456512">
        <w:rPr>
          <w:rFonts w:asciiTheme="minorEastAsia" w:eastAsiaTheme="minorEastAsia" w:hAnsiTheme="minorEastAsia" w:hint="eastAsia"/>
          <w:bCs/>
          <w:szCs w:val="21"/>
        </w:rPr>
        <w:t>（二）</w:t>
      </w:r>
      <w:r w:rsidRPr="00456512">
        <w:rPr>
          <w:rFonts w:asciiTheme="minorEastAsia" w:eastAsiaTheme="minorEastAsia" w:hAnsiTheme="minorEastAsia"/>
          <w:bCs/>
          <w:szCs w:val="21"/>
        </w:rPr>
        <w:t>主要人员情况</w:t>
      </w:r>
      <w:bookmarkEnd w:id="7"/>
      <w:r w:rsidR="000D1C2C" w:rsidRPr="00456512">
        <w:rPr>
          <w:rFonts w:asciiTheme="minorEastAsia" w:eastAsiaTheme="minorEastAsia" w:hAnsiTheme="minorEastAsia"/>
          <w:bCs/>
          <w:szCs w:val="21"/>
        </w:rPr>
        <w:tab/>
      </w:r>
    </w:p>
    <w:p w:rsidR="003E78A1" w:rsidRPr="00456512" w:rsidRDefault="001D2E2F" w:rsidP="00084917">
      <w:pPr>
        <w:pStyle w:val="a7"/>
        <w:adjustRightInd w:val="0"/>
        <w:snapToGrid w:val="0"/>
        <w:spacing w:line="360" w:lineRule="auto"/>
        <w:ind w:firstLine="422"/>
        <w:textAlignment w:val="baseline"/>
        <w:rPr>
          <w:rFonts w:asciiTheme="minorEastAsia" w:eastAsiaTheme="minorEastAsia" w:hAnsiTheme="minorEastAsia"/>
          <w:b/>
          <w:bCs/>
          <w:sz w:val="21"/>
        </w:rPr>
      </w:pPr>
      <w:r w:rsidRPr="00456512">
        <w:rPr>
          <w:rFonts w:asciiTheme="minorEastAsia" w:eastAsiaTheme="minorEastAsia" w:hAnsiTheme="minorEastAsia" w:cs="仿宋_GB2312" w:hint="eastAsia"/>
          <w:b/>
          <w:bCs/>
          <w:kern w:val="0"/>
          <w:sz w:val="21"/>
        </w:rPr>
        <w:t>1</w:t>
      </w:r>
      <w:r w:rsidR="00084917" w:rsidRPr="00456512">
        <w:rPr>
          <w:rFonts w:asciiTheme="minorEastAsia" w:eastAsiaTheme="minorEastAsia" w:hAnsiTheme="minorEastAsia" w:cs="仿宋_GB2312" w:hint="eastAsia"/>
          <w:b/>
          <w:bCs/>
          <w:kern w:val="0"/>
          <w:sz w:val="21"/>
        </w:rPr>
        <w:t>、</w:t>
      </w:r>
      <w:r w:rsidRPr="00456512">
        <w:rPr>
          <w:rFonts w:asciiTheme="minorEastAsia" w:eastAsiaTheme="minorEastAsia" w:hAnsiTheme="minorEastAsia" w:cs="仿宋_GB2312" w:hint="eastAsia"/>
          <w:b/>
          <w:bCs/>
          <w:kern w:val="0"/>
          <w:sz w:val="21"/>
        </w:rPr>
        <w:t>董事、监事及高级管理人员</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456512">
        <w:rPr>
          <w:rFonts w:asciiTheme="minorEastAsia" w:eastAsiaTheme="minorEastAsia" w:hAnsiTheme="minorEastAsia" w:hint="eastAsia"/>
          <w:kern w:val="0"/>
          <w:sz w:val="21"/>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456512">
          <w:rPr>
            <w:rFonts w:asciiTheme="minorEastAsia" w:eastAsiaTheme="minorEastAsia" w:hAnsiTheme="minorEastAsia" w:hint="eastAsia"/>
            <w:kern w:val="0"/>
            <w:sz w:val="21"/>
          </w:rPr>
          <w:t>上海汇招信息技术有限公司</w:t>
        </w:r>
      </w:hyperlink>
      <w:r w:rsidRPr="00456512">
        <w:rPr>
          <w:rFonts w:asciiTheme="minorEastAsia" w:eastAsiaTheme="minorEastAsia" w:hAnsiTheme="minorEastAsia" w:hint="eastAsia"/>
          <w:kern w:val="0"/>
          <w:sz w:val="21"/>
        </w:rPr>
        <w:t>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lastRenderedPageBreak/>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lastRenderedPageBreak/>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马骏先生，工商管理硕士（</w:t>
      </w:r>
      <w:r w:rsidRPr="00456512">
        <w:rPr>
          <w:rFonts w:asciiTheme="minorEastAsia" w:eastAsiaTheme="minorEastAsia" w:hAnsiTheme="minorEastAsia"/>
          <w:kern w:val="0"/>
          <w:sz w:val="21"/>
        </w:rPr>
        <w:t>EMBA</w:t>
      </w:r>
      <w:r w:rsidRPr="00456512">
        <w:rPr>
          <w:rFonts w:asciiTheme="minorEastAsia" w:eastAsiaTheme="minorEastAsia" w:hAnsiTheme="minorEastAsia" w:hint="eastAsia"/>
          <w:kern w:val="0"/>
          <w:sz w:val="21"/>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456512">
        <w:rPr>
          <w:rFonts w:asciiTheme="minorEastAsia" w:eastAsiaTheme="minorEastAsia" w:hAnsiTheme="minorEastAsia"/>
          <w:kern w:val="0"/>
          <w:sz w:val="21"/>
        </w:rPr>
        <w:t>RQFII</w:t>
      </w:r>
      <w:r w:rsidRPr="00456512">
        <w:rPr>
          <w:rFonts w:asciiTheme="minorEastAsia" w:eastAsiaTheme="minorEastAsia" w:hAnsiTheme="minorEastAsia" w:hint="eastAsia"/>
          <w:kern w:val="0"/>
          <w:sz w:val="21"/>
        </w:rPr>
        <w:t>）业务负责人、证券交易负责人员（</w:t>
      </w:r>
      <w:r w:rsidRPr="00456512">
        <w:rPr>
          <w:rFonts w:asciiTheme="minorEastAsia" w:eastAsiaTheme="minorEastAsia" w:hAnsiTheme="minorEastAsia"/>
          <w:kern w:val="0"/>
          <w:sz w:val="21"/>
        </w:rPr>
        <w:t>RO</w:t>
      </w:r>
      <w:r w:rsidRPr="00456512">
        <w:rPr>
          <w:rFonts w:asciiTheme="minorEastAsia" w:eastAsiaTheme="minorEastAsia" w:hAnsiTheme="minorEastAsia" w:hint="eastAsia"/>
          <w:kern w:val="0"/>
          <w:sz w:val="21"/>
        </w:rPr>
        <w:t>）、就证券提供意见负责人员（</w:t>
      </w:r>
      <w:r w:rsidRPr="00456512">
        <w:rPr>
          <w:rFonts w:asciiTheme="minorEastAsia" w:eastAsiaTheme="minorEastAsia" w:hAnsiTheme="minorEastAsia"/>
          <w:kern w:val="0"/>
          <w:sz w:val="21"/>
        </w:rPr>
        <w:t>RO</w:t>
      </w:r>
      <w:r w:rsidRPr="00456512">
        <w:rPr>
          <w:rFonts w:asciiTheme="minorEastAsia" w:eastAsiaTheme="minorEastAsia" w:hAnsiTheme="minorEastAsia" w:hint="eastAsia"/>
          <w:kern w:val="0"/>
          <w:sz w:val="21"/>
        </w:rPr>
        <w:t>）、提供资产管理负责人员（</w:t>
      </w:r>
      <w:r w:rsidRPr="00456512">
        <w:rPr>
          <w:rFonts w:asciiTheme="minorEastAsia" w:eastAsiaTheme="minorEastAsia" w:hAnsiTheme="minorEastAsia"/>
          <w:kern w:val="0"/>
          <w:sz w:val="21"/>
        </w:rPr>
        <w:t>RO</w:t>
      </w:r>
      <w:r w:rsidRPr="00456512">
        <w:rPr>
          <w:rFonts w:asciiTheme="minorEastAsia" w:eastAsiaTheme="minorEastAsia" w:hAnsiTheme="minorEastAsia" w:hint="eastAsia"/>
          <w:kern w:val="0"/>
          <w:sz w:val="21"/>
        </w:rPr>
        <w:t>）、固定收益投资决策委员会委员、产品审批委员会委员。</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张南女士，经济学博士，督察长。曾任广东省经济贸易委员会主任科员、副处长，易方达基金管理有限公司市场拓展部副总经理、监察部总经理。现任易方达基金管理有限公司督察长。</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高松凡先生，工商管理硕士（</w:t>
      </w:r>
      <w:r w:rsidRPr="00456512">
        <w:rPr>
          <w:rFonts w:asciiTheme="minorEastAsia" w:eastAsiaTheme="minorEastAsia" w:hAnsiTheme="minorEastAsia"/>
          <w:kern w:val="0"/>
          <w:sz w:val="21"/>
        </w:rPr>
        <w:t>EMBA</w:t>
      </w:r>
      <w:r w:rsidRPr="00456512">
        <w:rPr>
          <w:rFonts w:asciiTheme="minorEastAsia" w:eastAsiaTheme="minorEastAsia" w:hAnsiTheme="minorEastAsia" w:hint="eastAsia"/>
          <w:kern w:val="0"/>
          <w:sz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关秀霞女士，工商管理硕士、金融学硕士，副总经理级高级管理人员。曾任中国银行（香</w:t>
      </w:r>
      <w:r w:rsidRPr="00456512">
        <w:rPr>
          <w:rFonts w:asciiTheme="minorEastAsia" w:eastAsiaTheme="minorEastAsia" w:hAnsiTheme="minorEastAsia" w:hint="eastAsia"/>
          <w:kern w:val="0"/>
          <w:sz w:val="21"/>
        </w:rPr>
        <w:lastRenderedPageBreak/>
        <w:t>港）有限公司分析员，</w:t>
      </w:r>
      <w:r w:rsidRPr="00456512">
        <w:rPr>
          <w:rFonts w:asciiTheme="minorEastAsia" w:eastAsiaTheme="minorEastAsia" w:hAnsiTheme="minorEastAsia"/>
          <w:kern w:val="0"/>
          <w:sz w:val="21"/>
        </w:rPr>
        <w:t>Daniel Dennis高级审计师，美国道富银行公司内部审计部高级审计师、美国共同基金业务风险经理、亚洲区（除日本外）机构服务主管、亚洲区（除日本外）副总裁、大中华地区</w:t>
      </w:r>
      <w:r w:rsidRPr="00456512">
        <w:rPr>
          <w:rFonts w:asciiTheme="minorEastAsia" w:eastAsiaTheme="minorEastAsia" w:hAnsiTheme="minorEastAsia" w:hint="eastAsia"/>
          <w:kern w:val="0"/>
          <w:sz w:val="21"/>
        </w:rPr>
        <w:t>董事总经理、大中华地区高级副总裁、中国区行长。现任易方达基金管理有限公司副总经理级高级管理人员。</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E26FDB" w:rsidRPr="00456512" w:rsidRDefault="00E26FDB" w:rsidP="00456512">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kern w:val="0"/>
          <w:sz w:val="21"/>
        </w:rPr>
        <w:t>2、基金经理</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王超先生，理学硕士。曾任上海尚雅投资管理有限公司行业研究员，易方达基金管理有限公司行业研究员、基金经理助理、易方达新利灵活配置混合型证券投资基金基金经理（自</w:t>
      </w:r>
      <w:r w:rsidRPr="00456512">
        <w:rPr>
          <w:rFonts w:asciiTheme="minorEastAsia" w:eastAsiaTheme="minorEastAsia" w:hAnsiTheme="minorEastAsia"/>
          <w:kern w:val="0"/>
          <w:sz w:val="21"/>
        </w:rPr>
        <w:t>2015年4月30日至2016年8月5日）、易方达新鑫灵活配置混合型证券投资基金基金经理（自2015年5月14日至2016年8月5日）、易方达新益灵活配置混合型证券投资基金基金经理（自2015年6月16日至2016年8月5日）、易方达瑞景灵活配置混合型证券投资基金基金经理（自2015年6月30日至2016年8月5日）、易方达黄金主题证券投</w:t>
      </w:r>
      <w:r w:rsidRPr="00456512">
        <w:rPr>
          <w:rFonts w:asciiTheme="minorEastAsia" w:eastAsiaTheme="minorEastAsia" w:hAnsiTheme="minorEastAsia" w:hint="eastAsia"/>
          <w:kern w:val="0"/>
          <w:sz w:val="21"/>
        </w:rPr>
        <w:t>资基金（</w:t>
      </w:r>
      <w:r w:rsidRPr="00456512">
        <w:rPr>
          <w:rFonts w:asciiTheme="minorEastAsia" w:eastAsiaTheme="minorEastAsia" w:hAnsiTheme="minorEastAsia"/>
          <w:kern w:val="0"/>
          <w:sz w:val="21"/>
        </w:rPr>
        <w:t>LOF）基金经理（自2013年12月17日至2016年8月19日）、易方达环保主题灵活配置混合型证券投资基金基金经理（自2017年6月2日至2018年6月6日）、易方达资源行业混合型证券投资基金基金经理（自2013年4月27日至2018年12月25日）。现任易方达基金管理有限公司易方达积极成长证券投资基金基金经理（自2014年11月22日起任职）。</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本基金历任基金经理情况：刘超安先生，管理时间为</w:t>
      </w:r>
      <w:r w:rsidRPr="00456512">
        <w:rPr>
          <w:rFonts w:asciiTheme="minorEastAsia" w:eastAsiaTheme="minorEastAsia" w:hAnsiTheme="minorEastAsia"/>
          <w:kern w:val="0"/>
          <w:sz w:val="21"/>
        </w:rPr>
        <w:t>2004年9月9日至2005年12月</w:t>
      </w:r>
      <w:r w:rsidRPr="00456512">
        <w:rPr>
          <w:rFonts w:asciiTheme="minorEastAsia" w:eastAsiaTheme="minorEastAsia" w:hAnsiTheme="minorEastAsia"/>
          <w:kern w:val="0"/>
          <w:sz w:val="21"/>
        </w:rPr>
        <w:lastRenderedPageBreak/>
        <w:t>31日；梁天喜先生，管理时间为2004年9月9日至2006年9月25</w:t>
      </w:r>
      <w:r w:rsidRPr="00456512">
        <w:rPr>
          <w:rFonts w:asciiTheme="minorEastAsia" w:eastAsiaTheme="minorEastAsia" w:hAnsiTheme="minorEastAsia" w:hint="eastAsia"/>
          <w:kern w:val="0"/>
          <w:sz w:val="21"/>
        </w:rPr>
        <w:t>日；伍卫先生，管理时间为</w:t>
      </w:r>
      <w:r w:rsidRPr="00456512">
        <w:rPr>
          <w:rFonts w:asciiTheme="minorEastAsia" w:eastAsiaTheme="minorEastAsia" w:hAnsiTheme="minorEastAsia"/>
          <w:kern w:val="0"/>
          <w:sz w:val="21"/>
        </w:rPr>
        <w:t>2006年9月26日至2007年12月31日；陈志民先生，管理时间为2004年9月9日至2011年4月20日；何云峰先生，管理时间为2008年1月1日至2014年12月5日。</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kern w:val="0"/>
          <w:sz w:val="21"/>
        </w:rPr>
        <w:t>3、权益投资决策委员会成员</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本公司权益投资决策委员会成员包括：吴欣荣先生、冯波先生、陈皓先生、张坤先生、孙松先生、付浩先生。</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吴欣荣先生，同上。</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冯波先生，经济学硕士。曾任广东发展银行行员，易方达基金管理有限公司市场拓展部研究员、市场拓展部副经理、市场部大区销售经理、北京分公司副总经理、研究部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陈皓先生，管理学硕士。曾任易方达基金管理有限公司研究部行业研究员、基金经理助理兼任行业研究员、基金投资部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张坤先生，</w:t>
      </w:r>
      <w:r w:rsidR="00456512" w:rsidRPr="00456512">
        <w:rPr>
          <w:rFonts w:asciiTheme="minorEastAsia" w:eastAsiaTheme="minorEastAsia" w:hAnsiTheme="minorEastAsia" w:hint="eastAsia"/>
          <w:kern w:val="0"/>
          <w:sz w:val="21"/>
        </w:rPr>
        <w:t>同上</w:t>
      </w:r>
      <w:r w:rsidRPr="00456512">
        <w:rPr>
          <w:rFonts w:asciiTheme="minorEastAsia" w:eastAsiaTheme="minorEastAsia" w:hAnsiTheme="minorEastAsia" w:hint="eastAsia"/>
          <w:kern w:val="0"/>
          <w:sz w:val="21"/>
        </w:rPr>
        <w:t>。</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孙松先生，经济学硕士。曾任易方达基金管理有限公司交易员、集中交易室主管、集中交易室经理、基金投资部基金经理助理兼任行业研究员、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083CDE" w:rsidRPr="00456512" w:rsidRDefault="00083CDE" w:rsidP="00084917">
      <w:pPr>
        <w:pStyle w:val="a7"/>
        <w:adjustRightInd w:val="0"/>
        <w:snapToGrid w:val="0"/>
        <w:spacing w:line="360" w:lineRule="auto"/>
        <w:ind w:firstLine="420"/>
        <w:textAlignment w:val="baseline"/>
        <w:rPr>
          <w:rFonts w:asciiTheme="minorEastAsia" w:eastAsiaTheme="minorEastAsia" w:hAnsiTheme="minorEastAsia"/>
          <w:kern w:val="0"/>
          <w:sz w:val="21"/>
        </w:rPr>
      </w:pPr>
      <w:r w:rsidRPr="00456512">
        <w:rPr>
          <w:rFonts w:asciiTheme="minorEastAsia" w:eastAsiaTheme="minorEastAsia" w:hAnsiTheme="minorEastAsia" w:hint="eastAsia"/>
          <w:kern w:val="0"/>
          <w:sz w:val="21"/>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456512">
        <w:rPr>
          <w:rFonts w:asciiTheme="minorEastAsia" w:eastAsiaTheme="minorEastAsia" w:hAnsiTheme="minorEastAsia"/>
          <w:kern w:val="0"/>
          <w:sz w:val="21"/>
        </w:rPr>
        <w:t>3年封闭运作战略配售灵活配置混合型证券投资基金（LOF）基金经理。</w:t>
      </w:r>
    </w:p>
    <w:p w:rsidR="001D2E2F" w:rsidRPr="00456512" w:rsidRDefault="00084917" w:rsidP="00084917">
      <w:pPr>
        <w:pStyle w:val="a7"/>
        <w:adjustRightInd w:val="0"/>
        <w:snapToGrid w:val="0"/>
        <w:spacing w:line="360" w:lineRule="auto"/>
        <w:ind w:firstLine="422"/>
        <w:textAlignment w:val="baseline"/>
        <w:rPr>
          <w:rFonts w:asciiTheme="minorEastAsia" w:eastAsiaTheme="minorEastAsia" w:hAnsiTheme="minorEastAsia" w:cs="仿宋_GB2312"/>
          <w:b/>
          <w:bCs/>
          <w:kern w:val="0"/>
          <w:sz w:val="21"/>
        </w:rPr>
      </w:pPr>
      <w:r w:rsidRPr="00456512">
        <w:rPr>
          <w:rFonts w:asciiTheme="minorEastAsia" w:eastAsiaTheme="minorEastAsia" w:hAnsiTheme="minorEastAsia" w:cs="仿宋_GB2312" w:hint="eastAsia"/>
          <w:b/>
          <w:bCs/>
          <w:kern w:val="0"/>
          <w:sz w:val="21"/>
        </w:rPr>
        <w:t>4、</w:t>
      </w:r>
      <w:r w:rsidR="001D2E2F" w:rsidRPr="00456512">
        <w:rPr>
          <w:rFonts w:asciiTheme="minorEastAsia" w:eastAsiaTheme="minorEastAsia" w:hAnsiTheme="minorEastAsia" w:cs="仿宋_GB2312" w:hint="eastAsia"/>
          <w:b/>
          <w:bCs/>
          <w:kern w:val="0"/>
          <w:sz w:val="21"/>
        </w:rPr>
        <w:t>上述人员之间均不存在近亲属关系。</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szCs w:val="21"/>
        </w:rPr>
      </w:pPr>
      <w:bookmarkStart w:id="8" w:name="_Toc30161763"/>
      <w:r w:rsidRPr="00456512">
        <w:rPr>
          <w:rFonts w:asciiTheme="minorEastAsia" w:eastAsiaTheme="minorEastAsia" w:hAnsiTheme="minorEastAsia" w:hint="eastAsia"/>
          <w:bCs/>
          <w:szCs w:val="21"/>
        </w:rPr>
        <w:lastRenderedPageBreak/>
        <w:t>（三）</w:t>
      </w:r>
      <w:r w:rsidRPr="00456512">
        <w:rPr>
          <w:rFonts w:asciiTheme="minorEastAsia" w:eastAsiaTheme="minorEastAsia" w:hAnsiTheme="minorEastAsia"/>
          <w:bCs/>
          <w:szCs w:val="21"/>
        </w:rPr>
        <w:t>基金管理人的职责</w:t>
      </w:r>
      <w:bookmarkEnd w:id="8"/>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C31E89" w:rsidRPr="00456512">
        <w:rPr>
          <w:rFonts w:asciiTheme="minorEastAsia" w:eastAsiaTheme="minorEastAsia" w:hAnsiTheme="minorEastAsia" w:hint="eastAsia"/>
        </w:rPr>
        <w:t>依法募集资金，办理基金份额的发售和登记事宜</w:t>
      </w:r>
      <w:r w:rsidR="001D2E2F" w:rsidRPr="00456512">
        <w:rPr>
          <w:rFonts w:asciiTheme="minorEastAsia" w:eastAsiaTheme="minorEastAsia" w:hAnsiTheme="minorEastAsia"/>
        </w:rPr>
        <w:t>；</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rPr>
        <w:t>办理基金备案手续；</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对所管理的不同基金财产分别管理、分别记账，进行证券投资；</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rPr>
        <w:t>按照基金合同的约定确定基金收益分配方案，及时向基金份额持有人分配收益；</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rPr>
        <w:t>进行基金会计核算并编制基金</w:t>
      </w:r>
      <w:r w:rsidR="00991E9A" w:rsidRPr="00456512">
        <w:rPr>
          <w:rFonts w:asciiTheme="minorEastAsia" w:eastAsiaTheme="minorEastAsia" w:hAnsiTheme="minorEastAsia" w:hint="eastAsia"/>
        </w:rPr>
        <w:t>季度报告、中期报告和年度报告</w:t>
      </w:r>
      <w:r w:rsidR="001D2E2F" w:rsidRPr="00456512">
        <w:rPr>
          <w:rFonts w:asciiTheme="minorEastAsia" w:eastAsiaTheme="minorEastAsia" w:hAnsiTheme="minorEastAsia"/>
        </w:rPr>
        <w:t>；</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6、</w:t>
      </w:r>
      <w:r w:rsidR="001D2E2F" w:rsidRPr="00456512">
        <w:rPr>
          <w:rFonts w:asciiTheme="minorEastAsia" w:eastAsiaTheme="minorEastAsia" w:hAnsiTheme="minorEastAsia"/>
        </w:rPr>
        <w:t>编制</w:t>
      </w:r>
      <w:r w:rsidR="001D2E2F" w:rsidRPr="00456512">
        <w:rPr>
          <w:rFonts w:asciiTheme="minorEastAsia" w:eastAsiaTheme="minorEastAsia" w:hAnsiTheme="minorEastAsia" w:hint="eastAsia"/>
        </w:rPr>
        <w:t>半年度</w:t>
      </w:r>
      <w:r w:rsidR="001D2E2F" w:rsidRPr="00456512">
        <w:rPr>
          <w:rFonts w:asciiTheme="minorEastAsia" w:eastAsiaTheme="minorEastAsia" w:hAnsiTheme="minorEastAsia"/>
        </w:rPr>
        <w:t>和年度基金报告；</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7、</w:t>
      </w:r>
      <w:r w:rsidR="001D2E2F" w:rsidRPr="00456512">
        <w:rPr>
          <w:rFonts w:asciiTheme="minorEastAsia" w:eastAsiaTheme="minorEastAsia" w:hAnsiTheme="minorEastAsia"/>
        </w:rPr>
        <w:t>计算并公告基金</w:t>
      </w:r>
      <w:r w:rsidR="00991E9A" w:rsidRPr="00456512">
        <w:rPr>
          <w:rFonts w:asciiTheme="minorEastAsia" w:eastAsiaTheme="minorEastAsia" w:hAnsiTheme="minorEastAsia" w:hint="eastAsia"/>
        </w:rPr>
        <w:t>净值信息</w:t>
      </w:r>
      <w:r w:rsidR="001D2E2F" w:rsidRPr="00456512">
        <w:rPr>
          <w:rFonts w:asciiTheme="minorEastAsia" w:eastAsiaTheme="minorEastAsia" w:hAnsiTheme="minorEastAsia"/>
        </w:rPr>
        <w:t>，确定基金份额申购、赎回价格；</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8、</w:t>
      </w:r>
      <w:r w:rsidR="001D2E2F" w:rsidRPr="00456512">
        <w:rPr>
          <w:rFonts w:asciiTheme="minorEastAsia" w:eastAsiaTheme="minorEastAsia" w:hAnsiTheme="minorEastAsia"/>
        </w:rPr>
        <w:t>办理与基金财产管理业务活动有关的信息披露事项；</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9、</w:t>
      </w:r>
      <w:r w:rsidR="0047441F" w:rsidRPr="00456512">
        <w:rPr>
          <w:rFonts w:asciiTheme="minorEastAsia" w:eastAsiaTheme="minorEastAsia" w:hAnsiTheme="minorEastAsia" w:hint="eastAsia"/>
        </w:rPr>
        <w:t>按照规定</w:t>
      </w:r>
      <w:r w:rsidR="001D2E2F" w:rsidRPr="00456512">
        <w:rPr>
          <w:rFonts w:asciiTheme="minorEastAsia" w:eastAsiaTheme="minorEastAsia" w:hAnsiTheme="minorEastAsia"/>
        </w:rPr>
        <w:t>召集基金份额持有人大会；</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10、</w:t>
      </w:r>
      <w:r w:rsidR="001D2E2F" w:rsidRPr="00456512">
        <w:rPr>
          <w:rFonts w:asciiTheme="minorEastAsia" w:eastAsiaTheme="minorEastAsia" w:hAnsiTheme="minorEastAsia"/>
        </w:rPr>
        <w:t>保存基金财产管理业务活动的记录、账册、报表和其他相关资料；</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11、</w:t>
      </w:r>
      <w:r w:rsidR="001D2E2F" w:rsidRPr="00456512">
        <w:rPr>
          <w:rFonts w:asciiTheme="minorEastAsia" w:eastAsiaTheme="minorEastAsia" w:hAnsiTheme="minorEastAsia"/>
        </w:rPr>
        <w:t>以基金管理人名义，代表基金份额持有人利益行使诉讼权利或者实施其他法律行为；</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12、</w:t>
      </w:r>
      <w:r w:rsidR="001D2E2F" w:rsidRPr="00456512">
        <w:rPr>
          <w:rFonts w:asciiTheme="minorEastAsia" w:eastAsiaTheme="minorEastAsia" w:hAnsiTheme="minorEastAsia"/>
        </w:rPr>
        <w:t>国务院证券监督管理机构规定的其他职责。</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szCs w:val="21"/>
        </w:rPr>
      </w:pPr>
      <w:bookmarkStart w:id="9" w:name="_Toc30161764"/>
      <w:r w:rsidRPr="00456512">
        <w:rPr>
          <w:rFonts w:asciiTheme="minorEastAsia" w:eastAsiaTheme="minorEastAsia" w:hAnsiTheme="minorEastAsia" w:hint="eastAsia"/>
          <w:bCs/>
          <w:szCs w:val="21"/>
        </w:rPr>
        <w:t>（四）</w:t>
      </w:r>
      <w:r w:rsidRPr="00456512">
        <w:rPr>
          <w:rFonts w:asciiTheme="minorEastAsia" w:eastAsiaTheme="minorEastAsia" w:hAnsiTheme="minorEastAsia"/>
          <w:bCs/>
          <w:szCs w:val="21"/>
        </w:rPr>
        <w:t>基金管理人的承诺</w:t>
      </w:r>
      <w:bookmarkEnd w:id="9"/>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本基金管理人承诺严格遵守《证券法》、《基金法》及有关法律法规，建立健全内部控制制度，采取有效措施，防止下列行为发生：</w:t>
      </w:r>
    </w:p>
    <w:p w:rsidR="001D2E2F" w:rsidRPr="00456512"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将其固有财产或者他人财产混同于基金财产从事证券投资；</w:t>
      </w:r>
    </w:p>
    <w:p w:rsidR="001D2E2F" w:rsidRPr="00456512"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不公平地对待其管理的不同基金财产；</w:t>
      </w:r>
    </w:p>
    <w:p w:rsidR="001D2E2F" w:rsidRPr="00456512"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利用基金财产</w:t>
      </w:r>
      <w:r w:rsidR="00B5244E" w:rsidRPr="00456512">
        <w:rPr>
          <w:rFonts w:asciiTheme="minorEastAsia" w:eastAsiaTheme="minorEastAsia" w:hAnsiTheme="minorEastAsia" w:hint="eastAsia"/>
        </w:rPr>
        <w:t>或者职务之便</w:t>
      </w:r>
      <w:r w:rsidRPr="00456512">
        <w:rPr>
          <w:rFonts w:asciiTheme="minorEastAsia" w:eastAsiaTheme="minorEastAsia" w:hAnsiTheme="minorEastAsia" w:hint="eastAsia"/>
        </w:rPr>
        <w:t>为基金份额持有人以外的第三人谋取利益；</w:t>
      </w:r>
    </w:p>
    <w:p w:rsidR="001D2E2F" w:rsidRPr="00456512" w:rsidRDefault="001D2E2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向基金份额持有人违规承诺收益或者承担损失；</w:t>
      </w:r>
    </w:p>
    <w:p w:rsidR="0047441F" w:rsidRPr="00456512"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侵占、挪用基金财产；</w:t>
      </w:r>
    </w:p>
    <w:p w:rsidR="0047441F" w:rsidRPr="00456512"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泄露因职务便利获取的未公开信息、利用该信息从事或者明示、暗示他人从事相关的交易活动；</w:t>
      </w:r>
    </w:p>
    <w:p w:rsidR="0047441F" w:rsidRPr="00456512"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玩忽职守，不按照规定履行职责；</w:t>
      </w:r>
    </w:p>
    <w:p w:rsidR="001D2E2F" w:rsidRPr="00456512" w:rsidRDefault="0047441F" w:rsidP="007F114F">
      <w:pPr>
        <w:numPr>
          <w:ilvl w:val="1"/>
          <w:numId w:val="19"/>
        </w:numPr>
        <w:tabs>
          <w:tab w:val="left" w:pos="735"/>
          <w:tab w:val="num" w:pos="1620"/>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法律、行政法规和中国证监会规定禁止的其他行为。</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rPr>
        <w:t>本基金管理人禁止利用基金资产从事以下投资或活动：</w:t>
      </w:r>
    </w:p>
    <w:p w:rsidR="001D2E2F" w:rsidRPr="00456512" w:rsidRDefault="001D2E2F" w:rsidP="00084917">
      <w:pPr>
        <w:tabs>
          <w:tab w:val="left" w:pos="735"/>
          <w:tab w:val="num" w:pos="1050"/>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（1）</w:t>
      </w:r>
      <w:r w:rsidRPr="00456512">
        <w:rPr>
          <w:rFonts w:asciiTheme="minorEastAsia" w:eastAsiaTheme="minorEastAsia" w:hAnsiTheme="minorEastAsia"/>
        </w:rPr>
        <w:t>承销证券；</w:t>
      </w:r>
    </w:p>
    <w:p w:rsidR="001D2E2F" w:rsidRPr="00456512" w:rsidRDefault="001D2E2F" w:rsidP="00084917">
      <w:pPr>
        <w:tabs>
          <w:tab w:val="left" w:pos="735"/>
          <w:tab w:val="num" w:pos="1050"/>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（2）</w:t>
      </w:r>
      <w:r w:rsidRPr="00456512">
        <w:rPr>
          <w:rFonts w:asciiTheme="minorEastAsia" w:eastAsiaTheme="minorEastAsia" w:hAnsiTheme="minorEastAsia"/>
        </w:rPr>
        <w:t>向他人贷款或者提供担保；</w:t>
      </w:r>
    </w:p>
    <w:p w:rsidR="001D2E2F" w:rsidRPr="00456512" w:rsidRDefault="001D2E2F" w:rsidP="00084917">
      <w:pPr>
        <w:tabs>
          <w:tab w:val="left" w:pos="735"/>
          <w:tab w:val="num" w:pos="1050"/>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lastRenderedPageBreak/>
        <w:t>（3）</w:t>
      </w:r>
      <w:r w:rsidRPr="00456512">
        <w:rPr>
          <w:rFonts w:asciiTheme="minorEastAsia" w:eastAsiaTheme="minorEastAsia" w:hAnsiTheme="minorEastAsia"/>
        </w:rPr>
        <w:t>从事承担无限责任的投资；</w:t>
      </w:r>
    </w:p>
    <w:p w:rsidR="001D2E2F" w:rsidRPr="00456512" w:rsidRDefault="001D2E2F" w:rsidP="00084917">
      <w:pPr>
        <w:tabs>
          <w:tab w:val="left" w:pos="735"/>
          <w:tab w:val="num" w:pos="1050"/>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（4）</w:t>
      </w:r>
      <w:r w:rsidRPr="00456512">
        <w:rPr>
          <w:rFonts w:asciiTheme="minorEastAsia" w:eastAsiaTheme="minorEastAsia" w:hAnsiTheme="minorEastAsia"/>
        </w:rPr>
        <w:t>买卖其他基金份额，但是国务院另有规定的除外；</w:t>
      </w:r>
    </w:p>
    <w:p w:rsidR="001D2E2F" w:rsidRPr="00456512" w:rsidRDefault="001D2E2F" w:rsidP="00084917">
      <w:pPr>
        <w:tabs>
          <w:tab w:val="left" w:pos="735"/>
        </w:tabs>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（5）</w:t>
      </w:r>
      <w:r w:rsidRPr="00456512">
        <w:rPr>
          <w:rFonts w:asciiTheme="minorEastAsia" w:eastAsiaTheme="minorEastAsia" w:hAnsiTheme="minorEastAsia"/>
        </w:rPr>
        <w:t>向其基金管理人、基金托管人出资或者买卖其基金管理人、基金托管人发行的股票或者债券；</w:t>
      </w:r>
    </w:p>
    <w:p w:rsidR="001D2E2F" w:rsidRPr="00456512" w:rsidRDefault="001D2E2F" w:rsidP="00084917">
      <w:pPr>
        <w:tabs>
          <w:tab w:val="left" w:pos="735"/>
        </w:tabs>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（6）</w:t>
      </w:r>
      <w:r w:rsidRPr="00456512">
        <w:rPr>
          <w:rFonts w:asciiTheme="minorEastAsia" w:eastAsiaTheme="minorEastAsia" w:hAnsiTheme="minorEastAsia"/>
        </w:rPr>
        <w:t>买卖与其基金管理人、基金托管人有控股关系的股东或者与其基金管理人、基金托管人有其他重大利害关系的公司发行的证券或者承销期内承销的证券；</w:t>
      </w:r>
    </w:p>
    <w:p w:rsidR="001D2E2F" w:rsidRPr="00456512" w:rsidRDefault="001D2E2F" w:rsidP="00084917">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（7）</w:t>
      </w:r>
      <w:r w:rsidRPr="00456512">
        <w:rPr>
          <w:rFonts w:asciiTheme="minorEastAsia" w:eastAsiaTheme="minorEastAsia" w:hAnsiTheme="minorEastAsia"/>
        </w:rPr>
        <w:t>从事内幕交易、操纵证券交易价格及其他不正当的证券交易活动；</w:t>
      </w:r>
    </w:p>
    <w:p w:rsidR="001D2E2F" w:rsidRPr="00456512" w:rsidRDefault="001D2E2F" w:rsidP="00084917">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（8）</w:t>
      </w:r>
      <w:r w:rsidRPr="00456512">
        <w:rPr>
          <w:rFonts w:asciiTheme="minorEastAsia" w:eastAsiaTheme="minorEastAsia" w:hAnsiTheme="minorEastAsia"/>
        </w:rPr>
        <w:t>依照法律、行政法规有关规定，由国务院证券监督管理机构规定禁止的其他活动。</w:t>
      </w:r>
    </w:p>
    <w:p w:rsidR="001D2E2F" w:rsidRPr="00456512" w:rsidRDefault="00084917"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基金经理承诺</w:t>
      </w:r>
    </w:p>
    <w:p w:rsidR="001D2E2F" w:rsidRPr="00456512" w:rsidRDefault="001D2E2F" w:rsidP="00084917">
      <w:pPr>
        <w:tabs>
          <w:tab w:val="left" w:pos="735"/>
        </w:tabs>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（1）依照有关法律、法规和《基金合同》的规定，本着谨慎的原则为基金份额持有人谋取最大利益；</w:t>
      </w:r>
    </w:p>
    <w:p w:rsidR="001D2E2F" w:rsidRPr="00456512" w:rsidRDefault="001D2E2F" w:rsidP="00084917">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（2）不利用职务之便为自己及其代理人、受雇人或任何第三人谋取利益；</w:t>
      </w:r>
    </w:p>
    <w:p w:rsidR="001D2E2F" w:rsidRPr="00456512" w:rsidRDefault="001D2E2F" w:rsidP="00084917">
      <w:pPr>
        <w:tabs>
          <w:tab w:val="left" w:pos="735"/>
        </w:tabs>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（3）不违反现行有效的有关法律、法规、规章、基金合同和中国证监会的有关规定，不泄漏在任职期间知悉的有关证券、基金的商业秘密、尚未依法公开的基金投资内容、基金投资计划等信息；</w:t>
      </w:r>
    </w:p>
    <w:p w:rsidR="001D2E2F" w:rsidRPr="00456512" w:rsidRDefault="001D2E2F" w:rsidP="00084917">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（4）不</w:t>
      </w:r>
      <w:r w:rsidRPr="00456512">
        <w:rPr>
          <w:rFonts w:asciiTheme="minorEastAsia" w:eastAsiaTheme="minorEastAsia" w:hAnsiTheme="minorEastAsia"/>
        </w:rPr>
        <w:t>从事损害基金财产和基金份额持有人利益的证券交易及其他活动。</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szCs w:val="21"/>
        </w:rPr>
      </w:pPr>
      <w:bookmarkStart w:id="10" w:name="_Toc30161765"/>
      <w:r w:rsidRPr="00456512">
        <w:rPr>
          <w:rFonts w:asciiTheme="minorEastAsia" w:eastAsiaTheme="minorEastAsia" w:hAnsiTheme="minorEastAsia" w:hint="eastAsia"/>
          <w:bCs/>
          <w:szCs w:val="21"/>
        </w:rPr>
        <w:t>（五）</w:t>
      </w:r>
      <w:r w:rsidRPr="00456512">
        <w:rPr>
          <w:rFonts w:asciiTheme="minorEastAsia" w:eastAsiaTheme="minorEastAsia" w:hAnsiTheme="minorEastAsia"/>
          <w:bCs/>
          <w:szCs w:val="21"/>
        </w:rPr>
        <w:t>基金管理人的内部控制制度</w:t>
      </w:r>
      <w:bookmarkEnd w:id="10"/>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1D2E2F" w:rsidRPr="00456512" w:rsidRDefault="00084917" w:rsidP="00084917">
      <w:pPr>
        <w:tabs>
          <w:tab w:val="left" w:pos="735"/>
        </w:tabs>
        <w:snapToGrid w:val="0"/>
        <w:spacing w:line="360" w:lineRule="auto"/>
        <w:ind w:left="420"/>
        <w:rPr>
          <w:rFonts w:asciiTheme="minorEastAsia" w:eastAsiaTheme="minorEastAsia" w:hAnsiTheme="minorEastAsia"/>
          <w:b/>
          <w:bCs/>
          <w:szCs w:val="21"/>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公司内部控制的总体目标</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保证公司经营管理活动的合法合规性；</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保证基金份额持有人的合法权益不受侵犯；</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实现公司稳健、持续发展，维护股东权益；</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促进公司全体员工恪守职业操守，正直诚信，廉洁自律，勤勉尽责；</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保护公司最重要的资本：公司声誉。</w:t>
      </w:r>
    </w:p>
    <w:p w:rsidR="001D2E2F" w:rsidRPr="00456512" w:rsidRDefault="00084917" w:rsidP="00084917">
      <w:pPr>
        <w:tabs>
          <w:tab w:val="left" w:pos="735"/>
        </w:tabs>
        <w:snapToGrid w:val="0"/>
        <w:spacing w:line="360" w:lineRule="auto"/>
        <w:ind w:left="420"/>
        <w:rPr>
          <w:rFonts w:asciiTheme="minorEastAsia" w:eastAsiaTheme="minorEastAsia" w:hAnsiTheme="minorEastAsia"/>
          <w:b/>
          <w:bCs/>
        </w:rPr>
      </w:pPr>
      <w:r w:rsidRPr="00456512">
        <w:rPr>
          <w:rFonts w:asciiTheme="minorEastAsia" w:eastAsiaTheme="minorEastAsia" w:hAnsiTheme="minorEastAsia" w:hint="eastAsia"/>
          <w:b/>
          <w:bCs/>
        </w:rPr>
        <w:t>2、</w:t>
      </w:r>
      <w:r w:rsidR="001D2E2F" w:rsidRPr="00456512">
        <w:rPr>
          <w:rFonts w:asciiTheme="minorEastAsia" w:eastAsiaTheme="minorEastAsia" w:hAnsiTheme="minorEastAsia" w:hint="eastAsia"/>
          <w:b/>
          <w:bCs/>
        </w:rPr>
        <w:t>公司内部控制遵循的原则</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全面性原则：内部控制必须覆盖公司的所有部门和岗位，渗透各项业务过程和业务环节，并普遍适用于公司每一位职员；</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审慎性原则：内部控制的核心是有效防范各种风险，公司组织体系的构成、内部管理制度的建立都要以防范风险、审慎经营为出发点；</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相互制约原则：公司设置的各部门、各岗位权责分明、相互制衡；</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（4）</w:t>
      </w:r>
      <w:r w:rsidR="001D2E2F" w:rsidRPr="00456512">
        <w:rPr>
          <w:rFonts w:asciiTheme="minorEastAsia" w:eastAsiaTheme="minorEastAsia" w:hAnsiTheme="minorEastAsia" w:hint="eastAsia"/>
          <w:szCs w:val="21"/>
        </w:rPr>
        <w:t>独立性原则：公司根据业务的需要设立相对独立的机构、部门和岗位；公司内部部门和岗位的设置必须权责分明；</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有效性原则：各种内部管理制度具有高度的权威性，应是所有员工严格遵守的行动指南；执行内部管理制度不能有任何例外，任何人不得拥有超越制度或违反规章的权力；</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适时性原则：内部控制应具有前瞻性，并且必须随着公司经营战略、经营方针、经营理念等内部环境的变化和国家法律、法规、政策制度等外部环境的改变及时进行相应的修改和完善；</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（7）</w:t>
      </w:r>
      <w:r w:rsidR="001D2E2F" w:rsidRPr="00456512">
        <w:rPr>
          <w:rFonts w:asciiTheme="minorEastAsia" w:eastAsiaTheme="minorEastAsia" w:hAnsiTheme="minorEastAsia" w:hint="eastAsia"/>
          <w:szCs w:val="21"/>
        </w:rPr>
        <w:t>成本效益原则：公司运用科学化的经营管理方法降低运作成本，提高经济效益，力争以合理的控制成本达到最佳的内部控制效果。</w:t>
      </w:r>
    </w:p>
    <w:p w:rsidR="001D2E2F" w:rsidRPr="00456512" w:rsidRDefault="00084917" w:rsidP="00084917">
      <w:pPr>
        <w:tabs>
          <w:tab w:val="left" w:pos="735"/>
        </w:tabs>
        <w:snapToGrid w:val="0"/>
        <w:spacing w:line="360" w:lineRule="auto"/>
        <w:ind w:left="420"/>
        <w:rPr>
          <w:rFonts w:asciiTheme="minorEastAsia" w:eastAsiaTheme="minorEastAsia" w:hAnsiTheme="minorEastAsia"/>
          <w:b/>
          <w:bCs/>
        </w:rPr>
      </w:pPr>
      <w:r w:rsidRPr="00456512">
        <w:rPr>
          <w:rFonts w:asciiTheme="minorEastAsia" w:eastAsiaTheme="minorEastAsia" w:hAnsiTheme="minorEastAsia" w:hint="eastAsia"/>
          <w:b/>
          <w:szCs w:val="21"/>
        </w:rPr>
        <w:t>3、</w:t>
      </w:r>
      <w:r w:rsidR="001D2E2F" w:rsidRPr="00456512">
        <w:rPr>
          <w:rFonts w:asciiTheme="minorEastAsia" w:eastAsiaTheme="minorEastAsia" w:hAnsiTheme="minorEastAsia" w:hint="eastAsia"/>
          <w:b/>
          <w:bCs/>
        </w:rPr>
        <w:t>内部控制的制度体系</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1D2E2F" w:rsidRPr="00456512" w:rsidRDefault="00084917" w:rsidP="00084917">
      <w:pPr>
        <w:tabs>
          <w:tab w:val="left" w:pos="735"/>
        </w:tabs>
        <w:snapToGrid w:val="0"/>
        <w:spacing w:line="360" w:lineRule="auto"/>
        <w:ind w:left="420"/>
        <w:rPr>
          <w:rFonts w:asciiTheme="minorEastAsia" w:eastAsiaTheme="minorEastAsia" w:hAnsiTheme="minorEastAsia"/>
          <w:b/>
          <w:szCs w:val="21"/>
        </w:rPr>
      </w:pPr>
      <w:r w:rsidRPr="00456512">
        <w:rPr>
          <w:rFonts w:asciiTheme="minorEastAsia" w:eastAsiaTheme="minorEastAsia" w:hAnsiTheme="minorEastAsia" w:hint="eastAsia"/>
          <w:b/>
          <w:szCs w:val="21"/>
        </w:rPr>
        <w:t>4、</w:t>
      </w:r>
      <w:r w:rsidR="001D2E2F" w:rsidRPr="00456512">
        <w:rPr>
          <w:rFonts w:asciiTheme="minorEastAsia" w:eastAsiaTheme="minorEastAsia" w:hAnsiTheme="minorEastAsia" w:hint="eastAsia"/>
          <w:b/>
          <w:szCs w:val="21"/>
        </w:rPr>
        <w:t>关于授权、研究、投资、交易等方面的控制点</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授权制度</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公司研究业务</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基金投资业务</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w:t>
      </w:r>
      <w:r w:rsidRPr="00456512">
        <w:rPr>
          <w:rFonts w:asciiTheme="minorEastAsia" w:eastAsiaTheme="minorEastAsia" w:hAnsiTheme="minorEastAsia" w:hint="eastAsia"/>
          <w:szCs w:val="21"/>
        </w:rPr>
        <w:lastRenderedPageBreak/>
        <w:t>评估与管理制度，将重点投资限制在一定的风险权限额度内；对于投资结果建立科学的投资管理业绩评价体系。</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交易业务</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基金会计核算</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1D2E2F" w:rsidRPr="00456512" w:rsidRDefault="001D2E2F" w:rsidP="007F114F">
      <w:pPr>
        <w:numPr>
          <w:ilvl w:val="1"/>
          <w:numId w:val="20"/>
        </w:numPr>
        <w:tabs>
          <w:tab w:val="left" w:pos="735"/>
        </w:tabs>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信息披露</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1D2E2F" w:rsidRPr="00456512" w:rsidRDefault="00FF3B4A" w:rsidP="007F114F">
      <w:pPr>
        <w:numPr>
          <w:ilvl w:val="1"/>
          <w:numId w:val="20"/>
        </w:numPr>
        <w:tabs>
          <w:tab w:val="left" w:pos="735"/>
        </w:tabs>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监察与合规管理</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公司设立督察长，经董事会聘任，报中国证监会核准。根据公司</w:t>
      </w:r>
      <w:r w:rsidR="00FF3B4A" w:rsidRPr="00456512">
        <w:rPr>
          <w:rFonts w:asciiTheme="minorEastAsia" w:eastAsiaTheme="minorEastAsia" w:hAnsiTheme="minorEastAsia" w:hint="eastAsia"/>
          <w:szCs w:val="21"/>
        </w:rPr>
        <w:t>监察与合规管理</w:t>
      </w:r>
      <w:r w:rsidRPr="00456512">
        <w:rPr>
          <w:rFonts w:asciiTheme="minorEastAsia" w:eastAsiaTheme="minorEastAsia" w:hAnsiTheme="minorEastAsia"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公司设立</w:t>
      </w:r>
      <w:r w:rsidR="00FF3B4A" w:rsidRPr="00456512">
        <w:rPr>
          <w:rFonts w:asciiTheme="minorEastAsia" w:eastAsiaTheme="minorEastAsia" w:hAnsiTheme="minorEastAsia" w:hint="eastAsia"/>
          <w:szCs w:val="21"/>
        </w:rPr>
        <w:t>监察与合规管理总部</w:t>
      </w:r>
      <w:r w:rsidRPr="00456512">
        <w:rPr>
          <w:rFonts w:asciiTheme="minorEastAsia" w:eastAsiaTheme="minorEastAsia" w:hAnsiTheme="minorEastAsia" w:hint="eastAsia"/>
          <w:szCs w:val="21"/>
        </w:rPr>
        <w:t>开展</w:t>
      </w:r>
      <w:r w:rsidR="00FF3B4A" w:rsidRPr="00456512">
        <w:rPr>
          <w:rFonts w:asciiTheme="minorEastAsia" w:eastAsiaTheme="minorEastAsia" w:hAnsiTheme="minorEastAsia" w:hint="eastAsia"/>
          <w:szCs w:val="21"/>
        </w:rPr>
        <w:t>监察与合规管理</w:t>
      </w:r>
      <w:r w:rsidRPr="00456512">
        <w:rPr>
          <w:rFonts w:asciiTheme="minorEastAsia" w:eastAsiaTheme="minorEastAsia" w:hAnsiTheme="minorEastAsia" w:hint="eastAsia"/>
          <w:szCs w:val="21"/>
        </w:rPr>
        <w:t>工作，并保证</w:t>
      </w:r>
      <w:r w:rsidR="00FF3B4A" w:rsidRPr="00456512">
        <w:rPr>
          <w:rFonts w:asciiTheme="minorEastAsia" w:eastAsiaTheme="minorEastAsia" w:hAnsiTheme="minorEastAsia" w:hint="eastAsia"/>
          <w:szCs w:val="21"/>
        </w:rPr>
        <w:t>监察与合规管理总部</w:t>
      </w:r>
      <w:r w:rsidRPr="00456512">
        <w:rPr>
          <w:rFonts w:asciiTheme="minorEastAsia" w:eastAsiaTheme="minorEastAsia" w:hAnsiTheme="minorEastAsia" w:hint="eastAsia"/>
          <w:szCs w:val="21"/>
        </w:rPr>
        <w:t>的独立性和权威性。公司明确了</w:t>
      </w:r>
      <w:r w:rsidR="00FF3B4A" w:rsidRPr="00456512">
        <w:rPr>
          <w:rFonts w:asciiTheme="minorEastAsia" w:eastAsiaTheme="minorEastAsia" w:hAnsiTheme="minorEastAsia" w:hint="eastAsia"/>
          <w:szCs w:val="21"/>
        </w:rPr>
        <w:t>监察与合规管理总部</w:t>
      </w:r>
      <w:r w:rsidRPr="00456512">
        <w:rPr>
          <w:rFonts w:asciiTheme="minorEastAsia" w:eastAsiaTheme="minorEastAsia" w:hAnsiTheme="minorEastAsia" w:hint="eastAsia"/>
          <w:szCs w:val="21"/>
        </w:rPr>
        <w:t>及内部各岗位的具体职责，严格制订了专业任职条件、操作程序和组织纪律。</w:t>
      </w:r>
    </w:p>
    <w:p w:rsidR="001D2E2F" w:rsidRPr="00456512" w:rsidRDefault="00FF3B4A"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监察与合规管理总部</w:t>
      </w:r>
      <w:r w:rsidR="001D2E2F" w:rsidRPr="00456512">
        <w:rPr>
          <w:rFonts w:asciiTheme="minorEastAsia" w:eastAsiaTheme="minorEastAsia" w:hAnsiTheme="minorEastAsia" w:hint="eastAsia"/>
          <w:szCs w:val="21"/>
        </w:rPr>
        <w:t>强化内部检查制度，通过定期或不定期检查内部控制制度的执行情况，促使公司各项经营管理活动规范有效运行。</w:t>
      </w:r>
    </w:p>
    <w:p w:rsidR="001D2E2F" w:rsidRPr="00456512" w:rsidRDefault="001D2E2F"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公司董事会和管理层充分重视和支持</w:t>
      </w:r>
      <w:r w:rsidR="00FF3B4A" w:rsidRPr="00456512">
        <w:rPr>
          <w:rFonts w:asciiTheme="minorEastAsia" w:eastAsiaTheme="minorEastAsia" w:hAnsiTheme="minorEastAsia" w:hint="eastAsia"/>
          <w:szCs w:val="21"/>
        </w:rPr>
        <w:t>监察与合规管理</w:t>
      </w:r>
      <w:r w:rsidRPr="00456512">
        <w:rPr>
          <w:rFonts w:asciiTheme="minorEastAsia" w:eastAsiaTheme="minorEastAsia" w:hAnsiTheme="minorEastAsia" w:hint="eastAsia"/>
          <w:szCs w:val="21"/>
        </w:rPr>
        <w:t>工作，对违反法律、法规和公司内部控制制度的，追究有关部门和人员的责任。</w:t>
      </w:r>
    </w:p>
    <w:p w:rsidR="001D2E2F" w:rsidRPr="00456512" w:rsidRDefault="00084917" w:rsidP="00084917">
      <w:pPr>
        <w:tabs>
          <w:tab w:val="left" w:pos="735"/>
        </w:tabs>
        <w:snapToGrid w:val="0"/>
        <w:spacing w:line="360" w:lineRule="auto"/>
        <w:ind w:left="420"/>
        <w:rPr>
          <w:rFonts w:asciiTheme="minorEastAsia" w:eastAsiaTheme="minorEastAsia" w:hAnsiTheme="minorEastAsia"/>
          <w:b/>
          <w:szCs w:val="21"/>
        </w:rPr>
      </w:pPr>
      <w:r w:rsidRPr="00456512">
        <w:rPr>
          <w:rFonts w:asciiTheme="minorEastAsia" w:eastAsiaTheme="minorEastAsia" w:hAnsiTheme="minorEastAsia" w:hint="eastAsia"/>
          <w:b/>
          <w:szCs w:val="21"/>
        </w:rPr>
        <w:t>5、</w:t>
      </w:r>
      <w:r w:rsidR="001D2E2F" w:rsidRPr="00456512">
        <w:rPr>
          <w:rFonts w:asciiTheme="minorEastAsia" w:eastAsiaTheme="minorEastAsia" w:hAnsiTheme="minorEastAsia" w:hint="eastAsia"/>
          <w:b/>
          <w:szCs w:val="21"/>
        </w:rPr>
        <w:t>基金管理人关于内部控制制度声明书</w:t>
      </w:r>
    </w:p>
    <w:p w:rsidR="001D2E2F"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本公司承诺以上关于内部控制制度的披露真实、准确；</w:t>
      </w:r>
    </w:p>
    <w:p w:rsidR="0037562B" w:rsidRPr="00456512" w:rsidRDefault="00084917" w:rsidP="00084917">
      <w:pPr>
        <w:pStyle w:val="affd"/>
        <w:autoSpaceDE w:val="0"/>
        <w:autoSpaceDN w:val="0"/>
        <w:adjustRightInd w:val="0"/>
        <w:snapToGrid w:val="0"/>
        <w:spacing w:line="360" w:lineRule="auto"/>
        <w:ind w:firstLineChars="200"/>
        <w:rPr>
          <w:rFonts w:asciiTheme="minorEastAsia" w:eastAsiaTheme="minorEastAsia" w:hAnsiTheme="minorEastAsia"/>
          <w:szCs w:val="21"/>
        </w:rPr>
        <w:sectPr w:rsidR="0037562B" w:rsidRPr="00456512" w:rsidSect="00E95FD6">
          <w:footerReference w:type="first" r:id="rId18"/>
          <w:pgSz w:w="11906" w:h="16838" w:code="9"/>
          <w:pgMar w:top="1440" w:right="1800" w:bottom="1440" w:left="1800" w:header="851" w:footer="992" w:gutter="0"/>
          <w:pgNumType w:start="1"/>
          <w:cols w:space="425"/>
          <w:titlePg/>
          <w:docGrid w:type="lines" w:linePitch="312"/>
        </w:sect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本公司承诺根据市场变化和公司业务发展不断完善内部控制制度。</w:t>
      </w:r>
    </w:p>
    <w:p w:rsidR="001D2E2F" w:rsidRPr="00456512" w:rsidRDefault="001D2E2F" w:rsidP="00084917">
      <w:pPr>
        <w:pStyle w:val="10"/>
        <w:snapToGrid w:val="0"/>
        <w:spacing w:before="312" w:after="312" w:line="360" w:lineRule="auto"/>
        <w:ind w:firstLine="643"/>
        <w:rPr>
          <w:rFonts w:asciiTheme="minorEastAsia" w:eastAsiaTheme="minorEastAsia" w:hAnsiTheme="minorEastAsia"/>
        </w:rPr>
      </w:pPr>
      <w:bookmarkStart w:id="11" w:name="_Toc193025727"/>
      <w:bookmarkStart w:id="12" w:name="_Toc30161766"/>
      <w:bookmarkStart w:id="13" w:name="_Toc92774750"/>
      <w:r w:rsidRPr="00456512">
        <w:rPr>
          <w:rFonts w:asciiTheme="minorEastAsia" w:eastAsiaTheme="minorEastAsia" w:hAnsiTheme="minorEastAsia" w:hint="eastAsia"/>
          <w:b/>
        </w:rPr>
        <w:lastRenderedPageBreak/>
        <w:t>四、</w:t>
      </w:r>
      <w:r w:rsidRPr="00456512">
        <w:rPr>
          <w:rFonts w:asciiTheme="minorEastAsia" w:eastAsiaTheme="minorEastAsia" w:hAnsiTheme="minorEastAsia" w:hint="eastAsia"/>
          <w:b/>
          <w:bCs/>
        </w:rPr>
        <w:t>基金托管人</w:t>
      </w:r>
      <w:bookmarkEnd w:id="11"/>
      <w:bookmarkEnd w:id="12"/>
    </w:p>
    <w:p w:rsidR="00960F82" w:rsidRPr="00456512" w:rsidRDefault="00960F82" w:rsidP="00960F82">
      <w:pPr>
        <w:spacing w:line="360" w:lineRule="auto"/>
        <w:ind w:firstLineChars="200" w:firstLine="420"/>
        <w:rPr>
          <w:rStyle w:val="da"/>
          <w:rFonts w:asciiTheme="minorEastAsia" w:eastAsiaTheme="minorEastAsia" w:hAnsiTheme="minorEastAsia"/>
        </w:rPr>
      </w:pPr>
      <w:bookmarkStart w:id="14" w:name="_Toc252976119"/>
      <w:bookmarkStart w:id="15" w:name="_Toc270345291"/>
      <w:bookmarkStart w:id="16" w:name="_Toc285438506"/>
      <w:bookmarkStart w:id="17" w:name="_Toc287974000"/>
      <w:r w:rsidRPr="00456512">
        <w:rPr>
          <w:rStyle w:val="da"/>
          <w:rFonts w:asciiTheme="minorEastAsia" w:eastAsiaTheme="minorEastAsia" w:hAnsiTheme="minorEastAsia" w:hint="eastAsia"/>
        </w:rPr>
        <w:t>（一）基本情况</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名称：中国银行股份有限公司（简称</w:t>
      </w:r>
      <w:r w:rsidRPr="00456512">
        <w:rPr>
          <w:rStyle w:val="da"/>
          <w:rFonts w:asciiTheme="minorEastAsia" w:eastAsiaTheme="minorEastAsia" w:hAnsiTheme="minorEastAsia"/>
        </w:rPr>
        <w:t>“</w:t>
      </w:r>
      <w:r w:rsidRPr="00456512">
        <w:rPr>
          <w:rStyle w:val="da"/>
          <w:rFonts w:asciiTheme="minorEastAsia" w:eastAsiaTheme="minorEastAsia" w:hAnsiTheme="minorEastAsia" w:hint="eastAsia"/>
        </w:rPr>
        <w:t>中国银行</w:t>
      </w:r>
      <w:r w:rsidRPr="00456512">
        <w:rPr>
          <w:rStyle w:val="da"/>
          <w:rFonts w:asciiTheme="minorEastAsia" w:eastAsiaTheme="minorEastAsia" w:hAnsiTheme="minorEastAsia"/>
        </w:rPr>
        <w:t>”</w:t>
      </w:r>
      <w:r w:rsidRPr="00456512">
        <w:rPr>
          <w:rStyle w:val="da"/>
          <w:rFonts w:asciiTheme="minorEastAsia" w:eastAsiaTheme="minorEastAsia" w:hAnsiTheme="minorEastAsia" w:hint="eastAsia"/>
        </w:rPr>
        <w:t>）</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住所及办公地址：北京市西城区复兴门内大街</w:t>
      </w:r>
      <w:r w:rsidRPr="00456512">
        <w:rPr>
          <w:rStyle w:val="da"/>
          <w:rFonts w:asciiTheme="minorEastAsia" w:eastAsiaTheme="minorEastAsia" w:hAnsiTheme="minorEastAsia"/>
        </w:rPr>
        <w:t>1</w:t>
      </w:r>
      <w:r w:rsidRPr="00456512">
        <w:rPr>
          <w:rStyle w:val="da"/>
          <w:rFonts w:asciiTheme="minorEastAsia" w:eastAsiaTheme="minorEastAsia" w:hAnsiTheme="minorEastAsia" w:hint="eastAsia"/>
        </w:rPr>
        <w:t>号</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首次注册登记日期：</w:t>
      </w:r>
      <w:smartTag w:uri="urn:schemas-microsoft-com:office:smarttags" w:element="chsdate">
        <w:smartTagPr>
          <w:attr w:name="IsROCDate" w:val="False"/>
          <w:attr w:name="IsLunarDate" w:val="False"/>
          <w:attr w:name="Day" w:val="31"/>
          <w:attr w:name="Month" w:val="10"/>
          <w:attr w:name="Year" w:val="1983"/>
        </w:smartTagPr>
        <w:r w:rsidRPr="00456512">
          <w:rPr>
            <w:rStyle w:val="da"/>
            <w:rFonts w:asciiTheme="minorEastAsia" w:eastAsiaTheme="minorEastAsia" w:hAnsiTheme="minorEastAsia" w:hint="eastAsia"/>
          </w:rPr>
          <w:t>1983年10月31日</w:t>
        </w:r>
      </w:smartTag>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注册资本：人民币贰仟玖佰肆拾叁亿捌仟柒佰柒拾玖万壹仟贰佰肆拾壹元整</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法定代表人：刘连舸</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基金托管业务批准文号：中国证监会证监基字【</w:t>
      </w:r>
      <w:r w:rsidRPr="00456512">
        <w:rPr>
          <w:rStyle w:val="da"/>
          <w:rFonts w:asciiTheme="minorEastAsia" w:eastAsiaTheme="minorEastAsia" w:hAnsiTheme="minorEastAsia"/>
        </w:rPr>
        <w:t>1998</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 xml:space="preserve">24 </w:t>
      </w:r>
      <w:r w:rsidRPr="00456512">
        <w:rPr>
          <w:rStyle w:val="da"/>
          <w:rFonts w:asciiTheme="minorEastAsia" w:eastAsiaTheme="minorEastAsia" w:hAnsiTheme="minorEastAsia" w:hint="eastAsia"/>
        </w:rPr>
        <w:t>号</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托管部门信息披露联系人：</w:t>
      </w:r>
      <w:r w:rsidRPr="00456512">
        <w:rPr>
          <w:rFonts w:asciiTheme="minorEastAsia" w:eastAsiaTheme="minorEastAsia" w:hAnsiTheme="minorEastAsia" w:hint="eastAsia"/>
          <w:szCs w:val="21"/>
        </w:rPr>
        <w:t>许俊</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传真：（</w:t>
      </w:r>
      <w:r w:rsidRPr="00456512">
        <w:rPr>
          <w:rStyle w:val="da"/>
          <w:rFonts w:asciiTheme="minorEastAsia" w:eastAsiaTheme="minorEastAsia" w:hAnsiTheme="minorEastAsia"/>
        </w:rPr>
        <w:t>010</w:t>
      </w:r>
      <w:r w:rsidRPr="00456512">
        <w:rPr>
          <w:rStyle w:val="da"/>
          <w:rFonts w:asciiTheme="minorEastAsia" w:eastAsiaTheme="minorEastAsia" w:hAnsiTheme="minorEastAsia" w:hint="eastAsia"/>
        </w:rPr>
        <w:t>）</w:t>
      </w:r>
      <w:r w:rsidRPr="00456512">
        <w:rPr>
          <w:rStyle w:val="da"/>
          <w:rFonts w:asciiTheme="minorEastAsia" w:eastAsiaTheme="minorEastAsia" w:hAnsiTheme="minorEastAsia"/>
        </w:rPr>
        <w:t>66594942</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中国银行客服电话：95566</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（二）基金托管部门及主要人员情况</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中国银行托管业务部设立于</w:t>
      </w:r>
      <w:r w:rsidRPr="00456512">
        <w:rPr>
          <w:rStyle w:val="da"/>
          <w:rFonts w:asciiTheme="minorEastAsia" w:eastAsiaTheme="minorEastAsia" w:hAnsiTheme="minorEastAsia"/>
        </w:rPr>
        <w:t>1998</w:t>
      </w:r>
      <w:r w:rsidRPr="00456512">
        <w:rPr>
          <w:rStyle w:val="da"/>
          <w:rFonts w:asciiTheme="minorEastAsia" w:eastAsiaTheme="minorEastAsia" w:hAnsiTheme="minorEastAsia" w:hint="eastAsia"/>
        </w:rPr>
        <w:t>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456512">
        <w:rPr>
          <w:rStyle w:val="da"/>
          <w:rFonts w:asciiTheme="minorEastAsia" w:eastAsiaTheme="minorEastAsia" w:hAnsiTheme="minorEastAsia"/>
        </w:rPr>
        <w:t>QFII</w:t>
      </w:r>
      <w:r w:rsidRPr="00456512">
        <w:rPr>
          <w:rStyle w:val="da"/>
          <w:rFonts w:asciiTheme="minorEastAsia" w:eastAsiaTheme="minorEastAsia" w:hAnsiTheme="minorEastAsia" w:hint="eastAsia"/>
        </w:rPr>
        <w:t>、RQFII、</w:t>
      </w:r>
      <w:r w:rsidRPr="00456512">
        <w:rPr>
          <w:rStyle w:val="da"/>
          <w:rFonts w:asciiTheme="minorEastAsia" w:eastAsiaTheme="minorEastAsia" w:hAnsiTheme="minorEastAsia"/>
        </w:rPr>
        <w:t>QDII</w:t>
      </w:r>
      <w:r w:rsidRPr="00456512">
        <w:rPr>
          <w:rStyle w:val="da"/>
          <w:rFonts w:asciiTheme="minorEastAsia" w:eastAsiaTheme="minorEastAsia" w:hAnsiTheme="minorEastAsia" w:hint="eastAsia"/>
        </w:rPr>
        <w:t>、境外三类机构、券商资产管理计划、信托计划、企业年金、银行理财产品、股权基金、私募基金、资金托管等</w:t>
      </w:r>
      <w:r w:rsidRPr="00456512">
        <w:rPr>
          <w:rStyle w:val="da"/>
          <w:rFonts w:asciiTheme="minorEastAsia" w:eastAsiaTheme="minorEastAsia" w:hAnsiTheme="minorEastAsia"/>
        </w:rPr>
        <w:t>门类齐全</w:t>
      </w:r>
      <w:r w:rsidRPr="00456512">
        <w:rPr>
          <w:rStyle w:val="da"/>
          <w:rFonts w:asciiTheme="minorEastAsia" w:eastAsiaTheme="minorEastAsia" w:hAnsiTheme="minorEastAsia" w:hint="eastAsia"/>
        </w:rPr>
        <w:t>、产品丰富</w:t>
      </w:r>
      <w:r w:rsidRPr="00456512">
        <w:rPr>
          <w:rStyle w:val="da"/>
          <w:rFonts w:asciiTheme="minorEastAsia" w:eastAsiaTheme="minorEastAsia" w:hAnsiTheme="minorEastAsia"/>
        </w:rPr>
        <w:t>的托管</w:t>
      </w:r>
      <w:r w:rsidRPr="00456512">
        <w:rPr>
          <w:rStyle w:val="da"/>
          <w:rFonts w:asciiTheme="minorEastAsia" w:eastAsiaTheme="minorEastAsia" w:hAnsiTheme="minorEastAsia" w:hint="eastAsia"/>
        </w:rPr>
        <w:t>业务</w:t>
      </w:r>
      <w:r w:rsidRPr="00456512">
        <w:rPr>
          <w:rStyle w:val="da"/>
          <w:rFonts w:asciiTheme="minorEastAsia" w:eastAsiaTheme="minorEastAsia" w:hAnsiTheme="minorEastAsia"/>
        </w:rPr>
        <w:t>体系</w:t>
      </w:r>
      <w:r w:rsidRPr="00456512">
        <w:rPr>
          <w:rStyle w:val="da"/>
          <w:rFonts w:asciiTheme="minorEastAsia" w:eastAsiaTheme="minorEastAsia" w:hAnsiTheme="minorEastAsia" w:hint="eastAsia"/>
        </w:rPr>
        <w:t>。在国</w:t>
      </w:r>
      <w:r w:rsidRPr="00456512">
        <w:rPr>
          <w:rStyle w:val="da"/>
          <w:rFonts w:asciiTheme="minorEastAsia" w:eastAsiaTheme="minorEastAsia" w:hAnsiTheme="minorEastAsia"/>
        </w:rPr>
        <w:t>内</w:t>
      </w:r>
      <w:r w:rsidRPr="00456512">
        <w:rPr>
          <w:rStyle w:val="da"/>
          <w:rFonts w:asciiTheme="minorEastAsia" w:eastAsiaTheme="minorEastAsia" w:hAnsiTheme="minorEastAsia" w:hint="eastAsia"/>
        </w:rPr>
        <w:t>，中国银行首家</w:t>
      </w:r>
      <w:r w:rsidRPr="00456512">
        <w:rPr>
          <w:rStyle w:val="da"/>
          <w:rFonts w:asciiTheme="minorEastAsia" w:eastAsiaTheme="minorEastAsia" w:hAnsiTheme="minorEastAsia"/>
        </w:rPr>
        <w:t>开展绩效评估、风险</w:t>
      </w:r>
      <w:r w:rsidRPr="00456512">
        <w:rPr>
          <w:rStyle w:val="da"/>
          <w:rFonts w:asciiTheme="minorEastAsia" w:eastAsiaTheme="minorEastAsia" w:hAnsiTheme="minorEastAsia" w:hint="eastAsia"/>
        </w:rPr>
        <w:t>分析</w:t>
      </w:r>
      <w:r w:rsidRPr="00456512">
        <w:rPr>
          <w:rStyle w:val="da"/>
          <w:rFonts w:asciiTheme="minorEastAsia" w:eastAsiaTheme="minorEastAsia" w:hAnsiTheme="minorEastAsia"/>
        </w:rPr>
        <w:t>等增值服务，为各类客户提供个性化的托管</w:t>
      </w:r>
      <w:r w:rsidRPr="00456512">
        <w:rPr>
          <w:rStyle w:val="da"/>
          <w:rFonts w:asciiTheme="minorEastAsia" w:eastAsiaTheme="minorEastAsia" w:hAnsiTheme="minorEastAsia" w:hint="eastAsia"/>
        </w:rPr>
        <w:t>增值</w:t>
      </w:r>
      <w:r w:rsidRPr="00456512">
        <w:rPr>
          <w:rStyle w:val="da"/>
          <w:rFonts w:asciiTheme="minorEastAsia" w:eastAsiaTheme="minorEastAsia" w:hAnsiTheme="minorEastAsia"/>
        </w:rPr>
        <w:t>服务</w:t>
      </w:r>
      <w:r w:rsidRPr="00456512">
        <w:rPr>
          <w:rStyle w:val="da"/>
          <w:rFonts w:asciiTheme="minorEastAsia" w:eastAsiaTheme="minorEastAsia" w:hAnsiTheme="minorEastAsia" w:hint="eastAsia"/>
        </w:rPr>
        <w:t>，是国内领先的大型中资托管银行。</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（三）证券投资基金托管情况</w:t>
      </w:r>
    </w:p>
    <w:p w:rsidR="00960F82" w:rsidRPr="00456512" w:rsidRDefault="00960F82" w:rsidP="00960F82">
      <w:pPr>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（四）托管业务的内部控制制度</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w:t>
      </w:r>
      <w:r w:rsidRPr="00456512">
        <w:rPr>
          <w:rStyle w:val="da"/>
          <w:rFonts w:asciiTheme="minorEastAsia" w:eastAsiaTheme="minorEastAsia" w:hAnsiTheme="minorEastAsia" w:hint="eastAsia"/>
        </w:rPr>
        <w:lastRenderedPageBreak/>
        <w:t>控制工作贯穿业务各环节，通过风险识别与评估、风险控制措施设定及制度建设、内外部检查及审计等措施强化托管业务全员、全面、全程的风险管控。</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（五）托管人对管理人运作基金进行监督的方法和程序</w:t>
      </w:r>
    </w:p>
    <w:p w:rsidR="00960F82" w:rsidRPr="00456512" w:rsidRDefault="00960F82" w:rsidP="00960F82">
      <w:pPr>
        <w:spacing w:line="360" w:lineRule="auto"/>
        <w:ind w:firstLineChars="200" w:firstLine="420"/>
        <w:rPr>
          <w:rStyle w:val="da"/>
          <w:rFonts w:asciiTheme="minorEastAsia" w:eastAsiaTheme="minorEastAsia" w:hAnsiTheme="minorEastAsia"/>
        </w:rPr>
      </w:pPr>
      <w:r w:rsidRPr="00456512">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456512">
        <w:rPr>
          <w:rStyle w:val="da"/>
          <w:rFonts w:asciiTheme="minorEastAsia" w:eastAsiaTheme="minorEastAsia" w:hAnsiTheme="minorEastAsia"/>
        </w:rPr>
        <w:t>,</w:t>
      </w:r>
      <w:r w:rsidRPr="00456512">
        <w:rPr>
          <w:rStyle w:val="da"/>
          <w:rFonts w:asciiTheme="minorEastAsia" w:eastAsiaTheme="minorEastAsia" w:hAnsiTheme="minorEastAsia" w:hint="eastAsia"/>
        </w:rPr>
        <w:t>应当及时通知基金管理人，并及时向国务院证券监督管理机构报告。</w:t>
      </w:r>
    </w:p>
    <w:p w:rsidR="00083CDE" w:rsidRPr="00456512" w:rsidRDefault="00083CDE" w:rsidP="00083CDE">
      <w:pPr>
        <w:spacing w:line="360" w:lineRule="auto"/>
        <w:ind w:firstLineChars="200" w:firstLine="420"/>
        <w:rPr>
          <w:rStyle w:val="da"/>
          <w:rFonts w:asciiTheme="minorEastAsia" w:eastAsiaTheme="minorEastAsia" w:hAnsiTheme="minorEastAsia"/>
        </w:rPr>
      </w:pPr>
    </w:p>
    <w:p w:rsidR="00960F82" w:rsidRPr="00456512" w:rsidRDefault="00960F82" w:rsidP="00083CDE">
      <w:pPr>
        <w:spacing w:line="360" w:lineRule="auto"/>
        <w:ind w:firstLineChars="200" w:firstLine="420"/>
        <w:rPr>
          <w:rStyle w:val="da"/>
          <w:rFonts w:asciiTheme="minorEastAsia" w:eastAsiaTheme="minorEastAsia" w:hAnsiTheme="minorEastAsia"/>
        </w:rPr>
        <w:sectPr w:rsidR="00960F82" w:rsidRPr="00456512" w:rsidSect="0037562B">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18" w:name="_Toc92774751"/>
      <w:bookmarkStart w:id="19" w:name="_Toc30161767"/>
      <w:bookmarkEnd w:id="13"/>
      <w:bookmarkEnd w:id="14"/>
      <w:bookmarkEnd w:id="15"/>
      <w:bookmarkEnd w:id="16"/>
      <w:bookmarkEnd w:id="17"/>
      <w:r w:rsidRPr="00456512">
        <w:rPr>
          <w:rFonts w:asciiTheme="minorEastAsia" w:eastAsiaTheme="minorEastAsia" w:hAnsiTheme="minorEastAsia"/>
          <w:b/>
        </w:rPr>
        <w:lastRenderedPageBreak/>
        <w:t>五、相关服务机构</w:t>
      </w:r>
      <w:bookmarkEnd w:id="18"/>
      <w:bookmarkEnd w:id="19"/>
    </w:p>
    <w:p w:rsidR="001D2E2F" w:rsidRPr="00456512" w:rsidRDefault="001D2E2F" w:rsidP="00084917">
      <w:pPr>
        <w:pStyle w:val="23"/>
        <w:snapToGrid w:val="0"/>
        <w:spacing w:before="312" w:after="312" w:line="360" w:lineRule="auto"/>
        <w:ind w:firstLineChars="71"/>
        <w:rPr>
          <w:rFonts w:asciiTheme="minorEastAsia" w:eastAsiaTheme="minorEastAsia" w:hAnsiTheme="minorEastAsia"/>
          <w:szCs w:val="21"/>
        </w:rPr>
      </w:pPr>
      <w:bookmarkStart w:id="20" w:name="_Toc30161768"/>
      <w:r w:rsidRPr="00456512">
        <w:rPr>
          <w:rFonts w:asciiTheme="minorEastAsia" w:eastAsiaTheme="minorEastAsia" w:hAnsiTheme="minorEastAsia" w:hint="eastAsia"/>
          <w:szCs w:val="21"/>
        </w:rPr>
        <w:t>（一）基金份额</w:t>
      </w:r>
      <w:r w:rsidR="00661FDB" w:rsidRPr="00456512">
        <w:rPr>
          <w:rFonts w:asciiTheme="minorEastAsia" w:eastAsiaTheme="minorEastAsia" w:hAnsiTheme="minorEastAsia" w:hint="eastAsia"/>
          <w:szCs w:val="21"/>
        </w:rPr>
        <w:t>销售</w:t>
      </w:r>
      <w:r w:rsidRPr="00456512">
        <w:rPr>
          <w:rFonts w:asciiTheme="minorEastAsia" w:eastAsiaTheme="minorEastAsia" w:hAnsiTheme="minorEastAsia" w:hint="eastAsia"/>
          <w:szCs w:val="21"/>
        </w:rPr>
        <w:t>机构</w:t>
      </w:r>
      <w:bookmarkEnd w:id="20"/>
    </w:p>
    <w:p w:rsidR="001D2E2F" w:rsidRPr="00456512" w:rsidRDefault="00084917" w:rsidP="00084917">
      <w:pPr>
        <w:snapToGrid w:val="0"/>
        <w:spacing w:line="360" w:lineRule="auto"/>
        <w:ind w:firstLineChars="200" w:firstLine="422"/>
        <w:rPr>
          <w:rFonts w:asciiTheme="minorEastAsia" w:eastAsiaTheme="minorEastAsia" w:hAnsiTheme="minorEastAsia"/>
          <w:b/>
          <w:bCs/>
          <w:szCs w:val="21"/>
        </w:rPr>
      </w:pPr>
      <w:r w:rsidRPr="00456512">
        <w:rPr>
          <w:rFonts w:asciiTheme="minorEastAsia" w:eastAsiaTheme="minorEastAsia" w:hAnsiTheme="minorEastAsia" w:hint="eastAsia"/>
          <w:b/>
          <w:bCs/>
          <w:szCs w:val="21"/>
        </w:rPr>
        <w:t>1、</w:t>
      </w:r>
      <w:r w:rsidR="001D2E2F" w:rsidRPr="00456512">
        <w:rPr>
          <w:rFonts w:asciiTheme="minorEastAsia" w:eastAsiaTheme="minorEastAsia" w:hAnsiTheme="minorEastAsia" w:hint="eastAsia"/>
          <w:b/>
          <w:bCs/>
          <w:szCs w:val="21"/>
        </w:rPr>
        <w:t>直销机构</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易方达基金管理有限公司</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w:t>
      </w:r>
      <w:r w:rsidR="007916D7" w:rsidRPr="00456512">
        <w:rPr>
          <w:rStyle w:val="da"/>
          <w:rFonts w:asciiTheme="minorEastAsia" w:eastAsiaTheme="minorEastAsia" w:hAnsiTheme="minorEastAsia" w:hint="eastAsia"/>
          <w:szCs w:val="21"/>
        </w:rPr>
        <w:t>广东省珠海市横琴新区宝华路6号105室-42891（集中办公区）</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w:t>
      </w:r>
      <w:r w:rsidR="006B6B03" w:rsidRPr="00456512">
        <w:rPr>
          <w:rFonts w:asciiTheme="minorEastAsia" w:eastAsiaTheme="minorEastAsia" w:hAnsiTheme="minorEastAsia" w:hint="eastAsia"/>
          <w:szCs w:val="21"/>
        </w:rPr>
        <w:t>广州市天河区珠江新城珠江东路30号广州银行大厦40-43楼</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w:t>
      </w:r>
      <w:r w:rsidR="00E20637" w:rsidRPr="00456512">
        <w:rPr>
          <w:rFonts w:asciiTheme="minorEastAsia" w:eastAsiaTheme="minorEastAsia" w:hAnsiTheme="minorEastAsia" w:hint="eastAsia"/>
          <w:szCs w:val="21"/>
        </w:rPr>
        <w:t>刘晓艳</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电话：020-85102506</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传真：4008818099</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w:t>
      </w:r>
      <w:r w:rsidR="00530AF3" w:rsidRPr="00456512">
        <w:rPr>
          <w:rFonts w:asciiTheme="minorEastAsia" w:eastAsiaTheme="minorEastAsia" w:hAnsiTheme="minorEastAsia" w:hint="eastAsia"/>
          <w:szCs w:val="21"/>
        </w:rPr>
        <w:t>李红枫</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网址：www.efunds.com.cn</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直销机构网点信息：</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（1）易方达基金管理有限公司广州直销中心</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w:t>
      </w:r>
      <w:r w:rsidR="006B6B03" w:rsidRPr="00456512">
        <w:rPr>
          <w:rFonts w:asciiTheme="minorEastAsia" w:eastAsiaTheme="minorEastAsia" w:hAnsiTheme="minorEastAsia" w:hint="eastAsia"/>
          <w:szCs w:val="21"/>
        </w:rPr>
        <w:t>广州市天河区珠江新城珠江东路30号广州银行大厦40楼</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电话：020-85102506</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传真：4008818099</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w:t>
      </w:r>
      <w:r w:rsidR="00530AF3" w:rsidRPr="00456512">
        <w:rPr>
          <w:rFonts w:asciiTheme="minorEastAsia" w:eastAsiaTheme="minorEastAsia" w:hAnsiTheme="minorEastAsia" w:hint="eastAsia"/>
          <w:szCs w:val="21"/>
        </w:rPr>
        <w:t>李红枫</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（2）易方达基金管理有限公司北京直销中心</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w:t>
      </w:r>
      <w:r w:rsidR="005E66CD" w:rsidRPr="00456512">
        <w:rPr>
          <w:rFonts w:asciiTheme="minorEastAsia" w:eastAsiaTheme="minorEastAsia" w:hAnsiTheme="minorEastAsia" w:hint="eastAsia"/>
          <w:szCs w:val="21"/>
        </w:rPr>
        <w:t>北京市西城区武定侯街2号泰康国际大厦18层</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电话：010-63213377</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传真：4008818099</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w:t>
      </w:r>
      <w:r w:rsidR="00E20637" w:rsidRPr="00456512">
        <w:rPr>
          <w:rFonts w:asciiTheme="minorEastAsia" w:eastAsiaTheme="minorEastAsia" w:hAnsiTheme="minorEastAsia" w:hint="eastAsia"/>
          <w:szCs w:val="21"/>
        </w:rPr>
        <w:t>刘蕾</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（3）易方达基金管理有限公司上海直销中心</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w:t>
      </w:r>
      <w:r w:rsidR="00B04E63" w:rsidRPr="00456512">
        <w:rPr>
          <w:rFonts w:asciiTheme="minorEastAsia" w:eastAsiaTheme="minorEastAsia" w:hAnsiTheme="minorEastAsia" w:hint="eastAsia"/>
          <w:szCs w:val="21"/>
        </w:rPr>
        <w:t>浦东新区</w:t>
      </w:r>
      <w:r w:rsidRPr="00456512">
        <w:rPr>
          <w:rFonts w:asciiTheme="minorEastAsia" w:eastAsiaTheme="minorEastAsia" w:hAnsiTheme="minorEastAsia" w:hint="eastAsia"/>
          <w:szCs w:val="21"/>
        </w:rPr>
        <w:t>世纪大道88号金</w:t>
      </w:r>
      <w:r w:rsidR="006B6B03" w:rsidRPr="00456512">
        <w:rPr>
          <w:rFonts w:asciiTheme="minorEastAsia" w:eastAsiaTheme="minorEastAsia" w:hAnsiTheme="minorEastAsia" w:hint="eastAsia"/>
          <w:szCs w:val="21"/>
        </w:rPr>
        <w:t>茂</w:t>
      </w:r>
      <w:r w:rsidRPr="00456512">
        <w:rPr>
          <w:rFonts w:asciiTheme="minorEastAsia" w:eastAsiaTheme="minorEastAsia" w:hAnsiTheme="minorEastAsia" w:hint="eastAsia"/>
          <w:szCs w:val="21"/>
        </w:rPr>
        <w:t>大厦</w:t>
      </w:r>
      <w:r w:rsidR="00B04E63" w:rsidRPr="00456512">
        <w:rPr>
          <w:rFonts w:asciiTheme="minorEastAsia" w:eastAsiaTheme="minorEastAsia" w:hAnsiTheme="minorEastAsia"/>
          <w:szCs w:val="21"/>
        </w:rPr>
        <w:t>46楼</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电话：021-50476668</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传真：4008818099</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w:t>
      </w:r>
      <w:r w:rsidR="006B6B03" w:rsidRPr="00456512">
        <w:rPr>
          <w:rFonts w:asciiTheme="minorEastAsia" w:eastAsiaTheme="minorEastAsia" w:hAnsiTheme="minorEastAsia" w:hint="eastAsia"/>
          <w:szCs w:val="21"/>
        </w:rPr>
        <w:t>于楠</w:t>
      </w:r>
    </w:p>
    <w:p w:rsidR="002527DA"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（4）易方达基金管理有限公司网上交易系统</w:t>
      </w:r>
    </w:p>
    <w:p w:rsidR="001D2E2F" w:rsidRPr="00456512" w:rsidRDefault="002527D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网址：www.efunds.com.cn</w:t>
      </w:r>
    </w:p>
    <w:p w:rsidR="001D2E2F" w:rsidRPr="00456512" w:rsidRDefault="00084917" w:rsidP="00084917">
      <w:pPr>
        <w:snapToGrid w:val="0"/>
        <w:spacing w:line="360" w:lineRule="auto"/>
        <w:ind w:firstLineChars="200" w:firstLine="422"/>
        <w:rPr>
          <w:rFonts w:asciiTheme="minorEastAsia" w:eastAsiaTheme="minorEastAsia" w:hAnsiTheme="minorEastAsia"/>
          <w:b/>
          <w:bCs/>
          <w:szCs w:val="21"/>
        </w:rPr>
      </w:pPr>
      <w:r w:rsidRPr="00456512">
        <w:rPr>
          <w:rFonts w:asciiTheme="minorEastAsia" w:eastAsiaTheme="minorEastAsia" w:hAnsiTheme="minorEastAsia" w:hint="eastAsia"/>
          <w:b/>
          <w:bCs/>
          <w:szCs w:val="21"/>
        </w:rPr>
        <w:t>2、</w:t>
      </w:r>
      <w:r w:rsidR="006A5737" w:rsidRPr="00456512">
        <w:rPr>
          <w:rFonts w:asciiTheme="minorEastAsia" w:eastAsiaTheme="minorEastAsia" w:hAnsiTheme="minorEastAsia" w:hint="eastAsia"/>
          <w:b/>
          <w:bCs/>
          <w:szCs w:val="21"/>
        </w:rPr>
        <w:t>非直销销售</w:t>
      </w:r>
      <w:r w:rsidR="001D2E2F" w:rsidRPr="00456512">
        <w:rPr>
          <w:rFonts w:asciiTheme="minorEastAsia" w:eastAsiaTheme="minorEastAsia" w:hAnsiTheme="minorEastAsia" w:hint="eastAsia"/>
          <w:b/>
          <w:bCs/>
          <w:szCs w:val="21"/>
        </w:rPr>
        <w:t>机构（以下排序不分先后）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bookmarkStart w:id="21" w:name="_Toc38432429"/>
      <w:r w:rsidRPr="00456512">
        <w:rPr>
          <w:rFonts w:asciiTheme="minorEastAsia" w:eastAsiaTheme="minorEastAsia" w:hAnsiTheme="minorEastAsia" w:hint="eastAsia"/>
          <w:szCs w:val="21"/>
        </w:rPr>
        <w:t>(1) 中国银行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注册地址：北京市西城区复兴门内大街1号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办公地址：北京市西城区复兴门内大街1号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法定代表人：刘连舸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网址：www.boc.cn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 渤海银行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注册地址：天津市河东区海河东路218号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办公地址：天津市河东区海河东路218号渤海银行大厦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法定代表人：李伏安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联系电话：022-58316666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客户服务电话：95541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传真：022-58316569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网址：www.cbhb.com.cn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 广发银行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注册地址：广东省广州市越秀区东风东路713号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办公地址：广东省广州市越秀区东风东路713号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客户服务电话：400-830-8003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网址：www.cgbchina.com.cn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 华夏银行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注册地址：北京市东城区建国门内大街22号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办公地址：北京市东城区建国门内大街22号华夏银行大厦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法定代表人：李民吉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联系人：王者凡</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传真：010-85238680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网址：www.hxb.com.cn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 交通银行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注册地址：中国（上海）自由贸易试验区银城中路188号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办公地址：中国（上海）自由贸易试验区银城中路188号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法定代表人：彭纯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联系人：王菁</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联系电话：021-58781234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客户服务电话：95559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网址：www.bankcomm.com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 平安银行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注册地址：广东省深圳市罗湖区深南东路5047号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办公地址：广东省深圳市罗湖区深南东路5047号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法定代表人：谢永林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联系人：赵杨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联系电话：0755-22166574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客户服务电话：95511-3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传真：021-50979507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网址：bank.pingan.com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 浦发银行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注册地址：上海市中山东一路12号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办公地址：上海市中山东一路12号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法定代表人：郑杨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联系人：赵守良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联系电话：021-61618888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传真：021-63604196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网址：www.spdb.com.cn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 招商银行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注册地址：深圳市福田区深南大道7088号招商银行大厦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办公地址：深圳市福田区深南大道7088号招商银行大厦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法定代表人：李建红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联系人：季平伟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网址：www.cmbchina.com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 浙商银行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注册地址：浙江杭州市庆春路288号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办公地址：浙江杭州市庆春路288号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法定代表人：沈仁康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联系人：沈崟杰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联系电话：0571- 88261822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传真：0571-87659954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网址：www.czbank.com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 中国工商银行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注册地址：北京西城区复兴门内大街55号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办公地址：北京西城区复兴门内大街55号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法定代表人：陈四清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联系人：杨菲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网址：www.icbc.com.cn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 中国光大银行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注册地址：北京市西城区太平桥大街25号、甲25号中国光大中心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办公地址：北京市西城区太平桥大街25号金融街F3大厦（中国光大中心）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法定代表人：李晓鹏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联系人：朱红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联系电话：010-63636153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传真：010-63639709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网址：www.cebbank.com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 中国建设银行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注册地址：北京市西城区金融大街25号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办公地址：北京市西城区闹市口大街1号院1号楼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法定代表人：田国立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联系人：王未雨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 中国民生银行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注册地址：北京市西城区复兴门内大街2号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办公地址：北京市西城区复兴门内大街2号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法定代表人：洪崎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联系人：穆婷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网址：www.cmbc.com.cn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 中国农业银行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注册地址：北京市东城区建国门内大街69号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办公地址：北京市东城区建国门内大街69号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法定代表人：周慕冰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联系人：李紫钰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传真：010-85109219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网址：www.abchina.com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 中国邮政储蓄银行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法定代表人：张金良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传真：010-68858057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网址：www.psbc.com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 中信银行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注册地址：北京市东城区朝阳门北大街9号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办公地址：北京市东城区朝阳门北大街9号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法定代表人：李庆萍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联系人：王晓琳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客户服务电话：95558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传真：010-85230049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网址：bank.ecitic.com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 包商银行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注册地址：内蒙古自治区包头市青山区钢铁大街6号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办公地址：内蒙古自治区包头市青山区钢铁大街6号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法定代表人：李镇西</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联系人：张晶</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联系电话：0472-5189165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传真：010-84596546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网址：www.bsb.com.cn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 北京银行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注册地址：北京市西城区金融大街甲17号首层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办公地址：北京市西城区金融大街丙17号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法定代表人：张东宁</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联系人：韩裕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传真：010-66226045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网址：www.bankofbeijing.com.cn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 长安银行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注册地址：西安市高新技术产业开发区高新四路13号1幢1单元10101室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办公地址：西安市高新技术产业开发区高新四路13号朗臣大厦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法定代表人：赵永军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联系人：闫石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客户服务电话：400-05-96669；（029）96669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传真：029-88609566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网址：http://www.ccabchina.com/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 大连银行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注册地址：大连市中山区中山路88号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办公地址：大连市中山区中山路88号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法定代表人：崔磊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联系人：朱珠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联系电话：0411-82356695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客户服务电话：400-664-0099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网址：www.bankofdl.com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 德州银行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注册地址：山东省德州市三八东路1266号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办公地址：山东省德州市三八东路1266号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法定代表人：董合平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联系人：王方震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电话：0534-2297326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客户服务电话：40084-96588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网址：www.dzbchina.com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(22) 东莞农村商业银行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注册地址：广东省东莞市东城区鸿福东路2号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办公地址：广东省东莞市东城区鸿福东路2号东莞农商银行大厦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法定代表人：王耀球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联系人：洪晓琳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客户服务电话：0769-961122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网址：www.drcbank.com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(23) 东莞银行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注册地址：东莞市莞城区体育路21号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办公地址：东莞市莞城区体育路21号东莞银行大厦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法定代表人：卢国锋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联系人：朱杰霞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联系电话：0769-22865177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客户服务电话：96228（广东省内）、40011-96228（全国）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网址：www.dongguanbank.cn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(24) 佛山农商银行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注册地址：佛山市禅城区华远东路5号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办公地址：佛山市禅城区华远东路5号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法定代表人：李川</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联系人：曾敏琪</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客户服务电话：96138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网址：www.foshanbank.cn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(25) 福建海峡银行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注册地址：福建省福州市台江区江滨中大道358号海峡银行大厦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办公地址：福建省福州市台江区江滨中大道358号福建海峡银行8楼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法定代表人：俞敏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联系人：黄钰雯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联系电话：0591-87332762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客户服务电话：400-893-9999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传真：0591-87330926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网址：www.fjhxbank.com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(26) 富阳农商银行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注册地址：杭州市富阳区鹿山街道依江路501号第1幢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办公地址：杭州市富阳区鹿山街道依江路501号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法定代表人：丁松茂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联系电话：0571-63280253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客户服务电话：96596、4008896596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网址：www.fyrcbk.com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(27) 广东华兴银行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注册地址：广东省汕头市龙湖区黄山路28号四层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办公地址：广州市天河区天河路533号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法定代表人：周泽荣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联系人：许悦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联系电话：020-38173552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客户服务电话：4008308001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传真：020-38173857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网址：www.ghbank.com.cn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(28) 广东南粤银行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注册地址：广东省湛江市经济技术开发区乐山大道60号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办公地址：广东省湛江市经济技术开发区乐山大道60号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法定代表人：蒋丹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联系电话：020-28308757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客户服务电话：4000-961818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网址：www.gdnybank.com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(29) 广州农商银行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注册地址：广州市黄埔区映日路9号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办公地址：广州市天河区珠江新城华夏路1号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法定代表人：王继康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联系电话：020-22389067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传真：020-22389031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网址：www.grcbank.com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(30) 广州银行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注册地址：广州市天河区珠江东路30号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办公地址：广州市天河区珠江东路30号广州银行大厦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法定代表人：黄子励</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联系人：唐荟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客户服务电话：96699（广东）400-83-96699（全国）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网址：www.gzcb.com.cn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(31) 哈尔滨银行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注册地址：哈尔滨市道里区尚志大街160号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办公地址：哈尔滨市道里区上江街888号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法定代表人：郭志文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联系人：何岩岩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电话：0451-87792450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传真：0451-87792682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网址：www.hrbb.com.cn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(32) 杭州联合银行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注册地址：浙江省杭州市上城区建国中路99号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办公地址：杭州市建国中路99号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法定代表人：张海林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联系人：胡莹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联系电话：0571-87923324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传真：0571-87923214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网址：www.urcb.com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(33) 杭州银行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注册地址：杭州市下城区庆春路46号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办公地址：杭州市下城区庆春路46号杭州银行大厦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法定代表人：陈震山</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联系人：陈振峰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联系电话：0571-85872972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客户服务电话：95398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传真：0571-85106576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网址：www.hzbank.com.cn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(34) 河北银行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注册地址：石家庄市平安北大街28号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办公地址：石家庄市平安北大街28号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法定代表人：乔志强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联系人：王丽辉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联系电话：0311-67807030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客户服务电话：400-612-9999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传真：0311-67806407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网址：www.hebbank.com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(35) 华融湘江银行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注册地址：长沙市天心区芙蓉南路一段828号杰座大厦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办公地址：湖南省长沙市湘府东路二段208号万境财智中心南栋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法定代表人：张永宏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联系人：曾玉姣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联系电话：0731-89828592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客户服务电话：0731-96599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传真：0731-89828806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网址：www.hrxjbank.com.cn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(36) 吉林银行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注册地址：吉林省长春市经济技术开发区东南湖大路1817号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办公地址：吉林省长春市经济技术开发区东南湖大路1817号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法定代表人：张宝祥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联系人：孙琦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联系电话：0431-84999627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客户服务电话：400-88-96666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传真：0431-84992649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网址：www.jlbank.com.cn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(37) 嘉兴银行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注册地址：浙江省嘉兴市昌盛南路1001号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办公地址：浙江省嘉兴市昌盛南路1001号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法定代表人：夏林生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联系人：余舟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联系电话：0573-82080201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客户服务电话：0573-96528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网址：http://www.bojx.com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(38) 江南农村商业银行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注册地址：常州市和平中路413号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办公地址：常州市和平中路413号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法定代表人：陆向阳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电话：0519-80585939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客户服务电话：0519-96005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传真：0519-89995170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网址：http://www.jnbank.com.cn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(39) 江苏银行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注册地址：南京市中华路26号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办公地址：南京市中华路26号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法定代表人：夏平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联系人：张洪玮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联系电话：025-58587036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客户服务电话：95319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传真：025-58587820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网址：www.jsbchina.cn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(40) 江西银行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注册地址：江西省南昌市红谷滩新区金融大街699号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办公地址：江西省南昌市红谷滩新区金融大街699号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法定代表人：陈晓明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联系人：陈云波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联系电话：0791-86796029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客户服务电话：956055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传真：0791-86790795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网址：www.jx-bank.com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(41) 金华银行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注册地址：浙江省金华市丹溪路1388号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办公地址：浙江省金华市金东区光南路668号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法定代表人：徐雅清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联系人：何赛丽、陈霞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联系电话：0579-82178270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客户服务电话：400-711-6668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传真：0579-82178321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网址：www.jhccb.com.cn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(42) 锦州银行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注册地址：辽宁省锦州市科技路68号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办公地址：辽宁省锦州市科技路68号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法定代表人：魏学坤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联系人：庞璐璐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客户服务电话：400-66-96178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网址：www.jinzhoubank.com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(43) 九台农商银行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注册地址：吉林省长春市九台区新华大街504号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办公地址：吉林省长春市高新开发区蔚山路2559号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法定代表人：高兵</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联系人：曲凌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客户服务电话：0431-96888-0-2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网址：http://www.jtnsh.com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(44) 昆仑银行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注册地址：新疆克拉玛依市世纪大道7号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办公地址：北京市西城区金融大街1号B座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法定代表人：蒋尚军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联系人：张碧华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联系电话：010-89026813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传真：010-89025421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网址：www.klb.cn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(45) 昆山农村商业银行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注册地址：江苏省昆山市前进东路828号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办公地址：江苏省昆山市前进东路828号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法定代表人：张哲清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联系人：黄怡</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客户服务电话：0512-96079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网址：www.ksrcb.com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(46) 乐清农商银行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注册地址：浙江省乐清市城南街道伯乐西路99号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办公地址：浙江省乐清市城南街道伯乐西路99号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法定代表人：高剑飞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联系人：金晓娇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联系电话：0577-61566028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传真：0577-61566063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网址：www.yqbank.com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(47) 龙江银行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注册地址：黑龙江省哈尔滨市道里区友谊路436号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办公地址：黑龙江省哈尔滨市道里区友谊路436号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法定代表人：张建辉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联系人：闫勇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联系电话：0451-85706107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客户服务电话：400-645-8888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传真：0451-85706036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网址：http://www.lj-bank.com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(48) 龙湾农商银行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注册地址：浙江省温州市龙湾区永中街道永宁西路555号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办公地址：浙江省温州市龙湾区永中街道永宁西路555号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法定代表人：刘少云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联系人：胡俊杰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联系电话：0577-86923223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传真：0577-86921250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网址：www.lwrcb.com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(49) 鹿城农商银行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注册地址：浙江省温州市鹿城区会展路1500号富银大厦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办公地址：温州市车站大道547号信合大厦A幢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法定代表人：陈宏强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联系人：董雷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联系电话：0577-88077675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网址：http://www.lcrcbank.com/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(50) 洛阳银行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注册地址：洛阳市洛阳新区开元大道与通济街交叉口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办公地址：河南省洛阳市开元大道256号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法定代表人：王建甫</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联系人：郭文博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联系电话：0379-65921977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客户服务电话：0379-96699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传真：0379-65938595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网址：www.bankofluoyang.com.cn/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(51) 宁波银行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注册地址：浙江省宁波市鄞州区宁东路345号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办公地址：浙江省宁波市鄞州区宁东路345号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法定代表人：陆华裕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联系人：施豪迪</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网址：www.nbcb.com.cn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(52) 齐商银行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注册地址：淄博市张店区中心路105号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办公地址：山东省淄博市张店区金晶大道105号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法定代表人：杲传勇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联系人：焦浦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联系电话：0533-2178888-9907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客户服务电话：400-86-96588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传真：0533-2180303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网址：www.qsbank.cc</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(53) 青岛银行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注册地址：山东省青岛市崂山区秦岭路6号3号楼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办公地址：山东省青岛市崂山区秦岭路6号3号楼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法定代表人：郭少泉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联系人：徐伟静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联系电话：0532-68629925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客户服务电话：96588（青岛）400-66-96588（全国）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网址：http://www.qdccb.com/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(54) 泉州银行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注册地址：泉州市丰泽区云鹿路3号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办公地址：泉州市丰泽区云鹿路3号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法定代表人：傅子能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联系人：董培姗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联系电话：0595-22551071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客户服务电话：400-88-96312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传真：0595-22578871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网址：www.qzccbank.com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(55) 日照银行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注册地址：山东省日照市烟台路197号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办公地址：山东省日照市烟台路197号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联系人：孔颖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联系电话：0633-8081590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客户服务电话：400-68-96588（全国）、0633-96588（日照）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传真：0633-8081276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网址：http://www.bankofrizhao.com.cn/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(56) 瑞安农商银行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注册地址：瑞安市安阳街道万松东路148号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办公地址：瑞安市安阳街道万松东路148号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法定代表人：王光领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联系人：吴清萍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联系电话：0577-66816501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客户服务电话：4008057702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网址：https://www.rarcbank.com/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(57) 瑞丰银行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注册地址：浙江省绍兴市柯桥区笛扬路1363号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办公地址：浙江省绍兴市柯桥区笛扬路1363号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法定代表人：俞俊海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联系人：孟建潮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联系电话：0575-81105323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传真：0575-84788134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网址：www.borf.cn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(58) 上海农村商业银行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注册地址：上海市黄浦区中山东二路70号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办公地址：上海市黄浦区中山东二路70号上海农商银行大厦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法定代表人：徐力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联系人：施传荣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联系电话：021-61899999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客户服务电话：021-962999、4006962999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开放式基金业务传真：021-50105124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网址：www.srcb.com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(59) 上海银行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注册地址：中国（上海）自由贸易试验区银城中路168号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办公地址：上海市浦东新区银城中路168号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法定代表人：金煜</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联系电话：021-68475732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客户服务电话：95594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网址：http://www.bosc.cn/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(60) 顺德农村商业银行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注册地址：佛山市顺德区大良德和居委会拥翠路2号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办公地址：佛山市顺德区大良德和居委会拥翠路2号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法定代表人：姚真勇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联系人：陈素莹、区敏欣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联系电话：0757-22385879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客户服务电话：0757-22223388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传真：0757-22388235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网址：www.sdebank.com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(61) 苏州银行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注册地址：江苏省苏州市工业园区钟园路728号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办公地址：江苏省苏州市工业园区钟园路728号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法定代表人：王兰凤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联系人：吴骏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联系电话：0512-69868373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客户服务电话：96067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传真：0512-69868373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网址：www.suzhoubank.com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(62) 天津银行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注册地址：天津市河西区友谊路15号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办公地址：天津市河西区友谊路15号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法定代表人：李宗唐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联系电话：022-28405684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客户服务电话：956056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传真：022-28405631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网址：www.bank-of-tianjin.com.cn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(63) 威海市商业银行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注册地址：威海市宝泉路9号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办公地址：威海市宝泉路9号财政大厦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法定代表人：谭先国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联系人：冯十卉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联系电话：0531-68978175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客户服务电话：山东省内96636、中国境内40000-96636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传真：0531-68978176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网址：www.whccb.com，www.whccb.com.cn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(64) 潍坊银行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注册地址：山东省潍坊市奎文区胜利东街5139号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办公地址：山东省潍坊市奎文区胜利东街5139号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法定代表人：郭虎英</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联系人：井靖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联系电话：0536-8051904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客户服务电话：400-61-96588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传真：0536-8056061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网址：www.wfccb.com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(65) 萧山农商银行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注册地址：萧山区人民路258号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办公地址：浙江省杭州市萧山区人民路258号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法定代表人：王云龙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联系人：朱光锋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联系电话：0571-82739513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网址：http://www.zjxsbank.com/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(66) 烟台银行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注册地址：山东省烟台市芝罘区海港路25号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办公地址：山东省烟台市芝罘区海港路25号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法定代表人：吴明理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联系人：张卓智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联系电话：0535-6699671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客户服务电话：4008-311-777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传真：0535-6699884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网址：www.yantaibank.net</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(67) 余杭农村商业银行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注册地址：杭州市余杭区南苑街道南大街72号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办公地址：杭州市余杭区南苑街道南大街72号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法定代表人：来煜标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联系人：蔡亮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联系电话：0571-86209980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客户服务电话：96596，4008896596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网址：www.yhrcb.com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(68) 云南红塔银行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注册地址：云南省玉溪市东风南路2号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办公地址：云南省昆明市盘龙区世博路低碳中心A座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法定代表人：李光林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联系人：马杰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联系电话：0871-65236624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客户服务电话：0877-96522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网址：www.ynhtbank.com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(69) 浙江稠州商业银行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注册地址：浙江省义乌市江滨路义乌乐园东侧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办公地址：杭州市上城区望潮路158号稠银大厦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法定代表人：金子军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联系人：谢圆圆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联系电话：0571-87117661/13777805250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客户服务电话：0571-96527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传真：0571-87117607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网址：http://www.czcb.com.cn/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(70) 浙江泰隆商业银行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注册地址：浙江省台州市路桥区南官大道188号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办公地址：浙江省台州市路桥区南官大道188号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联系人：陈妍宇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联系电话：0571-87219677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客户服务电话：95347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网址：www.zjtlcb.com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(71) 中原银行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注册地址：河南省郑州市郑东新区CBD商务外环路23号中科金座大厦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办公地址：河南省郑州市郑东新区CBD商务外环路23号中科金座大厦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法定代表人：窦荣兴</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联系人：张星强  联系电话：0371-85517713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网址：www.zybank.com.cn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(72) 重庆农村商业银行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注册地址：重庆市江北区金沙门路36号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办公地址：重庆市江北区金沙门路36号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法定代表人：刘建忠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联系人：范亮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联系电话：023-61110146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客户服务电话：95389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传真：023-61110146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网址：www.cqrcb.com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(73) 珠海华润银行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注册地址：广东省珠海市吉大九洲大道东1346号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办公地址：广东省珠海市吉大九洲大道东1346号珠海华润银行大厦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法定代表人：刘晓勇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联系电话：4008800338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客户服务电话：96588（广东省外请加拨0756），400-8800-338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网址：www.crbank.com.cn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(74) 安信证券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注册地址：深圳市福田区金田路4018号安联大厦35层、28层A02单元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办公地址：深圳市福田区金田路4018号安联大厦35层、28层A02单元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          深圳市福田区深南大道2008号中国凤凰大厦1栋9层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法定代表人：王连志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联系人：陈剑虹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联系电话：0755-82825551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传真：0755-82558355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网址：www.essence.com.cn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(75) 渤海证券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注册地址：天津市经济技术开发区第二大街42号写字楼101室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办公地址：天津市南开区宾水西道8号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法定代表人：王春峰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联系人：蔡霆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联系电话：022-28451991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客户服务电话：400-651-5988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传真：022-28451892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网址：www.ewww.com.cn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(76) 财达证券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注册地址：河北省石家庄市桥西区自强路35号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办公地址：河北省石家庄市桥西区自强路35号庄家金融大厦23-26层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法定代表人：翟建强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联系人：李卓颖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联系电话：0311-66008561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客户服务电话：95363（河北省内）；0311-95363（河北省外）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传真：0311-66006414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网址：www.s10000.com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(77) 财富证券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注册地址：长沙市芙蓉中路二段80号顺天国际财富中心26层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办公地址：长沙市芙蓉中路二段80号顺天国际财富中心26-28层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法定代表人：刘宛晨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联系人：郭静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联系电话：0731-84403347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传真：0731-84403439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网址：www.cfzq.com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(78) 财通证券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注册地址：浙江省杭州市杭大路15号嘉华国际商务中心201，501，502，1103，1601-1615，1701-1716室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办公地址：浙江省杭州市杭大路15号嘉华国际商务中心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法定代表人：陆建强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联系人：陶志华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联系电话：0571－87789160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客户服务电话：95336、40086-96336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网址：www.ctsec.com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(79) 长城国瑞证券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注册地址：厦门市思明区莲前西路2号莲富大厦17楼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办公地址：厦门市思明区深田路46号深田国际大厦20楼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联系人：邱震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联系电话：0592-2079259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客户服务电话：400-0099-886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传真：0592-2079602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网址：www.gwgsc.com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(80) 长城证券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注册地址：深圳市福田区福田街道金田路2026号能源大厦南塔楼10-19层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办公地址：深圳市福田区福田街道金田路2026号能源大厦南塔楼10-19层长城证券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法定代表人：曹宏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联系人：梁浩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联系电话：0755-83530715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客户服务电话：400-6666-888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传真：0755-83516199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网址：www.cgws.com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(81) 长江证券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注册地址：湖北省武汉市新华路特8号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办公地址：湖北省武汉市新华路特8号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法定代表人：李新华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联系人：奚博宇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联系电话：027-65799999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客户服务电话：95579或4008-888-999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传真：027-85481900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网址：www.95579.com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(82) 川财证券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注册地址：中国（四川）自由贸易试验区成都高新区交子大道177号中海国际中心B座17楼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办公地址：四川省成都高新区交子大道177号中海国际中心B座17楼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法定代表人：孟建军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联系人：匡婷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联系电话：028-86583053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客户服务电话：028-86583000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网址：www.cczq.com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(83) 大通证券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注册地址：辽宁省大连市沙河口区会展路129号大连国际金融中心A座-大连期货大厦38、39层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办公地址：辽宁省大连市沙河口区会展路129号大连国际金融中心A座-大连期货大厦38、39层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联系人：谢立军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联系电话：0411-39991807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客户服务电话：4008-169-169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传真：0411-39673214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网址：www.daton.com.cn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(84) 大同证券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注册地址：山西省大同市城区迎宾街15号桐城中央21层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办公地址：山西省太原市小店区长治路111号山西世贸中心A座F12、F13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法定代表人：董祥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联系人：薛津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联系电话：0351-4130322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客户服务电话：4007121212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传真：0351-7219891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网址：www.dtsbc.com.cn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(85) 德邦证券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注册地址：上海市普陀区曹杨路510号南半幢9楼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办公地址：上海市福山路500号城建国际中心29楼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法定代表人：武晓春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联系电话：021-68761616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客户服务电话：400-8888-128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传真：021-68767880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网址：http://www.tebon.com.cn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(86) 第一创业证券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注册地址：深圳市福田区福华一路115号投行大厦20楼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办公地址：深圳市福田区福华一路115号投行大厦20楼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法定代表人：刘学民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联系人：毛诗莉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联系电话：0755-23838750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客户服务电话：95358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网址：www.firstcapital.com.cn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(87) 东北证券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注册地址：长春市生态大街6666号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办公地址：长春市生态大街6666号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法定代表人：李福春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联系人：安岩岩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联系电话：0431-85096517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客户服务电话：95360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传真：0431-85096795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网址：www.nesc.cn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(88) 东方证券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注册地址：上海市中山南路318号2号楼22层、23层、25层-29层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办公地址：上海市中山南路318号2号楼13层、21层-23层、25-29层、32 层、36 层、39 层、40 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法定代表人：潘鑫军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联系人：朱琼玉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联系电话：021-63325888-3134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客户服务电话：95503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传真：021-63326729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网址：http://www.dfzq.com.cn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(89) 东莞证券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注册地址：东莞市莞城区可园南路一号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办公地址：东莞市莞城区可园南路1号金源中心30楼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法定代表人：陈照星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联系电话：0769-22115712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客户服务电话：95328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传真：0769-22115712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网址：www.dgzq.com.cn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(90) 东海证券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注册地址：江苏省常州市延陵西路23号投资广场18层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办公地址：上海市浦东新区东方路1928号东海证券大厦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法定代表人：陈耀庭</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联系人：王一彦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联系电话：021-20333333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客户服务电话：95531、400-8888-588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传真：021-50498825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网址：www.longone.com.cn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(91) 东吴证券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注册地址：苏州工业园区星阳街5号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办公地址：苏州工业园区星阳街5号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法定代表人：范力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联系人：陆晓</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联系电话：0512-62938521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客户服务电话：95330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传真：0512-65588021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网址：www.dwzq.com.cn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(92) 东兴证券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注册地址：北京市西城区金融大街5号（新盛大厦）12、15层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办公地址：北京市西城区金融大街5号新盛大厦B座12-15层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法定代表人：魏庆华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联系人：和志鹏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联系电话：010-66559371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客户服务电话：95309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传真：010-66555133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网址：www.dxzq.net</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(93) 方正证券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注册地址：长沙市天心区湘江中路二段36号华远华中心4、5号楼3701-3717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办公地址：北京市朝阳区北四环中路27号盘古大观A座40F</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法定代表人：施华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联系人：程博怡</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联系电话：010-56437060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传真：010-56437013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网址：www.foundersc.com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(94) 光大证券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注册地址：上海市静安区新闸路1508号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办公地址：上海市静安区新闸路1508号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法定代表人：周健男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联系人：龚俊涛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联系电话：021-22169999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传真：021-22169134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网址：www.ebscn.com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(95) 广发证券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注册地址：广东省广州市黄埔区中新广州知识城腾飞一街2号618室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办公地址：广州市天河区马场路26号广发证券大厦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法定代表人：孙树明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联系人：黄岚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客户服务电话：95575或02095575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网址：www.gf.com.cn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(96) 广州证券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注册地址：广州市天河区珠江西路5号广州国际金融中心主塔19层、20层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办公地址：广州市天河区珠江西路5号广州国际金融中心主塔19层、20层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法定代表人：胡伏云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联系人：梁微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联系电话：020-88836999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传真：020-88836654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网址：www.gzs.com.cn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(97) 国都证券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注册地址：北京市东城区东直门南大街3号国华投资大厦9层10层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办公地址：北京市东城区东直门南大街3号国华投资大厦9层10层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法定代表人：王少华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联系人：黄静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联系电话：010-84183389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客户服务电话：400-818-8118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传真：010-84183311-3122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网址：www.guodu.com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(98) 国海证券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注册地址：广西桂林市辅星路13号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办公地址：深圳市福田区竹子林四路光大银行大厦3楼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法定代表人：何春梅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联系人：田密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联系电话：0755-83716916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客户服务电话：95563或0771-95563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网址：www.ghzq.com.cn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(99) 国金证券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注册地址：成都市青羊区东城根上街95号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办公地址：成都市青羊区东城根上街95号成证大厦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法定代表人：冉云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联系人：杜晶、黎建平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联系电话：028-86690057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客户服务电话：95310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传真：028-86690126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网址：www.gjzq.com.cn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(100) 国联证券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注册地址：江苏省无锡市太湖新城金融一街8号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办公地址：江苏省无锡市太湖新城金融一街8号国联金融大厦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法定代表人：姚志勇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联系人：祁昊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联系电话：0510-82831662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传真：0510-82830162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网址：www.glsc.com.cn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(101) 国融证券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注册地址：内蒙古自治区呼和浩特市武川县腾飞大道1号4楼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办公地址：内蒙古自治区呼和浩特市武川县腾飞大道与呈祥路交汇处武川立农村镇银行</w:t>
      </w:r>
      <w:r w:rsidRPr="00456512">
        <w:rPr>
          <w:rFonts w:asciiTheme="minorEastAsia" w:eastAsiaTheme="minorEastAsia" w:hAnsiTheme="minorEastAsia" w:hint="eastAsia"/>
          <w:szCs w:val="21"/>
        </w:rPr>
        <w:lastRenderedPageBreak/>
        <w:t>股份有限公司四楼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法定代表人：张智河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联系人：郭一非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联系电话：010-83991777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客户服务电话：95385或400-660-9839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传真：010-66412537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网址：www.grzq.com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(102) 国盛证券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注册地址：江西省南昌市新建区子实路1589号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办公地址：江西省南昌市红谷滩新区凤凰中大道1115号北京银行大厦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法定代表人：徐丽峰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联系人：占文驰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联系电话：0791-86283372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客户服务电话：956080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传真：0791-86281305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网址：www.gszq.com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(103) 国泰君安证券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注册地址：中国（上海）自由贸易试验区商城路618号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办公地址：上海市静安区南京西路768号国泰君安大厦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法定代表人：杨德红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联系人：芮敏祺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传真：021-38670666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网址：www.gtja.com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(104) 国信证券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注册地址：深圳市罗湖区红岭中路1012号国信证券大厦十六层至二十六层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办公地址：深圳市罗湖区红岭中路1012号国信证券大厦十六层至二十六层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法定代表人：何如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联系电话：0755-82130833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传真：0755-82133952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网址：www.guosen.com.cn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(105) 国元证券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注册地址：安徽省合肥市梅山路18号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办公地址：安徽省合肥市梅山路18号安徽国际金融中心A座国元证券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法定代表人：蔡咏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联系人：李蔡</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传真：0551-2272100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网址：www.gyzq.com.cn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(106) 海通证券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注册地址：上海市广东路689号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办公地址：上海市广东路689号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法定代表人：周杰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联系人：金芸、李笑鸣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联系电话：021-23219000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传真：021-23219100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网址：www.htsec.com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(107) 红塔证券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注册地址：云南省昆明市北京路155号附1号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办公地址：云南省昆明市北京路155号附1号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法定代表人：李素明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联系人：罗德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联系电话：0871-63582843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客户服务电话：956060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传真：0871-63578827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网址：http://www.hongtastock.com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(108) 华安证券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注册地址：安徽省合肥市政务文化新区天鹅湖路198号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办公地址：安徽省合肥市政务文化新区天鹅湖路198号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法定代表人：章宏韬</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联系人：范超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联系电话：0551-65161821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传真：0551-65161825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网址：www.hazq.com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(109) 华宝证券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注册地址：中国（上海）自由贸易试验区世纪大道100号57层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办公地址：中国（上海）自由贸易试验区世纪大道100号57层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联系人：刘闻川</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联系电话：021-20657517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客户服务电话：400-820-9898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传真：021-20515593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网址：www.cnhbstock.com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(110) 华福证券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注册地址：福州市鼓楼区温泉街道五四路157号7－8层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办公地址：上海市浦东新区陆家嘴环路1088号招商银行大厦18-19楼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法定代表人：黄金琳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联系电话：021-20655183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传真：021-20655196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网址：www.hfzq.com.cn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(111) 华林证券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注册地址：拉萨市柳梧新区国际总部城3幢1单元5-5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办公地址：深圳市福田区民田路178号华融大厦6楼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法定代表人：林立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联系人：胡倩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联系电话：0755-83255199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客户服务电话：400-188-3888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网址：www.chinalin.com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(112) 华龙证券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注册地址：兰州市城关区东岗西路638号兰州财富中心21楼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办公地址：兰州市城关区东岗西路638号兰州财富中心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法定代表人：陈牧原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联系人：范坤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联系电话：0931-4890208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客户服务电话：95368、400-689-8888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传真：0931-4890628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网址：www.hlzq.com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(113) 华融证券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办公地址：北京市朝阳区朝阳门北大街18号中国人保寿险大厦11至18层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法定代表人：祝献忠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联系人：孙燕波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联系电话：010-85556048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客户服务电话：95390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传真：010-85556088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网址：www.hrsec.com.cn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(114) 华泰证券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注册地址：南京市江东中路228号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办公地址：南京市建邺区江东中路228号华泰证券广场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联系人：庞晓芸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联系电话：0755-82492193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客户服务电话：95597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传真：025-83387523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网址：www.htsc.com.cn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(115) 华西证券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注册地址：四川省成都市高新区天府二街198号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办公地址：四川省成都市高新区天府二街198号华西证券大厦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法定代表人：杨炯洋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联系人：谢国梅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联系电话：010-58124967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客户服务电话：95584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传真：028-86150040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网址：www.hx168.com.cn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(116) 华鑫证券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注册地址：深圳市福田区莲花街道福中社区深南大道2008号中国凤凰大厦1栋20C-1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办公地址：上海市徐汇区宛平南路8号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法定代表人：俞洋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联系人：杨莉娟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联系电话：021-54967552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客户服务电话：95323（全国）、400-109-9918（全国）、029-68918888（西安）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传真：021-54967293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网址：www.cfsc.com.cn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(117) 华信证券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注册地址：上海浦东新区世纪大道100号环球金融中心9楼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办公地址：上海市黄浦区南京西路399号明天广场23楼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法定代表人：陈灿辉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联系人：徐璐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联系电话：021-63898952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客户服务电话：400-820-5999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传真：021-68776977转8952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网址：www.shhxzq.com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(118) 江海证券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注册地址：黑龙江省哈尔滨市香坊区赣水路56号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办公地址：黑龙江省哈尔滨市松北区创新三路833号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法定代表人：赵洪波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联系人：姜志伟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联系电话：0451-87765732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客户服务电话：400-666-2288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传真：0451-82337279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网址：www.jhzq.com.cn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(119) 金元证券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注册地址：海口市南宝路36号证券大厦4楼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办公地址：深圳市深南大道4001号时代金融中心大厦17楼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法定代表人：王作义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联系电话：0755-83025693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客户服务电话：95372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传真：0755-83025625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网址：www.jyzq.cn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(120) 九州证券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注册地址：青海省西宁市南川工业园区创业路108号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办公地址：北京市朝阳区安立路30号仰山公园东一门2号楼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法定代表人：魏先锋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联系人：张思思</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联系电话：010-57672272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传真：010-57672296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网址：www.jzsec.com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(121) 开源证券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注册地址：陕西省西安市高新区锦业路1号都市之门B座5层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办公地址：陕西省西安市高新区锦业路1号都市之门B座5层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联系电话：029-88365809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网址：www.kysec.cn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(122) 联储证券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注册地址：广东省深圳市福田区福田街道岗厦社区深南大道南侧金地中心大厦9楼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办公地址：上海市浦东新区陆家嘴环路333号金砖大厦8楼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法定代表人：吕春卫</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联系人：丁倩云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联系电话：010-86499427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客户服务电话：400-620-6868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网址：www.lczq.com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(123) 南京证券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注册地址：南京市江东中路389号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办公地址：南京市江东中路389号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法定代表人：步国旬</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联系人：王万君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联系电话：025-58519523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传真：025-83369725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网址：www.njzq.com.cn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(124) 平安证券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注册地址：深圳市福田区福田街道益田路5023号平安金融中心B座第22-25层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办公地址：深圳市福田区金田路4036号荣超大厦16-20层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法定代表人：何之江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联系人：周驰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联系电话：021-38643230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客户服务电话：95511-8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传真：021-58991896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网址：stock.pingan.com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(125) 瑞银证券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注册地址：北京市西城区金融大街7号英蓝国际金融中心12层、15层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办公地址：北京市西城区金融大街7号英蓝国际金融中心12层、15层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法定代表人：钱于军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联系人：谢丹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联系电话：0755-22158878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客户服务电话：400-887-8827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传真：010-58328170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网址：https://www.ubs.com/ubssecurities</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(126) 山西证券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注册地址：太原市府西街69号山西国际贸易中心东塔楼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办公地址：太原市府西街69号山西国际贸易中心东塔楼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法定代表人：侯巍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联系人：郭熠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联系电话：0351-8686659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客户服务电话：95573或400-666-1618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传真：0351-8686619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网址：www.i618.com.cn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(127) 上海证券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注册地址：上海市黄浦区四川中路213号7楼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办公地址：上海市四川中路213号久事商务大厦7楼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法定代表人：李俊杰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联系人：邵珍珍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联系电话：021-53686888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客户服务电话：4008-918-918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传真：021-53686100、021-53686200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网址：https://www.shzq.com/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(128) 申万宏源西部证券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注册地址：新疆乌鲁木齐市高新区（新市区）北京南路358号大成国际大厦20楼2005</w:t>
      </w:r>
      <w:r w:rsidRPr="00456512">
        <w:rPr>
          <w:rFonts w:asciiTheme="minorEastAsia" w:eastAsiaTheme="minorEastAsia" w:hAnsiTheme="minorEastAsia" w:hint="eastAsia"/>
          <w:szCs w:val="21"/>
        </w:rPr>
        <w:lastRenderedPageBreak/>
        <w:t>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办公地址：新疆乌鲁木齐市高新区（新市区）北京南路358号大成国际大厦20楼2005室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联系人：王怀春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联系电话：0991-2307105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客户服务电话：4008-000-562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传真：010-88085195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网址：www.hysec.com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(129) 申万宏源证券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注册地址：上海市徐汇区长乐路989号45层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办公地址：上海市徐汇区长乐路989号世纪商贸广场45层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法定代表人：杨玉成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联系人：余敏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联系电话：021-33388252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客户服务电话：95523、4008895523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传真：021-33388224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网址：www.swhysc.com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(130) 世纪证券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注册地址：深圳市前海深港合作区南山街道桂湾五路128号前海深港基金小镇对冲基金中心406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办公地址：深圳市福田区深南大道招商银行大厦40-42层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联系电话：0755-83199511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客户服务电话：4008323000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网址：www.csco.com.cn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(131) 首创证券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注册地址：北京市西城区德胜门外大街115号德胜尚城E座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办公地址：北京市西城区德胜门外大街115号德胜尚城E座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法定代表人：毕劲松</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联系电话：010-59366070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客户服务电话：400-620-0620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传真：010-59366055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网址：http://www.sczq.com.cn/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(132) 天风证券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注册地址：湖北省武汉市东湖新技术开发区关东园路2号高科大厦四楼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办公地址：湖北省武汉市武昌区中南路99号保利广场A座37楼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法定代表人：余磊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联系人：程晓英</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联系电话：027-87617017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客户服务电话：4008005000、95391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传真：027-87618863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网址：http://www.tfzq.com/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(133) 万联证券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注册地址：广州市天河区珠江东路11号18、19楼全层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办公地址：广州市天河区珠江东路13号高德置地广场E栋12层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法定代表人：罗钦城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联系人：甘蕾</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联系电话：020-38286026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传真：020-38286588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网址：www.wlzq.cn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(134) 西部证券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注册地址：陕西省西安市新城区东新街319号8幢10000室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办公地址：陕西省西安市新城区东新街319号8幢10000室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法定代表人：徐朝晖</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联系人：梁承华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联系电话：029-87211526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传真：029-87211478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网址：www.westsecu.com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(135) 西南证券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注册地址：重庆市江北区桥北苑8号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办公地址：重庆市江北区桥北苑8号西南证券大厦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法定代表人：廖庆轩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联系人：周青</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联系电话：023-63786633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客户服务电话：4008096096或95355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传真：023-63786212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网址：www.swsc.com.cn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(136) 湘财证券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注册地址：湖南省长沙市天心区湘府中路198号新南城商务中心A栋11楼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办公地址：湖南省长沙市天心区湘府中路198号新南城商务中心A栋11楼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法定代表人：孙永祥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联系电话：021-38784580-8918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客户服务电话：95351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传真：021-68865680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网址：www.xcsc.com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(137) 新时代证券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注册地址：北京市海淀区北三环西路99号院1号楼15层1501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办公地址：北京市海淀区北三环西路99号院1号楼15层1501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法定代表人：叶顺德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联系人：田芳芳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联系电话：010-83561146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网址：www.xsdzq.cn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(138) 信达证券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注册地址：北京市西城区闹市口大街9号院1号楼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办公地址：北京市西城区闹市口大街9号院1号楼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法定代表人：张志刚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联系人：尹旭航</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联系电话：010-63081000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传真：010-63080978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网址：www.cindasc.com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(139) 兴业证券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注册地址：福州市湖东路268号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办公地址：上海浦东新区长柳路36号兴业证券大厦20楼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法定代表人：杨华辉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联系人：乔琳雪</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联系电话：021-38565547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网址：www.xyzq.com.cn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(140) 银河证券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注册地址：北京市西城区金融大街35号2-6层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办公地址：北京市西城区金融大街35号国际企业大厦C座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法定代表人：陈共炎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联系人：辛国政</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联系电话：010-83574507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客户服务电话：4008-888-888或95551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网址：www.chinastock.com.cn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(141) 粤开证券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注册地址：惠州市江北东江三路55号广播电视新闻中心西面一层大堂和三、四层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办公地址：深圳市福田区深南中路2002号中广核大厦北楼10层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法定代表人：严亦斌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联系人：彭莲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联系电话：0755-83331195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公司网址：http://www.ykzq.com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(142) 招商证券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注册地址：深圳市福田区福田街道福华一路111号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办公地址：深圳市福田区福田街道福华一路111号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法定代表人：霍达</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联系人：黄婵君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联系电话：0755-82943666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客户服务电话：95565、400-8888-111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传真：0755-82943636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网址：www.newone.com.cn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(143) 浙商证券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注册地址：浙江省杭州市江干区五星路201号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办公地址：浙江省杭州市江干区五星路201号浙商证券大楼8楼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法定代表人：吴承根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联系人：高扬</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联系电话：0571-87902974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客户服务电话：95345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传真：0571-87901913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网址：www.stocke.com.cn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(144) 中航证券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注册地址：江西省南昌市红谷滩新区红谷中大道1619号南昌国际金融大厦A栋41层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办公地址：江西省南昌市红谷滩新区红谷中大道1619号南昌国际金融大厦A栋41层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法定代表人：王晓峰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联系人：王紫雯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联系电话：15611538682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客户服务电话：95335或400-88-95335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传真：010-59562637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网址：www.avicsec.com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(145) 中金财富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办公地址：深圳福田区益田路6003号荣超商务中心A座4层、18-21层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法定代表人：高涛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联系人：万玉琳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联系电话：0755-82026907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网址：https://www.ciccwm.com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(146) 中金公司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注册地址：北京市朝阳区建国门外大街1号国贸大厦2座27层及28层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办公地址：北京市朝阳区建国门外大街1号国贸大厦2座27层及28层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法定代表人：毕明建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联系人：杨涵宇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联系电话：010-65051166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客户服务电话：4009101166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网址：www.cicc.com.cn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(147) 中山证券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注册地址：深圳市南山区粤海街道蔚蓝海岸社区创业路1777号海信南方大厦21、22层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办公地址：深圳市南山区创业路1777号海信南方大厦21、22层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法定代表人：林炳城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联系人：罗艺琳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电话：0755-82943755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传真：0755-82960582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客户服务电话：95329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网址：www.zszq.com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(148) 中泰证券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注册地址：济南市市中区经七路86号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办公地址：山东省济南市经七路86号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联系人：许曼华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联系电话：021-20315290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客户服务电话：95538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传真：0531-68889095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网址：www.zts.com.cn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(149) 中天证券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注册地址：辽宁省沈阳市和平区光荣街23甲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办公地址：辽宁省沈阳市和平区光荣街23甲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法定代表人：马功勋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联系人：李泓灏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联系电话：024-23255256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客户服务电话：024-95346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传真：024-23255606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网址：www.iztzq.com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(150) 中信建投证券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注册地址：北京市朝阳区安立路66号4号楼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办公地址：北京市朝阳门内大街188号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法定代表人：王常青</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联系人：权唐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联系电话：010－85130588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客户服务电话：95587或4008-888-108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网址：http://www.csc108.com/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(151) 中信证券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注册地址：广东省深圳市福田区中心三路8号卓越时代广场（二期）北座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办公地址：北京市朝阳区亮马桥路48号中信证券大厦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法定代表人：张佑君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联系人：王一通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联系电话：010-60838888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客户服务电话：95548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传真：010-60836029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网址：www.cs.ecitic.com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(152) 中信证券（山东）</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注册地址：青岛市崂山区深圳路222号1号楼2001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办公地址：青岛市市南区东海西路28号龙翔广场东座5层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法定代表人：姜晓林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联系人：焦刚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联系电话：0531-89606166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客户服务电话：95548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传真：0532-85022605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网址：http://sd.citics.com/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(153) 中银国际证券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注册地址：上海市浦东新区银城中路200号中银大厦39层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办公地址：上海市浦东新区银城中路200号中银大厦39-40层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法定代表人：宁敏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联系人：王炜哲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客户服务电话：400-620-8888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传真：021-50372474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网址：www.bocichina.com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(154) 中邮证券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注册地址：陕西省西安市唐延路5号（陕西邮政信息大厦9-11层）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办公地址：北京市东城区珠市口东大街17号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法定代表人：丁奇文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联系人：岳帅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 010-67017788-6068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客户服务电话：4008-888-005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传真：010-67017788-9696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网址：www.cnpsec.com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(155) 中原证券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注册地址：郑州市郑东新区商务外环路10号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办公地址：河南省郑州市郑东新区商务外环路10号中原广发金融大厦19楼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法定代表人：菅明军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联系人：程月艳  李盼盼 党静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联系电话：0371-69099882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客户服务电话：95377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传真：0371-65585899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网址：www.ccnew.com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(156) 百度百盈</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注册地址：北京市海淀区上地十街10号1幢1层101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办公地址：北京市海淀区西北旺东路10号院西区4号楼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法定代表人：张旭阳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联系人：孙博超</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联系电话：010-59403028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客户服务电话：95055-4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网址：www.baiyingfund.com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(157) 长量基金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注册地址：上海市浦东新区高翔路526号2幢220室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办公地址：上海市浦东新区东方路1267号陆家嘴金融服务广场二期11层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法定代表人：张跃伟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联系人：党敏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联系电话：021-20691935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客户服务电话：400-820-2899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传真：021-20691861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网址：www.erichfund.com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(158) 朝阳永续</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注册地址：浦东新区上丰路977号1幢B座812室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办公地址：上海市浦东新区碧波路690号4号楼2楼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法人代表：廖冰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联系人：陆纪青</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联系电话：021-80234888-6813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客户服务电话：400-699-1888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网址：www.998fund.com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(159) 创金启富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注册地址：北京市西城区白纸坊东街2号院6号楼712室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办公地址：北京市西城区白纸坊东街2号院6号楼712室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法定代表人：梁蓉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联系人：李慧慧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联系电话：010-66154828-8047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客户服务电话：400-6262-818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传真：010-63583991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网址：www.5irich.com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(160) 大泰金石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注册地址：南京市建邺区江东中路102号708室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办公地址：上海市浦东新区峨山路505号东方纯一大厦15楼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法定代表人：陈达伟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联系人：孟召社</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联系电话：021-20324176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客户服务电话：400-995-9220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传真：021-20324199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网址：www.dtfunds.com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(161) 大智慧基金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注册地址：中国（上海）自由贸易试验区杨高南路428号1号楼1102单元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办公地址：中国（上海）自由贸易试验区杨高南路428号1号楼1102单元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法定代表人：申健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联系人：张蜓</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联系电话：021-20219988-35374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客户服务电话：021-20292031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传真：021-20219923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网址：https://www.wg.com.cn/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(162) 蛋卷基金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注册地址：北京市朝阳区阜通东大街1号院6号楼2单元21层222507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办公地址：北京市朝阳区阜通东大街1号院6号楼2单元21层222507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法定代表人：钟斐斐</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联系人：侯芳芳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联系电话：010-61840688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客户服务电话：4001599288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网址：https://danjuanapp.com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(163) 鼎信汇金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注册地址：北京市海淀区太月园3号楼5层521室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办公地址：北京市海淀区太月园3号楼5层521室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法定代表人：齐凌峰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联系人：阮志凌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联系电话：010-82050520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客户服务电话：400-886-3311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传真：010-82086110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网址：www.9ifund.com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(164) 东证期货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注册地址：中国（上海）自由贸易试验区浦电路500号上海期货大厦14层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办公地址：上海市黄浦区中山南路318号2号楼22楼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法定代表人：卢大印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联系人：张敏圆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联系电话：021-63325888-4259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客户服务电话：4008859999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传真：021-63326752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网址：www.dzqh.com.cn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(165) 泛华普益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注册地址：四川省成都市成华区建设路9号高地中心1101室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办公地址：四川省成都市锦江区东大街99号平安金融中心1501室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法定代表人：于海锋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联系人：陈金红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联系电话：028-86758820-803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客户服务电话：400-020-0606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网址：www.puyifund.com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(166) 富济基金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注册地址：深圳市福田区福田街道岗厦社区金田路3088号中洲大厦3203A单元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办公地址：深圳市福田区福田街道岗厦社区金田路3088号中洲大厦3203A单元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法定代表人：祝中村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联系人：曾瑶敏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联系电话：0755-83999907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客户服务电话：0755-83999907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传真：0755-83999926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网址：www.fujifund.cn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(167) 海银基金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注册地址：中国（上海）自由贸易试验区银城中路8号402室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办公地址：上海市浦东新区银城中路8号海银金融中心4楼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法定代表人：惠晓川</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联系人：毛林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联系电话：021-80133597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客户服务电话：400-808-1016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传真：021-80133413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网址：www.fundhaiyin.com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(168) 好买基金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注册地址：上海市虹口区欧阳路196号26号楼2楼41号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办公地址：上海市浦东南路1118号鄂尔多斯国际大厦903～906室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法定代表人：杨文斌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联系电话：021-20613600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客户服务电话：400-700-9665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传真：021-68596916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网址：www.ehowbuy.com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(169) 和讯信息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注册地址：北京市朝阳区朝外大街22号1002室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办公地址：北京市朝阳区朝外大街22号泛利大厦10层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联系人：陈慧慧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联系电话：010-85657353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客户服务电话：400-920-0022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传真：010-65884788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网址：http://licaike.hexun.com/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(170) 恒天明泽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注册地址：北京市经济技术开发区宏达北路10号五层5122室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办公地址：北京市朝阳区东三环北路甲19号SOHO嘉盛中心30层3001室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法定代表人：周斌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联系电话：010-59313555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客户服务电话：4008980618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传真：010-59313586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网址：www.chtwm.com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(171) 弘业期货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注册地址：江苏省南京市秦淮区中华路50号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办公地址：江苏省南京市秦淮区中华路50号弘业大厦9楼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法人代表：周剑秋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联系人：孙朝旺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联系电话：025-52278870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客户服务电话：400-828-1288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网址：www.ftol.com.cn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(172) 虹点基金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注册地址：北京市朝阳区东三环北路17号10层1015室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办公地址：北京市朝阳区工体北路甲2号盈科中心东门2层216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法定代表人：何静</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联系人：牛亚楠</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联系电话：010-65951887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客户服务电话：400-618-0707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网址：www.hongdianfund.com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(173) 华夏财富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注册地址：上海市虹口区东大名路687号1幢2楼268室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办公地址：北京市西城区金融大街33号通泰大厦B座8层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法定代表人：毛淮平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联系人：张静怡</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联系电话：010-88066632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客户服务电话：400-817-5666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传真：010-63136184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网址：www.amcfortune.com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(174) 徽商期货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注册地址：安徽省合肥市芜湖路258号3号楼6-7层，6号楼1-2层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办公地址：合肥市芜湖路258号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法人代表：吴国华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联系人：申倩倩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联系电话：0551-62865215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客户服务电话：400-887-8707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网址：www.hsqh.net</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(175) 汇成基金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注册地址：北京市海淀区中关村大街11号11层1108号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办公地址：北京市西城区西直门外大街1号院2号楼 19层 19C13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法定代表人：王伟刚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联系人：王骁骁</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联系电话：010-56251471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客户服务电话：400-619-9059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网址：www.hcjijin.com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(176) 汇付基金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注册地址：上海市黄浦区黄河路333号201室A区056单元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办公地址：上海市徐汇区宜山路700号普天信息产业园2期C5栋 汇付天下总部大楼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法定代表人：金佶</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联系人：甄宝林</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联系电话：021-34013996-3011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客户服务电话：021-34013999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传真：021-33323837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网址：www.hotjijin.com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(177) 济安财富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注册地址：北京市朝阳区太阳宫中路16号院1号楼3层307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办公地址：北京市朝阳区太阳宫中路16号院1号楼冠捷大厦3层307单元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法定代表人：杨健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联系人：李海燕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联系电话：010-65309516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客户服务电话：400-673-7010（济安财富官网）  400-071-6766（腾讯财经）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传真：010-65330699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网址：www.jianfortune.com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(178) 加和基金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注册地址：北京市西城区德胜门外大街13号院1号楼5层505室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办公地址：北京市西城区德胜门外大街13号院1号楼5层505室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法定代表人：曲阳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联系人：王梓骄</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联系电话：010-80456756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客户服务电话：400-803-1188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传真：010-80456278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网址：www.bzfunds.com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(179) 嘉实财富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注册地址：中国（上海）自由贸易试验区世纪大道8号上海国金中心办公楼二期53层5312-15单元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办公地址：北京市朝阳区建国路91号金地中心A座6层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法定代表人：赵学军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联系电话：010-60842306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客户服务电话：400-021-8850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传真：010-85712195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网址：www.harvestwm.cn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(180) 金百临</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注册地址：无锡市滨湖区锦溪路99号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办公地址：江苏省无锡市太湖新城锦溪道楝泽路9号楼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法人代表：费晓燕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联系人：邹云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联系电话：0510-81188088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客户服务电话：0510-9688988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网址：www.jsjbl.com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(181) 金观诚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注册地址：杭州拱墅区登云路45号金诚集团（锦昌大厦）1幢10楼1001室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办公地址：杭州拱墅区登云路55号金诚集团（锦昌大厦）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法定代表人：蒋雪琦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联系人：来舒岚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联系电话：0571-88337888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客户服务电话：4000680058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传真：0571-88337666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网址：http://www.jincheng-fund.com/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(182) 久富财富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注册地址：上海市浦东新区莱阳路2819号1幢109室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办公地址：上海市浦东新区民生路1403号上海信息大厦1215室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法定代表人：赵惠蓉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联系人：赵惠蓉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联系电话：021-68682279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客户服务电话：400-102-1813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传真：021-68682297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网址：www.jfcta.com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(183) 凯石财富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注册地址：上海市黄浦区西藏南路765号602-115室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办公地址：上海市黄浦区延安东路1号凯石大厦4楼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法定代表人：陈继武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联系人：冯强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联系电话：021-63333389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客户服务电话：4006-433-389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传真：021-63333390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网址：www.vstonewealth.com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(184) 肯特瑞基金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注册地址：北京市海淀区显龙山路19号1幢4层1座401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办公地址：北京市大兴区亦庄经济开发区科创十一街十八号院京东集团总部A座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法定代表人：江卉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联系人：韩锦星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联系电话：010-89189291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网址：http://fund.jd.com/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(185) 利得基金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注册地址：上海市宝山区蕴川路5475号1033室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办公地址：上海市虹口区东大名路1098号浦江国际金融广场53层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法定代表人：李兴春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联系人：陈孜明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联系电话：86-021-50583533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客户服务电话：95733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传真：86-21-61101630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网址：www.leadfund.com.cn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(186) 联泰基金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注册地址：中国（上海）自由贸易试验区富特北路277号3层310室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办公地址：上海市长宁区福泉北路518号8座3楼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法定代表人：尹彬彬</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联系人：陈东</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联系电话：021-52822063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客户服务电话：400-118-1188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传真：021-52975270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网址：www.66zichan.com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(187) 陆基金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注册地址：中国（上海）自由贸易试验区陆家嘴环路1333号14楼09单元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办公地址：中国（上海）自由贸易试验区陆家嘴环路1333号14楼09单元</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法定代表人：王之光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联系人：宁博宇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联系电话：021-20665952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客户服务电话：4008219031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传真：021-22066653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网址：www.lufunds.com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(188) 蚂蚁基金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注册地址：浙江省杭州市余杭区五常街道文一西路969号3幢5层599室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办公地址：浙江省杭州市西湖区万塘路18号黄龙时代广场B座6F</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法定代表人：祖国明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联系人：韩爱彬</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联系电话：0571-26888888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客户服务电话：4000-766-123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网址：http://www.fund123.cn/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(189) 民商基金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注册地址：上海黄浦区北京东路666号H区（东座）6楼A31室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办公地址：上海市浦东新区张杨路707号生命人寿大厦32楼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法定代表人：贲惠琴</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联系人：杨一新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联系电话：021-50206003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客户服务电话：021-50206002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传真：021-50206001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网址：http://www.msftec.com/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(190) 诺亚正行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注册地址：上海市虹口区飞虹路360弄9号3724室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办公地址：上海杨浦区秦皇岛路32号C栋 2楼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法定代表人：汪静波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联系人：余翼飞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联系电话：021-80358749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客户服务电话：400-821-5399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传真：021-38509777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网址：www.noah-fund.com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(191) 浦领基金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注册地址：北京市朝阳区望京东园四区13号楼A座9层908室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办公地址：北京市朝阳区望京浦项中心A座9层04-08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法定代表人：聂婉君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联系电话：010-59497361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客户服务电话：400-012-5899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传真：010-64788016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网址：www.zscffund.com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(192) 钱景基金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注册地址：北京市海淀区中关村东路18号1号楼11层B-1108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办公地址：北京市海淀区中关村东路18号财智国际大厦B-1108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法定代表人：王利刚</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联系人：姚付景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联系电话：010-62565181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客户服务电话：400-893-6885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传真：010-57569671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网址：www.qianjing.com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(193) 深圳新兰德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注册地址：深圳市福田区福田街道民田路178号华融大厦27层2704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办公地址：北京市西城区宣武门外大街28号富卓大厦A座7层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法定代表人：洪弘</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联系人：张燕</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联系电话：010-83363099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客户服务电话：400-166-1188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传真：010-83363010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网址：http://8.jrj.com.cn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(194) 晟视天下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注册地址：北京市怀柔区九渡河镇黄坎村735号03室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办公地址：北京市朝阳区朝外大街甲六号万通中心D座21层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法定代表人：蒋煜</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联系人：史俊杰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联系电话：010-58170936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客户服务电话：010-58170761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传真：010-58170800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网址：www.shengshiview.com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(195) 苏宁基金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注册地址：南京市玄武区苏宁大道1-5号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办公地址：南京市玄武区苏宁大道1-5号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联系人：张云飞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联系电话：025-66996699-882796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网址：www.snjijin.com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(196) 天天基金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注册地址：上海市徐汇区龙田路190号2号楼2层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办公地址：上海市徐汇区宛平南路88号东方财富大厦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法定代表人：其实</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联系人：屠彦洋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联系电话：021-54509977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客户服务电话：95021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传真：021-64385308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网址：www.1234567.com.cn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(197) 通华财富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注册地址：上海市虹口区同丰路667弄107号201室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办公地址：上海市浦东新区金沪路55号通华科技大厦7楼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法定代表人：沈丹义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联系人：杨涛、庄洁茹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联系电话：021-60810586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传真：021-60810695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网址：www.tonghuafund.com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(198) 同花顺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注册地址：浙江省杭州市文二西路1号903室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办公地址：杭州市余杭区五常街道同顺街18号同花顺大楼4层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法定代表人：吴强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联系人：吴强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联系电话：0571-88911818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客户服务电话：952555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传真：0571-86800423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网址：www.5ifund.com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(199) 途牛基金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注册地址：江苏省南京市玄武区玄武大道699-1号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办公地址：江苏省南京市玄武区玄武大道699-32号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法人代表：宋时琳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联系人：贺杰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联系电话：025-86853960-66727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客户服务电话：4007-999-999转3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网址：http://jr.tuniu.com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(200) 挖财基金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注册地址：中国（上海）自由贸易试验区杨高南路799号5楼01、02、03室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办公地址：上海市浦东新区杨高南路799号陆家嘴世纪金融广场3号楼5层01、02、03层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法定代表人：冷飞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联系电话：021-50810687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客户服务电话：021-50810673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网址：www.wacaijijin.com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(201) 万得基金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注册地址：中国（上海）自由贸易试验区福山路33号11楼B座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办公地址：上海市浦东新区浦明路1500号万得大厦11楼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法定代表人：黄祎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联系人：徐亚丹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联系电话：021-50712782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客户服务电话：400-799-1888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网址：www.520fund.com.cn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(202) 万家财富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注册地址：天津自贸区（中心商务区）迎宾大道1988号滨海浙商大厦公寓2-2413室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办公地址：北京市西城区丰盛胡同28号太平洋保险大厦A座5层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联系人：王芳芳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联系电话：010-59013828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客户服务电话：010-59013895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网址：http://www.wanjiawealth.com/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(203) 新浪仓石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注册地址：北京市海淀区东北旺西路中关村软件园二期（西扩）N-1、N-2地块新浪总部科研楼5层518室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办公地址：北京市海淀区西北旺东路10号院东区3号楼为明大厦C座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法定代表人：赵芯蕊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联系人：赵芯蕊</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联系电话：010-62625768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客户服务电话：010-62675369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传真：010-62676582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网址：www.xincai.com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(204) 鑫鼎盛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注册地址：厦门市思明区鹭江道2号厦门第一广场西座1501-1502室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办公地址：厦门市思明区鹭江道2号厦门第一广场西座1501-1502室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 xml:space="preserve">法定代表人：陈洪生 </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联系人：梁云波</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联系电话：0592-3122757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客户服务电话：400-918-0808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网址：www.xds.com.cn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(205) 阳光人寿保险</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注册地址：海南省三亚市迎宾路360-1号三亚阳光金融广场16层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办公地址：北京市朝阳区朝外大街20号联合大厦701A室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法定代表人：李科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联系人：龙尧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联系电话：010-59053779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客户服务电话：95510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传真：010-59053700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网址：http://fund.sinosig.com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(206) 一路财富</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注册地址：北京市西城区阜成门外大街2号1幢A2208室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办公地址：北京市海淀区宝盛南路奥北科技园20号楼国泰大厦9层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法定代表人：吴雪秀</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联系人：刘栋栋</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联系电话：010-88312877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客户服务电话：400-001-1566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传真：010-88312099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网址：www.yilucaifu.com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(207) 宜投基金销售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注册地址：深圳市前海深港合作区前湾一路1号A栋201室（入驻深圳市前海商务秘书有限公司）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办公地址：深圳市福田区嘉里建设广场2座15楼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法定代表人：雷凤潮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联系人：梁菲菲</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联系电话：0755-88603874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客户服务电话：4008-955-811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网址：www.yitfund.com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(208) 宜信普泽</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注册地址：北京市朝阳区建国路88号9号楼15层1809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办公地址：北京市朝阳区建国路88号楼SOHO现代城C座18层1809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法定代表人：戎兵</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联系人：魏晨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联系电话：010-52413385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客户服务电话：400-6099-200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传真：010-85800047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网址：www.yixinfund.com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(209) 奕丰金融</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注册地址：深圳市前海深港合作区前湾一路1号A栋201室（入驻深圳市前海商务秘书有限公司）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办公地址：深圳市南山区海德三道航天科技广场A座17楼1704室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法定代表人：TEO WEE HOWE</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联系人：叶健</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联系电话：0755-89460507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客户服务电话：400-684-0500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传真：0755-21674453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网址：www.ifastps.com.cn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(210) 盈米基金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注册地址：珠海市横琴新区宝华路6号105室-3491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办公地址：广州市海珠区琶洲大道东路1号保利国际广场南塔1201-1203室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法定代表人：肖雯</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联系人：邱湘湘</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联系电话：020-89629099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客户服务电话：020-89629066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传真：020-89629011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网址：www.yingmi.cn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(211) 云湾基金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注册地址：中国（上海）自由贸易试验区新金桥路27号、明月路1257号1幢1层103-1、103-2办公区</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办公地址：上海市浦东新区新金桥路27号1号楼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法定代表人：冯轶明</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联系人：范泽杰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联系电话：021-20530186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客户服务电话：400-820-1515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传真：021-20539999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网址：http://www.zhengtongfunds.com/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(212) 增财基金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注册地址：北京市西城区南礼士路66号建威大厦1208室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办公地址：北京市西城区南礼士路66号建威大厦1208-1209室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法定代表人：罗细安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联系人：闫丽敏</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联系电话：010-67000988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客户服务电话：400-001-8811</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传真：010-67000988-6000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网址：www.zcvc.com.cn</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(213) 展恒基金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注册地址：北京市顺义区后沙峪镇安富街6号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办公地址：北京市朝阳区安苑路15-1号邮电新闻大厦6层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法定代表人：闫振杰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联系人：李晓芳</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联系电话：010-59601366-7167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客户服务电话：400-818-8000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传真：0351-4110714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网址：www.myfund.com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(214) 中国国际期货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注册地址：北京市朝阳区建国门外光华路14号1幢6层609号、610号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办公地址：北京市朝阳区建国门外光华路14号1幢1层、2层、9层、11层、12层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法定代表人：王兵</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联系人：霍丽文</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联系电话：010-65807827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传真：010-59539806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网址：http://www.cifco.net/</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(215) 中期时代基金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注册地址：北京市朝阳区建国门外光华路14号1幢11层1103号</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办公地址：北京市朝阳区建国门外光华路14号1幢4层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法定代表人：田宏莉</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联系人：尹庆</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联系电话：010-65807865</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客户服务电话：95162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传真：010-65807864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网址：www.jrtoo.com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(216) 中信建投期货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注册地址：重庆市渝中区中山三路107号上站大楼平街11-B，名义层11-A，8-B4，9-B、C</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办公地址：重庆市渝中区中山三路107号皇冠大厦11楼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法定代表人：王广学</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联系人：刘芸</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联系电话：023-86769637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客户服务电话：400-8877-780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传真：023-86769629</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网址：www.cfc108.com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(217) 中信期货</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注册地址：广东省深圳市福田区中心三路8号卓越时代广场（二期）北座13层1301-1305室、14层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办公地址：深圳市福田区中心三路8号卓越时代广场（二期）北座13层1301-1305室、14层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法定代表人：张皓</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联系人：刘宏莹</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联系电话：010-6083 3754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客户服务电话：400-990-8826</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传真：021-60819988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网址：www.citicsf.com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(218) 中正达广</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注册地址：上海市徐汇区龙腾大道2815号302室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办公地址：上海市徐汇区龙腾大道2815号302室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法定代表人：黄欣</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联系人：戴珉微</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联系电话：021-33768132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客户服务电话：400-6767-523</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传真：021-33768132-802</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网址：www.zhongzhengfund.com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(219) 中证金牛</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注册地址：北京市丰台区东管头1号2号楼2-45室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办公地址：北京市西城区宣武门外大街甲1号环球财讯中心A座5层</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法定代表人：钱昊旻</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联系人：沈晨</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联系电话：010-59336544</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客户服务电话：4008-909-998</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网址：www.jnlc.com</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(220) 众禄基金</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注册地址：深圳市罗湖区笋岗街道笋西社区梨园路8号HALO广场一期四层12-13室</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办公地址：深圳市罗湖区梨园路HALO广场4楼</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法定代表人：薛峰</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联系人：龚江江</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联系电话：0755-33227950</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客户服务电话：4006-788-887</w:t>
      </w:r>
    </w:p>
    <w:p w:rsidR="00024AB3" w:rsidRPr="00456512" w:rsidRDefault="00024AB3" w:rsidP="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传真：0755-33227951</w:t>
      </w:r>
    </w:p>
    <w:p w:rsidR="00083CDE" w:rsidRPr="00456512" w:rsidRDefault="00024AB3">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网址：www.zlfund.cn    www.jjmmw.com</w:t>
      </w:r>
    </w:p>
    <w:p w:rsidR="005156D4" w:rsidRPr="00456512" w:rsidRDefault="001D2E2F" w:rsidP="00084917">
      <w:pPr>
        <w:pStyle w:val="23"/>
        <w:snapToGrid w:val="0"/>
        <w:spacing w:before="312" w:after="312" w:line="360" w:lineRule="auto"/>
        <w:ind w:firstLineChars="0" w:firstLine="0"/>
        <w:rPr>
          <w:rFonts w:asciiTheme="minorEastAsia" w:eastAsiaTheme="minorEastAsia" w:hAnsiTheme="minorEastAsia"/>
          <w:szCs w:val="21"/>
        </w:rPr>
      </w:pPr>
      <w:bookmarkStart w:id="22" w:name="_Toc30161769"/>
      <w:r w:rsidRPr="00456512">
        <w:rPr>
          <w:rFonts w:asciiTheme="minorEastAsia" w:eastAsiaTheme="minorEastAsia" w:hAnsiTheme="minorEastAsia" w:hint="eastAsia"/>
          <w:szCs w:val="21"/>
        </w:rPr>
        <w:t>（二）注册登记机构</w:t>
      </w:r>
      <w:bookmarkEnd w:id="21"/>
      <w:bookmarkEnd w:id="22"/>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易方达基金管理有限公司</w:t>
      </w:r>
    </w:p>
    <w:p w:rsidR="00CC7A27" w:rsidRPr="00456512" w:rsidRDefault="00CC7A27"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注册地址：</w:t>
      </w:r>
      <w:r w:rsidR="00934B5C" w:rsidRPr="00456512">
        <w:rPr>
          <w:rFonts w:asciiTheme="minorEastAsia" w:eastAsiaTheme="minorEastAsia" w:hAnsiTheme="minorEastAsia" w:hint="eastAsia"/>
          <w:szCs w:val="21"/>
        </w:rPr>
        <w:t>广东省珠海市横琴新区宝华路6号105室-42891（集中办公区）</w:t>
      </w:r>
    </w:p>
    <w:p w:rsidR="001D2E2F" w:rsidRPr="00456512" w:rsidRDefault="00CC7A27"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办公地址：广州市天河区珠江新城珠江东路30号广州银行大厦40-43楼</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法定代表人：</w:t>
      </w:r>
      <w:r w:rsidR="00D84BB7" w:rsidRPr="00456512">
        <w:rPr>
          <w:rFonts w:asciiTheme="minorEastAsia" w:eastAsiaTheme="minorEastAsia" w:hAnsiTheme="minorEastAsia" w:hint="eastAsia"/>
          <w:szCs w:val="21"/>
        </w:rPr>
        <w:t>刘晓艳</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电话：4008818088</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传真：</w:t>
      </w:r>
      <w:r w:rsidRPr="00456512">
        <w:rPr>
          <w:rFonts w:asciiTheme="minorEastAsia" w:eastAsiaTheme="minorEastAsia" w:hAnsiTheme="minorEastAsia"/>
          <w:szCs w:val="21"/>
        </w:rPr>
        <w:t>020</w:t>
      </w:r>
      <w:r w:rsidRPr="00456512">
        <w:rPr>
          <w:rFonts w:asciiTheme="minorEastAsia" w:eastAsiaTheme="minorEastAsia" w:hAnsiTheme="minorEastAsia" w:hint="eastAsia"/>
          <w:szCs w:val="21"/>
        </w:rPr>
        <w:t>-38799249</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联系人：余贤高</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szCs w:val="21"/>
        </w:rPr>
      </w:pPr>
      <w:bookmarkStart w:id="23" w:name="_Toc38432430"/>
      <w:bookmarkStart w:id="24" w:name="_Toc30161770"/>
      <w:r w:rsidRPr="00456512">
        <w:rPr>
          <w:rFonts w:asciiTheme="minorEastAsia" w:eastAsiaTheme="minorEastAsia" w:hAnsiTheme="minorEastAsia" w:hint="eastAsia"/>
          <w:szCs w:val="21"/>
        </w:rPr>
        <w:t>（三）律师事务所和经办律师</w:t>
      </w:r>
      <w:bookmarkEnd w:id="23"/>
      <w:bookmarkEnd w:id="24"/>
    </w:p>
    <w:p w:rsidR="001D2E2F" w:rsidRPr="00456512" w:rsidRDefault="001D2E2F"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律师事务所：北京市德恒律师事务所</w:t>
      </w:r>
    </w:p>
    <w:p w:rsidR="001D2E2F" w:rsidRPr="00456512" w:rsidRDefault="001D2E2F"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地址：北京市西城区金融大街19号富凯大厦B座12层</w:t>
      </w:r>
    </w:p>
    <w:p w:rsidR="001D2E2F" w:rsidRPr="00456512" w:rsidRDefault="001D2E2F"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负责人：王丽</w:t>
      </w:r>
    </w:p>
    <w:p w:rsidR="0077607C" w:rsidRPr="00456512" w:rsidRDefault="0077607C"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电话：010-52682888</w:t>
      </w:r>
    </w:p>
    <w:p w:rsidR="001D2E2F" w:rsidRPr="00456512" w:rsidRDefault="00526218"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传真：</w:t>
      </w:r>
      <w:r w:rsidR="0077607C" w:rsidRPr="00456512">
        <w:rPr>
          <w:rFonts w:asciiTheme="minorEastAsia" w:eastAsiaTheme="minorEastAsia" w:hAnsiTheme="minorEastAsia" w:hint="eastAsia"/>
        </w:rPr>
        <w:t>0</w:t>
      </w:r>
      <w:r w:rsidRPr="00456512">
        <w:rPr>
          <w:rFonts w:asciiTheme="minorEastAsia" w:eastAsiaTheme="minorEastAsia" w:hAnsiTheme="minorEastAsia" w:hint="eastAsia"/>
        </w:rPr>
        <w:t>10-52682999</w:t>
      </w:r>
    </w:p>
    <w:p w:rsidR="001D2E2F" w:rsidRPr="00456512" w:rsidRDefault="001D2E2F"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经办律师：陈静茹、高国富</w:t>
      </w:r>
    </w:p>
    <w:p w:rsidR="001D2E2F" w:rsidRPr="00456512" w:rsidRDefault="001D2E2F" w:rsidP="00084917">
      <w:pPr>
        <w:adjustRightInd w:val="0"/>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联系人：</w:t>
      </w:r>
      <w:r w:rsidR="00790C79" w:rsidRPr="00456512">
        <w:rPr>
          <w:rFonts w:asciiTheme="minorEastAsia" w:eastAsiaTheme="minorEastAsia" w:hAnsiTheme="minorEastAsia" w:hint="eastAsia"/>
        </w:rPr>
        <w:t>王丽</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szCs w:val="21"/>
        </w:rPr>
      </w:pPr>
      <w:bookmarkStart w:id="25" w:name="_Toc38432431"/>
      <w:bookmarkStart w:id="26" w:name="_Toc30161771"/>
      <w:r w:rsidRPr="00456512">
        <w:rPr>
          <w:rFonts w:asciiTheme="minorEastAsia" w:eastAsiaTheme="minorEastAsia" w:hAnsiTheme="minorEastAsia" w:hint="eastAsia"/>
          <w:szCs w:val="21"/>
        </w:rPr>
        <w:t>（四）会计师事务所和经办注册会计师</w:t>
      </w:r>
      <w:bookmarkEnd w:id="25"/>
      <w:bookmarkEnd w:id="26"/>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会计师事务所：普华永道中天会计师事务所（特殊普通合伙）</w:t>
      </w:r>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住所：</w:t>
      </w:r>
      <w:r w:rsidR="008C66FA" w:rsidRPr="00456512">
        <w:rPr>
          <w:rFonts w:asciiTheme="minorEastAsia" w:eastAsiaTheme="minorEastAsia" w:hAnsiTheme="minorEastAsia" w:hint="eastAsia"/>
          <w:szCs w:val="21"/>
        </w:rPr>
        <w:t>上海市湖滨路202号普华永道中心11楼</w:t>
      </w:r>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办公地址：上海市湖滨路202号普华永道中心11楼</w:t>
      </w:r>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首席合伙人：李丹</w:t>
      </w:r>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电话：（021）23238888</w:t>
      </w:r>
    </w:p>
    <w:p w:rsidR="00C2052A" w:rsidRPr="00456512" w:rsidRDefault="00C2052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传真：（021）23238800</w:t>
      </w:r>
    </w:p>
    <w:p w:rsidR="0064101A" w:rsidRPr="00456512" w:rsidRDefault="0064101A" w:rsidP="0064101A">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经办注册会计师：</w:t>
      </w:r>
      <w:r w:rsidR="00456E67" w:rsidRPr="00456512">
        <w:rPr>
          <w:rFonts w:asciiTheme="minorEastAsia" w:eastAsiaTheme="minorEastAsia" w:hAnsiTheme="minorEastAsia" w:hint="eastAsia"/>
          <w:szCs w:val="21"/>
        </w:rPr>
        <w:t>陈熹</w:t>
      </w:r>
      <w:r w:rsidRPr="00456512">
        <w:rPr>
          <w:rFonts w:asciiTheme="minorEastAsia" w:eastAsiaTheme="minorEastAsia" w:hAnsiTheme="minorEastAsia" w:hint="eastAsia"/>
          <w:szCs w:val="21"/>
        </w:rPr>
        <w:t>、周祎</w:t>
      </w:r>
    </w:p>
    <w:p w:rsidR="001D2E2F" w:rsidRPr="00456512" w:rsidRDefault="0064101A"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联系人：周祎</w:t>
      </w:r>
    </w:p>
    <w:p w:rsidR="00C64778" w:rsidRPr="00456512" w:rsidRDefault="00C64778" w:rsidP="00084917">
      <w:pPr>
        <w:snapToGrid w:val="0"/>
        <w:spacing w:line="360" w:lineRule="auto"/>
        <w:ind w:firstLineChars="200" w:firstLine="420"/>
        <w:rPr>
          <w:rFonts w:asciiTheme="minorEastAsia" w:eastAsiaTheme="minorEastAsia" w:hAnsiTheme="minorEastAsia"/>
          <w:szCs w:val="21"/>
        </w:rPr>
      </w:pPr>
    </w:p>
    <w:p w:rsidR="00CC7C7D" w:rsidRPr="00456512" w:rsidRDefault="00CC7C7D" w:rsidP="00084917">
      <w:pPr>
        <w:snapToGrid w:val="0"/>
        <w:spacing w:line="360" w:lineRule="auto"/>
        <w:ind w:firstLineChars="200" w:firstLine="420"/>
        <w:rPr>
          <w:rFonts w:asciiTheme="minorEastAsia" w:eastAsiaTheme="minorEastAsia" w:hAnsiTheme="minorEastAsia"/>
          <w:szCs w:val="21"/>
        </w:rPr>
        <w:sectPr w:rsidR="00CC7C7D" w:rsidRPr="00456512" w:rsidSect="0037562B">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27" w:name="_Toc81902758"/>
      <w:bookmarkStart w:id="28" w:name="_Toc30161772"/>
      <w:r w:rsidRPr="00456512">
        <w:rPr>
          <w:rFonts w:asciiTheme="minorEastAsia" w:eastAsiaTheme="minorEastAsia" w:hAnsiTheme="minorEastAsia" w:hint="eastAsia"/>
          <w:b/>
        </w:rPr>
        <w:lastRenderedPageBreak/>
        <w:t>六、基金份额的申购、赎回和转换</w:t>
      </w:r>
      <w:bookmarkEnd w:id="27"/>
      <w:bookmarkEnd w:id="28"/>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29" w:name="_Toc30161773"/>
      <w:r w:rsidRPr="00456512">
        <w:rPr>
          <w:rFonts w:asciiTheme="minorEastAsia" w:eastAsiaTheme="minorEastAsia" w:hAnsiTheme="minorEastAsia" w:hint="eastAsia"/>
          <w:bCs/>
        </w:rPr>
        <w:t>（一）投资者范围</w:t>
      </w:r>
      <w:bookmarkEnd w:id="29"/>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依据中华人民共和国有关法律法规及其他有关规定可以投资于证券投资基金的个人投资者和机构投资者。</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0" w:name="_Toc30161774"/>
      <w:r w:rsidRPr="00456512">
        <w:rPr>
          <w:rFonts w:asciiTheme="minorEastAsia" w:eastAsiaTheme="minorEastAsia" w:hAnsiTheme="minorEastAsia" w:hint="eastAsia"/>
          <w:bCs/>
        </w:rPr>
        <w:t>（</w:t>
      </w:r>
      <w:r w:rsidRPr="00456512">
        <w:rPr>
          <w:rFonts w:asciiTheme="minorEastAsia" w:eastAsiaTheme="minorEastAsia" w:hAnsiTheme="minorEastAsia" w:hint="eastAsia"/>
          <w:b w:val="0"/>
        </w:rPr>
        <w:t>二</w:t>
      </w:r>
      <w:r w:rsidRPr="00456512">
        <w:rPr>
          <w:rFonts w:asciiTheme="minorEastAsia" w:eastAsiaTheme="minorEastAsia" w:hAnsiTheme="minorEastAsia" w:hint="eastAsia"/>
          <w:bCs/>
        </w:rPr>
        <w:t>）申购、赎回和转换场所</w:t>
      </w:r>
      <w:bookmarkEnd w:id="30"/>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基金管理人直销</w:t>
      </w:r>
      <w:r w:rsidR="006B6B03" w:rsidRPr="00456512">
        <w:rPr>
          <w:rFonts w:asciiTheme="minorEastAsia" w:eastAsiaTheme="minorEastAsia" w:hAnsiTheme="minorEastAsia" w:hint="eastAsia"/>
        </w:rPr>
        <w:t>中心</w:t>
      </w:r>
      <w:r w:rsidR="001D2E2F" w:rsidRPr="00456512">
        <w:rPr>
          <w:rFonts w:asciiTheme="minorEastAsia" w:eastAsiaTheme="minorEastAsia" w:hAnsiTheme="minorEastAsia" w:hint="eastAsia"/>
        </w:rPr>
        <w:t>、网上交易系统(www.efunds.com.cn)；</w:t>
      </w:r>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受本公司委托、具有销售本基金资格的</w:t>
      </w:r>
      <w:r w:rsidR="001D2E2F" w:rsidRPr="00456512">
        <w:rPr>
          <w:rFonts w:asciiTheme="minorEastAsia" w:eastAsiaTheme="minorEastAsia" w:hAnsiTheme="minorEastAsia"/>
        </w:rPr>
        <w:t>销售</w:t>
      </w:r>
      <w:r w:rsidR="001D2E2F" w:rsidRPr="00456512">
        <w:rPr>
          <w:rFonts w:asciiTheme="minorEastAsia" w:eastAsiaTheme="minorEastAsia" w:hAnsiTheme="minorEastAsia" w:hint="eastAsia"/>
        </w:rPr>
        <w:t>机构</w:t>
      </w:r>
      <w:r w:rsidR="001D2E2F" w:rsidRPr="00456512">
        <w:rPr>
          <w:rFonts w:asciiTheme="minorEastAsia" w:eastAsiaTheme="minorEastAsia" w:hAnsiTheme="minorEastAsia"/>
        </w:rPr>
        <w:t>的</w:t>
      </w:r>
      <w:r w:rsidR="006A5737" w:rsidRPr="00456512">
        <w:rPr>
          <w:rFonts w:asciiTheme="minorEastAsia" w:eastAsiaTheme="minorEastAsia" w:hAnsiTheme="minorEastAsia" w:hint="eastAsia"/>
        </w:rPr>
        <w:t>非直销销售机构</w:t>
      </w:r>
      <w:r w:rsidR="001D2E2F" w:rsidRPr="00456512">
        <w:rPr>
          <w:rFonts w:asciiTheme="minorEastAsia" w:eastAsiaTheme="minorEastAsia" w:hAnsiTheme="minorEastAsia"/>
        </w:rPr>
        <w:t>网点</w:t>
      </w:r>
      <w:r w:rsidR="001D2E2F" w:rsidRPr="00456512">
        <w:rPr>
          <w:rFonts w:asciiTheme="minorEastAsia" w:eastAsiaTheme="minorEastAsia" w:hAnsiTheme="minorEastAsia" w:hint="eastAsia"/>
        </w:rPr>
        <w:t>；</w:t>
      </w:r>
    </w:p>
    <w:p w:rsidR="001D2E2F" w:rsidRPr="00456512" w:rsidRDefault="001D2E2F" w:rsidP="00084917">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基金管理人可根据情况变更基金</w:t>
      </w:r>
      <w:r w:rsidR="006A5737" w:rsidRPr="00456512">
        <w:rPr>
          <w:rFonts w:asciiTheme="minorEastAsia" w:eastAsiaTheme="minorEastAsia" w:hAnsiTheme="minorEastAsia" w:hint="eastAsia"/>
        </w:rPr>
        <w:t>销售</w:t>
      </w:r>
      <w:r w:rsidRPr="00456512">
        <w:rPr>
          <w:rFonts w:asciiTheme="minorEastAsia" w:eastAsiaTheme="minorEastAsia" w:hAnsiTheme="minorEastAsia" w:hint="eastAsia"/>
        </w:rPr>
        <w:t>机构，</w:t>
      </w:r>
      <w:r w:rsidR="00991E9A" w:rsidRPr="00456512">
        <w:rPr>
          <w:rFonts w:asciiTheme="minorEastAsia" w:eastAsiaTheme="minorEastAsia" w:hAnsiTheme="minorEastAsia" w:hint="eastAsia"/>
          <w:szCs w:val="21"/>
        </w:rPr>
        <w:t>并在基金管理人网站公示</w:t>
      </w:r>
      <w:r w:rsidRPr="00456512">
        <w:rPr>
          <w:rFonts w:asciiTheme="minorEastAsia" w:eastAsiaTheme="minorEastAsia" w:hAnsiTheme="minorEastAsia" w:hint="eastAsia"/>
        </w:rPr>
        <w:t>。</w:t>
      </w:r>
    </w:p>
    <w:p w:rsidR="001D2E2F" w:rsidRPr="00456512" w:rsidRDefault="001D2E2F" w:rsidP="00084917">
      <w:pPr>
        <w:pStyle w:val="32"/>
        <w:autoSpaceDE w:val="0"/>
        <w:autoSpaceDN w:val="0"/>
        <w:snapToGrid w:val="0"/>
        <w:spacing w:line="360" w:lineRule="auto"/>
        <w:ind w:firstLine="420"/>
        <w:textAlignment w:val="bottom"/>
        <w:rPr>
          <w:rFonts w:asciiTheme="minorEastAsia" w:eastAsiaTheme="minorEastAsia" w:hAnsiTheme="minorEastAsia"/>
          <w:color w:val="auto"/>
          <w:sz w:val="21"/>
          <w:szCs w:val="24"/>
        </w:rPr>
      </w:pPr>
      <w:r w:rsidRPr="00456512">
        <w:rPr>
          <w:rFonts w:asciiTheme="minorEastAsia" w:eastAsiaTheme="minorEastAsia" w:hAnsiTheme="minorEastAsia" w:hint="eastAsia"/>
          <w:color w:val="auto"/>
          <w:sz w:val="21"/>
          <w:szCs w:val="24"/>
        </w:rPr>
        <w:t>投资者还可通过基金管理人或者指定的基金</w:t>
      </w:r>
      <w:r w:rsidR="006A5737" w:rsidRPr="00456512">
        <w:rPr>
          <w:rFonts w:asciiTheme="minorEastAsia" w:eastAsiaTheme="minorEastAsia" w:hAnsiTheme="minorEastAsia" w:hint="eastAsia"/>
          <w:color w:val="auto"/>
          <w:sz w:val="21"/>
          <w:szCs w:val="24"/>
        </w:rPr>
        <w:t>销售</w:t>
      </w:r>
      <w:r w:rsidRPr="00456512">
        <w:rPr>
          <w:rFonts w:asciiTheme="minorEastAsia" w:eastAsiaTheme="minorEastAsia" w:hAnsiTheme="minorEastAsia" w:hint="eastAsia"/>
          <w:color w:val="auto"/>
          <w:sz w:val="21"/>
          <w:szCs w:val="24"/>
        </w:rPr>
        <w:t>机构以电话或互联网等形式进行申购、赎回，具体以各销售机构的规定为准。</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1" w:name="_Toc30161775"/>
      <w:r w:rsidRPr="00456512">
        <w:rPr>
          <w:rFonts w:asciiTheme="minorEastAsia" w:eastAsiaTheme="minorEastAsia" w:hAnsiTheme="minorEastAsia" w:hint="eastAsia"/>
          <w:bCs/>
        </w:rPr>
        <w:t>（三）</w:t>
      </w:r>
      <w:r w:rsidRPr="00456512">
        <w:rPr>
          <w:rFonts w:asciiTheme="minorEastAsia" w:eastAsiaTheme="minorEastAsia" w:hAnsiTheme="minorEastAsia" w:hint="eastAsia"/>
          <w:bCs/>
          <w:szCs w:val="20"/>
        </w:rPr>
        <w:t>申购、赎回和转换的开放日期及办理时间</w:t>
      </w:r>
      <w:bookmarkEnd w:id="31"/>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本基金已于2004年9月24日开始办理日常申购业务；2004年11月10日开始办理日常赎回业务；</w:t>
      </w:r>
      <w:r w:rsidR="00130364" w:rsidRPr="00456512">
        <w:rPr>
          <w:rFonts w:asciiTheme="minorEastAsia" w:eastAsiaTheme="minorEastAsia" w:hAnsiTheme="minorEastAsia" w:hint="eastAsia"/>
        </w:rPr>
        <w:t>2004年10月27日开始办理转换业务</w:t>
      </w:r>
      <w:r w:rsidR="002E22A6" w:rsidRPr="00456512">
        <w:rPr>
          <w:rFonts w:asciiTheme="minorEastAsia" w:eastAsiaTheme="minorEastAsia" w:hAnsiTheme="minorEastAsia" w:hint="eastAsia"/>
        </w:rPr>
        <w:t>；</w:t>
      </w:r>
      <w:r w:rsidR="00945E25" w:rsidRPr="00456512">
        <w:rPr>
          <w:rFonts w:asciiTheme="minorEastAsia" w:eastAsiaTheme="minorEastAsia" w:hAnsiTheme="minorEastAsia" w:hint="eastAsia"/>
        </w:rPr>
        <w:t>上述业务的</w:t>
      </w:r>
      <w:r w:rsidRPr="00456512">
        <w:rPr>
          <w:rFonts w:asciiTheme="minorEastAsia" w:eastAsiaTheme="minorEastAsia" w:hAnsiTheme="minorEastAsia" w:hint="eastAsia"/>
        </w:rPr>
        <w:t>具体实施办法参见相关公告。</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申购、赎回和转换的开放日为上海证券交易所、深圳证券交易所的交易日。具体业务办理时间为上海证券交易所、深圳证券交易所的交易时间。若出现新的证券交易市场或交易所交易时间更改或其它原因，基金管理人将视情况进行相应的调整并公告。</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rPr>
        <w:t>投资人在基金合同约定之外的日期和时间提出申购、赎回或者转换申请的，其基金份额申购、赎回价格为下次办理基金份额申购、赎回时间所在开放日的价格</w:t>
      </w:r>
      <w:r w:rsidRPr="00456512">
        <w:rPr>
          <w:rFonts w:asciiTheme="minorEastAsia" w:eastAsiaTheme="minorEastAsia" w:hAnsiTheme="minorEastAsia" w:hint="eastAsia"/>
        </w:rPr>
        <w:t>。</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2" w:name="_Toc30161776"/>
      <w:r w:rsidRPr="00456512">
        <w:rPr>
          <w:rFonts w:asciiTheme="minorEastAsia" w:eastAsiaTheme="minorEastAsia" w:hAnsiTheme="minorEastAsia" w:hint="eastAsia"/>
          <w:bCs/>
        </w:rPr>
        <w:t>（四）</w:t>
      </w:r>
      <w:r w:rsidRPr="00456512">
        <w:rPr>
          <w:rFonts w:asciiTheme="minorEastAsia" w:eastAsiaTheme="minorEastAsia" w:hAnsiTheme="minorEastAsia" w:hint="eastAsia"/>
          <w:bCs/>
          <w:szCs w:val="20"/>
        </w:rPr>
        <w:t>申购、赎回和转换的原则</w:t>
      </w:r>
      <w:bookmarkEnd w:id="32"/>
    </w:p>
    <w:p w:rsidR="001D2E2F" w:rsidRPr="00456512" w:rsidRDefault="001D2E2F"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未知价原则，即本基金的申购与赎回价格以受理申请当日收市后计算的基金份额净值为基准进行计算；</w:t>
      </w:r>
      <w:r w:rsidRPr="00456512">
        <w:rPr>
          <w:rFonts w:asciiTheme="minorEastAsia" w:eastAsiaTheme="minorEastAsia" w:hAnsiTheme="minorEastAsia"/>
        </w:rPr>
        <w:t>转换价格以转换申请提出当日有关转出、转入基金的</w:t>
      </w:r>
      <w:r w:rsidRPr="00456512">
        <w:rPr>
          <w:rFonts w:asciiTheme="minorEastAsia" w:eastAsiaTheme="minorEastAsia" w:hAnsiTheme="minorEastAsia" w:hint="eastAsia"/>
        </w:rPr>
        <w:t>基金份额净值</w:t>
      </w:r>
      <w:r w:rsidRPr="00456512">
        <w:rPr>
          <w:rFonts w:asciiTheme="minorEastAsia" w:eastAsiaTheme="minorEastAsia" w:hAnsiTheme="minorEastAsia"/>
        </w:rPr>
        <w:t>为基准进行计算；</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本基金采用</w:t>
      </w:r>
      <w:r w:rsidR="001D2E2F" w:rsidRPr="00456512">
        <w:rPr>
          <w:rFonts w:asciiTheme="minorEastAsia" w:eastAsiaTheme="minorEastAsia" w:hAnsiTheme="minorEastAsia"/>
        </w:rPr>
        <w:t>金额申购、份额赎回、份额转换原则</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即申购以金额申请</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赎回和转换以份额申请；</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lastRenderedPageBreak/>
        <w:t>2、</w:t>
      </w:r>
      <w:r w:rsidR="001D2E2F" w:rsidRPr="00456512">
        <w:rPr>
          <w:rFonts w:asciiTheme="minorEastAsia" w:eastAsiaTheme="minorEastAsia" w:hAnsiTheme="minorEastAsia" w:hint="eastAsia"/>
        </w:rPr>
        <w:t>基金份额持有人赎回或转换时，除指定赎回外，基金管理人按先进先出的原则，对该持有人账户在该销售机构托管的基金份额进行处理，即注册日期在先的基金份额先赎回或转出，注册日期在后的基金份额后赎回或转出；</w:t>
      </w:r>
      <w:r w:rsidR="001D2E2F" w:rsidRPr="00456512">
        <w:rPr>
          <w:rFonts w:asciiTheme="minorEastAsia" w:eastAsiaTheme="minorEastAsia" w:hAnsiTheme="minorEastAsia"/>
        </w:rPr>
        <w:t>如果转换申请当日，同时有赎回</w:t>
      </w:r>
      <w:r w:rsidR="001D2E2F" w:rsidRPr="00456512">
        <w:rPr>
          <w:rFonts w:asciiTheme="minorEastAsia" w:eastAsiaTheme="minorEastAsia" w:hAnsiTheme="minorEastAsia" w:hint="eastAsia"/>
        </w:rPr>
        <w:t>和转换</w:t>
      </w:r>
      <w:r w:rsidR="001D2E2F" w:rsidRPr="00456512">
        <w:rPr>
          <w:rFonts w:asciiTheme="minorEastAsia" w:eastAsiaTheme="minorEastAsia" w:hAnsiTheme="minorEastAsia"/>
        </w:rPr>
        <w:t>申请的情况下，则遵循先赎回后转换的处理原则；</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rPr>
        <w:t>投资者办理基金转换业务时，转出方的基金必须处于可赎回状态，转入方的基金必须处于可申购状态；</w:t>
      </w:r>
      <w:r w:rsidR="001D2E2F" w:rsidRPr="00456512">
        <w:rPr>
          <w:rFonts w:asciiTheme="minorEastAsia" w:eastAsiaTheme="minorEastAsia" w:hAnsiTheme="minorEastAsia"/>
        </w:rPr>
        <w:t>基金转换后，转入的基金份额的持有期将自转入的基金份额被确认之日起重新开始计算</w:t>
      </w:r>
      <w:r w:rsidR="001D2E2F" w:rsidRPr="00456512">
        <w:rPr>
          <w:rFonts w:asciiTheme="minorEastAsia" w:eastAsiaTheme="minorEastAsia" w:hAnsiTheme="minorEastAsia" w:hint="eastAsia"/>
        </w:rPr>
        <w:t>；</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当日的申购、赎回和转换申请可以在当日交易结束时间前撤销，在当日的交易时间结束后不得撤销；</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hint="eastAsia"/>
        </w:rPr>
        <w:t>基金管理人在不损害基金份额持有人权益的情况下可更改上述原则，但应最迟在新的原则实施前三个工作日予以公告。</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3" w:name="_Toc30161777"/>
      <w:r w:rsidRPr="00456512">
        <w:rPr>
          <w:rFonts w:asciiTheme="minorEastAsia" w:eastAsiaTheme="minorEastAsia" w:hAnsiTheme="minorEastAsia" w:hint="eastAsia"/>
          <w:bCs/>
        </w:rPr>
        <w:t>（五）</w:t>
      </w:r>
      <w:r w:rsidRPr="00456512">
        <w:rPr>
          <w:rFonts w:asciiTheme="minorEastAsia" w:eastAsiaTheme="minorEastAsia" w:hAnsiTheme="minorEastAsia" w:hint="eastAsia"/>
          <w:bCs/>
          <w:szCs w:val="20"/>
        </w:rPr>
        <w:t>申购、赎回和转换的程序</w:t>
      </w:r>
      <w:bookmarkEnd w:id="33"/>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申购、赎回和转换的申请方式</w:t>
      </w:r>
    </w:p>
    <w:p w:rsidR="001D2E2F" w:rsidRPr="00456512" w:rsidRDefault="001D2E2F"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基金投资者必须根据基金管理人和基金</w:t>
      </w:r>
      <w:r w:rsidR="006A5737" w:rsidRPr="00456512">
        <w:rPr>
          <w:rFonts w:asciiTheme="minorEastAsia" w:eastAsiaTheme="minorEastAsia" w:hAnsiTheme="minorEastAsia" w:hint="eastAsia"/>
        </w:rPr>
        <w:t>销售</w:t>
      </w:r>
      <w:r w:rsidRPr="00456512">
        <w:rPr>
          <w:rFonts w:asciiTheme="minorEastAsia" w:eastAsiaTheme="minorEastAsia" w:hAnsiTheme="minorEastAsia" w:hint="eastAsia"/>
        </w:rPr>
        <w:t>机构规定的手续，在开放日的交易时间段内提出申购、赎回和转换的申请。</w:t>
      </w:r>
    </w:p>
    <w:p w:rsidR="001D2E2F" w:rsidRPr="00456512" w:rsidRDefault="001D2E2F"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rPr>
        <w:t>投资者在提交申购申请时</w:t>
      </w:r>
      <w:r w:rsidRPr="00456512">
        <w:rPr>
          <w:rFonts w:asciiTheme="minorEastAsia" w:eastAsiaTheme="minorEastAsia" w:hAnsiTheme="minorEastAsia" w:hint="eastAsia"/>
        </w:rPr>
        <w:t>，</w:t>
      </w:r>
      <w:r w:rsidRPr="00456512">
        <w:rPr>
          <w:rFonts w:asciiTheme="minorEastAsia" w:eastAsiaTheme="minorEastAsia" w:hAnsiTheme="minorEastAsia"/>
        </w:rPr>
        <w:t>须按销售机构规定的方式备足申购资金；提交赎回和转换申请时,账户中必须有足够的基金</w:t>
      </w:r>
      <w:r w:rsidRPr="00456512">
        <w:rPr>
          <w:rFonts w:asciiTheme="minorEastAsia" w:eastAsiaTheme="minorEastAsia" w:hAnsiTheme="minorEastAsia" w:hint="eastAsia"/>
        </w:rPr>
        <w:t>份额</w:t>
      </w:r>
      <w:r w:rsidRPr="00456512">
        <w:rPr>
          <w:rFonts w:asciiTheme="minorEastAsia" w:eastAsiaTheme="minorEastAsia" w:hAnsiTheme="minorEastAsia"/>
        </w:rPr>
        <w:t>余额。</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申购、赎回和转换申请的确认与通知</w:t>
      </w:r>
    </w:p>
    <w:p w:rsidR="001D2E2F" w:rsidRPr="00456512" w:rsidRDefault="00571BA7"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基金管理人应当于受理基金投资人申购、赎回申请之日起三个工作日内，对申请的有效性进行</w:t>
      </w:r>
      <w:r w:rsidR="002922A0" w:rsidRPr="00456512">
        <w:rPr>
          <w:rFonts w:asciiTheme="minorEastAsia" w:eastAsiaTheme="minorEastAsia" w:hAnsiTheme="minorEastAsia" w:hint="eastAsia"/>
        </w:rPr>
        <w:t>确认</w:t>
      </w:r>
      <w:r w:rsidRPr="00456512">
        <w:rPr>
          <w:rFonts w:asciiTheme="minorEastAsia" w:eastAsiaTheme="minorEastAsia" w:hAnsiTheme="minorEastAsia" w:hint="eastAsia"/>
        </w:rPr>
        <w:t>。</w:t>
      </w:r>
      <w:r w:rsidR="001D2E2F" w:rsidRPr="00456512">
        <w:rPr>
          <w:rFonts w:asciiTheme="minorEastAsia" w:eastAsiaTheme="minorEastAsia" w:hAnsiTheme="minorEastAsia" w:hint="eastAsia"/>
        </w:rPr>
        <w:t>正常情况下，投资者可在T+2工作日及之后到其提出</w:t>
      </w:r>
      <w:r w:rsidR="001D2E2F" w:rsidRPr="00456512">
        <w:rPr>
          <w:rFonts w:asciiTheme="minorEastAsia" w:eastAsiaTheme="minorEastAsia" w:hAnsiTheme="minorEastAsia"/>
        </w:rPr>
        <w:t>申请的网点或按销售机构规定的其他方式进行成交查询。</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申购、赎回款项和转换份额的支付</w:t>
      </w:r>
      <w:r w:rsidR="001D2E2F" w:rsidRPr="00456512">
        <w:rPr>
          <w:rFonts w:asciiTheme="minorEastAsia" w:eastAsiaTheme="minorEastAsia" w:hAnsiTheme="minorEastAsia" w:hint="eastAsia"/>
        </w:rPr>
        <w:t>方式与时间</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申购采用全额缴款方式</w:t>
      </w:r>
      <w:r w:rsidRPr="00456512">
        <w:rPr>
          <w:rFonts w:asciiTheme="minorEastAsia" w:eastAsiaTheme="minorEastAsia" w:hAnsiTheme="minorEastAsia" w:hint="eastAsia"/>
          <w:szCs w:val="21"/>
        </w:rPr>
        <w:t>，</w:t>
      </w:r>
      <w:r w:rsidRPr="00456512">
        <w:rPr>
          <w:rFonts w:asciiTheme="minorEastAsia" w:eastAsiaTheme="minorEastAsia" w:hAnsiTheme="minorEastAsia"/>
        </w:rPr>
        <w:t>若资金在规定时间内未全额到账则申购不成功。</w:t>
      </w:r>
      <w:r w:rsidRPr="00456512">
        <w:rPr>
          <w:rFonts w:asciiTheme="minorEastAsia" w:eastAsiaTheme="minorEastAsia" w:hAnsiTheme="minorEastAsia"/>
          <w:szCs w:val="21"/>
        </w:rPr>
        <w:t>若申购不成功或无效</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投资者已缴付的申购款项本金将退还给投资者。</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szCs w:val="21"/>
        </w:rPr>
        <w:t>投资者赎回申请成功后</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赎回金额将由基金管理人通常在</w:t>
      </w:r>
      <w:r w:rsidR="00571BA7" w:rsidRPr="00456512">
        <w:rPr>
          <w:rFonts w:asciiTheme="minorEastAsia" w:eastAsiaTheme="minorEastAsia" w:hAnsiTheme="minorEastAsia" w:hint="eastAsia"/>
          <w:szCs w:val="21"/>
        </w:rPr>
        <w:t>T+3个工作日但</w:t>
      </w:r>
      <w:r w:rsidRPr="00456512">
        <w:rPr>
          <w:rFonts w:asciiTheme="minorEastAsia" w:eastAsiaTheme="minorEastAsia" w:hAnsiTheme="minorEastAsia"/>
          <w:szCs w:val="21"/>
        </w:rPr>
        <w:t>不超过T＋7个工作日之内从基金托管人划出。</w:t>
      </w:r>
      <w:r w:rsidRPr="00456512">
        <w:rPr>
          <w:rFonts w:asciiTheme="minorEastAsia" w:eastAsiaTheme="minorEastAsia" w:hAnsiTheme="minorEastAsia" w:hint="eastAsia"/>
        </w:rPr>
        <w:t>正常情况下，</w:t>
      </w:r>
      <w:r w:rsidRPr="00456512">
        <w:rPr>
          <w:rFonts w:asciiTheme="minorEastAsia" w:eastAsiaTheme="minorEastAsia" w:hAnsiTheme="minorEastAsia"/>
          <w:szCs w:val="21"/>
        </w:rPr>
        <w:t>转换申请注册登记机构于T＋1工作日确认</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转入份额于T＋2工作日可进行赎回。在发生巨额赎回并延期支付时</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款项和份额的支付办法参照有关巨额赎回的条款处理。</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4" w:name="_Toc30161778"/>
      <w:r w:rsidRPr="00456512">
        <w:rPr>
          <w:rFonts w:asciiTheme="minorEastAsia" w:eastAsiaTheme="minorEastAsia" w:hAnsiTheme="minorEastAsia" w:hint="eastAsia"/>
          <w:bCs/>
        </w:rPr>
        <w:t>（六）</w:t>
      </w:r>
      <w:r w:rsidRPr="00456512">
        <w:rPr>
          <w:rFonts w:asciiTheme="minorEastAsia" w:eastAsiaTheme="minorEastAsia" w:hAnsiTheme="minorEastAsia"/>
          <w:bCs/>
        </w:rPr>
        <w:t>申购、赎回和转换的数额限制</w:t>
      </w:r>
      <w:bookmarkEnd w:id="34"/>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申请申购基金的金额限制</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szCs w:val="21"/>
        </w:rPr>
      </w:pPr>
      <w:r w:rsidRPr="00456512">
        <w:rPr>
          <w:rFonts w:asciiTheme="minorEastAsia" w:eastAsiaTheme="minorEastAsia" w:hAnsiTheme="minorEastAsia"/>
          <w:szCs w:val="21"/>
        </w:rPr>
        <w:lastRenderedPageBreak/>
        <w:t>投资者通过直销中心首次申购的单笔最低金额为50000元人民币</w:t>
      </w:r>
      <w:r w:rsidR="008428B0" w:rsidRPr="00456512">
        <w:rPr>
          <w:rFonts w:asciiTheme="minorEastAsia" w:eastAsiaTheme="minorEastAsia" w:hAnsiTheme="minorEastAsia" w:hint="eastAsia"/>
          <w:szCs w:val="21"/>
        </w:rPr>
        <w:t>，</w:t>
      </w:r>
      <w:r w:rsidR="008428B0" w:rsidRPr="00456512">
        <w:rPr>
          <w:rFonts w:asciiTheme="minorEastAsia" w:eastAsiaTheme="minorEastAsia" w:hAnsiTheme="minorEastAsia"/>
          <w:szCs w:val="21"/>
        </w:rPr>
        <w:t>追加申购</w:t>
      </w:r>
      <w:r w:rsidR="008428B0" w:rsidRPr="00456512">
        <w:rPr>
          <w:rFonts w:asciiTheme="minorEastAsia" w:eastAsiaTheme="minorEastAsia" w:hAnsiTheme="minorEastAsia" w:hint="eastAsia"/>
          <w:szCs w:val="21"/>
        </w:rPr>
        <w:t>单笔</w:t>
      </w:r>
      <w:r w:rsidR="008428B0" w:rsidRPr="00456512">
        <w:rPr>
          <w:rFonts w:asciiTheme="minorEastAsia" w:eastAsiaTheme="minorEastAsia" w:hAnsiTheme="minorEastAsia"/>
          <w:szCs w:val="21"/>
        </w:rPr>
        <w:t>最低金额为100</w:t>
      </w:r>
      <w:r w:rsidR="008428B0" w:rsidRPr="00456512">
        <w:rPr>
          <w:rFonts w:asciiTheme="minorEastAsia" w:eastAsiaTheme="minorEastAsia" w:hAnsiTheme="minorEastAsia" w:hint="eastAsia"/>
          <w:szCs w:val="21"/>
        </w:rPr>
        <w:t>0</w:t>
      </w:r>
      <w:r w:rsidR="008428B0" w:rsidRPr="00456512">
        <w:rPr>
          <w:rFonts w:asciiTheme="minorEastAsia" w:eastAsiaTheme="minorEastAsia" w:hAnsiTheme="minorEastAsia"/>
          <w:szCs w:val="21"/>
        </w:rPr>
        <w:t>元人民币</w:t>
      </w:r>
      <w:r w:rsidR="006A5737" w:rsidRPr="00456512">
        <w:rPr>
          <w:rFonts w:asciiTheme="minorEastAsia" w:eastAsiaTheme="minorEastAsia" w:hAnsiTheme="minorEastAsia" w:hint="eastAsia"/>
          <w:szCs w:val="21"/>
        </w:rPr>
        <w:t>；</w:t>
      </w:r>
      <w:r w:rsidR="008428B0" w:rsidRPr="00456512">
        <w:rPr>
          <w:rFonts w:asciiTheme="minorEastAsia" w:eastAsiaTheme="minorEastAsia" w:hAnsiTheme="minorEastAsia" w:hint="eastAsia"/>
          <w:szCs w:val="21"/>
        </w:rPr>
        <w:t>投资者</w:t>
      </w:r>
      <w:r w:rsidRPr="00456512">
        <w:rPr>
          <w:rFonts w:asciiTheme="minorEastAsia" w:eastAsiaTheme="minorEastAsia" w:hAnsiTheme="minorEastAsia"/>
          <w:szCs w:val="21"/>
        </w:rPr>
        <w:t>通过</w:t>
      </w:r>
      <w:r w:rsidR="006A5737" w:rsidRPr="00456512">
        <w:rPr>
          <w:rFonts w:asciiTheme="minorEastAsia" w:eastAsiaTheme="minorEastAsia" w:hAnsiTheme="minorEastAsia" w:hint="eastAsia"/>
          <w:szCs w:val="21"/>
        </w:rPr>
        <w:t>非直销销售机构</w:t>
      </w:r>
      <w:r w:rsidRPr="00456512">
        <w:rPr>
          <w:rFonts w:asciiTheme="minorEastAsia" w:eastAsiaTheme="minorEastAsia" w:hAnsiTheme="minorEastAsia" w:hint="eastAsia"/>
          <w:szCs w:val="21"/>
        </w:rPr>
        <w:t>和易方达网上交易系统</w:t>
      </w:r>
      <w:r w:rsidRPr="00456512">
        <w:rPr>
          <w:rFonts w:asciiTheme="minorEastAsia" w:eastAsiaTheme="minorEastAsia" w:hAnsiTheme="minorEastAsia"/>
          <w:szCs w:val="21"/>
        </w:rPr>
        <w:t>首次申购的单笔最低金额为1元人民币</w:t>
      </w:r>
      <w:r w:rsidR="006A5737"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追加申购</w:t>
      </w:r>
      <w:r w:rsidRPr="00456512">
        <w:rPr>
          <w:rFonts w:asciiTheme="minorEastAsia" w:eastAsiaTheme="minorEastAsia" w:hAnsiTheme="minorEastAsia" w:hint="eastAsia"/>
          <w:szCs w:val="21"/>
        </w:rPr>
        <w:t>单笔</w:t>
      </w:r>
      <w:r w:rsidRPr="00456512">
        <w:rPr>
          <w:rFonts w:asciiTheme="minorEastAsia" w:eastAsiaTheme="minorEastAsia" w:hAnsiTheme="minorEastAsia"/>
          <w:szCs w:val="21"/>
        </w:rPr>
        <w:t>最低金额为1元人民币。</w:t>
      </w:r>
      <w:r w:rsidR="00796CD9" w:rsidRPr="00456512">
        <w:rPr>
          <w:rFonts w:asciiTheme="minorEastAsia" w:eastAsiaTheme="minorEastAsia" w:hAnsiTheme="minorEastAsia" w:hint="eastAsia"/>
          <w:szCs w:val="21"/>
        </w:rPr>
        <w:t>在符合法律法规规定的前提下，</w:t>
      </w:r>
      <w:r w:rsidRPr="00456512">
        <w:rPr>
          <w:rFonts w:asciiTheme="minorEastAsia" w:eastAsiaTheme="minorEastAsia" w:hAnsiTheme="minorEastAsia" w:hint="eastAsia"/>
          <w:szCs w:val="21"/>
        </w:rPr>
        <w:t>各</w:t>
      </w:r>
      <w:r w:rsidR="006A5737" w:rsidRPr="00456512">
        <w:rPr>
          <w:rFonts w:asciiTheme="minorEastAsia" w:eastAsiaTheme="minorEastAsia" w:hAnsiTheme="minorEastAsia" w:hint="eastAsia"/>
          <w:szCs w:val="21"/>
        </w:rPr>
        <w:t>销售</w:t>
      </w:r>
      <w:r w:rsidRPr="00456512">
        <w:rPr>
          <w:rFonts w:asciiTheme="minorEastAsia" w:eastAsiaTheme="minorEastAsia" w:hAnsiTheme="minorEastAsia" w:hint="eastAsia"/>
          <w:szCs w:val="21"/>
        </w:rPr>
        <w:t>机构对最低申购限额及交易级差有其他规定的,</w:t>
      </w:r>
      <w:r w:rsidR="00455544" w:rsidRPr="00456512">
        <w:rPr>
          <w:rFonts w:asciiTheme="minorEastAsia" w:eastAsiaTheme="minorEastAsia" w:hAnsiTheme="minorEastAsia" w:hint="eastAsia"/>
          <w:szCs w:val="21"/>
        </w:rPr>
        <w:t>需同时遵循该销售机构的相关规定</w:t>
      </w:r>
      <w:r w:rsidRPr="00456512">
        <w:rPr>
          <w:rFonts w:asciiTheme="minorEastAsia" w:eastAsiaTheme="minorEastAsia" w:hAnsiTheme="minorEastAsia" w:hint="eastAsia"/>
          <w:szCs w:val="21"/>
        </w:rPr>
        <w:t>。</w:t>
      </w:r>
      <w:r w:rsidR="006A5737" w:rsidRPr="00456512">
        <w:rPr>
          <w:rFonts w:asciiTheme="minorEastAsia" w:eastAsiaTheme="minorEastAsia" w:hAnsiTheme="minorEastAsia" w:hint="eastAsia"/>
        </w:rPr>
        <w:t>（以上金额均含申购费）</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已在直销中心</w:t>
      </w:r>
      <w:r w:rsidRPr="00456512">
        <w:rPr>
          <w:rFonts w:asciiTheme="minorEastAsia" w:eastAsiaTheme="minorEastAsia" w:hAnsiTheme="minorEastAsia"/>
        </w:rPr>
        <w:t>有认购本基金记录的投资者</w:t>
      </w:r>
      <w:r w:rsidRPr="00456512">
        <w:rPr>
          <w:rFonts w:asciiTheme="minorEastAsia" w:eastAsiaTheme="minorEastAsia" w:hAnsiTheme="minorEastAsia" w:hint="eastAsia"/>
        </w:rPr>
        <w:t>不受首次申购最低金额的限制，但受追加申购单笔最低金额的限制。</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投资者将当期分配的基金收益转购基金份额或采用定期定额投资计划时，不受最低申购金额的限制。</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投资者可多次申购，对单个投资者累计持有份额不设上限限制。</w:t>
      </w:r>
      <w:r w:rsidR="00117EDD" w:rsidRPr="00456512">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456512">
        <w:rPr>
          <w:rFonts w:asciiTheme="minorEastAsia" w:eastAsiaTheme="minorEastAsia" w:hAnsiTheme="minorEastAsia" w:hint="eastAsia"/>
        </w:rPr>
        <w:t>法律法规、中国证监会另有规定的除外。</w:t>
      </w:r>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申请赎回、转换基金的份额限制</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rPr>
        <w:t>投资者可将其全部或部分基金</w:t>
      </w:r>
      <w:r w:rsidRPr="00456512">
        <w:rPr>
          <w:rFonts w:asciiTheme="minorEastAsia" w:eastAsiaTheme="minorEastAsia" w:hAnsiTheme="minorEastAsia" w:hint="eastAsia"/>
        </w:rPr>
        <w:t>份额</w:t>
      </w:r>
      <w:r w:rsidRPr="00456512">
        <w:rPr>
          <w:rFonts w:asciiTheme="minorEastAsia" w:eastAsiaTheme="minorEastAsia" w:hAnsiTheme="minorEastAsia"/>
        </w:rPr>
        <w:t>赎回或转换。单笔赎回或转换不得少于</w:t>
      </w:r>
      <w:r w:rsidR="005C2F1D" w:rsidRPr="00456512">
        <w:rPr>
          <w:rFonts w:asciiTheme="minorEastAsia" w:eastAsiaTheme="minorEastAsia" w:hAnsiTheme="minorEastAsia" w:hint="eastAsia"/>
        </w:rPr>
        <w:t>1</w:t>
      </w:r>
      <w:r w:rsidRPr="00456512">
        <w:rPr>
          <w:rFonts w:asciiTheme="minorEastAsia" w:eastAsiaTheme="minorEastAsia" w:hAnsiTheme="minorEastAsia"/>
        </w:rPr>
        <w:t>份(</w:t>
      </w:r>
      <w:r w:rsidR="00CA1ED1" w:rsidRPr="00456512">
        <w:rPr>
          <w:rFonts w:asciiTheme="minorEastAsia" w:eastAsiaTheme="minorEastAsia" w:hAnsiTheme="minorEastAsia"/>
        </w:rPr>
        <w:t>如该账户在该销售机构托管的</w:t>
      </w:r>
      <w:r w:rsidR="00CA1ED1" w:rsidRPr="00456512">
        <w:rPr>
          <w:rFonts w:asciiTheme="minorEastAsia" w:eastAsiaTheme="minorEastAsia" w:hAnsiTheme="minorEastAsia" w:hint="eastAsia"/>
        </w:rPr>
        <w:t>该</w:t>
      </w:r>
      <w:r w:rsidR="00CA1ED1" w:rsidRPr="00456512">
        <w:rPr>
          <w:rFonts w:asciiTheme="minorEastAsia" w:eastAsiaTheme="minorEastAsia" w:hAnsiTheme="minorEastAsia"/>
        </w:rPr>
        <w:t>基金余额不足</w:t>
      </w:r>
      <w:r w:rsidR="005C2F1D" w:rsidRPr="00456512">
        <w:rPr>
          <w:rFonts w:asciiTheme="minorEastAsia" w:eastAsiaTheme="minorEastAsia" w:hAnsiTheme="minorEastAsia" w:hint="eastAsia"/>
        </w:rPr>
        <w:t>1</w:t>
      </w:r>
      <w:r w:rsidRPr="00456512">
        <w:rPr>
          <w:rFonts w:asciiTheme="minorEastAsia" w:eastAsiaTheme="minorEastAsia" w:hAnsiTheme="minorEastAsia"/>
        </w:rPr>
        <w:t>份</w:t>
      </w:r>
      <w:r w:rsidRPr="00456512">
        <w:rPr>
          <w:rFonts w:asciiTheme="minorEastAsia" w:eastAsiaTheme="minorEastAsia" w:hAnsiTheme="minorEastAsia" w:hint="eastAsia"/>
        </w:rPr>
        <w:t>，</w:t>
      </w:r>
      <w:r w:rsidRPr="00456512">
        <w:rPr>
          <w:rFonts w:asciiTheme="minorEastAsia" w:eastAsiaTheme="minorEastAsia" w:hAnsiTheme="minorEastAsia"/>
        </w:rPr>
        <w:t>则必须一次性赎回或转出该基金全部份额</w:t>
      </w:r>
      <w:r w:rsidRPr="00456512">
        <w:rPr>
          <w:rFonts w:asciiTheme="minorEastAsia" w:eastAsiaTheme="minorEastAsia" w:hAnsiTheme="minorEastAsia" w:hint="eastAsia"/>
        </w:rPr>
        <w:t>,</w:t>
      </w:r>
      <w:r w:rsidR="00796CD9" w:rsidRPr="00456512">
        <w:rPr>
          <w:rFonts w:asciiTheme="minorEastAsia" w:eastAsiaTheme="minorEastAsia" w:hAnsiTheme="minorEastAsia" w:hint="eastAsia"/>
        </w:rPr>
        <w:t>在符合法律法规规定的前提下，</w:t>
      </w:r>
      <w:r w:rsidRPr="00456512">
        <w:rPr>
          <w:rFonts w:asciiTheme="minorEastAsia" w:eastAsiaTheme="minorEastAsia" w:hAnsiTheme="minorEastAsia" w:hint="eastAsia"/>
        </w:rPr>
        <w:t>各</w:t>
      </w:r>
      <w:r w:rsidR="006A5737" w:rsidRPr="00456512">
        <w:rPr>
          <w:rFonts w:asciiTheme="minorEastAsia" w:eastAsiaTheme="minorEastAsia" w:hAnsiTheme="minorEastAsia" w:hint="eastAsia"/>
        </w:rPr>
        <w:t>销售</w:t>
      </w:r>
      <w:r w:rsidRPr="00456512">
        <w:rPr>
          <w:rFonts w:asciiTheme="minorEastAsia" w:eastAsiaTheme="minorEastAsia" w:hAnsiTheme="minorEastAsia" w:hint="eastAsia"/>
        </w:rPr>
        <w:t>机构对赎回、转换份额限制有其他规定的</w:t>
      </w:r>
      <w:r w:rsidR="008D32BF" w:rsidRPr="00456512">
        <w:rPr>
          <w:rFonts w:asciiTheme="minorEastAsia" w:eastAsiaTheme="minorEastAsia" w:hAnsiTheme="minorEastAsia" w:hint="eastAsia"/>
        </w:rPr>
        <w:t>，</w:t>
      </w:r>
      <w:r w:rsidR="00455544" w:rsidRPr="00456512">
        <w:rPr>
          <w:rFonts w:asciiTheme="minorEastAsia" w:eastAsiaTheme="minorEastAsia" w:hAnsiTheme="minorEastAsia" w:hint="eastAsia"/>
          <w:szCs w:val="21"/>
        </w:rPr>
        <w:t>需同时遵循该销售机构的相关规定</w:t>
      </w:r>
      <w:r w:rsidRPr="00456512">
        <w:rPr>
          <w:rFonts w:asciiTheme="minorEastAsia" w:eastAsiaTheme="minorEastAsia" w:hAnsiTheme="minorEastAsia"/>
        </w:rPr>
        <w:t>)；若某笔赎回或转换将导致投资者在</w:t>
      </w:r>
      <w:r w:rsidR="00CA1ED1" w:rsidRPr="00456512">
        <w:rPr>
          <w:rFonts w:asciiTheme="minorEastAsia" w:eastAsiaTheme="minorEastAsia" w:hAnsiTheme="minorEastAsia" w:hint="eastAsia"/>
        </w:rPr>
        <w:t>该</w:t>
      </w:r>
      <w:r w:rsidRPr="00456512">
        <w:rPr>
          <w:rFonts w:asciiTheme="minorEastAsia" w:eastAsiaTheme="minorEastAsia" w:hAnsiTheme="minorEastAsia"/>
        </w:rPr>
        <w:t>销售机构托管的</w:t>
      </w:r>
      <w:r w:rsidR="00CA1ED1" w:rsidRPr="00456512">
        <w:rPr>
          <w:rFonts w:asciiTheme="minorEastAsia" w:eastAsiaTheme="minorEastAsia" w:hAnsiTheme="minorEastAsia" w:hint="eastAsia"/>
        </w:rPr>
        <w:t>该</w:t>
      </w:r>
      <w:r w:rsidRPr="00456512">
        <w:rPr>
          <w:rFonts w:asciiTheme="minorEastAsia" w:eastAsiaTheme="minorEastAsia" w:hAnsiTheme="minorEastAsia"/>
        </w:rPr>
        <w:t>基金余额不足</w:t>
      </w:r>
      <w:r w:rsidR="005C2F1D" w:rsidRPr="00456512">
        <w:rPr>
          <w:rFonts w:asciiTheme="minorEastAsia" w:eastAsiaTheme="minorEastAsia" w:hAnsiTheme="minorEastAsia" w:hint="eastAsia"/>
        </w:rPr>
        <w:t>1</w:t>
      </w:r>
      <w:r w:rsidRPr="00456512">
        <w:rPr>
          <w:rFonts w:asciiTheme="minorEastAsia" w:eastAsiaTheme="minorEastAsia" w:hAnsiTheme="minorEastAsia"/>
        </w:rPr>
        <w:t>份时</w:t>
      </w:r>
      <w:r w:rsidRPr="00456512">
        <w:rPr>
          <w:rFonts w:asciiTheme="minorEastAsia" w:eastAsiaTheme="minorEastAsia" w:hAnsiTheme="minorEastAsia" w:hint="eastAsia"/>
        </w:rPr>
        <w:t>，</w:t>
      </w:r>
      <w:r w:rsidRPr="00456512">
        <w:rPr>
          <w:rFonts w:asciiTheme="minorEastAsia" w:eastAsiaTheme="minorEastAsia" w:hAnsiTheme="minorEastAsia"/>
        </w:rPr>
        <w:t>基金管理人有权将投资者在该销售机构托管的该基金剩余份额一次性全部赎回。</w:t>
      </w:r>
    </w:p>
    <w:p w:rsidR="00117EDD" w:rsidRPr="00456512" w:rsidRDefault="00117EDD"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rPr>
        <w:t>基金管理人可根据市场情况制定或调整上述申购、赎回和转换的程序及有关限制</w:t>
      </w:r>
      <w:r w:rsidR="008D32BF" w:rsidRPr="00456512">
        <w:rPr>
          <w:rFonts w:asciiTheme="minorEastAsia" w:eastAsiaTheme="minorEastAsia" w:hAnsiTheme="minorEastAsia" w:hint="eastAsia"/>
        </w:rPr>
        <w:t>，</w:t>
      </w:r>
      <w:r w:rsidR="00117EDD" w:rsidRPr="00456512">
        <w:rPr>
          <w:rFonts w:asciiTheme="minorEastAsia" w:eastAsiaTheme="minorEastAsia" w:hAnsiTheme="minorEastAsia" w:hint="eastAsia"/>
          <w:szCs w:val="21"/>
        </w:rPr>
        <w:t>或者新增基金规模控制措施，</w:t>
      </w:r>
      <w:r w:rsidRPr="00456512">
        <w:rPr>
          <w:rFonts w:asciiTheme="minorEastAsia" w:eastAsiaTheme="minorEastAsia" w:hAnsiTheme="minorEastAsia"/>
        </w:rPr>
        <w:t>但应最迟在调整生效前三个工作日在</w:t>
      </w:r>
      <w:r w:rsidR="00991E9A" w:rsidRPr="00456512">
        <w:rPr>
          <w:rFonts w:asciiTheme="minorEastAsia" w:eastAsiaTheme="minorEastAsia" w:hAnsiTheme="minorEastAsia" w:hint="eastAsia"/>
          <w:szCs w:val="21"/>
        </w:rPr>
        <w:t>指定媒介</w:t>
      </w:r>
      <w:r w:rsidRPr="00456512">
        <w:rPr>
          <w:rFonts w:asciiTheme="minorEastAsia" w:eastAsiaTheme="minorEastAsia" w:hAnsiTheme="minorEastAsia"/>
        </w:rPr>
        <w:t>公告。</w:t>
      </w:r>
    </w:p>
    <w:p w:rsidR="001D2E2F" w:rsidRPr="00456512" w:rsidRDefault="001D2E2F" w:rsidP="00084917">
      <w:pPr>
        <w:snapToGrid w:val="0"/>
        <w:spacing w:line="360" w:lineRule="auto"/>
        <w:ind w:firstLine="435"/>
        <w:rPr>
          <w:rFonts w:asciiTheme="minorEastAsia" w:eastAsiaTheme="minorEastAsia" w:hAnsiTheme="minorEastAsia"/>
          <w:szCs w:val="21"/>
        </w:rPr>
      </w:pP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5" w:name="_Toc30161779"/>
      <w:r w:rsidRPr="00456512">
        <w:rPr>
          <w:rFonts w:asciiTheme="minorEastAsia" w:eastAsiaTheme="minorEastAsia" w:hAnsiTheme="minorEastAsia" w:hint="eastAsia"/>
          <w:bCs/>
        </w:rPr>
        <w:t>（七）</w:t>
      </w:r>
      <w:r w:rsidRPr="00456512">
        <w:rPr>
          <w:rFonts w:asciiTheme="minorEastAsia" w:eastAsiaTheme="minorEastAsia" w:hAnsiTheme="minorEastAsia" w:hint="eastAsia"/>
          <w:bCs/>
          <w:szCs w:val="20"/>
        </w:rPr>
        <w:t>申购份额、赎回金额和转换份额的计算方式</w:t>
      </w:r>
      <w:bookmarkEnd w:id="35"/>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C64778" w:rsidRPr="00456512">
        <w:rPr>
          <w:rFonts w:asciiTheme="minorEastAsia" w:eastAsiaTheme="minorEastAsia" w:hAnsiTheme="minorEastAsia" w:hint="eastAsia"/>
          <w:szCs w:val="21"/>
        </w:rPr>
        <w:t>、</w:t>
      </w:r>
      <w:r w:rsidRPr="00456512">
        <w:rPr>
          <w:rFonts w:asciiTheme="minorEastAsia" w:eastAsiaTheme="minorEastAsia" w:hAnsiTheme="minorEastAsia" w:hint="eastAsia"/>
          <w:szCs w:val="21"/>
        </w:rPr>
        <w:t>申购份额的计算</w:t>
      </w:r>
    </w:p>
    <w:p w:rsidR="001D2E2F" w:rsidRPr="00456512" w:rsidRDefault="001D2E2F" w:rsidP="00084917">
      <w:pPr>
        <w:pStyle w:val="25"/>
        <w:snapToGrid w:val="0"/>
        <w:spacing w:before="0" w:beforeAutospacing="0" w:after="0" w:afterAutospacing="0"/>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本基金的申购金额包括申购费用和净申购金额，其中：</w:t>
      </w:r>
    </w:p>
    <w:p w:rsidR="001D2E2F" w:rsidRPr="00456512" w:rsidRDefault="001D2E2F" w:rsidP="00084917">
      <w:pPr>
        <w:pStyle w:val="25"/>
        <w:snapToGrid w:val="0"/>
        <w:spacing w:before="0" w:beforeAutospacing="0" w:after="0" w:afterAutospacing="0"/>
        <w:ind w:firstLine="422"/>
        <w:rPr>
          <w:rFonts w:asciiTheme="minorEastAsia" w:eastAsiaTheme="minorEastAsia" w:hAnsiTheme="minorEastAsia"/>
          <w:b/>
          <w:bCs/>
          <w:szCs w:val="21"/>
        </w:rPr>
      </w:pPr>
      <w:r w:rsidRPr="00456512">
        <w:rPr>
          <w:rFonts w:asciiTheme="minorEastAsia" w:eastAsiaTheme="minorEastAsia" w:hAnsiTheme="minorEastAsia"/>
          <w:b/>
          <w:bCs/>
          <w:szCs w:val="21"/>
        </w:rPr>
        <w:t>申购费用=申购金额/（1＋申购费率）×申购费率</w:t>
      </w:r>
    </w:p>
    <w:p w:rsidR="001D2E2F" w:rsidRPr="00456512" w:rsidRDefault="001D2E2F" w:rsidP="00084917">
      <w:pPr>
        <w:pStyle w:val="25"/>
        <w:snapToGrid w:val="0"/>
        <w:spacing w:before="0" w:beforeAutospacing="0" w:after="0" w:afterAutospacing="0"/>
        <w:ind w:firstLine="422"/>
        <w:rPr>
          <w:rFonts w:asciiTheme="minorEastAsia" w:eastAsiaTheme="minorEastAsia" w:hAnsiTheme="minorEastAsia"/>
          <w:b/>
          <w:bCs/>
          <w:szCs w:val="21"/>
        </w:rPr>
      </w:pPr>
      <w:r w:rsidRPr="00456512">
        <w:rPr>
          <w:rFonts w:asciiTheme="minorEastAsia" w:eastAsiaTheme="minorEastAsia" w:hAnsiTheme="minorEastAsia"/>
          <w:b/>
          <w:bCs/>
          <w:szCs w:val="21"/>
        </w:rPr>
        <w:t>净申购金额=申购金额-申购费用</w:t>
      </w:r>
    </w:p>
    <w:p w:rsidR="001D2E2F" w:rsidRPr="00456512" w:rsidRDefault="001D2E2F" w:rsidP="00084917">
      <w:pPr>
        <w:pStyle w:val="25"/>
        <w:snapToGrid w:val="0"/>
        <w:spacing w:before="0" w:beforeAutospacing="0" w:after="0" w:afterAutospacing="0"/>
        <w:ind w:firstLine="422"/>
        <w:rPr>
          <w:rFonts w:asciiTheme="minorEastAsia" w:eastAsiaTheme="minorEastAsia" w:hAnsiTheme="minorEastAsia"/>
          <w:b/>
          <w:bCs/>
          <w:szCs w:val="21"/>
        </w:rPr>
      </w:pPr>
      <w:r w:rsidRPr="00456512">
        <w:rPr>
          <w:rFonts w:asciiTheme="minorEastAsia" w:eastAsiaTheme="minorEastAsia" w:hAnsiTheme="minorEastAsia"/>
          <w:b/>
          <w:bCs/>
          <w:szCs w:val="21"/>
        </w:rPr>
        <w:t>申购份数=净申购金额÷T日基金份额净值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举例说明：</w:t>
      </w:r>
    </w:p>
    <w:p w:rsidR="00EF00B2" w:rsidRPr="00456512" w:rsidRDefault="00EF00B2" w:rsidP="00084917">
      <w:pPr>
        <w:autoSpaceDE w:val="0"/>
        <w:autoSpaceDN w:val="0"/>
        <w:snapToGrid w:val="0"/>
        <w:spacing w:line="360" w:lineRule="auto"/>
        <w:ind w:firstLineChars="150" w:firstLine="315"/>
        <w:textAlignment w:val="bottom"/>
        <w:rPr>
          <w:rFonts w:asciiTheme="minorEastAsia" w:eastAsiaTheme="minorEastAsia" w:hAnsiTheme="minorEastAsia"/>
        </w:rPr>
      </w:pPr>
      <w:r w:rsidRPr="00456512">
        <w:rPr>
          <w:rFonts w:asciiTheme="minorEastAsia" w:eastAsiaTheme="minorEastAsia" w:hAnsiTheme="minorEastAsia" w:hint="eastAsia"/>
        </w:rPr>
        <w:t>例一：投资者（特定投资群体）通过基金管理人的直销中心申购本基金：</w:t>
      </w:r>
    </w:p>
    <w:tbl>
      <w:tblPr>
        <w:tblW w:w="862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79"/>
        <w:gridCol w:w="1206"/>
        <w:gridCol w:w="1364"/>
        <w:gridCol w:w="1469"/>
        <w:gridCol w:w="1586"/>
        <w:gridCol w:w="1421"/>
      </w:tblGrid>
      <w:tr w:rsidR="00456512" w:rsidRPr="00456512"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lastRenderedPageBreak/>
              <w:t>申购金额</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申购费率</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申购费</w:t>
            </w:r>
            <w:r w:rsidRPr="00456512">
              <w:rPr>
                <w:rFonts w:asciiTheme="minorEastAsia" w:eastAsiaTheme="minorEastAsia" w:hAnsiTheme="minorEastAsia" w:hint="eastAsia"/>
                <w:b/>
                <w:bCs/>
                <w:szCs w:val="21"/>
              </w:rPr>
              <w:t>用</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bCs/>
                <w:szCs w:val="21"/>
              </w:rPr>
              <w:t>净申购金额</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基金份额净值</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申购份数</w:t>
            </w:r>
          </w:p>
        </w:tc>
      </w:tr>
      <w:tr w:rsidR="00456512" w:rsidRPr="00456512"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szCs w:val="21"/>
              </w:rPr>
              <w:t>50,000元</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pStyle w:val="affa"/>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0.15%</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ind w:firstLineChars="95" w:firstLine="199"/>
              <w:jc w:val="right"/>
              <w:rPr>
                <w:rFonts w:asciiTheme="minorEastAsia" w:eastAsiaTheme="minorEastAsia" w:hAnsiTheme="minorEastAsia"/>
                <w:szCs w:val="21"/>
              </w:rPr>
            </w:pPr>
            <w:r w:rsidRPr="00456512">
              <w:rPr>
                <w:rFonts w:asciiTheme="minorEastAsia" w:eastAsiaTheme="minorEastAsia" w:hAnsiTheme="minorEastAsia" w:hint="eastAsia"/>
                <w:szCs w:val="21"/>
              </w:rPr>
              <w:t>74.89元</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49,925.11元</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ind w:firstLine="420"/>
              <w:jc w:val="right"/>
              <w:rPr>
                <w:rFonts w:asciiTheme="minorEastAsia" w:eastAsiaTheme="minorEastAsia" w:hAnsiTheme="minorEastAsia"/>
                <w:szCs w:val="21"/>
              </w:rPr>
            </w:pPr>
            <w:r w:rsidRPr="00456512">
              <w:rPr>
                <w:rFonts w:asciiTheme="minorEastAsia" w:eastAsiaTheme="minorEastAsia" w:hAnsiTheme="minorEastAsia" w:hint="eastAsia"/>
                <w:szCs w:val="21"/>
              </w:rPr>
              <w:t>1.0000元</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49,925.11份</w:t>
            </w:r>
          </w:p>
        </w:tc>
      </w:tr>
      <w:tr w:rsidR="00456512" w:rsidRPr="00456512" w:rsidTr="00EF00B2">
        <w:trPr>
          <w:jc w:val="center"/>
        </w:trPr>
        <w:tc>
          <w:tcPr>
            <w:tcW w:w="157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szCs w:val="21"/>
              </w:rPr>
              <w:t>10,000,000元</w:t>
            </w:r>
          </w:p>
        </w:tc>
        <w:tc>
          <w:tcPr>
            <w:tcW w:w="120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rPr>
              <w:t>固定费用</w:t>
            </w:r>
          </w:p>
        </w:tc>
        <w:tc>
          <w:tcPr>
            <w:tcW w:w="1364"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rPr>
              <w:t>1000</w:t>
            </w:r>
            <w:r w:rsidRPr="00456512">
              <w:rPr>
                <w:rFonts w:asciiTheme="minorEastAsia" w:eastAsiaTheme="minorEastAsia" w:hAnsiTheme="minorEastAsia" w:hint="eastAsia"/>
                <w:szCs w:val="21"/>
              </w:rPr>
              <w:t>元</w:t>
            </w:r>
          </w:p>
        </w:tc>
        <w:tc>
          <w:tcPr>
            <w:tcW w:w="1469"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9,999,000元</w:t>
            </w:r>
          </w:p>
        </w:tc>
        <w:tc>
          <w:tcPr>
            <w:tcW w:w="1586"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ind w:firstLine="420"/>
              <w:jc w:val="right"/>
              <w:rPr>
                <w:rFonts w:asciiTheme="minorEastAsia" w:eastAsiaTheme="minorEastAsia" w:hAnsiTheme="minorEastAsia"/>
                <w:szCs w:val="21"/>
              </w:rPr>
            </w:pPr>
            <w:r w:rsidRPr="00456512">
              <w:rPr>
                <w:rFonts w:asciiTheme="minorEastAsia" w:eastAsiaTheme="minorEastAsia" w:hAnsiTheme="minorEastAsia" w:hint="eastAsia"/>
                <w:szCs w:val="21"/>
              </w:rPr>
              <w:t>1.0000元</w:t>
            </w:r>
          </w:p>
        </w:tc>
        <w:tc>
          <w:tcPr>
            <w:tcW w:w="1421" w:type="dxa"/>
            <w:tcBorders>
              <w:top w:val="thinThickLargeGap" w:sz="6" w:space="0" w:color="808080"/>
              <w:left w:val="thinThickLargeGap" w:sz="6" w:space="0" w:color="808080"/>
              <w:bottom w:val="thinThickLargeGap" w:sz="6" w:space="0" w:color="808080"/>
              <w:right w:val="thinThickLargeGap" w:sz="6" w:space="0" w:color="808080"/>
            </w:tcBorders>
            <w:hideMark/>
          </w:tcPr>
          <w:p w:rsidR="00EF00B2" w:rsidRPr="00456512" w:rsidRDefault="00EF00B2"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9,999,000份</w:t>
            </w:r>
          </w:p>
        </w:tc>
      </w:tr>
    </w:tbl>
    <w:p w:rsidR="00EF00B2" w:rsidRPr="00456512" w:rsidRDefault="00D34880" w:rsidP="00084917">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1"/>
        </w:rPr>
        <w:t>（注：</w:t>
      </w:r>
      <w:r w:rsidR="00D35C6A" w:rsidRPr="00456512">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r w:rsidRPr="00456512">
        <w:rPr>
          <w:rFonts w:asciiTheme="minorEastAsia" w:eastAsiaTheme="minorEastAsia" w:hAnsiTheme="minorEastAsia" w:hint="eastAsia"/>
          <w:szCs w:val="21"/>
        </w:rPr>
        <w:t>）</w:t>
      </w:r>
    </w:p>
    <w:p w:rsidR="00EF00B2" w:rsidRPr="00456512" w:rsidRDefault="00EF00B2"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例二：投资者（非特定投资群体）申购本基金：</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65"/>
        <w:gridCol w:w="1470"/>
        <w:gridCol w:w="1587"/>
        <w:gridCol w:w="1422"/>
      </w:tblGrid>
      <w:tr w:rsidR="00456512" w:rsidRPr="00456512" w:rsidTr="00D937F5">
        <w:trPr>
          <w:jc w:val="center"/>
        </w:trPr>
        <w:tc>
          <w:tcPr>
            <w:tcW w:w="1581"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申购金额</w:t>
            </w:r>
          </w:p>
        </w:tc>
        <w:tc>
          <w:tcPr>
            <w:tcW w:w="1207"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申购费率</w:t>
            </w:r>
          </w:p>
        </w:tc>
        <w:tc>
          <w:tcPr>
            <w:tcW w:w="1365"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申购费</w:t>
            </w:r>
            <w:r w:rsidR="008D32BF" w:rsidRPr="00456512">
              <w:rPr>
                <w:rFonts w:asciiTheme="minorEastAsia" w:eastAsiaTheme="minorEastAsia" w:hAnsiTheme="minorEastAsia"/>
                <w:b/>
                <w:bCs/>
                <w:szCs w:val="21"/>
              </w:rPr>
              <w:t>用</w:t>
            </w:r>
          </w:p>
        </w:tc>
        <w:tc>
          <w:tcPr>
            <w:tcW w:w="1470"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b/>
                <w:bCs/>
                <w:szCs w:val="21"/>
              </w:rPr>
              <w:t>净申购金额</w:t>
            </w:r>
          </w:p>
        </w:tc>
        <w:tc>
          <w:tcPr>
            <w:tcW w:w="1587"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基金份额净值</w:t>
            </w:r>
          </w:p>
        </w:tc>
        <w:tc>
          <w:tcPr>
            <w:tcW w:w="1422" w:type="dxa"/>
          </w:tcPr>
          <w:p w:rsidR="001D2E2F" w:rsidRPr="00456512" w:rsidRDefault="001D2E2F" w:rsidP="00084917">
            <w:pPr>
              <w:snapToGrid w:val="0"/>
              <w:spacing w:line="360" w:lineRule="auto"/>
              <w:jc w:val="center"/>
              <w:rPr>
                <w:rFonts w:asciiTheme="minorEastAsia" w:eastAsiaTheme="minorEastAsia" w:hAnsiTheme="minorEastAsia"/>
                <w:b/>
                <w:szCs w:val="21"/>
              </w:rPr>
            </w:pPr>
            <w:r w:rsidRPr="00456512">
              <w:rPr>
                <w:rFonts w:asciiTheme="minorEastAsia" w:eastAsiaTheme="minorEastAsia" w:hAnsiTheme="minorEastAsia" w:hint="eastAsia"/>
                <w:b/>
                <w:szCs w:val="21"/>
              </w:rPr>
              <w:t>申购份数</w:t>
            </w:r>
          </w:p>
        </w:tc>
      </w:tr>
      <w:tr w:rsidR="00456512" w:rsidRPr="00456512" w:rsidTr="00D937F5">
        <w:trPr>
          <w:jc w:val="center"/>
        </w:trPr>
        <w:tc>
          <w:tcPr>
            <w:tcW w:w="1581" w:type="dxa"/>
          </w:tcPr>
          <w:p w:rsidR="001D2E2F" w:rsidRPr="00456512" w:rsidRDefault="001D2E2F"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szCs w:val="21"/>
              </w:rPr>
              <w:t>10,000元</w:t>
            </w:r>
          </w:p>
        </w:tc>
        <w:tc>
          <w:tcPr>
            <w:tcW w:w="1207" w:type="dxa"/>
          </w:tcPr>
          <w:p w:rsidR="001D2E2F" w:rsidRPr="00456512" w:rsidRDefault="001D2E2F" w:rsidP="00084917">
            <w:pPr>
              <w:pStyle w:val="affa"/>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1.5%</w:t>
            </w:r>
          </w:p>
        </w:tc>
        <w:tc>
          <w:tcPr>
            <w:tcW w:w="1365" w:type="dxa"/>
          </w:tcPr>
          <w:p w:rsidR="001D2E2F" w:rsidRPr="00456512" w:rsidRDefault="001D2E2F" w:rsidP="00084917">
            <w:pPr>
              <w:snapToGrid w:val="0"/>
              <w:spacing w:line="360" w:lineRule="auto"/>
              <w:ind w:firstLineChars="95" w:firstLine="199"/>
              <w:jc w:val="right"/>
              <w:rPr>
                <w:rFonts w:asciiTheme="minorEastAsia" w:eastAsiaTheme="minorEastAsia" w:hAnsiTheme="minorEastAsia"/>
                <w:szCs w:val="21"/>
              </w:rPr>
            </w:pPr>
            <w:r w:rsidRPr="00456512">
              <w:rPr>
                <w:rFonts w:asciiTheme="minorEastAsia" w:eastAsiaTheme="minorEastAsia" w:hAnsiTheme="minorEastAsia" w:hint="eastAsia"/>
                <w:szCs w:val="21"/>
              </w:rPr>
              <w:t>147.78元</w:t>
            </w:r>
          </w:p>
        </w:tc>
        <w:tc>
          <w:tcPr>
            <w:tcW w:w="1470" w:type="dxa"/>
          </w:tcPr>
          <w:p w:rsidR="001D2E2F" w:rsidRPr="00456512" w:rsidRDefault="001D2E2F"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9852.22元</w:t>
            </w:r>
          </w:p>
        </w:tc>
        <w:tc>
          <w:tcPr>
            <w:tcW w:w="1587" w:type="dxa"/>
          </w:tcPr>
          <w:p w:rsidR="001D2E2F" w:rsidRPr="00456512" w:rsidRDefault="001D2E2F" w:rsidP="00084917">
            <w:pPr>
              <w:snapToGrid w:val="0"/>
              <w:spacing w:line="360" w:lineRule="auto"/>
              <w:ind w:firstLine="420"/>
              <w:jc w:val="right"/>
              <w:rPr>
                <w:rFonts w:asciiTheme="minorEastAsia" w:eastAsiaTheme="minorEastAsia" w:hAnsiTheme="minorEastAsia"/>
                <w:szCs w:val="21"/>
              </w:rPr>
            </w:pPr>
            <w:r w:rsidRPr="00456512">
              <w:rPr>
                <w:rFonts w:asciiTheme="minorEastAsia" w:eastAsiaTheme="minorEastAsia" w:hAnsiTheme="minorEastAsia" w:hint="eastAsia"/>
                <w:szCs w:val="21"/>
              </w:rPr>
              <w:t>1.0000元</w:t>
            </w:r>
          </w:p>
        </w:tc>
        <w:tc>
          <w:tcPr>
            <w:tcW w:w="1422" w:type="dxa"/>
          </w:tcPr>
          <w:p w:rsidR="001D2E2F" w:rsidRPr="00456512" w:rsidRDefault="001D2E2F"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9852.22份</w:t>
            </w:r>
          </w:p>
        </w:tc>
      </w:tr>
      <w:tr w:rsidR="00456512" w:rsidRPr="00456512" w:rsidTr="00D937F5">
        <w:trPr>
          <w:jc w:val="center"/>
        </w:trPr>
        <w:tc>
          <w:tcPr>
            <w:tcW w:w="1581" w:type="dxa"/>
          </w:tcPr>
          <w:p w:rsidR="001D2E2F" w:rsidRPr="00456512" w:rsidRDefault="001D2E2F"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szCs w:val="21"/>
              </w:rPr>
              <w:t>10,000,000元</w:t>
            </w:r>
          </w:p>
        </w:tc>
        <w:tc>
          <w:tcPr>
            <w:tcW w:w="1207" w:type="dxa"/>
          </w:tcPr>
          <w:p w:rsidR="001D2E2F" w:rsidRPr="00456512" w:rsidRDefault="001D2E2F" w:rsidP="00084917">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hint="eastAsia"/>
              </w:rPr>
              <w:t>固定费用</w:t>
            </w:r>
          </w:p>
        </w:tc>
        <w:tc>
          <w:tcPr>
            <w:tcW w:w="1365" w:type="dxa"/>
          </w:tcPr>
          <w:p w:rsidR="001D2E2F" w:rsidRPr="00456512" w:rsidRDefault="001D2E2F"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rPr>
              <w:t>1000</w:t>
            </w:r>
            <w:r w:rsidRPr="00456512">
              <w:rPr>
                <w:rFonts w:asciiTheme="minorEastAsia" w:eastAsiaTheme="minorEastAsia" w:hAnsiTheme="minorEastAsia" w:hint="eastAsia"/>
                <w:szCs w:val="21"/>
              </w:rPr>
              <w:t>元</w:t>
            </w:r>
          </w:p>
        </w:tc>
        <w:tc>
          <w:tcPr>
            <w:tcW w:w="1470" w:type="dxa"/>
          </w:tcPr>
          <w:p w:rsidR="001D2E2F" w:rsidRPr="00456512" w:rsidRDefault="001D2E2F"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9,999,000元</w:t>
            </w:r>
          </w:p>
        </w:tc>
        <w:tc>
          <w:tcPr>
            <w:tcW w:w="1587" w:type="dxa"/>
          </w:tcPr>
          <w:p w:rsidR="001D2E2F" w:rsidRPr="00456512" w:rsidRDefault="001D2E2F" w:rsidP="00084917">
            <w:pPr>
              <w:snapToGrid w:val="0"/>
              <w:spacing w:line="360" w:lineRule="auto"/>
              <w:ind w:firstLine="420"/>
              <w:jc w:val="right"/>
              <w:rPr>
                <w:rFonts w:asciiTheme="minorEastAsia" w:eastAsiaTheme="minorEastAsia" w:hAnsiTheme="minorEastAsia"/>
                <w:szCs w:val="21"/>
              </w:rPr>
            </w:pPr>
            <w:r w:rsidRPr="00456512">
              <w:rPr>
                <w:rFonts w:asciiTheme="minorEastAsia" w:eastAsiaTheme="minorEastAsia" w:hAnsiTheme="minorEastAsia" w:hint="eastAsia"/>
                <w:szCs w:val="21"/>
              </w:rPr>
              <w:t>1.0000元</w:t>
            </w:r>
          </w:p>
        </w:tc>
        <w:tc>
          <w:tcPr>
            <w:tcW w:w="1422" w:type="dxa"/>
          </w:tcPr>
          <w:p w:rsidR="001D2E2F" w:rsidRPr="00456512" w:rsidRDefault="001D2E2F" w:rsidP="00084917">
            <w:pPr>
              <w:snapToGrid w:val="0"/>
              <w:spacing w:line="360" w:lineRule="auto"/>
              <w:jc w:val="right"/>
              <w:rPr>
                <w:rFonts w:asciiTheme="minorEastAsia" w:eastAsiaTheme="minorEastAsia" w:hAnsiTheme="minorEastAsia"/>
                <w:szCs w:val="21"/>
              </w:rPr>
            </w:pPr>
            <w:r w:rsidRPr="00456512">
              <w:rPr>
                <w:rFonts w:asciiTheme="minorEastAsia" w:eastAsiaTheme="minorEastAsia" w:hAnsiTheme="minorEastAsia" w:hint="eastAsia"/>
                <w:szCs w:val="21"/>
              </w:rPr>
              <w:t>9,999,000份</w:t>
            </w:r>
          </w:p>
        </w:tc>
      </w:tr>
    </w:tbl>
    <w:p w:rsidR="001D2E2F" w:rsidRPr="00456512" w:rsidRDefault="001D2E2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申购费</w:t>
      </w:r>
      <w:r w:rsidR="00DF5AF3" w:rsidRPr="00456512">
        <w:rPr>
          <w:rFonts w:asciiTheme="minorEastAsia" w:eastAsiaTheme="minorEastAsia" w:hAnsiTheme="minorEastAsia"/>
          <w:bCs/>
          <w:szCs w:val="21"/>
        </w:rPr>
        <w:t>用</w:t>
      </w:r>
      <w:r w:rsidRPr="00456512">
        <w:rPr>
          <w:rFonts w:asciiTheme="minorEastAsia" w:eastAsiaTheme="minorEastAsia" w:hAnsiTheme="minorEastAsia" w:hint="eastAsia"/>
          <w:szCs w:val="21"/>
        </w:rPr>
        <w:t>以人民币元为单位，四舍五入，保留至小数点后二位；申购份数保留至小数点后两位，小数点后两位以下舍去，舍去部分所代表的资产计入基金财产。</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C64778" w:rsidRPr="00456512">
        <w:rPr>
          <w:rFonts w:asciiTheme="minorEastAsia" w:eastAsiaTheme="minorEastAsia" w:hAnsiTheme="minorEastAsia" w:hint="eastAsia"/>
          <w:szCs w:val="21"/>
        </w:rPr>
        <w:t>、</w:t>
      </w:r>
      <w:r w:rsidRPr="00456512">
        <w:rPr>
          <w:rFonts w:asciiTheme="minorEastAsia" w:eastAsiaTheme="minorEastAsia" w:hAnsiTheme="minorEastAsia" w:hint="eastAsia"/>
          <w:szCs w:val="21"/>
        </w:rPr>
        <w:t>赎回金额的计算</w:t>
      </w:r>
    </w:p>
    <w:p w:rsidR="001D2E2F" w:rsidRPr="00456512" w:rsidRDefault="001D2E2F" w:rsidP="00084917">
      <w:pPr>
        <w:pStyle w:val="25"/>
        <w:snapToGrid w:val="0"/>
        <w:spacing w:before="0" w:beforeAutospacing="0" w:after="0" w:afterAutospacing="0"/>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本基金的赎回金额为赎回总额扣减赎回费用，其中：</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赎回总额=赎回数量</w:t>
      </w:r>
      <w:r w:rsidRPr="00456512">
        <w:rPr>
          <w:rFonts w:asciiTheme="minorEastAsia" w:eastAsiaTheme="minorEastAsia" w:hAnsiTheme="minorEastAsia" w:hint="eastAsia"/>
          <w:szCs w:val="21"/>
        </w:rPr>
        <w:sym w:font="Symbol" w:char="F0B4"/>
      </w:r>
      <w:r w:rsidRPr="00456512">
        <w:rPr>
          <w:rFonts w:asciiTheme="minorEastAsia" w:eastAsiaTheme="minorEastAsia" w:hAnsiTheme="minorEastAsia" w:hint="eastAsia"/>
          <w:szCs w:val="21"/>
        </w:rPr>
        <w:t>T日基金份额净值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赎回费用=赎回总额</w:t>
      </w:r>
      <w:r w:rsidRPr="00456512">
        <w:rPr>
          <w:rFonts w:asciiTheme="minorEastAsia" w:eastAsiaTheme="minorEastAsia" w:hAnsiTheme="minorEastAsia" w:hint="eastAsia"/>
          <w:szCs w:val="21"/>
        </w:rPr>
        <w:sym w:font="Symbol" w:char="F0B4"/>
      </w:r>
      <w:r w:rsidRPr="00456512">
        <w:rPr>
          <w:rFonts w:asciiTheme="minorEastAsia" w:eastAsiaTheme="minorEastAsia" w:hAnsiTheme="minorEastAsia" w:hint="eastAsia"/>
          <w:szCs w:val="21"/>
        </w:rPr>
        <w:t>赎回费率</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赎回金额=赎回总额</w:t>
      </w:r>
      <w:r w:rsidRPr="00456512">
        <w:rPr>
          <w:rFonts w:asciiTheme="minorEastAsia" w:eastAsiaTheme="minorEastAsia" w:hAnsiTheme="minorEastAsia" w:hint="eastAsia"/>
          <w:szCs w:val="21"/>
        </w:rPr>
        <w:sym w:font="Symbol" w:char="F02D"/>
      </w:r>
      <w:r w:rsidRPr="00456512">
        <w:rPr>
          <w:rFonts w:asciiTheme="minorEastAsia" w:eastAsiaTheme="minorEastAsia" w:hAnsiTheme="minorEastAsia" w:hint="eastAsia"/>
          <w:szCs w:val="21"/>
        </w:rPr>
        <w:t>赎回费用</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456512" w:rsidRPr="00456512" w:rsidTr="00D937F5">
        <w:trPr>
          <w:jc w:val="center"/>
        </w:trPr>
        <w:tc>
          <w:tcPr>
            <w:tcW w:w="1243"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赎回份额</w:t>
            </w:r>
          </w:p>
        </w:tc>
        <w:tc>
          <w:tcPr>
            <w:tcW w:w="1650"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基金份额净值</w:t>
            </w:r>
          </w:p>
        </w:tc>
        <w:tc>
          <w:tcPr>
            <w:tcW w:w="1436"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持有时间</w:t>
            </w:r>
          </w:p>
        </w:tc>
        <w:tc>
          <w:tcPr>
            <w:tcW w:w="1437"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赎回费率</w:t>
            </w:r>
          </w:p>
        </w:tc>
        <w:tc>
          <w:tcPr>
            <w:tcW w:w="1409" w:type="dxa"/>
          </w:tcPr>
          <w:p w:rsidR="001D2E2F" w:rsidRPr="00456512" w:rsidRDefault="001D2E2F" w:rsidP="00084917">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赎回费</w:t>
            </w:r>
            <w:r w:rsidR="002250F4" w:rsidRPr="00456512">
              <w:rPr>
                <w:rFonts w:asciiTheme="minorEastAsia" w:eastAsiaTheme="minorEastAsia" w:hAnsiTheme="minorEastAsia" w:hint="eastAsia"/>
                <w:szCs w:val="21"/>
              </w:rPr>
              <w:t>用</w:t>
            </w:r>
          </w:p>
        </w:tc>
        <w:tc>
          <w:tcPr>
            <w:tcW w:w="1457" w:type="dxa"/>
          </w:tcPr>
          <w:p w:rsidR="001D2E2F" w:rsidRPr="00456512" w:rsidRDefault="001D2E2F" w:rsidP="00084917">
            <w:pPr>
              <w:snapToGrid w:val="0"/>
              <w:spacing w:line="360" w:lineRule="auto"/>
              <w:ind w:firstLine="181"/>
              <w:rPr>
                <w:rFonts w:asciiTheme="minorEastAsia" w:eastAsiaTheme="minorEastAsia" w:hAnsiTheme="minorEastAsia"/>
                <w:szCs w:val="21"/>
              </w:rPr>
            </w:pPr>
            <w:r w:rsidRPr="00456512">
              <w:rPr>
                <w:rFonts w:asciiTheme="minorEastAsia" w:eastAsiaTheme="minorEastAsia" w:hAnsiTheme="minorEastAsia"/>
                <w:szCs w:val="21"/>
              </w:rPr>
              <w:t>赎回</w:t>
            </w:r>
            <w:r w:rsidRPr="00456512">
              <w:rPr>
                <w:rFonts w:asciiTheme="minorEastAsia" w:eastAsiaTheme="minorEastAsia" w:hAnsiTheme="minorEastAsia" w:hint="eastAsia"/>
                <w:szCs w:val="21"/>
              </w:rPr>
              <w:t>金</w:t>
            </w:r>
            <w:r w:rsidRPr="00456512">
              <w:rPr>
                <w:rFonts w:asciiTheme="minorEastAsia" w:eastAsiaTheme="minorEastAsia" w:hAnsiTheme="minorEastAsia"/>
                <w:szCs w:val="21"/>
              </w:rPr>
              <w:t>额</w:t>
            </w:r>
          </w:p>
        </w:tc>
      </w:tr>
      <w:tr w:rsidR="00456512" w:rsidRPr="00456512" w:rsidTr="00D937F5">
        <w:trPr>
          <w:jc w:val="center"/>
        </w:trPr>
        <w:tc>
          <w:tcPr>
            <w:tcW w:w="1243" w:type="dxa"/>
          </w:tcPr>
          <w:p w:rsidR="00117EDD" w:rsidRPr="00456512" w:rsidRDefault="00117EDD" w:rsidP="00117EDD">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10,000</w:t>
            </w:r>
          </w:p>
        </w:tc>
        <w:tc>
          <w:tcPr>
            <w:tcW w:w="1650" w:type="dxa"/>
          </w:tcPr>
          <w:p w:rsidR="005F5223" w:rsidRPr="00456512" w:rsidRDefault="00117EDD" w:rsidP="00A8776C">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00</w:t>
            </w:r>
            <w:r w:rsidRPr="00456512">
              <w:rPr>
                <w:rFonts w:asciiTheme="minorEastAsia" w:eastAsiaTheme="minorEastAsia" w:hAnsiTheme="minorEastAsia"/>
                <w:szCs w:val="21"/>
              </w:rPr>
              <w:t>元</w:t>
            </w:r>
          </w:p>
        </w:tc>
        <w:tc>
          <w:tcPr>
            <w:tcW w:w="1436" w:type="dxa"/>
          </w:tcPr>
          <w:p w:rsidR="005F5223" w:rsidRPr="00456512" w:rsidRDefault="00117EDD" w:rsidP="00A8776C">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szCs w:val="21"/>
              </w:rPr>
              <w:t>6</w:t>
            </w:r>
            <w:r w:rsidRPr="00456512">
              <w:rPr>
                <w:rFonts w:asciiTheme="minorEastAsia" w:eastAsiaTheme="minorEastAsia" w:hAnsiTheme="minorEastAsia" w:hint="eastAsia"/>
                <w:szCs w:val="21"/>
              </w:rPr>
              <w:t>天</w:t>
            </w:r>
          </w:p>
        </w:tc>
        <w:tc>
          <w:tcPr>
            <w:tcW w:w="1437" w:type="dxa"/>
          </w:tcPr>
          <w:p w:rsidR="005F5223" w:rsidRPr="00456512" w:rsidRDefault="00117EDD" w:rsidP="00A8776C">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szCs w:val="21"/>
              </w:rPr>
              <w:t>1.5%</w:t>
            </w:r>
          </w:p>
        </w:tc>
        <w:tc>
          <w:tcPr>
            <w:tcW w:w="1409" w:type="dxa"/>
          </w:tcPr>
          <w:p w:rsidR="005F5223" w:rsidRPr="00456512" w:rsidRDefault="00117EDD" w:rsidP="00A8776C">
            <w:pPr>
              <w:snapToGrid w:val="0"/>
              <w:spacing w:line="360" w:lineRule="auto"/>
              <w:jc w:val="center"/>
              <w:rPr>
                <w:rFonts w:asciiTheme="minorEastAsia" w:eastAsiaTheme="minorEastAsia" w:hAnsiTheme="minorEastAsia"/>
                <w:szCs w:val="21"/>
              </w:rPr>
            </w:pPr>
            <w:r w:rsidRPr="00456512">
              <w:rPr>
                <w:rFonts w:asciiTheme="minorEastAsia" w:eastAsiaTheme="minorEastAsia" w:hAnsiTheme="minorEastAsia"/>
                <w:szCs w:val="21"/>
              </w:rPr>
              <w:t>150元</w:t>
            </w:r>
          </w:p>
        </w:tc>
        <w:tc>
          <w:tcPr>
            <w:tcW w:w="1457" w:type="dxa"/>
          </w:tcPr>
          <w:p w:rsidR="005F5223" w:rsidRPr="00456512" w:rsidRDefault="00117EDD" w:rsidP="00A8776C">
            <w:pPr>
              <w:snapToGrid w:val="0"/>
              <w:spacing w:line="360" w:lineRule="auto"/>
              <w:ind w:firstLine="181"/>
              <w:jc w:val="center"/>
              <w:rPr>
                <w:rFonts w:asciiTheme="minorEastAsia" w:eastAsiaTheme="minorEastAsia" w:hAnsiTheme="minorEastAsia"/>
                <w:szCs w:val="21"/>
              </w:rPr>
            </w:pPr>
            <w:r w:rsidRPr="00456512">
              <w:rPr>
                <w:rFonts w:asciiTheme="minorEastAsia" w:eastAsiaTheme="minorEastAsia" w:hAnsiTheme="minorEastAsia"/>
                <w:szCs w:val="21"/>
              </w:rPr>
              <w:t>9,850元</w:t>
            </w:r>
          </w:p>
        </w:tc>
      </w:tr>
      <w:tr w:rsidR="00456512" w:rsidRPr="00456512" w:rsidTr="00D937F5">
        <w:trPr>
          <w:jc w:val="center"/>
        </w:trPr>
        <w:tc>
          <w:tcPr>
            <w:tcW w:w="1243" w:type="dxa"/>
          </w:tcPr>
          <w:p w:rsidR="00117EDD" w:rsidRPr="00456512" w:rsidRDefault="00117EDD" w:rsidP="00117EDD">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10,000</w:t>
            </w:r>
          </w:p>
        </w:tc>
        <w:tc>
          <w:tcPr>
            <w:tcW w:w="1650"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00</w:t>
            </w:r>
            <w:r w:rsidRPr="00456512">
              <w:rPr>
                <w:rFonts w:asciiTheme="minorEastAsia" w:eastAsiaTheme="minorEastAsia" w:hAnsiTheme="minorEastAsia"/>
                <w:szCs w:val="21"/>
              </w:rPr>
              <w:t>元</w:t>
            </w:r>
          </w:p>
        </w:tc>
        <w:tc>
          <w:tcPr>
            <w:tcW w:w="1436"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100天</w:t>
            </w:r>
          </w:p>
        </w:tc>
        <w:tc>
          <w:tcPr>
            <w:tcW w:w="1437"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0.5%</w:t>
            </w:r>
          </w:p>
        </w:tc>
        <w:tc>
          <w:tcPr>
            <w:tcW w:w="1409"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50元</w:t>
            </w:r>
          </w:p>
        </w:tc>
        <w:tc>
          <w:tcPr>
            <w:tcW w:w="1457"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9,950元</w:t>
            </w:r>
          </w:p>
        </w:tc>
      </w:tr>
      <w:tr w:rsidR="00456512" w:rsidRPr="00456512" w:rsidTr="00D937F5">
        <w:trPr>
          <w:jc w:val="center"/>
        </w:trPr>
        <w:tc>
          <w:tcPr>
            <w:tcW w:w="1243" w:type="dxa"/>
          </w:tcPr>
          <w:p w:rsidR="00117EDD" w:rsidRPr="00456512" w:rsidRDefault="00117EDD" w:rsidP="00117EDD">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10,000</w:t>
            </w:r>
          </w:p>
        </w:tc>
        <w:tc>
          <w:tcPr>
            <w:tcW w:w="1650"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00</w:t>
            </w:r>
            <w:r w:rsidRPr="00456512">
              <w:rPr>
                <w:rFonts w:asciiTheme="minorEastAsia" w:eastAsiaTheme="minorEastAsia" w:hAnsiTheme="minorEastAsia"/>
                <w:szCs w:val="21"/>
              </w:rPr>
              <w:t>元</w:t>
            </w:r>
          </w:p>
        </w:tc>
        <w:tc>
          <w:tcPr>
            <w:tcW w:w="1436" w:type="dxa"/>
          </w:tcPr>
          <w:p w:rsidR="00117EDD" w:rsidRPr="00456512" w:rsidRDefault="00117EDD" w:rsidP="00117E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500天</w:t>
            </w:r>
          </w:p>
        </w:tc>
        <w:tc>
          <w:tcPr>
            <w:tcW w:w="1437"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0.</w:t>
            </w:r>
            <w:r w:rsidRPr="00456512">
              <w:rPr>
                <w:rFonts w:asciiTheme="minorEastAsia" w:eastAsiaTheme="minorEastAsia" w:hAnsiTheme="minorEastAsia" w:hint="eastAsia"/>
                <w:szCs w:val="21"/>
              </w:rPr>
              <w:t>25</w:t>
            </w:r>
            <w:r w:rsidRPr="00456512">
              <w:rPr>
                <w:rFonts w:asciiTheme="minorEastAsia" w:eastAsiaTheme="minorEastAsia" w:hAnsiTheme="minorEastAsia"/>
                <w:szCs w:val="21"/>
              </w:rPr>
              <w:t>%</w:t>
            </w:r>
          </w:p>
        </w:tc>
        <w:tc>
          <w:tcPr>
            <w:tcW w:w="1409"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25</w:t>
            </w:r>
            <w:r w:rsidRPr="00456512">
              <w:rPr>
                <w:rFonts w:asciiTheme="minorEastAsia" w:eastAsiaTheme="minorEastAsia" w:hAnsiTheme="minorEastAsia"/>
                <w:szCs w:val="21"/>
              </w:rPr>
              <w:t>元</w:t>
            </w:r>
          </w:p>
        </w:tc>
        <w:tc>
          <w:tcPr>
            <w:tcW w:w="1457"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9,97</w:t>
            </w:r>
            <w:r w:rsidRPr="00456512">
              <w:rPr>
                <w:rFonts w:asciiTheme="minorEastAsia" w:eastAsiaTheme="minorEastAsia" w:hAnsiTheme="minorEastAsia" w:hint="eastAsia"/>
                <w:szCs w:val="21"/>
              </w:rPr>
              <w:t>5</w:t>
            </w:r>
            <w:r w:rsidRPr="00456512">
              <w:rPr>
                <w:rFonts w:asciiTheme="minorEastAsia" w:eastAsiaTheme="minorEastAsia" w:hAnsiTheme="minorEastAsia"/>
                <w:szCs w:val="21"/>
              </w:rPr>
              <w:t>元</w:t>
            </w:r>
          </w:p>
        </w:tc>
      </w:tr>
      <w:tr w:rsidR="00456512" w:rsidRPr="00456512" w:rsidTr="00D937F5">
        <w:trPr>
          <w:jc w:val="center"/>
        </w:trPr>
        <w:tc>
          <w:tcPr>
            <w:tcW w:w="1243" w:type="dxa"/>
          </w:tcPr>
          <w:p w:rsidR="00117EDD" w:rsidRPr="00456512" w:rsidRDefault="00117EDD" w:rsidP="00117EDD">
            <w:p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10,000</w:t>
            </w:r>
          </w:p>
        </w:tc>
        <w:tc>
          <w:tcPr>
            <w:tcW w:w="1650"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00</w:t>
            </w:r>
            <w:r w:rsidRPr="00456512">
              <w:rPr>
                <w:rFonts w:asciiTheme="minorEastAsia" w:eastAsiaTheme="minorEastAsia" w:hAnsiTheme="minorEastAsia"/>
                <w:szCs w:val="21"/>
              </w:rPr>
              <w:t>元</w:t>
            </w:r>
          </w:p>
        </w:tc>
        <w:tc>
          <w:tcPr>
            <w:tcW w:w="1436" w:type="dxa"/>
          </w:tcPr>
          <w:p w:rsidR="00117EDD" w:rsidRPr="00456512" w:rsidRDefault="00117EDD" w:rsidP="00117E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800天</w:t>
            </w:r>
          </w:p>
        </w:tc>
        <w:tc>
          <w:tcPr>
            <w:tcW w:w="1437"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0%</w:t>
            </w:r>
          </w:p>
        </w:tc>
        <w:tc>
          <w:tcPr>
            <w:tcW w:w="1409" w:type="dxa"/>
          </w:tcPr>
          <w:p w:rsidR="00117EDD" w:rsidRPr="00456512" w:rsidRDefault="00117EDD" w:rsidP="00117E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0</w:t>
            </w:r>
          </w:p>
        </w:tc>
        <w:tc>
          <w:tcPr>
            <w:tcW w:w="1457" w:type="dxa"/>
          </w:tcPr>
          <w:p w:rsidR="00117EDD" w:rsidRPr="00456512" w:rsidRDefault="00117EDD" w:rsidP="00117EDD">
            <w:pPr>
              <w:snapToGrid w:val="0"/>
              <w:spacing w:line="360" w:lineRule="auto"/>
              <w:ind w:firstLineChars="100" w:firstLine="210"/>
              <w:rPr>
                <w:rFonts w:asciiTheme="minorEastAsia" w:eastAsiaTheme="minorEastAsia" w:hAnsiTheme="minorEastAsia"/>
                <w:szCs w:val="21"/>
              </w:rPr>
            </w:pPr>
            <w:r w:rsidRPr="00456512">
              <w:rPr>
                <w:rFonts w:asciiTheme="minorEastAsia" w:eastAsiaTheme="minorEastAsia" w:hAnsiTheme="minorEastAsia"/>
                <w:szCs w:val="21"/>
              </w:rPr>
              <w:t>10,000元</w:t>
            </w:r>
          </w:p>
        </w:tc>
      </w:tr>
    </w:tbl>
    <w:p w:rsidR="001D2E2F" w:rsidRPr="00456512" w:rsidRDefault="001D2E2F" w:rsidP="00084917">
      <w:pPr>
        <w:pStyle w:val="af4"/>
        <w:snapToGrid w:val="0"/>
        <w:spacing w:line="360" w:lineRule="auto"/>
        <w:rPr>
          <w:rFonts w:asciiTheme="minorEastAsia" w:eastAsiaTheme="minorEastAsia" w:hAnsiTheme="minorEastAsia"/>
          <w:b/>
          <w:szCs w:val="21"/>
        </w:rPr>
      </w:pPr>
      <w:r w:rsidRPr="00456512">
        <w:rPr>
          <w:rFonts w:asciiTheme="minorEastAsia" w:eastAsiaTheme="minorEastAsia" w:hAnsiTheme="minorEastAsia" w:hint="eastAsia"/>
          <w:szCs w:val="21"/>
        </w:rPr>
        <w:t>赎回总额、赎回费</w:t>
      </w:r>
      <w:r w:rsidR="002250F4" w:rsidRPr="00456512">
        <w:rPr>
          <w:rFonts w:asciiTheme="minorEastAsia" w:eastAsiaTheme="minorEastAsia" w:hAnsiTheme="minorEastAsia" w:hint="eastAsia"/>
          <w:szCs w:val="21"/>
        </w:rPr>
        <w:t>用</w:t>
      </w:r>
      <w:r w:rsidRPr="00456512">
        <w:rPr>
          <w:rFonts w:asciiTheme="minorEastAsia" w:eastAsiaTheme="minorEastAsia" w:hAnsiTheme="minorEastAsia" w:hint="eastAsia"/>
          <w:szCs w:val="21"/>
        </w:rPr>
        <w:t>以人民币元为单位，四舍五入，保留小数点后两位。</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C64778"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转换份额的计算</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基金转换份额的计算公式：</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A＝［B×C×(1-D)/（1+G）+F］/E</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H＝</w:t>
      </w:r>
      <w:r w:rsidRPr="00456512">
        <w:rPr>
          <w:rFonts w:asciiTheme="minorEastAsia" w:eastAsiaTheme="minorEastAsia" w:hAnsiTheme="minorEastAsia"/>
        </w:rPr>
        <w:t>B×C×D</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J＝[B×C×(1-D)/(1+G)]×G</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其中，</w:t>
      </w:r>
      <w:r w:rsidRPr="00456512">
        <w:rPr>
          <w:rFonts w:asciiTheme="minorEastAsia" w:eastAsiaTheme="minorEastAsia" w:hAnsiTheme="minorEastAsia"/>
        </w:rPr>
        <w:t>A</w:t>
      </w:r>
      <w:r w:rsidRPr="00456512">
        <w:rPr>
          <w:rFonts w:asciiTheme="minorEastAsia" w:eastAsiaTheme="minorEastAsia" w:hAnsiTheme="minorEastAsia" w:hint="eastAsia"/>
        </w:rPr>
        <w:t>为转入的基金份额；</w:t>
      </w:r>
      <w:r w:rsidRPr="00456512">
        <w:rPr>
          <w:rFonts w:asciiTheme="minorEastAsia" w:eastAsiaTheme="minorEastAsia" w:hAnsiTheme="minorEastAsia"/>
        </w:rPr>
        <w:t>B</w:t>
      </w:r>
      <w:r w:rsidRPr="00456512">
        <w:rPr>
          <w:rFonts w:asciiTheme="minorEastAsia" w:eastAsiaTheme="minorEastAsia" w:hAnsiTheme="minorEastAsia" w:hint="eastAsia"/>
        </w:rPr>
        <w:t>为转出的基金份额；</w:t>
      </w:r>
      <w:r w:rsidRPr="00456512">
        <w:rPr>
          <w:rFonts w:asciiTheme="minorEastAsia" w:eastAsiaTheme="minorEastAsia" w:hAnsiTheme="minorEastAsia"/>
        </w:rPr>
        <w:t>C</w:t>
      </w:r>
      <w:r w:rsidRPr="00456512">
        <w:rPr>
          <w:rFonts w:asciiTheme="minorEastAsia" w:eastAsiaTheme="minorEastAsia" w:hAnsiTheme="minorEastAsia" w:hint="eastAsia"/>
        </w:rPr>
        <w:t>为转换申请当日转出基金的基金</w:t>
      </w:r>
      <w:r w:rsidRPr="00456512">
        <w:rPr>
          <w:rFonts w:asciiTheme="minorEastAsia" w:eastAsiaTheme="minorEastAsia" w:hAnsiTheme="minorEastAsia" w:hint="eastAsia"/>
        </w:rPr>
        <w:lastRenderedPageBreak/>
        <w:t>份额净值；</w:t>
      </w:r>
      <w:r w:rsidRPr="00456512">
        <w:rPr>
          <w:rFonts w:asciiTheme="minorEastAsia" w:eastAsiaTheme="minorEastAsia" w:hAnsiTheme="minorEastAsia"/>
        </w:rPr>
        <w:t>D</w:t>
      </w:r>
      <w:r w:rsidRPr="00456512">
        <w:rPr>
          <w:rFonts w:asciiTheme="minorEastAsia" w:eastAsiaTheme="minorEastAsia" w:hAnsiTheme="minorEastAsia" w:hint="eastAsia"/>
        </w:rPr>
        <w:t>为转出基金的对应赎回费率，</w:t>
      </w:r>
      <w:r w:rsidRPr="00456512">
        <w:rPr>
          <w:rFonts w:asciiTheme="minorEastAsia" w:eastAsiaTheme="minorEastAsia" w:hAnsiTheme="minorEastAsia"/>
        </w:rPr>
        <w:t>G</w:t>
      </w:r>
      <w:r w:rsidRPr="00456512">
        <w:rPr>
          <w:rFonts w:asciiTheme="minorEastAsia" w:eastAsiaTheme="minorEastAsia" w:hAnsiTheme="minorEastAsia" w:hint="eastAsia"/>
        </w:rPr>
        <w:t>为对应的申购补差费率；</w:t>
      </w:r>
      <w:r w:rsidRPr="00456512">
        <w:rPr>
          <w:rFonts w:asciiTheme="minorEastAsia" w:eastAsiaTheme="minorEastAsia" w:hAnsiTheme="minorEastAsia"/>
        </w:rPr>
        <w:t>E</w:t>
      </w:r>
      <w:r w:rsidRPr="00456512">
        <w:rPr>
          <w:rFonts w:asciiTheme="minorEastAsia" w:eastAsiaTheme="minorEastAsia" w:hAnsiTheme="minorEastAsia" w:hint="eastAsia"/>
        </w:rPr>
        <w:t>为转换申请当日转入基金的基金份额净值；</w:t>
      </w:r>
      <w:r w:rsidR="00024AB3" w:rsidRPr="00456512">
        <w:rPr>
          <w:rFonts w:asciiTheme="minorEastAsia" w:eastAsiaTheme="minorEastAsia" w:hAnsiTheme="minorEastAsia" w:hint="eastAsia"/>
        </w:rPr>
        <w:t>F为货币市场基金全部转出时注册登记机构已支付的未付收益</w:t>
      </w:r>
      <w:r w:rsidR="00455544" w:rsidRPr="00456512">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1C3AB9" w:rsidRPr="00456512">
        <w:rPr>
          <w:rFonts w:asciiTheme="minorEastAsia" w:eastAsiaTheme="minorEastAsia" w:hAnsiTheme="minorEastAsia" w:hint="eastAsia"/>
        </w:rPr>
        <w:t>、易</w:t>
      </w:r>
      <w:r w:rsidR="00C67E04" w:rsidRPr="00456512">
        <w:rPr>
          <w:rFonts w:asciiTheme="minorEastAsia" w:eastAsiaTheme="minorEastAsia" w:hAnsiTheme="minorEastAsia" w:hint="eastAsia"/>
        </w:rPr>
        <w:t>方达龙宝货币市场基金</w:t>
      </w:r>
      <w:r w:rsidR="00E329FA" w:rsidRPr="00456512">
        <w:rPr>
          <w:rFonts w:asciiTheme="minorEastAsia" w:eastAsiaTheme="minorEastAsia" w:hAnsiTheme="minorEastAsia" w:hint="eastAsia"/>
        </w:rPr>
        <w:t>、</w:t>
      </w:r>
      <w:r w:rsidR="001C3AB9" w:rsidRPr="00456512">
        <w:rPr>
          <w:rFonts w:asciiTheme="minorEastAsia" w:eastAsiaTheme="minorEastAsia" w:hAnsiTheme="minorEastAsia" w:hint="eastAsia"/>
        </w:rPr>
        <w:t>易方达增金宝货币市场基金</w:t>
      </w:r>
      <w:r w:rsidR="00E329FA" w:rsidRPr="00456512">
        <w:rPr>
          <w:rFonts w:asciiTheme="minorEastAsia" w:eastAsiaTheme="minorEastAsia" w:hAnsiTheme="minorEastAsia" w:hint="eastAsia"/>
        </w:rPr>
        <w:t>、</w:t>
      </w:r>
      <w:r w:rsidR="00E329FA" w:rsidRPr="00456512">
        <w:rPr>
          <w:rFonts w:asciiTheme="minorEastAsia" w:eastAsiaTheme="minorEastAsia" w:hAnsiTheme="minorEastAsia" w:hint="eastAsia"/>
          <w:kern w:val="0"/>
          <w:szCs w:val="21"/>
        </w:rPr>
        <w:t>易方达现金增利货币市场基金</w:t>
      </w:r>
      <w:r w:rsidR="005D042A" w:rsidRPr="00456512">
        <w:rPr>
          <w:rFonts w:asciiTheme="minorEastAsia" w:eastAsiaTheme="minorEastAsia" w:hAnsiTheme="minorEastAsia" w:hint="eastAsia"/>
          <w:kern w:val="0"/>
          <w:szCs w:val="21"/>
        </w:rPr>
        <w:t>、易方达天天发货币市场基金</w:t>
      </w:r>
      <w:r w:rsidR="00453BE1" w:rsidRPr="00456512">
        <w:rPr>
          <w:rFonts w:asciiTheme="minorEastAsia" w:eastAsiaTheme="minorEastAsia" w:hAnsiTheme="minorEastAsia" w:hint="eastAsia"/>
          <w:kern w:val="0"/>
          <w:szCs w:val="21"/>
        </w:rPr>
        <w:t>、易方达易理财货币市场基金</w:t>
      </w:r>
      <w:r w:rsidR="00455544" w:rsidRPr="00456512">
        <w:rPr>
          <w:rFonts w:asciiTheme="minorEastAsia" w:eastAsiaTheme="minorEastAsia" w:hAnsiTheme="minorEastAsia" w:hint="eastAsia"/>
        </w:rPr>
        <w:t>）或者短期理财基金转出时对应的累计未付收益（</w:t>
      </w:r>
      <w:r w:rsidR="00CA1ED1" w:rsidRPr="00456512">
        <w:rPr>
          <w:rFonts w:asciiTheme="minorEastAsia" w:eastAsiaTheme="minorEastAsia" w:hAnsiTheme="minorEastAsia" w:hint="eastAsia"/>
        </w:rPr>
        <w:t>转出基金为易方达月月利理财债券型证券投资基金和易方达掌柜季季盈理财债券型证券投资基金</w:t>
      </w:r>
      <w:r w:rsidRPr="00456512">
        <w:rPr>
          <w:rFonts w:asciiTheme="minorEastAsia" w:eastAsiaTheme="minorEastAsia" w:hAnsiTheme="minorEastAsia" w:hint="eastAsia"/>
        </w:rPr>
        <w:t>）</w:t>
      </w:r>
      <w:r w:rsidRPr="00456512">
        <w:rPr>
          <w:rFonts w:asciiTheme="minorEastAsia" w:eastAsiaTheme="minorEastAsia" w:hAnsiTheme="minorEastAsia" w:hint="eastAsia"/>
          <w:szCs w:val="20"/>
        </w:rPr>
        <w:t>；H为</w:t>
      </w:r>
      <w:r w:rsidRPr="00456512">
        <w:rPr>
          <w:rFonts w:asciiTheme="minorEastAsia" w:eastAsiaTheme="minorEastAsia" w:hAnsiTheme="minorEastAsia" w:hint="eastAsia"/>
        </w:rPr>
        <w:t>转出基金赎回费；J为申购补差费。</w:t>
      </w:r>
    </w:p>
    <w:p w:rsidR="00024AB3" w:rsidRPr="00456512" w:rsidRDefault="00024AB3"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说明：</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w:t>
      </w:r>
      <w:r w:rsidRPr="00456512">
        <w:rPr>
          <w:rFonts w:asciiTheme="minorEastAsia" w:eastAsiaTheme="minorEastAsia" w:hAnsiTheme="minorEastAsia"/>
        </w:rPr>
        <w:t>1</w:t>
      </w:r>
      <w:r w:rsidRPr="00456512">
        <w:rPr>
          <w:rFonts w:asciiTheme="minorEastAsia" w:eastAsiaTheme="minorEastAsia" w:hAnsiTheme="minorEastAsia" w:hint="eastAsia"/>
        </w:rPr>
        <w:t>）基金转换费用由转出基金赎回费用及基金申购补差费用两部分构成。</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w:t>
      </w:r>
      <w:r w:rsidRPr="00456512">
        <w:rPr>
          <w:rFonts w:asciiTheme="minorEastAsia" w:eastAsiaTheme="minorEastAsia" w:hAnsiTheme="minorEastAsia"/>
        </w:rPr>
        <w:t>2</w:t>
      </w:r>
      <w:r w:rsidRPr="00456512">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456512">
        <w:rPr>
          <w:rFonts w:asciiTheme="minorEastAsia" w:eastAsiaTheme="minorEastAsia" w:hAnsiTheme="minorEastAsia"/>
        </w:rPr>
        <w:t>,</w:t>
      </w:r>
      <w:r w:rsidRPr="00456512">
        <w:rPr>
          <w:rFonts w:asciiTheme="minorEastAsia" w:eastAsiaTheme="minorEastAsia" w:hAnsiTheme="minorEastAsia" w:hint="eastAsia"/>
        </w:rPr>
        <w:t>不收取申购补差费用</w:t>
      </w:r>
      <w:r w:rsidR="00834CD8" w:rsidRPr="00456512">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456512">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BE0127" w:rsidRPr="00456512">
        <w:rPr>
          <w:rFonts w:asciiTheme="minorEastAsia" w:eastAsiaTheme="minorEastAsia" w:hAnsiTheme="minorEastAsia" w:hint="eastAsia"/>
        </w:rPr>
        <w:t>并见相关公告</w:t>
      </w:r>
      <w:r w:rsidRPr="00456512">
        <w:rPr>
          <w:rFonts w:asciiTheme="minorEastAsia" w:eastAsiaTheme="minorEastAsia" w:hAnsiTheme="minorEastAsia" w:hint="eastAsia"/>
        </w:rPr>
        <w:t>。</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（3）转出基金时，如涉及的转出基金有赎回费用，收取该基金的赎回费用。收取的赎回费</w:t>
      </w:r>
      <w:r w:rsidR="00AD028F" w:rsidRPr="00456512">
        <w:rPr>
          <w:rFonts w:asciiTheme="minorEastAsia" w:eastAsiaTheme="minorEastAsia" w:hAnsiTheme="minorEastAsia" w:hint="eastAsia"/>
        </w:rPr>
        <w:t>按照</w:t>
      </w:r>
      <w:r w:rsidR="00CA1ED1" w:rsidRPr="00456512">
        <w:rPr>
          <w:rFonts w:asciiTheme="minorEastAsia" w:eastAsiaTheme="minorEastAsia" w:hAnsiTheme="minorEastAsia" w:hint="eastAsia"/>
        </w:rPr>
        <w:t>各基金</w:t>
      </w:r>
      <w:r w:rsidR="00CA1ED1" w:rsidRPr="00456512">
        <w:rPr>
          <w:rFonts w:asciiTheme="minorEastAsia" w:eastAsiaTheme="minorEastAsia" w:hAnsiTheme="minorEastAsia"/>
        </w:rPr>
        <w:t>的</w:t>
      </w:r>
      <w:r w:rsidR="00AD028F" w:rsidRPr="00456512">
        <w:rPr>
          <w:rFonts w:asciiTheme="minorEastAsia" w:eastAsiaTheme="minorEastAsia" w:hAnsiTheme="minorEastAsia" w:hint="eastAsia"/>
        </w:rPr>
        <w:t>基金合同、更新的招募说明书及最新的相关公告约定的比例归入基金财产</w:t>
      </w:r>
      <w:r w:rsidRPr="00456512">
        <w:rPr>
          <w:rFonts w:asciiTheme="minorEastAsia" w:eastAsiaTheme="minorEastAsia" w:hAnsiTheme="minorEastAsia" w:hint="eastAsia"/>
        </w:rPr>
        <w:t>，其余部分用于支付注册登记费等相关手续费。</w:t>
      </w:r>
    </w:p>
    <w:p w:rsidR="001D2E2F" w:rsidRPr="00456512" w:rsidRDefault="001D2E2F" w:rsidP="00084917">
      <w:pPr>
        <w:autoSpaceDE w:val="0"/>
        <w:autoSpaceDN w:val="0"/>
        <w:snapToGrid w:val="0"/>
        <w:spacing w:line="360" w:lineRule="auto"/>
        <w:ind w:firstLine="420"/>
        <w:textAlignment w:val="bottom"/>
        <w:rPr>
          <w:rFonts w:asciiTheme="minorEastAsia" w:eastAsiaTheme="minorEastAsia" w:hAnsiTheme="minorEastAsia"/>
        </w:rPr>
      </w:pPr>
      <w:r w:rsidRPr="00456512">
        <w:rPr>
          <w:rFonts w:asciiTheme="minorEastAsia" w:eastAsiaTheme="minorEastAsia" w:hAnsiTheme="minorEastAsia" w:hint="eastAsia"/>
        </w:rPr>
        <w:t>（4）投资者可以发起多次基金转换业务，基金转换费用按每笔申请单独计算。</w:t>
      </w:r>
      <w:r w:rsidRPr="00456512">
        <w:rPr>
          <w:rFonts w:asciiTheme="minorEastAsia" w:eastAsiaTheme="minorEastAsia" w:hAnsiTheme="minorEastAsia"/>
          <w:szCs w:val="21"/>
        </w:rPr>
        <w:t>转换费用以人民币元为单位，计算结果按照四舍五入方法，保留小数点后两位。</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举例说明</w:t>
      </w:r>
      <w:r w:rsidRPr="00456512">
        <w:rPr>
          <w:rFonts w:asciiTheme="minorEastAsia" w:eastAsiaTheme="minorEastAsia" w:hAnsiTheme="minorEastAsia"/>
        </w:rPr>
        <w:t>：</w:t>
      </w:r>
      <w:r w:rsidRPr="00456512">
        <w:rPr>
          <w:rFonts w:asciiTheme="minorEastAsia" w:eastAsiaTheme="minorEastAsia" w:hAnsiTheme="minorEastAsia" w:hint="eastAsia"/>
        </w:rPr>
        <w:t>假定某投资者</w:t>
      </w:r>
      <w:r w:rsidR="00CA1ED1" w:rsidRPr="00456512">
        <w:rPr>
          <w:rFonts w:asciiTheme="minorEastAsia" w:eastAsiaTheme="minorEastAsia" w:hAnsiTheme="minorEastAsia" w:hint="eastAsia"/>
          <w:szCs w:val="21"/>
        </w:rPr>
        <w:t>（非特定投资群体）</w:t>
      </w:r>
      <w:r w:rsidRPr="00456512">
        <w:rPr>
          <w:rFonts w:asciiTheme="minorEastAsia" w:eastAsiaTheme="minorEastAsia" w:hAnsiTheme="minorEastAsia" w:hint="eastAsia"/>
        </w:rPr>
        <w:t>在T日转出10,000份易方达积极成长基金至</w:t>
      </w:r>
      <w:r w:rsidRPr="00456512">
        <w:rPr>
          <w:rFonts w:asciiTheme="minorEastAsia" w:eastAsiaTheme="minorEastAsia" w:hAnsiTheme="minorEastAsia"/>
        </w:rPr>
        <w:t>易方达策略成长二号混合型基金</w:t>
      </w:r>
      <w:r w:rsidRPr="00456512">
        <w:rPr>
          <w:rFonts w:asciiTheme="minorEastAsia" w:eastAsiaTheme="minorEastAsia" w:hAnsiTheme="minorEastAsia" w:hint="eastAsia"/>
        </w:rPr>
        <w:t>份额，转出基金T日的基金份额净值为1.1000元，转入</w:t>
      </w:r>
      <w:r w:rsidRPr="00456512">
        <w:rPr>
          <w:rFonts w:asciiTheme="minorEastAsia" w:eastAsiaTheme="minorEastAsia" w:hAnsiTheme="minorEastAsia"/>
        </w:rPr>
        <w:t>易方达策略成长二号混合型基金</w:t>
      </w:r>
      <w:r w:rsidRPr="00456512">
        <w:rPr>
          <w:rFonts w:asciiTheme="minorEastAsia" w:eastAsiaTheme="minorEastAsia" w:hAnsiTheme="minorEastAsia" w:hint="eastAsia"/>
        </w:rPr>
        <w:t>T日的基金份额净值为1.020元，假设该转出基金的赎回费率为0.5%，申购补差费率为0.5%，则可获得转入基金的</w:t>
      </w:r>
      <w:r w:rsidRPr="00456512">
        <w:rPr>
          <w:rFonts w:asciiTheme="minorEastAsia" w:eastAsiaTheme="minorEastAsia" w:hAnsiTheme="minorEastAsia"/>
        </w:rPr>
        <w:t>易方达策略成长二号混合型基金</w:t>
      </w:r>
      <w:r w:rsidRPr="00456512">
        <w:rPr>
          <w:rFonts w:asciiTheme="minorEastAsia" w:eastAsiaTheme="minorEastAsia" w:hAnsiTheme="minorEastAsia" w:hint="eastAsia"/>
        </w:rPr>
        <w:t>基金份额计算如下：</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hint="eastAsia"/>
          <w:szCs w:val="20"/>
        </w:rPr>
        <w:t>转换</w:t>
      </w:r>
      <w:r w:rsidRPr="00456512">
        <w:rPr>
          <w:rFonts w:asciiTheme="minorEastAsia" w:eastAsiaTheme="minorEastAsia" w:hAnsiTheme="minorEastAsia"/>
          <w:szCs w:val="20"/>
        </w:rPr>
        <w:t>金额＝转出基金申请份额×转出基金份额净值=10</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000×1</w:t>
      </w:r>
      <w:r w:rsidRPr="00456512">
        <w:rPr>
          <w:rFonts w:asciiTheme="minorEastAsia" w:eastAsiaTheme="minorEastAsia" w:hAnsiTheme="minorEastAsia" w:hint="eastAsia"/>
          <w:szCs w:val="20"/>
        </w:rPr>
        <w:t>.1000</w:t>
      </w:r>
      <w:r w:rsidRPr="00456512">
        <w:rPr>
          <w:rFonts w:asciiTheme="minorEastAsia" w:eastAsiaTheme="minorEastAsia" w:hAnsiTheme="minorEastAsia"/>
          <w:szCs w:val="20"/>
        </w:rPr>
        <w:t>＝1</w:t>
      </w:r>
      <w:r w:rsidRPr="00456512">
        <w:rPr>
          <w:rFonts w:asciiTheme="minorEastAsia" w:eastAsiaTheme="minorEastAsia" w:hAnsiTheme="minorEastAsia" w:hint="eastAsia"/>
          <w:szCs w:val="20"/>
        </w:rPr>
        <w:t>1,</w:t>
      </w:r>
      <w:r w:rsidRPr="00456512">
        <w:rPr>
          <w:rFonts w:asciiTheme="minorEastAsia" w:eastAsiaTheme="minorEastAsia" w:hAnsiTheme="minorEastAsia"/>
          <w:szCs w:val="20"/>
        </w:rPr>
        <w:t>000</w:t>
      </w:r>
      <w:r w:rsidRPr="00456512">
        <w:rPr>
          <w:rFonts w:asciiTheme="minorEastAsia" w:eastAsiaTheme="minorEastAsia" w:hAnsiTheme="minorEastAsia" w:hint="eastAsia"/>
          <w:szCs w:val="20"/>
        </w:rPr>
        <w:t>.00</w:t>
      </w:r>
      <w:r w:rsidRPr="00456512">
        <w:rPr>
          <w:rFonts w:asciiTheme="minorEastAsia" w:eastAsiaTheme="minorEastAsia" w:hAnsiTheme="minorEastAsia"/>
          <w:szCs w:val="20"/>
        </w:rPr>
        <w:t>元</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hint="eastAsia"/>
          <w:szCs w:val="20"/>
        </w:rPr>
        <w:t>转出基金</w:t>
      </w:r>
      <w:r w:rsidRPr="00456512">
        <w:rPr>
          <w:rFonts w:asciiTheme="minorEastAsia" w:eastAsiaTheme="minorEastAsia" w:hAnsiTheme="minorEastAsia"/>
          <w:szCs w:val="20"/>
        </w:rPr>
        <w:t>赎回费＝</w:t>
      </w:r>
      <w:r w:rsidRPr="00456512">
        <w:rPr>
          <w:rFonts w:asciiTheme="minorEastAsia" w:eastAsiaTheme="minorEastAsia" w:hAnsiTheme="minorEastAsia" w:hint="eastAsia"/>
          <w:szCs w:val="20"/>
        </w:rPr>
        <w:t>转换</w:t>
      </w:r>
      <w:r w:rsidRPr="00456512">
        <w:rPr>
          <w:rFonts w:asciiTheme="minorEastAsia" w:eastAsiaTheme="minorEastAsia" w:hAnsiTheme="minorEastAsia"/>
          <w:szCs w:val="20"/>
        </w:rPr>
        <w:t>金额×</w:t>
      </w:r>
      <w:r w:rsidRPr="00456512">
        <w:rPr>
          <w:rFonts w:asciiTheme="minorEastAsia" w:eastAsiaTheme="minorEastAsia" w:hAnsiTheme="minorEastAsia" w:hint="eastAsia"/>
          <w:szCs w:val="20"/>
        </w:rPr>
        <w:t>转出基金</w:t>
      </w:r>
      <w:r w:rsidRPr="00456512">
        <w:rPr>
          <w:rFonts w:asciiTheme="minorEastAsia" w:eastAsiaTheme="minorEastAsia" w:hAnsiTheme="minorEastAsia"/>
          <w:szCs w:val="20"/>
        </w:rPr>
        <w:t>赎回费率</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1</w:t>
      </w:r>
      <w:r w:rsidRPr="00456512">
        <w:rPr>
          <w:rFonts w:asciiTheme="minorEastAsia" w:eastAsiaTheme="minorEastAsia" w:hAnsiTheme="minorEastAsia" w:hint="eastAsia"/>
          <w:szCs w:val="20"/>
        </w:rPr>
        <w:t>1,</w:t>
      </w:r>
      <w:r w:rsidRPr="00456512">
        <w:rPr>
          <w:rFonts w:asciiTheme="minorEastAsia" w:eastAsiaTheme="minorEastAsia" w:hAnsiTheme="minorEastAsia"/>
          <w:szCs w:val="20"/>
        </w:rPr>
        <w:t>000</w:t>
      </w:r>
      <w:r w:rsidRPr="00456512">
        <w:rPr>
          <w:rFonts w:asciiTheme="minorEastAsia" w:eastAsiaTheme="minorEastAsia" w:hAnsiTheme="minorEastAsia" w:hint="eastAsia"/>
          <w:szCs w:val="20"/>
        </w:rPr>
        <w:t>.00</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0.5%=55.00元</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hint="eastAsia"/>
          <w:szCs w:val="20"/>
        </w:rPr>
        <w:t>申购</w:t>
      </w:r>
      <w:r w:rsidRPr="00456512">
        <w:rPr>
          <w:rFonts w:asciiTheme="minorEastAsia" w:eastAsiaTheme="minorEastAsia" w:hAnsiTheme="minorEastAsia"/>
          <w:szCs w:val="20"/>
        </w:rPr>
        <w:t>补差费</w:t>
      </w:r>
      <w:r w:rsidRPr="00456512">
        <w:rPr>
          <w:rFonts w:asciiTheme="minorEastAsia" w:eastAsiaTheme="minorEastAsia" w:hAnsiTheme="minorEastAsia" w:hint="eastAsia"/>
          <w:szCs w:val="20"/>
        </w:rPr>
        <w:t>=（转换</w:t>
      </w:r>
      <w:r w:rsidRPr="00456512">
        <w:rPr>
          <w:rFonts w:asciiTheme="minorEastAsia" w:eastAsiaTheme="minorEastAsia" w:hAnsiTheme="minorEastAsia"/>
          <w:szCs w:val="20"/>
        </w:rPr>
        <w:t>金额</w:t>
      </w:r>
      <w:r w:rsidRPr="00456512">
        <w:rPr>
          <w:rFonts w:asciiTheme="minorEastAsia" w:eastAsiaTheme="minorEastAsia" w:hAnsiTheme="minorEastAsia" w:hint="eastAsia"/>
          <w:szCs w:val="20"/>
        </w:rPr>
        <w:t>—转出基金</w:t>
      </w:r>
      <w:r w:rsidRPr="00456512">
        <w:rPr>
          <w:rFonts w:asciiTheme="minorEastAsia" w:eastAsiaTheme="minorEastAsia" w:hAnsiTheme="minorEastAsia"/>
          <w:szCs w:val="20"/>
        </w:rPr>
        <w:t>赎回费</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申购</w:t>
      </w:r>
      <w:r w:rsidRPr="00456512">
        <w:rPr>
          <w:rFonts w:asciiTheme="minorEastAsia" w:eastAsiaTheme="minorEastAsia" w:hAnsiTheme="minorEastAsia"/>
          <w:szCs w:val="20"/>
        </w:rPr>
        <w:t>补差费率÷（１＋</w:t>
      </w:r>
      <w:r w:rsidRPr="00456512">
        <w:rPr>
          <w:rFonts w:asciiTheme="minorEastAsia" w:eastAsiaTheme="minorEastAsia" w:hAnsiTheme="minorEastAsia" w:hint="eastAsia"/>
          <w:szCs w:val="20"/>
        </w:rPr>
        <w:t>申购</w:t>
      </w:r>
      <w:r w:rsidRPr="00456512">
        <w:rPr>
          <w:rFonts w:asciiTheme="minorEastAsia" w:eastAsiaTheme="minorEastAsia" w:hAnsiTheme="minorEastAsia"/>
          <w:szCs w:val="20"/>
        </w:rPr>
        <w:t>补差费率）</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szCs w:val="20"/>
        </w:rPr>
        <w:lastRenderedPageBreak/>
        <w:t>（</w:t>
      </w:r>
      <w:r w:rsidRPr="00456512">
        <w:rPr>
          <w:rFonts w:asciiTheme="minorEastAsia" w:eastAsiaTheme="minorEastAsia" w:hAnsiTheme="minorEastAsia"/>
          <w:szCs w:val="20"/>
        </w:rPr>
        <w:t>1</w:t>
      </w:r>
      <w:r w:rsidRPr="00456512">
        <w:rPr>
          <w:rFonts w:asciiTheme="minorEastAsia" w:eastAsiaTheme="minorEastAsia" w:hAnsiTheme="minorEastAsia" w:hint="eastAsia"/>
          <w:szCs w:val="20"/>
        </w:rPr>
        <w:t>1,</w:t>
      </w:r>
      <w:r w:rsidRPr="00456512">
        <w:rPr>
          <w:rFonts w:asciiTheme="minorEastAsia" w:eastAsiaTheme="minorEastAsia" w:hAnsiTheme="minorEastAsia"/>
          <w:szCs w:val="20"/>
        </w:rPr>
        <w:t>000</w:t>
      </w:r>
      <w:r w:rsidRPr="00456512">
        <w:rPr>
          <w:rFonts w:asciiTheme="minorEastAsia" w:eastAsiaTheme="minorEastAsia" w:hAnsiTheme="minorEastAsia" w:hint="eastAsia"/>
          <w:szCs w:val="20"/>
        </w:rPr>
        <w:t>.00-55.00）</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0.</w:t>
      </w:r>
      <w:r w:rsidRPr="00456512">
        <w:rPr>
          <w:rFonts w:asciiTheme="minorEastAsia" w:eastAsiaTheme="minorEastAsia" w:hAnsiTheme="minorEastAsia" w:hint="eastAsia"/>
        </w:rPr>
        <w:t>5</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(1+0.</w:t>
      </w:r>
      <w:r w:rsidRPr="00456512">
        <w:rPr>
          <w:rFonts w:asciiTheme="minorEastAsia" w:eastAsiaTheme="minorEastAsia" w:hAnsiTheme="minorEastAsia" w:hint="eastAsia"/>
        </w:rPr>
        <w:t>5</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54.45</w:t>
      </w:r>
      <w:r w:rsidRPr="00456512">
        <w:rPr>
          <w:rFonts w:asciiTheme="minorEastAsia" w:eastAsiaTheme="minorEastAsia" w:hAnsiTheme="minorEastAsia" w:hint="eastAsia"/>
          <w:szCs w:val="20"/>
        </w:rPr>
        <w:t>元</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szCs w:val="20"/>
        </w:rPr>
        <w:t>转换费＝转出基金赎回费+申购补差费=</w:t>
      </w:r>
      <w:r w:rsidRPr="00456512">
        <w:rPr>
          <w:rFonts w:asciiTheme="minorEastAsia" w:eastAsiaTheme="minorEastAsia" w:hAnsiTheme="minorEastAsia" w:hint="eastAsia"/>
          <w:szCs w:val="20"/>
        </w:rPr>
        <w:t>55.00</w:t>
      </w:r>
      <w:r w:rsidRPr="00456512">
        <w:rPr>
          <w:rFonts w:asciiTheme="minorEastAsia" w:eastAsiaTheme="minorEastAsia" w:hAnsiTheme="minorEastAsia"/>
          <w:szCs w:val="20"/>
        </w:rPr>
        <w:t>+</w:t>
      </w:r>
      <w:r w:rsidRPr="00456512">
        <w:rPr>
          <w:rFonts w:asciiTheme="minorEastAsia" w:eastAsiaTheme="minorEastAsia" w:hAnsiTheme="minorEastAsia" w:hint="eastAsia"/>
        </w:rPr>
        <w:t>54.45</w:t>
      </w:r>
      <w:r w:rsidRPr="00456512">
        <w:rPr>
          <w:rFonts w:asciiTheme="minorEastAsia" w:eastAsiaTheme="minorEastAsia" w:hAnsiTheme="minorEastAsia"/>
          <w:szCs w:val="20"/>
        </w:rPr>
        <w:t>＝</w:t>
      </w:r>
      <w:r w:rsidRPr="00456512">
        <w:rPr>
          <w:rFonts w:asciiTheme="minorEastAsia" w:eastAsiaTheme="minorEastAsia" w:hAnsiTheme="minorEastAsia" w:hint="eastAsia"/>
        </w:rPr>
        <w:t>109.45</w:t>
      </w:r>
      <w:r w:rsidRPr="00456512">
        <w:rPr>
          <w:rFonts w:asciiTheme="minorEastAsia" w:eastAsiaTheme="minorEastAsia" w:hAnsiTheme="minorEastAsia" w:hint="eastAsia"/>
          <w:szCs w:val="20"/>
        </w:rPr>
        <w:t>元</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hint="eastAsia"/>
          <w:szCs w:val="20"/>
        </w:rPr>
        <w:t>转入金额=转换</w:t>
      </w:r>
      <w:r w:rsidRPr="00456512">
        <w:rPr>
          <w:rFonts w:asciiTheme="minorEastAsia" w:eastAsiaTheme="minorEastAsia" w:hAnsiTheme="minorEastAsia"/>
          <w:szCs w:val="20"/>
        </w:rPr>
        <w:t>金额</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转换费</w:t>
      </w:r>
      <w:r w:rsidRPr="00456512">
        <w:rPr>
          <w:rFonts w:asciiTheme="minorEastAsia" w:eastAsiaTheme="minorEastAsia" w:hAnsiTheme="minorEastAsia" w:hint="eastAsia"/>
          <w:szCs w:val="20"/>
        </w:rPr>
        <w:t>=</w:t>
      </w:r>
      <w:r w:rsidRPr="00456512">
        <w:rPr>
          <w:rFonts w:asciiTheme="minorEastAsia" w:eastAsiaTheme="minorEastAsia" w:hAnsiTheme="minorEastAsia"/>
          <w:szCs w:val="20"/>
        </w:rPr>
        <w:t>1</w:t>
      </w:r>
      <w:r w:rsidRPr="00456512">
        <w:rPr>
          <w:rFonts w:asciiTheme="minorEastAsia" w:eastAsiaTheme="minorEastAsia" w:hAnsiTheme="minorEastAsia" w:hint="eastAsia"/>
          <w:szCs w:val="20"/>
        </w:rPr>
        <w:t>1</w:t>
      </w:r>
      <w:r w:rsidRPr="00456512">
        <w:rPr>
          <w:rFonts w:asciiTheme="minorEastAsia" w:eastAsiaTheme="minorEastAsia" w:hAnsiTheme="minorEastAsia" w:hint="eastAsia"/>
        </w:rPr>
        <w:t>,</w:t>
      </w:r>
      <w:r w:rsidRPr="00456512">
        <w:rPr>
          <w:rFonts w:asciiTheme="minorEastAsia" w:eastAsiaTheme="minorEastAsia" w:hAnsiTheme="minorEastAsia"/>
          <w:szCs w:val="20"/>
        </w:rPr>
        <w:t>000</w:t>
      </w:r>
      <w:r w:rsidRPr="00456512">
        <w:rPr>
          <w:rFonts w:asciiTheme="minorEastAsia" w:eastAsiaTheme="minorEastAsia" w:hAnsiTheme="minorEastAsia" w:hint="eastAsia"/>
          <w:szCs w:val="20"/>
        </w:rPr>
        <w:t>.00</w:t>
      </w:r>
      <w:r w:rsidRPr="00456512">
        <w:rPr>
          <w:rFonts w:asciiTheme="minorEastAsia" w:eastAsiaTheme="minorEastAsia" w:hAnsiTheme="minorEastAsia" w:hint="eastAsia"/>
        </w:rPr>
        <w:t>-109.45</w:t>
      </w:r>
      <w:r w:rsidRPr="00456512">
        <w:rPr>
          <w:rFonts w:asciiTheme="minorEastAsia" w:eastAsiaTheme="minorEastAsia" w:hAnsiTheme="minorEastAsia" w:hint="eastAsia"/>
          <w:szCs w:val="20"/>
        </w:rPr>
        <w:t>=10,8</w:t>
      </w:r>
      <w:r w:rsidRPr="00456512">
        <w:rPr>
          <w:rFonts w:asciiTheme="minorEastAsia" w:eastAsiaTheme="minorEastAsia" w:hAnsiTheme="minorEastAsia" w:hint="eastAsia"/>
        </w:rPr>
        <w:t>90</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55</w:t>
      </w:r>
      <w:r w:rsidRPr="00456512">
        <w:rPr>
          <w:rFonts w:asciiTheme="minorEastAsia" w:eastAsiaTheme="minorEastAsia" w:hAnsiTheme="minorEastAsia" w:hint="eastAsia"/>
          <w:szCs w:val="20"/>
        </w:rPr>
        <w:t>元</w:t>
      </w:r>
    </w:p>
    <w:p w:rsidR="001D2E2F" w:rsidRPr="00456512" w:rsidRDefault="001D2E2F" w:rsidP="00084917">
      <w:pPr>
        <w:snapToGrid w:val="0"/>
        <w:spacing w:line="360" w:lineRule="auto"/>
        <w:ind w:firstLine="420"/>
        <w:rPr>
          <w:rFonts w:asciiTheme="minorEastAsia" w:eastAsiaTheme="minorEastAsia" w:hAnsiTheme="minorEastAsia"/>
          <w:szCs w:val="20"/>
        </w:rPr>
      </w:pPr>
      <w:r w:rsidRPr="00456512">
        <w:rPr>
          <w:rFonts w:asciiTheme="minorEastAsia" w:eastAsiaTheme="minorEastAsia" w:hAnsiTheme="minorEastAsia" w:hint="eastAsia"/>
          <w:szCs w:val="20"/>
        </w:rPr>
        <w:t>转入份额=转入金额</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转入基金份额净值=10,8</w:t>
      </w:r>
      <w:r w:rsidRPr="00456512">
        <w:rPr>
          <w:rFonts w:asciiTheme="minorEastAsia" w:eastAsiaTheme="minorEastAsia" w:hAnsiTheme="minorEastAsia" w:hint="eastAsia"/>
        </w:rPr>
        <w:t>90</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55</w:t>
      </w:r>
      <w:r w:rsidRPr="00456512">
        <w:rPr>
          <w:rFonts w:asciiTheme="minorEastAsia" w:eastAsiaTheme="minorEastAsia" w:hAnsiTheme="minorEastAsia"/>
          <w:szCs w:val="20"/>
        </w:rPr>
        <w:t>÷</w:t>
      </w:r>
      <w:r w:rsidRPr="00456512">
        <w:rPr>
          <w:rFonts w:asciiTheme="minorEastAsia" w:eastAsiaTheme="minorEastAsia" w:hAnsiTheme="minorEastAsia" w:hint="eastAsia"/>
          <w:szCs w:val="20"/>
        </w:rPr>
        <w:t>1.020=10,6</w:t>
      </w:r>
      <w:r w:rsidRPr="00456512">
        <w:rPr>
          <w:rFonts w:asciiTheme="minorEastAsia" w:eastAsiaTheme="minorEastAsia" w:hAnsiTheme="minorEastAsia" w:hint="eastAsia"/>
        </w:rPr>
        <w:t>77</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01</w:t>
      </w:r>
      <w:r w:rsidRPr="00456512">
        <w:rPr>
          <w:rFonts w:asciiTheme="minorEastAsia" w:eastAsiaTheme="minorEastAsia" w:hAnsiTheme="minorEastAsia" w:hint="eastAsia"/>
          <w:szCs w:val="20"/>
        </w:rPr>
        <w:t>份</w:t>
      </w:r>
    </w:p>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266"/>
      </w:tblGrid>
      <w:tr w:rsidR="00456512" w:rsidRPr="00456512" w:rsidTr="00A8776C">
        <w:trPr>
          <w:trHeight w:val="413"/>
        </w:trPr>
        <w:tc>
          <w:tcPr>
            <w:tcW w:w="1080"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转出</w:t>
            </w:r>
            <w:r w:rsidRPr="00456512">
              <w:rPr>
                <w:rFonts w:asciiTheme="minorEastAsia" w:eastAsiaTheme="minorEastAsia" w:hAnsiTheme="minorEastAsia"/>
                <w:szCs w:val="20"/>
              </w:rPr>
              <w:t>份额</w:t>
            </w:r>
          </w:p>
        </w:tc>
        <w:tc>
          <w:tcPr>
            <w:tcW w:w="900"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转出</w:t>
            </w:r>
            <w:r w:rsidRPr="00456512">
              <w:rPr>
                <w:rFonts w:asciiTheme="minorEastAsia" w:eastAsiaTheme="minorEastAsia" w:hAnsiTheme="minorEastAsia"/>
                <w:szCs w:val="20"/>
              </w:rPr>
              <w:t>基金</w:t>
            </w:r>
            <w:r w:rsidRPr="00456512">
              <w:rPr>
                <w:rFonts w:asciiTheme="minorEastAsia" w:eastAsiaTheme="minorEastAsia" w:hAnsiTheme="minorEastAsia" w:hint="eastAsia"/>
                <w:szCs w:val="20"/>
              </w:rPr>
              <w:t>份额</w:t>
            </w:r>
            <w:r w:rsidRPr="00456512">
              <w:rPr>
                <w:rFonts w:asciiTheme="minorEastAsia" w:eastAsiaTheme="minorEastAsia" w:hAnsiTheme="minorEastAsia"/>
                <w:szCs w:val="20"/>
              </w:rPr>
              <w:t>净值</w:t>
            </w:r>
          </w:p>
        </w:tc>
        <w:tc>
          <w:tcPr>
            <w:tcW w:w="1440"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转换金额</w:t>
            </w:r>
          </w:p>
        </w:tc>
        <w:tc>
          <w:tcPr>
            <w:tcW w:w="2340" w:type="dxa"/>
            <w:gridSpan w:val="2"/>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转换费</w:t>
            </w:r>
          </w:p>
        </w:tc>
        <w:tc>
          <w:tcPr>
            <w:tcW w:w="1440"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转入金额</w:t>
            </w:r>
          </w:p>
        </w:tc>
        <w:tc>
          <w:tcPr>
            <w:tcW w:w="1185"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转入</w:t>
            </w:r>
            <w:r w:rsidRPr="00456512">
              <w:rPr>
                <w:rFonts w:asciiTheme="minorEastAsia" w:eastAsiaTheme="minorEastAsia" w:hAnsiTheme="minorEastAsia"/>
                <w:szCs w:val="20"/>
              </w:rPr>
              <w:t>基金</w:t>
            </w:r>
            <w:r w:rsidRPr="00456512">
              <w:rPr>
                <w:rFonts w:asciiTheme="minorEastAsia" w:eastAsiaTheme="minorEastAsia" w:hAnsiTheme="minorEastAsia" w:hint="eastAsia"/>
                <w:szCs w:val="20"/>
              </w:rPr>
              <w:t>份额</w:t>
            </w:r>
            <w:r w:rsidRPr="00456512">
              <w:rPr>
                <w:rFonts w:asciiTheme="minorEastAsia" w:eastAsiaTheme="minorEastAsia" w:hAnsiTheme="minorEastAsia"/>
                <w:szCs w:val="20"/>
              </w:rPr>
              <w:t>净值</w:t>
            </w:r>
          </w:p>
        </w:tc>
        <w:tc>
          <w:tcPr>
            <w:tcW w:w="1266" w:type="dxa"/>
            <w:vMerge w:val="restart"/>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转入份额</w:t>
            </w:r>
          </w:p>
        </w:tc>
      </w:tr>
      <w:tr w:rsidR="00456512" w:rsidRPr="00456512" w:rsidTr="00A8776C">
        <w:trPr>
          <w:trHeight w:val="412"/>
        </w:trPr>
        <w:tc>
          <w:tcPr>
            <w:tcW w:w="1080"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c>
          <w:tcPr>
            <w:tcW w:w="900"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c>
          <w:tcPr>
            <w:tcW w:w="1440"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c>
          <w:tcPr>
            <w:tcW w:w="126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转出基金</w:t>
            </w:r>
            <w:r w:rsidRPr="00456512">
              <w:rPr>
                <w:rFonts w:asciiTheme="minorEastAsia" w:eastAsiaTheme="minorEastAsia" w:hAnsiTheme="minorEastAsia"/>
                <w:szCs w:val="20"/>
              </w:rPr>
              <w:t>赎回费</w:t>
            </w:r>
          </w:p>
        </w:tc>
        <w:tc>
          <w:tcPr>
            <w:tcW w:w="108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申购</w:t>
            </w:r>
            <w:r w:rsidRPr="00456512">
              <w:rPr>
                <w:rFonts w:asciiTheme="minorEastAsia" w:eastAsiaTheme="minorEastAsia" w:hAnsiTheme="minorEastAsia"/>
                <w:szCs w:val="20"/>
              </w:rPr>
              <w:t>补差费</w:t>
            </w:r>
          </w:p>
        </w:tc>
        <w:tc>
          <w:tcPr>
            <w:tcW w:w="1440"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c>
          <w:tcPr>
            <w:tcW w:w="1185"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c>
          <w:tcPr>
            <w:tcW w:w="1266" w:type="dxa"/>
            <w:vMerge/>
          </w:tcPr>
          <w:p w:rsidR="001D2E2F" w:rsidRPr="00456512" w:rsidRDefault="001D2E2F" w:rsidP="00084917">
            <w:pPr>
              <w:snapToGrid w:val="0"/>
              <w:spacing w:line="360" w:lineRule="auto"/>
              <w:ind w:firstLine="420"/>
              <w:rPr>
                <w:rFonts w:asciiTheme="minorEastAsia" w:eastAsiaTheme="minorEastAsia" w:hAnsiTheme="minorEastAsia"/>
                <w:szCs w:val="20"/>
              </w:rPr>
            </w:pPr>
          </w:p>
        </w:tc>
      </w:tr>
      <w:tr w:rsidR="00456512" w:rsidRPr="00456512" w:rsidTr="00A8776C">
        <w:tc>
          <w:tcPr>
            <w:tcW w:w="108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szCs w:val="20"/>
              </w:rPr>
              <w:t>10,000</w:t>
            </w:r>
            <w:r w:rsidRPr="00456512">
              <w:rPr>
                <w:rFonts w:asciiTheme="minorEastAsia" w:eastAsiaTheme="minorEastAsia" w:hAnsiTheme="minorEastAsia" w:hint="eastAsia"/>
                <w:szCs w:val="20"/>
              </w:rPr>
              <w:t>份</w:t>
            </w:r>
          </w:p>
        </w:tc>
        <w:tc>
          <w:tcPr>
            <w:tcW w:w="90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szCs w:val="20"/>
              </w:rPr>
              <w:t>1.</w:t>
            </w:r>
            <w:r w:rsidRPr="00456512">
              <w:rPr>
                <w:rFonts w:asciiTheme="minorEastAsia" w:eastAsiaTheme="minorEastAsia" w:hAnsiTheme="minorEastAsia" w:hint="eastAsia"/>
                <w:szCs w:val="20"/>
              </w:rPr>
              <w:t>1</w:t>
            </w:r>
            <w:r w:rsidRPr="00456512">
              <w:rPr>
                <w:rFonts w:asciiTheme="minorEastAsia" w:eastAsiaTheme="minorEastAsia" w:hAnsiTheme="minorEastAsia"/>
                <w:szCs w:val="20"/>
              </w:rPr>
              <w:t>0</w:t>
            </w:r>
            <w:r w:rsidRPr="00456512">
              <w:rPr>
                <w:rFonts w:asciiTheme="minorEastAsia" w:eastAsiaTheme="minorEastAsia" w:hAnsiTheme="minorEastAsia" w:hint="eastAsia"/>
                <w:szCs w:val="20"/>
              </w:rPr>
              <w:t>00</w:t>
            </w:r>
            <w:r w:rsidRPr="00456512">
              <w:rPr>
                <w:rFonts w:asciiTheme="minorEastAsia" w:eastAsiaTheme="minorEastAsia" w:hAnsiTheme="minorEastAsia"/>
                <w:szCs w:val="20"/>
              </w:rPr>
              <w:t>元</w:t>
            </w:r>
          </w:p>
        </w:tc>
        <w:tc>
          <w:tcPr>
            <w:tcW w:w="144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11,000.00元</w:t>
            </w:r>
          </w:p>
        </w:tc>
        <w:tc>
          <w:tcPr>
            <w:tcW w:w="126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55.00元</w:t>
            </w:r>
          </w:p>
        </w:tc>
        <w:tc>
          <w:tcPr>
            <w:tcW w:w="108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rPr>
              <w:t>54.45</w:t>
            </w:r>
            <w:r w:rsidRPr="00456512">
              <w:rPr>
                <w:rFonts w:asciiTheme="minorEastAsia" w:eastAsiaTheme="minorEastAsia" w:hAnsiTheme="minorEastAsia" w:hint="eastAsia"/>
                <w:szCs w:val="20"/>
              </w:rPr>
              <w:t>元</w:t>
            </w:r>
          </w:p>
        </w:tc>
        <w:tc>
          <w:tcPr>
            <w:tcW w:w="1440"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10,8</w:t>
            </w:r>
            <w:r w:rsidRPr="00456512">
              <w:rPr>
                <w:rFonts w:asciiTheme="minorEastAsia" w:eastAsiaTheme="minorEastAsia" w:hAnsiTheme="minorEastAsia" w:hint="eastAsia"/>
              </w:rPr>
              <w:t>90</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55</w:t>
            </w:r>
            <w:r w:rsidRPr="00456512">
              <w:rPr>
                <w:rFonts w:asciiTheme="minorEastAsia" w:eastAsiaTheme="minorEastAsia" w:hAnsiTheme="minorEastAsia" w:hint="eastAsia"/>
                <w:szCs w:val="20"/>
              </w:rPr>
              <w:t>元</w:t>
            </w:r>
          </w:p>
        </w:tc>
        <w:tc>
          <w:tcPr>
            <w:tcW w:w="1185"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1.020元</w:t>
            </w:r>
          </w:p>
        </w:tc>
        <w:tc>
          <w:tcPr>
            <w:tcW w:w="1266" w:type="dxa"/>
          </w:tcPr>
          <w:p w:rsidR="001D2E2F" w:rsidRPr="00456512" w:rsidRDefault="001D2E2F" w:rsidP="00084917">
            <w:pPr>
              <w:snapToGrid w:val="0"/>
              <w:spacing w:line="360" w:lineRule="auto"/>
              <w:ind w:leftChars="-45" w:left="-94" w:rightChars="-57" w:right="-120"/>
              <w:jc w:val="center"/>
              <w:rPr>
                <w:rFonts w:asciiTheme="minorEastAsia" w:eastAsiaTheme="minorEastAsia" w:hAnsiTheme="minorEastAsia"/>
                <w:szCs w:val="20"/>
              </w:rPr>
            </w:pPr>
            <w:r w:rsidRPr="00456512">
              <w:rPr>
                <w:rFonts w:asciiTheme="minorEastAsia" w:eastAsiaTheme="minorEastAsia" w:hAnsiTheme="minorEastAsia" w:hint="eastAsia"/>
                <w:szCs w:val="20"/>
              </w:rPr>
              <w:t>10,6</w:t>
            </w:r>
            <w:r w:rsidRPr="00456512">
              <w:rPr>
                <w:rFonts w:asciiTheme="minorEastAsia" w:eastAsiaTheme="minorEastAsia" w:hAnsiTheme="minorEastAsia" w:hint="eastAsia"/>
              </w:rPr>
              <w:t>77</w:t>
            </w:r>
            <w:r w:rsidRPr="00456512">
              <w:rPr>
                <w:rFonts w:asciiTheme="minorEastAsia" w:eastAsiaTheme="minorEastAsia" w:hAnsiTheme="minorEastAsia" w:hint="eastAsia"/>
                <w:szCs w:val="20"/>
              </w:rPr>
              <w:t>.</w:t>
            </w:r>
            <w:r w:rsidRPr="00456512">
              <w:rPr>
                <w:rFonts w:asciiTheme="minorEastAsia" w:eastAsiaTheme="minorEastAsia" w:hAnsiTheme="minorEastAsia" w:hint="eastAsia"/>
              </w:rPr>
              <w:t>01</w:t>
            </w:r>
            <w:r w:rsidRPr="00456512">
              <w:rPr>
                <w:rFonts w:asciiTheme="minorEastAsia" w:eastAsiaTheme="minorEastAsia" w:hAnsiTheme="minorEastAsia" w:hint="eastAsia"/>
                <w:szCs w:val="20"/>
              </w:rPr>
              <w:t>份</w:t>
            </w:r>
          </w:p>
        </w:tc>
      </w:tr>
    </w:tbl>
    <w:p w:rsidR="00083CDE" w:rsidRPr="00456512" w:rsidRDefault="00083CDE" w:rsidP="00083CDE">
      <w:pPr>
        <w:adjustRightInd w:val="0"/>
        <w:snapToGrid w:val="0"/>
        <w:spacing w:line="360" w:lineRule="auto"/>
        <w:ind w:left="-420" w:firstLine="420"/>
        <w:rPr>
          <w:rFonts w:asciiTheme="minorEastAsia" w:eastAsiaTheme="minorEastAsia" w:hAnsiTheme="minorEastAsia"/>
        </w:rPr>
      </w:pPr>
      <w:r w:rsidRPr="00456512">
        <w:rPr>
          <w:rFonts w:asciiTheme="minorEastAsia" w:eastAsiaTheme="minorEastAsia" w:hAnsiTheme="minorEastAsia" w:hint="eastAsia"/>
        </w:rPr>
        <w:t>注：本基金转出至易方达平稳增长混合、易方达策略成长混合、易方达上证</w:t>
      </w:r>
      <w:r w:rsidRPr="00456512">
        <w:rPr>
          <w:rFonts w:asciiTheme="minorEastAsia" w:eastAsiaTheme="minorEastAsia" w:hAnsiTheme="minorEastAsia"/>
        </w:rPr>
        <w:t>50</w:t>
      </w:r>
      <w:r w:rsidRPr="00456512">
        <w:rPr>
          <w:rFonts w:asciiTheme="minorEastAsia" w:eastAsiaTheme="minorEastAsia" w:hAnsiTheme="minorEastAsia" w:hint="eastAsia"/>
        </w:rPr>
        <w:t>指数、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456512">
        <w:rPr>
          <w:rFonts w:asciiTheme="minorEastAsia" w:eastAsiaTheme="minorEastAsia" w:hAnsiTheme="minorEastAsia"/>
        </w:rPr>
        <w:t>1</w:t>
      </w:r>
      <w:r w:rsidRPr="00456512">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456512">
        <w:rPr>
          <w:rFonts w:asciiTheme="minorEastAsia" w:eastAsiaTheme="minorEastAsia" w:hAnsiTheme="minorEastAsia"/>
        </w:rPr>
        <w:t>1</w:t>
      </w:r>
      <w:r w:rsidRPr="00456512">
        <w:rPr>
          <w:rFonts w:asciiTheme="minorEastAsia" w:eastAsiaTheme="minorEastAsia" w:hAnsiTheme="minorEastAsia" w:hint="eastAsia"/>
        </w:rPr>
        <w:t>年定期债券、易方达黄金</w:t>
      </w:r>
      <w:r w:rsidRPr="00456512">
        <w:rPr>
          <w:rFonts w:asciiTheme="minorEastAsia" w:eastAsiaTheme="minorEastAsia" w:hAnsiTheme="minorEastAsia"/>
        </w:rPr>
        <w:t>ETF</w:t>
      </w:r>
      <w:r w:rsidRPr="00456512">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456512">
        <w:rPr>
          <w:rFonts w:asciiTheme="minorEastAsia" w:eastAsiaTheme="minorEastAsia" w:hAnsiTheme="minorEastAsia"/>
        </w:rPr>
        <w:t>300</w:t>
      </w:r>
      <w:r w:rsidRPr="00456512">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456512">
        <w:rPr>
          <w:rFonts w:asciiTheme="minorEastAsia" w:eastAsiaTheme="minorEastAsia" w:hAnsiTheme="minorEastAsia"/>
        </w:rPr>
        <w:t>300</w:t>
      </w:r>
      <w:r w:rsidRPr="00456512">
        <w:rPr>
          <w:rFonts w:asciiTheme="minorEastAsia" w:eastAsiaTheme="minorEastAsia" w:hAnsiTheme="minorEastAsia" w:hint="eastAsia"/>
        </w:rPr>
        <w:t>医药</w:t>
      </w:r>
      <w:r w:rsidRPr="00456512">
        <w:rPr>
          <w:rFonts w:asciiTheme="minorEastAsia" w:eastAsiaTheme="minorEastAsia" w:hAnsiTheme="minorEastAsia"/>
        </w:rPr>
        <w:t>ETF</w:t>
      </w:r>
      <w:r w:rsidRPr="00456512">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456512">
        <w:rPr>
          <w:rFonts w:asciiTheme="minorEastAsia" w:eastAsiaTheme="minorEastAsia" w:hAnsiTheme="minorEastAsia"/>
        </w:rPr>
        <w:t>3-5</w:t>
      </w:r>
      <w:r w:rsidRPr="00456512">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456512">
        <w:rPr>
          <w:rFonts w:asciiTheme="minorEastAsia" w:eastAsiaTheme="minorEastAsia" w:hAnsiTheme="minorEastAsia"/>
        </w:rPr>
        <w:t>6</w:t>
      </w:r>
      <w:r w:rsidRPr="00456512">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456512">
        <w:rPr>
          <w:rFonts w:asciiTheme="minorEastAsia" w:eastAsiaTheme="minorEastAsia" w:hAnsiTheme="minorEastAsia"/>
        </w:rPr>
        <w:t>7-10</w:t>
      </w:r>
      <w:r w:rsidRPr="00456512">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456512">
        <w:rPr>
          <w:rFonts w:asciiTheme="minorEastAsia" w:eastAsiaTheme="minorEastAsia" w:hAnsiTheme="minorEastAsia"/>
        </w:rPr>
        <w:t>MSCI</w:t>
      </w:r>
      <w:r w:rsidRPr="00456512">
        <w:rPr>
          <w:rFonts w:asciiTheme="minorEastAsia" w:eastAsiaTheme="minorEastAsia" w:hAnsiTheme="minorEastAsia" w:hint="eastAsia"/>
        </w:rPr>
        <w:t>中国</w:t>
      </w:r>
      <w:r w:rsidRPr="00456512">
        <w:rPr>
          <w:rFonts w:asciiTheme="minorEastAsia" w:eastAsiaTheme="minorEastAsia" w:hAnsiTheme="minorEastAsia"/>
        </w:rPr>
        <w:t>A</w:t>
      </w:r>
      <w:r w:rsidRPr="00456512">
        <w:rPr>
          <w:rFonts w:asciiTheme="minorEastAsia" w:eastAsiaTheme="minorEastAsia" w:hAnsiTheme="minorEastAsia" w:hint="eastAsia"/>
        </w:rPr>
        <w:t>股国际通</w:t>
      </w:r>
      <w:r w:rsidRPr="00456512">
        <w:rPr>
          <w:rFonts w:asciiTheme="minorEastAsia" w:eastAsiaTheme="minorEastAsia" w:hAnsiTheme="minorEastAsia"/>
        </w:rPr>
        <w:t>ETF</w:t>
      </w:r>
      <w:r w:rsidRPr="00456512">
        <w:rPr>
          <w:rFonts w:asciiTheme="minorEastAsia" w:eastAsiaTheme="minorEastAsia" w:hAnsiTheme="minorEastAsia" w:hint="eastAsia"/>
        </w:rPr>
        <w:t>联接发起式、易方达中证</w:t>
      </w:r>
      <w:r w:rsidRPr="00456512">
        <w:rPr>
          <w:rFonts w:asciiTheme="minorEastAsia" w:eastAsiaTheme="minorEastAsia" w:hAnsiTheme="minorEastAsia"/>
        </w:rPr>
        <w:t>500ETF</w:t>
      </w:r>
      <w:r w:rsidRPr="00456512">
        <w:rPr>
          <w:rFonts w:asciiTheme="minorEastAsia" w:eastAsiaTheme="minorEastAsia" w:hAnsiTheme="minorEastAsia" w:hint="eastAsia"/>
        </w:rPr>
        <w:t>联接发起式、易方达恒利</w:t>
      </w:r>
      <w:r w:rsidRPr="00456512">
        <w:rPr>
          <w:rFonts w:asciiTheme="minorEastAsia" w:eastAsiaTheme="minorEastAsia" w:hAnsiTheme="minorEastAsia"/>
        </w:rPr>
        <w:t>3</w:t>
      </w:r>
      <w:r w:rsidRPr="00456512">
        <w:rPr>
          <w:rFonts w:asciiTheme="minorEastAsia" w:eastAsiaTheme="minorEastAsia" w:hAnsiTheme="minorEastAsia" w:hint="eastAsia"/>
        </w:rPr>
        <w:t>个月定开债券发起式、易方达中债</w:t>
      </w:r>
      <w:r w:rsidRPr="00456512">
        <w:rPr>
          <w:rFonts w:asciiTheme="minorEastAsia" w:eastAsiaTheme="minorEastAsia" w:hAnsiTheme="minorEastAsia"/>
        </w:rPr>
        <w:t>1-3</w:t>
      </w:r>
      <w:r w:rsidRPr="00456512">
        <w:rPr>
          <w:rFonts w:asciiTheme="minorEastAsia" w:eastAsiaTheme="minorEastAsia" w:hAnsiTheme="minorEastAsia" w:hint="eastAsia"/>
        </w:rPr>
        <w:t>年国开行债券指数、易方达中债</w:t>
      </w:r>
      <w:r w:rsidRPr="00456512">
        <w:rPr>
          <w:rFonts w:asciiTheme="minorEastAsia" w:eastAsiaTheme="minorEastAsia" w:hAnsiTheme="minorEastAsia"/>
        </w:rPr>
        <w:t>3-5</w:t>
      </w:r>
      <w:r w:rsidRPr="00456512">
        <w:rPr>
          <w:rFonts w:asciiTheme="minorEastAsia" w:eastAsiaTheme="minorEastAsia" w:hAnsiTheme="minorEastAsia" w:hint="eastAsia"/>
        </w:rPr>
        <w:t>年国开行债券指数、易方达中债</w:t>
      </w:r>
      <w:r w:rsidRPr="00456512">
        <w:rPr>
          <w:rFonts w:asciiTheme="minorEastAsia" w:eastAsiaTheme="minorEastAsia" w:hAnsiTheme="minorEastAsia"/>
        </w:rPr>
        <w:t>1-3</w:t>
      </w:r>
      <w:r w:rsidRPr="00456512">
        <w:rPr>
          <w:rFonts w:asciiTheme="minorEastAsia" w:eastAsiaTheme="minorEastAsia" w:hAnsiTheme="minorEastAsia" w:hint="eastAsia"/>
        </w:rPr>
        <w:t>年政金债指数、易方达中债</w:t>
      </w:r>
      <w:r w:rsidRPr="00456512">
        <w:rPr>
          <w:rFonts w:asciiTheme="minorEastAsia" w:eastAsiaTheme="minorEastAsia" w:hAnsiTheme="minorEastAsia"/>
        </w:rPr>
        <w:t>3-5</w:t>
      </w:r>
      <w:r w:rsidRPr="00456512">
        <w:rPr>
          <w:rFonts w:asciiTheme="minorEastAsia" w:eastAsiaTheme="minorEastAsia" w:hAnsiTheme="minorEastAsia" w:hint="eastAsia"/>
        </w:rPr>
        <w:t>年政金债指数、易方达上证</w:t>
      </w:r>
      <w:r w:rsidRPr="00456512">
        <w:rPr>
          <w:rFonts w:asciiTheme="minorEastAsia" w:eastAsiaTheme="minorEastAsia" w:hAnsiTheme="minorEastAsia"/>
        </w:rPr>
        <w:t>50ETF</w:t>
      </w:r>
      <w:r w:rsidRPr="00456512">
        <w:rPr>
          <w:rFonts w:asciiTheme="minorEastAsia" w:eastAsiaTheme="minorEastAsia" w:hAnsiTheme="minorEastAsia" w:hint="eastAsia"/>
        </w:rPr>
        <w:t>联接发起式、易方达</w:t>
      </w:r>
      <w:r w:rsidRPr="00456512">
        <w:rPr>
          <w:rFonts w:asciiTheme="minorEastAsia" w:eastAsiaTheme="minorEastAsia" w:hAnsiTheme="minorEastAsia"/>
        </w:rPr>
        <w:t>ESG</w:t>
      </w:r>
      <w:r w:rsidRPr="00456512">
        <w:rPr>
          <w:rFonts w:asciiTheme="minorEastAsia" w:eastAsiaTheme="minorEastAsia" w:hAnsiTheme="minorEastAsia" w:hint="eastAsia"/>
        </w:rPr>
        <w:t>责任投资股票发起式、易方达中证</w:t>
      </w:r>
      <w:r w:rsidRPr="00456512">
        <w:rPr>
          <w:rFonts w:asciiTheme="minorEastAsia" w:eastAsiaTheme="minorEastAsia" w:hAnsiTheme="minorEastAsia"/>
        </w:rPr>
        <w:t>800ETF</w:t>
      </w:r>
      <w:r w:rsidRPr="00456512">
        <w:rPr>
          <w:rFonts w:asciiTheme="minorEastAsia" w:eastAsiaTheme="minorEastAsia" w:hAnsiTheme="minorEastAsia" w:hint="eastAsia"/>
        </w:rPr>
        <w:t>联接发起式、易方达价值精选混合、易方达价值成长混合、易方达中小盘混合、易方达科汇灵活配置混合、易</w:t>
      </w:r>
      <w:r w:rsidRPr="00456512">
        <w:rPr>
          <w:rFonts w:asciiTheme="minorEastAsia" w:eastAsiaTheme="minorEastAsia" w:hAnsiTheme="minorEastAsia" w:hint="eastAsia"/>
        </w:rPr>
        <w:lastRenderedPageBreak/>
        <w:t>方达科翔混合、易方达行业领先混合、易方达增强回报债券、易方达深证</w:t>
      </w:r>
      <w:r w:rsidRPr="00456512">
        <w:rPr>
          <w:rFonts w:asciiTheme="minorEastAsia" w:eastAsiaTheme="minorEastAsia" w:hAnsiTheme="minorEastAsia"/>
        </w:rPr>
        <w:t>100ETF</w:t>
      </w:r>
      <w:r w:rsidRPr="00456512">
        <w:rPr>
          <w:rFonts w:asciiTheme="minorEastAsia" w:eastAsiaTheme="minorEastAsia" w:hAnsiTheme="minorEastAsia" w:hint="eastAsia"/>
        </w:rPr>
        <w:t>联接、易方达沪深</w:t>
      </w:r>
      <w:r w:rsidRPr="00456512">
        <w:rPr>
          <w:rFonts w:asciiTheme="minorEastAsia" w:eastAsiaTheme="minorEastAsia" w:hAnsiTheme="minorEastAsia"/>
        </w:rPr>
        <w:t>300ETF</w:t>
      </w:r>
      <w:r w:rsidRPr="00456512">
        <w:rPr>
          <w:rFonts w:asciiTheme="minorEastAsia" w:eastAsiaTheme="minorEastAsia" w:hAnsiTheme="minorEastAsia" w:hint="eastAsia"/>
        </w:rPr>
        <w:t>发起式联接、易方达上证中盘</w:t>
      </w:r>
      <w:r w:rsidRPr="00456512">
        <w:rPr>
          <w:rFonts w:asciiTheme="minorEastAsia" w:eastAsiaTheme="minorEastAsia" w:hAnsiTheme="minorEastAsia"/>
        </w:rPr>
        <w:t>ETF</w:t>
      </w:r>
      <w:r w:rsidRPr="00456512">
        <w:rPr>
          <w:rFonts w:asciiTheme="minorEastAsia" w:eastAsiaTheme="minorEastAsia" w:hAnsiTheme="minorEastAsia" w:hint="eastAsia"/>
        </w:rPr>
        <w:t>联接、易方达消费行业股票、易方达医疗保健行业混合、易方达资源行业混合、易方达创业板</w:t>
      </w:r>
      <w:r w:rsidRPr="00456512">
        <w:rPr>
          <w:rFonts w:asciiTheme="minorEastAsia" w:eastAsiaTheme="minorEastAsia" w:hAnsiTheme="minorEastAsia"/>
        </w:rPr>
        <w:t>ETF</w:t>
      </w:r>
      <w:r w:rsidRPr="00456512">
        <w:rPr>
          <w:rFonts w:asciiTheme="minorEastAsia" w:eastAsiaTheme="minorEastAsia" w:hAnsiTheme="minorEastAsia" w:hint="eastAsia"/>
        </w:rPr>
        <w:t>联接、易方达安心回报债券、易方达科讯混合、易方达沪深</w:t>
      </w:r>
      <w:r w:rsidRPr="00456512">
        <w:rPr>
          <w:rFonts w:asciiTheme="minorEastAsia" w:eastAsiaTheme="minorEastAsia" w:hAnsiTheme="minorEastAsia"/>
        </w:rPr>
        <w:t>300</w:t>
      </w:r>
      <w:r w:rsidRPr="00456512">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024AB3" w:rsidRPr="00456512">
        <w:rPr>
          <w:rFonts w:asciiTheme="minorEastAsia" w:eastAsiaTheme="minorEastAsia" w:hAnsiTheme="minorEastAsia" w:hint="eastAsia"/>
        </w:rPr>
        <w:t>、易方达易理财货币</w:t>
      </w:r>
      <w:r w:rsidRPr="00456512">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1D2E2F" w:rsidRPr="00456512" w:rsidRDefault="00C64778"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T日的基金份额净值在当天收市后计算，并在T+1日内公告。遇特殊情况，可以适当延迟计算或公告。其计算公式为：</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基金份额净值=计算日基金资产净值÷计算日基金总份额</w:t>
      </w:r>
    </w:p>
    <w:p w:rsidR="001D2E2F" w:rsidRPr="00456512" w:rsidRDefault="00C64778" w:rsidP="00084917">
      <w:p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ab/>
        <w:t>5、</w:t>
      </w:r>
      <w:r w:rsidR="001D2E2F" w:rsidRPr="00456512">
        <w:rPr>
          <w:rFonts w:asciiTheme="minorEastAsia" w:eastAsiaTheme="minorEastAsia" w:hAnsiTheme="minorEastAsia" w:hint="eastAsia"/>
        </w:rPr>
        <w:t>本基金的申购费由申购人承担，不计入基金财产；本基金的赎回费由赎回人承担，</w:t>
      </w:r>
      <w:r w:rsidR="00117EDD" w:rsidRPr="00456512">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001D2E2F" w:rsidRPr="00456512">
        <w:rPr>
          <w:rFonts w:asciiTheme="minorEastAsia" w:eastAsiaTheme="minorEastAsia" w:hAnsiTheme="minorEastAsia" w:hint="eastAsia"/>
        </w:rPr>
        <w:t>余额为注册登记费和其他手续费。本基金的转换费用由投资者承担，</w:t>
      </w:r>
      <w:r w:rsidR="001D2E2F" w:rsidRPr="00456512">
        <w:rPr>
          <w:rFonts w:asciiTheme="minorEastAsia" w:eastAsiaTheme="minorEastAsia" w:hAnsiTheme="minorEastAsia" w:hint="eastAsia"/>
          <w:szCs w:val="21"/>
        </w:rPr>
        <w:t>基金转换费用由转出基金赎回费用和基金申购补差费用构成，其中转出基金赎回费</w:t>
      </w:r>
      <w:r w:rsidR="005B3411" w:rsidRPr="00456512">
        <w:rPr>
          <w:rFonts w:asciiTheme="minorEastAsia" w:eastAsiaTheme="minorEastAsia" w:hAnsiTheme="minorEastAsia" w:hint="eastAsia"/>
        </w:rPr>
        <w:t>按照</w:t>
      </w:r>
      <w:r w:rsidR="00E5015A" w:rsidRPr="00456512">
        <w:rPr>
          <w:rFonts w:asciiTheme="minorEastAsia" w:eastAsiaTheme="minorEastAsia" w:hAnsiTheme="minorEastAsia" w:hint="eastAsia"/>
        </w:rPr>
        <w:t>各</w:t>
      </w:r>
      <w:r w:rsidR="00E5015A" w:rsidRPr="00456512">
        <w:rPr>
          <w:rFonts w:asciiTheme="minorEastAsia" w:eastAsiaTheme="minorEastAsia" w:hAnsiTheme="minorEastAsia"/>
        </w:rPr>
        <w:t>基金的</w:t>
      </w:r>
      <w:r w:rsidR="005B3411" w:rsidRPr="00456512">
        <w:rPr>
          <w:rFonts w:asciiTheme="minorEastAsia" w:eastAsiaTheme="minorEastAsia" w:hAnsiTheme="minorEastAsia" w:hint="eastAsia"/>
        </w:rPr>
        <w:t>基金合同、更新的招募说明书及最新的相关公告约定的比例归入基金财产</w:t>
      </w:r>
      <w:r w:rsidR="001D2E2F" w:rsidRPr="00456512">
        <w:rPr>
          <w:rFonts w:asciiTheme="minorEastAsia" w:eastAsiaTheme="minorEastAsia" w:hAnsiTheme="minorEastAsia" w:hint="eastAsia"/>
          <w:szCs w:val="21"/>
        </w:rPr>
        <w:t>，其余部分用于支付注册登记费等相关手续费</w:t>
      </w:r>
      <w:r w:rsidR="00FA72AE" w:rsidRPr="00456512">
        <w:rPr>
          <w:rFonts w:asciiTheme="minorEastAsia" w:eastAsiaTheme="minorEastAsia" w:hAnsiTheme="minorEastAsia" w:hint="eastAsia"/>
          <w:szCs w:val="21"/>
        </w:rPr>
        <w:t>，</w:t>
      </w:r>
      <w:r w:rsidR="001D2E2F" w:rsidRPr="00456512">
        <w:rPr>
          <w:rFonts w:asciiTheme="minorEastAsia" w:eastAsiaTheme="minorEastAsia" w:hAnsiTheme="minorEastAsia"/>
          <w:szCs w:val="21"/>
        </w:rPr>
        <w:t>转换费率</w:t>
      </w:r>
      <w:r w:rsidR="001D2E2F" w:rsidRPr="00456512">
        <w:rPr>
          <w:rFonts w:asciiTheme="minorEastAsia" w:eastAsiaTheme="minorEastAsia" w:hAnsiTheme="minorEastAsia" w:hint="eastAsia"/>
          <w:szCs w:val="21"/>
        </w:rPr>
        <w:t>详见相关公告。</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szCs w:val="21"/>
        </w:rPr>
      </w:pPr>
      <w:bookmarkStart w:id="36" w:name="_Toc30161780"/>
      <w:r w:rsidRPr="00456512">
        <w:rPr>
          <w:rFonts w:asciiTheme="minorEastAsia" w:eastAsiaTheme="minorEastAsia" w:hAnsiTheme="minorEastAsia" w:hint="eastAsia"/>
          <w:bCs/>
        </w:rPr>
        <w:t>（八）</w:t>
      </w:r>
      <w:r w:rsidRPr="00456512">
        <w:rPr>
          <w:rFonts w:asciiTheme="minorEastAsia" w:eastAsiaTheme="minorEastAsia" w:hAnsiTheme="minorEastAsia" w:hint="eastAsia"/>
          <w:bCs/>
          <w:szCs w:val="20"/>
        </w:rPr>
        <w:t>申购、赎回和转换的注册登记</w:t>
      </w:r>
      <w:bookmarkEnd w:id="36"/>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正常情况下，投资者申购基金份额成功后，基金注册登记机构在T+1工作日为投资者增加权益并办理注册登记手续，投资者自T+2工作日起有权赎回该部分基金份额。</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投资者赎回基金份额成功后，基金注册登记机构在T+1工作日为投资者扣除权益并办理相应的注册登记手续。</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投资者申请基金转换成功后</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基金注册登记机构在T＋1工作日为投资者办理减少转出基金份额、增加转入基金份额的权益登记手续</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一般情况下</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投资者自T＋2工作日起有权赎回转入部分的基金</w:t>
      </w:r>
      <w:r w:rsidR="001D2E2F" w:rsidRPr="00456512">
        <w:rPr>
          <w:rFonts w:asciiTheme="minorEastAsia" w:eastAsiaTheme="minorEastAsia" w:hAnsiTheme="minorEastAsia" w:hint="eastAsia"/>
        </w:rPr>
        <w:t>份额</w:t>
      </w:r>
      <w:r w:rsidR="001D2E2F" w:rsidRPr="00456512">
        <w:rPr>
          <w:rFonts w:asciiTheme="minorEastAsia" w:eastAsiaTheme="minorEastAsia" w:hAnsiTheme="minorEastAsia"/>
        </w:rPr>
        <w:t>。</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基金管理人可在法律法规允许的范围内，对上述注册登记办理时间进行调整，并最迟于开始实施前三个工作日予以公告。</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7" w:name="_Toc30161781"/>
      <w:r w:rsidRPr="00456512">
        <w:rPr>
          <w:rFonts w:asciiTheme="minorEastAsia" w:eastAsiaTheme="minorEastAsia" w:hAnsiTheme="minorEastAsia" w:hint="eastAsia"/>
          <w:bCs/>
        </w:rPr>
        <w:t>（九）</w:t>
      </w:r>
      <w:r w:rsidRPr="00456512">
        <w:rPr>
          <w:rFonts w:asciiTheme="minorEastAsia" w:eastAsiaTheme="minorEastAsia" w:hAnsiTheme="minorEastAsia" w:hint="eastAsia"/>
          <w:bCs/>
          <w:szCs w:val="20"/>
        </w:rPr>
        <w:t>巨额赎回的认定及处理方式</w:t>
      </w:r>
      <w:bookmarkEnd w:id="37"/>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巨额赎回的认定</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szCs w:val="21"/>
        </w:rPr>
        <w:t>单个开放日中</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本基金的基金</w:t>
      </w:r>
      <w:r w:rsidRPr="00456512">
        <w:rPr>
          <w:rFonts w:asciiTheme="minorEastAsia" w:eastAsiaTheme="minorEastAsia" w:hAnsiTheme="minorEastAsia" w:hint="eastAsia"/>
          <w:szCs w:val="21"/>
        </w:rPr>
        <w:t>份额</w:t>
      </w:r>
      <w:r w:rsidRPr="00456512">
        <w:rPr>
          <w:rFonts w:asciiTheme="minorEastAsia" w:eastAsiaTheme="minorEastAsia" w:hAnsiTheme="minorEastAsia"/>
          <w:szCs w:val="21"/>
        </w:rPr>
        <w:t>净赎回申请(赎回申请总数扣除申购申请总数的余额)</w:t>
      </w:r>
      <w:r w:rsidRPr="00456512">
        <w:rPr>
          <w:rFonts w:asciiTheme="minorEastAsia" w:eastAsiaTheme="minorEastAsia" w:hAnsiTheme="minorEastAsia"/>
          <w:szCs w:val="21"/>
        </w:rPr>
        <w:lastRenderedPageBreak/>
        <w:t>与净转出申请(基金转换出申请总数扣除转换入申请总数后的余额)之和超过前一日基金总份额数的10%</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即认为发生了巨额赎回。</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巨额赎回的处理方式</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当出现巨额赎回时，基金管理人可以根据本基金当时的资产组合状况决定</w:t>
      </w:r>
      <w:r w:rsidRPr="00456512">
        <w:rPr>
          <w:rFonts w:asciiTheme="minorEastAsia" w:eastAsiaTheme="minorEastAsia" w:hAnsiTheme="minorEastAsia"/>
          <w:szCs w:val="21"/>
        </w:rPr>
        <w:t>相应的处理方式：</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rPr>
        <w:t>全额赎回：当基金管理人认为有能力支付投资者的赎回申请时，按正常赎回程序执行。</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rPr>
        <w:t>部分顺延赎回：当基金管理人认为支付投资者的赎回申请有困难或认为支付投资者的赎回申请可能会对该基金的资产净值造成较大波动时</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基金管理人可在当日接受赎回比例不低于该基金总份额的10%的前提下</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对其余赎回申请延期办理。对于当日的赎回申请</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应当按单个账户赎回申请量占赎回申请总量的比例</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确定其当日受理的赎回份额；投资者的赎回申请未能受理部分</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除投资者在提交赎回申请时明确作出不参加顺延下一个开放日赎回的表示外</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将自动顺延至下一个开放日赎回处理。转入下一个开放日的赎回不享有赎回优先权并将以下一个开放日的基金</w:t>
      </w:r>
      <w:r w:rsidR="001D2E2F" w:rsidRPr="00456512">
        <w:rPr>
          <w:rFonts w:asciiTheme="minorEastAsia" w:eastAsiaTheme="minorEastAsia" w:hAnsiTheme="minorEastAsia" w:hint="eastAsia"/>
        </w:rPr>
        <w:t>份额</w:t>
      </w:r>
      <w:r w:rsidR="001D2E2F" w:rsidRPr="00456512">
        <w:rPr>
          <w:rFonts w:asciiTheme="minorEastAsia" w:eastAsiaTheme="minorEastAsia" w:hAnsiTheme="minorEastAsia"/>
        </w:rPr>
        <w:t>净值为准进行计算</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以此类推</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直到其赎回申请全部得到满足为止。投资者在提出赎回申请时也可选择将当日未获受理部分予以撤销。</w:t>
      </w:r>
    </w:p>
    <w:p w:rsidR="00117EDD" w:rsidRPr="00456512" w:rsidRDefault="00117EDD"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kern w:val="0"/>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当发生巨额赎回时</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基金转出与基金赎回具有相同的优先级</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基金管理人可根据基金资产组合情况</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决定全额转出或部分转出</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并且对于基金转出和基金赎回</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将采取相同的比例确认</w:t>
      </w:r>
      <w:r w:rsidR="001D2E2F" w:rsidRPr="00456512">
        <w:rPr>
          <w:rFonts w:asciiTheme="minorEastAsia" w:eastAsiaTheme="minorEastAsia" w:hAnsiTheme="minorEastAsia" w:hint="eastAsia"/>
        </w:rPr>
        <w:t>（另有公告的除外）</w:t>
      </w:r>
      <w:r w:rsidR="001D2E2F" w:rsidRPr="00456512">
        <w:rPr>
          <w:rFonts w:asciiTheme="minorEastAsia" w:eastAsiaTheme="minorEastAsia" w:hAnsiTheme="minorEastAsia"/>
        </w:rPr>
        <w:t>；但基金管理人在当日接受部分转出申请的情况下</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对未确认的转换申请将不予顺延。</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rPr>
        <w:t>当发生巨额赎回并部分顺延赎回或接受部分转换时</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基金管理人应</w:t>
      </w:r>
      <w:r w:rsidR="009779ED" w:rsidRPr="00456512">
        <w:rPr>
          <w:rFonts w:asciiTheme="minorEastAsia" w:eastAsiaTheme="minorEastAsia" w:hAnsiTheme="minorEastAsia" w:hint="eastAsia"/>
        </w:rPr>
        <w:t>在2日内在指定媒介上</w:t>
      </w:r>
      <w:r w:rsidR="001D2E2F" w:rsidRPr="00456512">
        <w:rPr>
          <w:rFonts w:asciiTheme="minorEastAsia" w:eastAsiaTheme="minorEastAsia" w:hAnsiTheme="minorEastAsia"/>
        </w:rPr>
        <w:t>刊登公告</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并说明有关处理方法。</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rPr>
        <w:t>本基金连续两日以上(含本数)发生巨额赎回时</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如基金管理人认为有必要</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可暂停接受赎回和转出申请；已经接受的赎回申请可以延缓支付赎回款项</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但不得超过正常支付时间20个工作日</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并应当在指定</w:t>
      </w:r>
      <w:r w:rsidR="009779ED" w:rsidRPr="00456512">
        <w:rPr>
          <w:rFonts w:asciiTheme="minorEastAsia" w:eastAsiaTheme="minorEastAsia" w:hAnsiTheme="minorEastAsia" w:hint="eastAsia"/>
        </w:rPr>
        <w:t>媒介</w:t>
      </w:r>
      <w:r w:rsidR="001D2E2F" w:rsidRPr="00456512">
        <w:rPr>
          <w:rFonts w:asciiTheme="minorEastAsia" w:eastAsiaTheme="minorEastAsia" w:hAnsiTheme="minorEastAsia"/>
        </w:rPr>
        <w:t>上进行公告。</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38" w:name="_Toc30161782"/>
      <w:r w:rsidRPr="00456512">
        <w:rPr>
          <w:rFonts w:asciiTheme="minorEastAsia" w:eastAsiaTheme="minorEastAsia" w:hAnsiTheme="minorEastAsia" w:hint="eastAsia"/>
          <w:bCs/>
        </w:rPr>
        <w:t>（十）</w:t>
      </w:r>
      <w:r w:rsidRPr="00456512">
        <w:rPr>
          <w:rFonts w:asciiTheme="minorEastAsia" w:eastAsiaTheme="minorEastAsia" w:hAnsiTheme="minorEastAsia"/>
          <w:bCs/>
          <w:szCs w:val="20"/>
        </w:rPr>
        <w:t>拒绝或暂停申购、赎回和转换的情形及处理方式</w:t>
      </w:r>
      <w:bookmarkEnd w:id="38"/>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除出现如下情形，基金管理人不得拒绝或暂停接受基金投资者的申购申请：</w:t>
      </w:r>
    </w:p>
    <w:p w:rsidR="001D2E2F" w:rsidRPr="00456512" w:rsidRDefault="001D2E2F"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不可抗力的原因导致基金无法正常运作；</w:t>
      </w:r>
    </w:p>
    <w:p w:rsidR="001D2E2F" w:rsidRPr="00456512" w:rsidRDefault="001D2E2F"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证券交易场所在交易时间非正常停市；</w:t>
      </w:r>
    </w:p>
    <w:p w:rsidR="001D2E2F" w:rsidRPr="00456512" w:rsidRDefault="001D2E2F"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基金资产规模过大，使基金管理人无法找到合适的投资品种</w:t>
      </w:r>
      <w:r w:rsidR="00117EDD" w:rsidRPr="00456512">
        <w:rPr>
          <w:rFonts w:asciiTheme="minorEastAsia" w:eastAsiaTheme="minorEastAsia" w:hAnsiTheme="minorEastAsia" w:hint="eastAsia"/>
        </w:rPr>
        <w:t>，或</w:t>
      </w:r>
      <w:r w:rsidRPr="00456512">
        <w:rPr>
          <w:rFonts w:asciiTheme="minorEastAsia" w:eastAsiaTheme="minorEastAsia" w:hAnsiTheme="minorEastAsia" w:hint="eastAsia"/>
        </w:rPr>
        <w:t>可能对基金业绩</w:t>
      </w:r>
      <w:r w:rsidRPr="00456512">
        <w:rPr>
          <w:rFonts w:asciiTheme="minorEastAsia" w:eastAsiaTheme="minorEastAsia" w:hAnsiTheme="minorEastAsia" w:hint="eastAsia"/>
        </w:rPr>
        <w:lastRenderedPageBreak/>
        <w:t>产生负面影响，从而损害现有基金份额持有人的利益；</w:t>
      </w:r>
    </w:p>
    <w:p w:rsidR="001D2E2F" w:rsidRPr="00456512" w:rsidRDefault="001D2E2F"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基金管理人认为会有损于现有基金份额持有人利益的某笔申购；</w:t>
      </w:r>
    </w:p>
    <w:p w:rsidR="0071674B" w:rsidRPr="00456512" w:rsidRDefault="0071674B"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基金管理人接受某笔或者某些申购申请有可能导致单一投资者持有基金份额的比例达到或者超过50%，或者变相规避50%集中度的情形时；</w:t>
      </w:r>
    </w:p>
    <w:p w:rsidR="0071674B" w:rsidRPr="00456512" w:rsidRDefault="0071674B"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1674B" w:rsidRPr="00456512" w:rsidRDefault="0071674B" w:rsidP="007F114F">
      <w:pPr>
        <w:numPr>
          <w:ilvl w:val="0"/>
          <w:numId w:val="21"/>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1674B" w:rsidRPr="00456512" w:rsidRDefault="0071674B"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（8</w:t>
      </w:r>
      <w:r w:rsidRPr="00456512">
        <w:rPr>
          <w:rFonts w:asciiTheme="minorEastAsia" w:eastAsiaTheme="minorEastAsia" w:hAnsiTheme="minorEastAsia"/>
        </w:rPr>
        <w:t>）</w:t>
      </w:r>
      <w:r w:rsidR="001D2E2F" w:rsidRPr="00456512">
        <w:rPr>
          <w:rFonts w:asciiTheme="minorEastAsia" w:eastAsiaTheme="minorEastAsia" w:hAnsiTheme="minorEastAsia" w:hint="eastAsia"/>
        </w:rPr>
        <w:t>法律、法规规定或中国证监会认定的其他情形。</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szCs w:val="21"/>
        </w:rPr>
        <w:t>如发生上述拒绝申购的情形</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被拒绝的申购款项应全额退还投资者。</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基金管理人拒绝或暂停接受申购的方式包括：</w:t>
      </w:r>
    </w:p>
    <w:p w:rsidR="001D2E2F" w:rsidRPr="00456512" w:rsidRDefault="001D2E2F" w:rsidP="007F114F">
      <w:pPr>
        <w:numPr>
          <w:ilvl w:val="0"/>
          <w:numId w:val="22"/>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拒绝接受、暂停接受某笔或某数笔申购申请；</w:t>
      </w:r>
    </w:p>
    <w:p w:rsidR="001D2E2F" w:rsidRPr="00456512" w:rsidRDefault="001D2E2F" w:rsidP="007F114F">
      <w:pPr>
        <w:numPr>
          <w:ilvl w:val="0"/>
          <w:numId w:val="22"/>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拒绝接受、暂停接受某个或某数个工作日的全部申购申请；</w:t>
      </w:r>
    </w:p>
    <w:p w:rsidR="001D2E2F" w:rsidRPr="00456512" w:rsidRDefault="001D2E2F" w:rsidP="007F114F">
      <w:pPr>
        <w:numPr>
          <w:ilvl w:val="0"/>
          <w:numId w:val="22"/>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按比例拒绝接受、暂停接受某个或某数个工作日的申购申请。</w:t>
      </w:r>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除下列情形外，基金管理人不得拒绝接受或暂停接受投资者的赎回申请：</w:t>
      </w:r>
    </w:p>
    <w:p w:rsidR="001D2E2F" w:rsidRPr="00456512" w:rsidRDefault="001D2E2F" w:rsidP="007F114F">
      <w:pPr>
        <w:numPr>
          <w:ilvl w:val="0"/>
          <w:numId w:val="23"/>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不可抗力的原因导致基金无法正常运作；</w:t>
      </w:r>
    </w:p>
    <w:p w:rsidR="001D2E2F" w:rsidRPr="00456512" w:rsidRDefault="001D2E2F" w:rsidP="007F114F">
      <w:pPr>
        <w:numPr>
          <w:ilvl w:val="0"/>
          <w:numId w:val="23"/>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证券交易场所交易时间非正常停市；</w:t>
      </w:r>
    </w:p>
    <w:p w:rsidR="001D2E2F" w:rsidRPr="00456512" w:rsidRDefault="001D2E2F" w:rsidP="007F114F">
      <w:pPr>
        <w:numPr>
          <w:ilvl w:val="0"/>
          <w:numId w:val="23"/>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因市场剧烈波动或其它原因而出现连续巨额赎回，导致本基金的现金支付出现困难；</w:t>
      </w:r>
    </w:p>
    <w:p w:rsidR="0071674B" w:rsidRPr="00456512" w:rsidRDefault="0071674B" w:rsidP="007F114F">
      <w:pPr>
        <w:numPr>
          <w:ilvl w:val="0"/>
          <w:numId w:val="23"/>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D2E2F" w:rsidRPr="00456512" w:rsidRDefault="001D2E2F" w:rsidP="007F114F">
      <w:pPr>
        <w:numPr>
          <w:ilvl w:val="0"/>
          <w:numId w:val="23"/>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法律、法规规定或中国证监会认定的其它情形。</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发生上述情形之一的，基金管理人应在当日立即向中国证监会备案。已接受的赎回申请，基金管理人将足额支付；如暂时不能支付时，将按每个赎回申请人已被接受的赎回申请量占已接受赎回申请总量的比例分配给赎回申请人，其余部分</w:t>
      </w:r>
      <w:r w:rsidRPr="00456512">
        <w:rPr>
          <w:rFonts w:asciiTheme="minorEastAsia" w:eastAsiaTheme="minorEastAsia" w:hAnsiTheme="minorEastAsia"/>
        </w:rPr>
        <w:t>由基金管理人按照相应的处理办法在后续开放日予以</w:t>
      </w:r>
      <w:r w:rsidRPr="00456512">
        <w:rPr>
          <w:rFonts w:asciiTheme="minorEastAsia" w:eastAsiaTheme="minorEastAsia" w:hAnsiTheme="minorEastAsia" w:hint="eastAsia"/>
        </w:rPr>
        <w:t>兑</w:t>
      </w:r>
      <w:r w:rsidRPr="00456512">
        <w:rPr>
          <w:rFonts w:asciiTheme="minorEastAsia" w:eastAsiaTheme="minorEastAsia" w:hAnsiTheme="minorEastAsia"/>
        </w:rPr>
        <w:t>付</w:t>
      </w:r>
      <w:r w:rsidRPr="00456512">
        <w:rPr>
          <w:rFonts w:asciiTheme="minorEastAsia" w:eastAsiaTheme="minorEastAsia" w:hAnsiTheme="minorEastAsia" w:hint="eastAsia"/>
        </w:rPr>
        <w:t>。</w:t>
      </w:r>
    </w:p>
    <w:p w:rsidR="001D2E2F" w:rsidRPr="00456512" w:rsidRDefault="00C64778" w:rsidP="00C64778">
      <w:pPr>
        <w:tabs>
          <w:tab w:val="left" w:pos="735"/>
        </w:tabs>
        <w:snapToGrid w:val="0"/>
        <w:spacing w:line="360" w:lineRule="auto"/>
        <w:ind w:left="42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除下列情形外</w:t>
      </w:r>
      <w:r w:rsidR="001D2E2F" w:rsidRPr="00456512">
        <w:rPr>
          <w:rFonts w:asciiTheme="minorEastAsia" w:eastAsiaTheme="minorEastAsia" w:hAnsiTheme="minorEastAsia" w:hint="eastAsia"/>
        </w:rPr>
        <w:t>，</w:t>
      </w:r>
      <w:r w:rsidR="001D2E2F" w:rsidRPr="00456512">
        <w:rPr>
          <w:rFonts w:asciiTheme="minorEastAsia" w:eastAsiaTheme="minorEastAsia" w:hAnsiTheme="minorEastAsia"/>
        </w:rPr>
        <w:t>基金管理人不得拒绝接受或暂停接受投资者的转换申请：</w:t>
      </w:r>
    </w:p>
    <w:p w:rsidR="001D2E2F" w:rsidRPr="00456512" w:rsidRDefault="001D2E2F"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不可抗力的原因导致基金无法正常运作；</w:t>
      </w:r>
    </w:p>
    <w:p w:rsidR="001D2E2F" w:rsidRPr="00456512" w:rsidRDefault="001D2E2F"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证券交易场所交易时间非正常停市；</w:t>
      </w:r>
    </w:p>
    <w:p w:rsidR="001D2E2F" w:rsidRPr="00456512" w:rsidRDefault="001D2E2F"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lastRenderedPageBreak/>
        <w:t>当基金管理人认为某笔转换会有损于现有基金份额持有人利益；</w:t>
      </w:r>
    </w:p>
    <w:p w:rsidR="001D2E2F" w:rsidRPr="00456512" w:rsidRDefault="001D2E2F"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因市场剧烈波动或其它原因而出现连续巨额赎回</w:t>
      </w:r>
      <w:r w:rsidRPr="00456512">
        <w:rPr>
          <w:rFonts w:asciiTheme="minorEastAsia" w:eastAsiaTheme="minorEastAsia" w:hAnsiTheme="minorEastAsia" w:hint="eastAsia"/>
        </w:rPr>
        <w:t>，</w:t>
      </w:r>
      <w:r w:rsidRPr="00456512">
        <w:rPr>
          <w:rFonts w:asciiTheme="minorEastAsia" w:eastAsiaTheme="minorEastAsia" w:hAnsiTheme="minorEastAsia"/>
        </w:rPr>
        <w:t>导致本基金的现金支付出现困难；</w:t>
      </w:r>
    </w:p>
    <w:p w:rsidR="001F27CD" w:rsidRPr="00456512" w:rsidRDefault="001F27CD"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基金管理人接受某笔或者某些转换</w:t>
      </w:r>
      <w:r w:rsidRPr="00456512">
        <w:rPr>
          <w:rFonts w:asciiTheme="minorEastAsia" w:eastAsiaTheme="minorEastAsia" w:hAnsiTheme="minorEastAsia"/>
        </w:rPr>
        <w:t>转入</w:t>
      </w:r>
      <w:r w:rsidRPr="00456512">
        <w:rPr>
          <w:rFonts w:asciiTheme="minorEastAsia" w:eastAsiaTheme="minorEastAsia" w:hAnsiTheme="minorEastAsia" w:hint="eastAsia"/>
        </w:rPr>
        <w:t>申请有可能导致单一投资者持有基金份额的比例达到或者超过50%，或者变相规避50%集中度的情形时；</w:t>
      </w:r>
    </w:p>
    <w:p w:rsidR="001F27CD" w:rsidRPr="00456512" w:rsidRDefault="001F27CD"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当一笔新的转换</w:t>
      </w:r>
      <w:r w:rsidRPr="00456512">
        <w:rPr>
          <w:rFonts w:asciiTheme="minorEastAsia" w:eastAsiaTheme="minorEastAsia" w:hAnsiTheme="minorEastAsia"/>
        </w:rPr>
        <w:t>转入</w:t>
      </w:r>
      <w:r w:rsidRPr="00456512">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5F5223" w:rsidRPr="00456512" w:rsidRDefault="001F27CD"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1D2E2F" w:rsidRPr="00456512" w:rsidRDefault="001D2E2F" w:rsidP="007F114F">
      <w:pPr>
        <w:numPr>
          <w:ilvl w:val="0"/>
          <w:numId w:val="24"/>
        </w:numPr>
        <w:tabs>
          <w:tab w:val="left" w:pos="735"/>
        </w:tabs>
        <w:snapToGrid w:val="0"/>
        <w:spacing w:line="360" w:lineRule="auto"/>
        <w:rPr>
          <w:rFonts w:asciiTheme="minorEastAsia" w:eastAsiaTheme="minorEastAsia" w:hAnsiTheme="minorEastAsia"/>
        </w:rPr>
      </w:pPr>
      <w:r w:rsidRPr="00456512">
        <w:rPr>
          <w:rFonts w:asciiTheme="minorEastAsia" w:eastAsiaTheme="minorEastAsia" w:hAnsiTheme="minorEastAsia"/>
        </w:rPr>
        <w:t>法律、法规规定或中国证监会认定的其它情形。</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rPr>
        <w:t>发生上述情形之一的</w:t>
      </w:r>
      <w:r w:rsidRPr="00456512">
        <w:rPr>
          <w:rFonts w:asciiTheme="minorEastAsia" w:eastAsiaTheme="minorEastAsia" w:hAnsiTheme="minorEastAsia" w:hint="eastAsia"/>
        </w:rPr>
        <w:t>，</w:t>
      </w:r>
      <w:r w:rsidRPr="00456512">
        <w:rPr>
          <w:rFonts w:asciiTheme="minorEastAsia" w:eastAsiaTheme="minorEastAsia" w:hAnsiTheme="minorEastAsia"/>
        </w:rPr>
        <w:t>基金管理人应在当日立即向中国证监会备案。</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发生《基金合同》或《招募说明书》中未予载明的事项，但基金管理人有正当理由认为需要暂停接受基金申购、赎回、转换申请的，应当报经中国证监会批准。</w:t>
      </w:r>
    </w:p>
    <w:p w:rsidR="001D2E2F" w:rsidRPr="00456512" w:rsidRDefault="00C64778" w:rsidP="00C64778">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rPr>
        <w:t>基金暂停申购、赎回</w:t>
      </w:r>
      <w:r w:rsidR="001D2E2F" w:rsidRPr="00456512">
        <w:rPr>
          <w:rFonts w:asciiTheme="minorEastAsia" w:eastAsiaTheme="minorEastAsia" w:hAnsiTheme="minorEastAsia" w:hint="eastAsia"/>
        </w:rPr>
        <w:t>和转换</w:t>
      </w:r>
      <w:r w:rsidR="001D2E2F" w:rsidRPr="00456512">
        <w:rPr>
          <w:rFonts w:asciiTheme="minorEastAsia" w:eastAsiaTheme="minorEastAsia" w:hAnsiTheme="minorEastAsia"/>
        </w:rPr>
        <w:t>，基金管理人</w:t>
      </w:r>
      <w:r w:rsidR="001D2E2F" w:rsidRPr="00456512">
        <w:rPr>
          <w:rFonts w:asciiTheme="minorEastAsia" w:eastAsiaTheme="minorEastAsia" w:hAnsiTheme="minorEastAsia" w:hint="eastAsia"/>
        </w:rPr>
        <w:t>应立即</w:t>
      </w:r>
      <w:r w:rsidR="001D2E2F" w:rsidRPr="00456512">
        <w:rPr>
          <w:rFonts w:asciiTheme="minorEastAsia" w:eastAsiaTheme="minorEastAsia" w:hAnsiTheme="minorEastAsia"/>
        </w:rPr>
        <w:t>在</w:t>
      </w:r>
      <w:r w:rsidR="00E236C7" w:rsidRPr="00456512">
        <w:rPr>
          <w:rFonts w:asciiTheme="minorEastAsia" w:eastAsiaTheme="minorEastAsia" w:hAnsiTheme="minorEastAsia" w:hint="eastAsia"/>
        </w:rPr>
        <w:t>指定媒介</w:t>
      </w:r>
      <w:r w:rsidR="001D2E2F" w:rsidRPr="00456512">
        <w:rPr>
          <w:rFonts w:asciiTheme="minorEastAsia" w:eastAsiaTheme="minorEastAsia" w:hAnsiTheme="minorEastAsia" w:hint="eastAsia"/>
        </w:rPr>
        <w:t>上</w:t>
      </w:r>
      <w:r w:rsidR="001D2E2F" w:rsidRPr="00456512">
        <w:rPr>
          <w:rFonts w:asciiTheme="minorEastAsia" w:eastAsiaTheme="minorEastAsia" w:hAnsiTheme="minorEastAsia"/>
        </w:rPr>
        <w:t>公告。</w:t>
      </w:r>
      <w:r w:rsidR="001D2E2F" w:rsidRPr="00456512">
        <w:rPr>
          <w:rFonts w:asciiTheme="minorEastAsia" w:eastAsiaTheme="minorEastAsia" w:hAnsiTheme="minorEastAsia" w:hint="eastAsia"/>
        </w:rPr>
        <w:t>暂停期间结束基金重新开放时，基金管理人应当公告最新的基金份额净值。</w:t>
      </w:r>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kern w:val="0"/>
        </w:rPr>
      </w:pPr>
      <w:r w:rsidRPr="00456512">
        <w:rPr>
          <w:rFonts w:asciiTheme="minorEastAsia" w:eastAsiaTheme="minorEastAsia" w:hAnsiTheme="minorEastAsia" w:hint="eastAsia"/>
          <w:kern w:val="0"/>
        </w:rPr>
        <w:t>如果发生暂停的时间为</w:t>
      </w:r>
      <w:r w:rsidRPr="00456512">
        <w:rPr>
          <w:rFonts w:asciiTheme="minorEastAsia" w:eastAsiaTheme="minorEastAsia" w:hAnsiTheme="minorEastAsia"/>
          <w:kern w:val="0"/>
        </w:rPr>
        <w:t>1</w:t>
      </w:r>
      <w:r w:rsidRPr="00456512">
        <w:rPr>
          <w:rFonts w:asciiTheme="minorEastAsia" w:eastAsiaTheme="minorEastAsia" w:hAnsiTheme="minorEastAsia" w:hint="eastAsia"/>
          <w:kern w:val="0"/>
        </w:rPr>
        <w:t>天，基金管理人应于重新开放日在</w:t>
      </w:r>
      <w:r w:rsidR="00E236C7" w:rsidRPr="00456512">
        <w:rPr>
          <w:rFonts w:asciiTheme="minorEastAsia" w:eastAsiaTheme="minorEastAsia" w:hAnsiTheme="minorEastAsia" w:hint="eastAsia"/>
        </w:rPr>
        <w:t>指定媒介</w:t>
      </w:r>
      <w:r w:rsidRPr="00456512">
        <w:rPr>
          <w:rFonts w:asciiTheme="minorEastAsia" w:eastAsiaTheme="minorEastAsia" w:hAnsiTheme="minorEastAsia" w:hint="eastAsia"/>
          <w:kern w:val="0"/>
        </w:rPr>
        <w:t>刊登基金重新开放申购或赎回的公告并公告最新的基金</w:t>
      </w:r>
      <w:r w:rsidRPr="00456512">
        <w:rPr>
          <w:rFonts w:asciiTheme="minorEastAsia" w:eastAsiaTheme="minorEastAsia" w:hAnsiTheme="minorEastAsia" w:hint="eastAsia"/>
        </w:rPr>
        <w:t>份额</w:t>
      </w:r>
      <w:r w:rsidRPr="00456512">
        <w:rPr>
          <w:rFonts w:asciiTheme="minorEastAsia" w:eastAsiaTheme="minorEastAsia" w:hAnsiTheme="minorEastAsia" w:hint="eastAsia"/>
          <w:kern w:val="0"/>
        </w:rPr>
        <w:t>净值。</w:t>
      </w:r>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kern w:val="0"/>
        </w:rPr>
      </w:pPr>
      <w:r w:rsidRPr="00456512">
        <w:rPr>
          <w:rFonts w:asciiTheme="minorEastAsia" w:eastAsiaTheme="minorEastAsia" w:hAnsiTheme="minorEastAsia" w:hint="eastAsia"/>
          <w:kern w:val="0"/>
        </w:rPr>
        <w:t>如果发生暂停的时间超过</w:t>
      </w:r>
      <w:r w:rsidRPr="00456512">
        <w:rPr>
          <w:rFonts w:asciiTheme="minorEastAsia" w:eastAsiaTheme="minorEastAsia" w:hAnsiTheme="minorEastAsia"/>
          <w:kern w:val="0"/>
        </w:rPr>
        <w:t>1</w:t>
      </w:r>
      <w:r w:rsidRPr="00456512">
        <w:rPr>
          <w:rFonts w:asciiTheme="minorEastAsia" w:eastAsiaTheme="minorEastAsia" w:hAnsiTheme="minorEastAsia" w:hint="eastAsia"/>
          <w:kern w:val="0"/>
        </w:rPr>
        <w:t>天但少于两周，暂停结束基金重新开放申购或赎回时，基金管理人应提前</w:t>
      </w:r>
      <w:r w:rsidRPr="00456512">
        <w:rPr>
          <w:rFonts w:asciiTheme="minorEastAsia" w:eastAsiaTheme="minorEastAsia" w:hAnsiTheme="minorEastAsia"/>
          <w:kern w:val="0"/>
        </w:rPr>
        <w:t>1</w:t>
      </w:r>
      <w:r w:rsidRPr="00456512">
        <w:rPr>
          <w:rFonts w:asciiTheme="minorEastAsia" w:eastAsiaTheme="minorEastAsia" w:hAnsiTheme="minorEastAsia" w:hint="eastAsia"/>
          <w:kern w:val="0"/>
        </w:rPr>
        <w:t>个工作日在</w:t>
      </w:r>
      <w:r w:rsidR="00E236C7" w:rsidRPr="00456512">
        <w:rPr>
          <w:rFonts w:asciiTheme="minorEastAsia" w:eastAsiaTheme="minorEastAsia" w:hAnsiTheme="minorEastAsia" w:hint="eastAsia"/>
        </w:rPr>
        <w:t>指定媒介</w:t>
      </w:r>
      <w:r w:rsidRPr="00456512">
        <w:rPr>
          <w:rFonts w:asciiTheme="minorEastAsia" w:eastAsiaTheme="minorEastAsia" w:hAnsiTheme="minorEastAsia" w:hint="eastAsia"/>
          <w:kern w:val="0"/>
        </w:rPr>
        <w:t>刊登基金重新开放申购或赎回的公告，并在重新开放申购或赎回日公告最新的基金</w:t>
      </w:r>
      <w:r w:rsidRPr="00456512">
        <w:rPr>
          <w:rFonts w:asciiTheme="minorEastAsia" w:eastAsiaTheme="minorEastAsia" w:hAnsiTheme="minorEastAsia" w:hint="eastAsia"/>
        </w:rPr>
        <w:t>份额</w:t>
      </w:r>
      <w:r w:rsidRPr="00456512">
        <w:rPr>
          <w:rFonts w:asciiTheme="minorEastAsia" w:eastAsiaTheme="minorEastAsia" w:hAnsiTheme="minorEastAsia" w:hint="eastAsia"/>
          <w:kern w:val="0"/>
        </w:rPr>
        <w:t>净值。</w:t>
      </w:r>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kern w:val="0"/>
        </w:rPr>
      </w:pPr>
      <w:r w:rsidRPr="00456512">
        <w:rPr>
          <w:rFonts w:asciiTheme="minorEastAsia" w:eastAsiaTheme="minorEastAsia" w:hAnsiTheme="minorEastAsia" w:hint="eastAsia"/>
          <w:kern w:val="0"/>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456512">
        <w:rPr>
          <w:rFonts w:asciiTheme="minorEastAsia" w:eastAsiaTheme="minorEastAsia" w:hAnsiTheme="minorEastAsia"/>
          <w:kern w:val="0"/>
        </w:rPr>
        <w:t>3</w:t>
      </w:r>
      <w:r w:rsidRPr="00456512">
        <w:rPr>
          <w:rFonts w:asciiTheme="minorEastAsia" w:eastAsiaTheme="minorEastAsia" w:hAnsiTheme="minorEastAsia" w:hint="eastAsia"/>
          <w:kern w:val="0"/>
        </w:rPr>
        <w:t>个工作日在</w:t>
      </w:r>
      <w:r w:rsidR="00E236C7" w:rsidRPr="00456512">
        <w:rPr>
          <w:rFonts w:asciiTheme="minorEastAsia" w:eastAsiaTheme="minorEastAsia" w:hAnsiTheme="minorEastAsia" w:hint="eastAsia"/>
        </w:rPr>
        <w:t>指定媒介</w:t>
      </w:r>
      <w:r w:rsidRPr="00456512">
        <w:rPr>
          <w:rFonts w:asciiTheme="minorEastAsia" w:eastAsiaTheme="minorEastAsia" w:hAnsiTheme="minorEastAsia" w:hint="eastAsia"/>
          <w:kern w:val="0"/>
        </w:rPr>
        <w:t>连续刊登基金重新开放申购或赎回的公告，并在重新开放申购或赎回日公告最新的基金份额净值。</w:t>
      </w:r>
    </w:p>
    <w:p w:rsidR="00FD63D6" w:rsidRPr="00456512" w:rsidRDefault="00FD63D6" w:rsidP="00084917">
      <w:pPr>
        <w:autoSpaceDE w:val="0"/>
        <w:autoSpaceDN w:val="0"/>
        <w:adjustRightInd w:val="0"/>
        <w:snapToGrid w:val="0"/>
        <w:spacing w:line="360" w:lineRule="auto"/>
        <w:ind w:firstLine="420"/>
        <w:rPr>
          <w:rFonts w:asciiTheme="minorEastAsia" w:eastAsiaTheme="minorEastAsia" w:hAnsiTheme="minorEastAsia"/>
          <w:kern w:val="0"/>
        </w:rPr>
        <w:sectPr w:rsidR="00FD63D6" w:rsidRPr="00456512" w:rsidSect="0037562B">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39" w:name="_Toc81902759"/>
      <w:bookmarkStart w:id="40" w:name="_Toc30161783"/>
      <w:r w:rsidRPr="00456512">
        <w:rPr>
          <w:rFonts w:asciiTheme="minorEastAsia" w:eastAsiaTheme="minorEastAsia" w:hAnsiTheme="minorEastAsia" w:hint="eastAsia"/>
          <w:b/>
        </w:rPr>
        <w:lastRenderedPageBreak/>
        <w:t>七、基金的非交易过户、转托管、冻结与质押</w:t>
      </w:r>
      <w:bookmarkEnd w:id="39"/>
      <w:bookmarkEnd w:id="40"/>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（一）</w:t>
      </w:r>
      <w:r w:rsidRPr="00456512">
        <w:rPr>
          <w:rFonts w:asciiTheme="minorEastAsia" w:eastAsiaTheme="minorEastAsia" w:hAnsiTheme="minorEastAsia" w:hint="eastAsia"/>
          <w:szCs w:val="21"/>
        </w:rPr>
        <w:tab/>
      </w:r>
      <w:r w:rsidRPr="00456512">
        <w:rPr>
          <w:rFonts w:asciiTheme="minorEastAsia" w:eastAsiaTheme="minorEastAsia" w:hAnsiTheme="minorEastAsia"/>
        </w:rPr>
        <w:t>非交易过户是指不采用申购、赎回等基金交易方式，将一定数量的基金份额按照一定规则从某一投资者基金账户转移到另一投资者基金账户的行为</w:t>
      </w:r>
      <w:r w:rsidRPr="00456512">
        <w:rPr>
          <w:rFonts w:asciiTheme="minorEastAsia" w:eastAsiaTheme="minorEastAsia" w:hAnsiTheme="minorEastAsia" w:hint="eastAsia"/>
        </w:rPr>
        <w:t>，包括</w:t>
      </w:r>
      <w:r w:rsidRPr="00456512">
        <w:rPr>
          <w:rFonts w:asciiTheme="minorEastAsia" w:eastAsiaTheme="minorEastAsia" w:hAnsiTheme="minorEastAsia"/>
        </w:rPr>
        <w:t>继承、捐赠、遗赠、自愿离婚、分家析产、国有资产无偿划转、机构合并或分立、资产售卖、机构清算、企业破产清算、强制执行</w:t>
      </w:r>
      <w:r w:rsidRPr="00456512">
        <w:rPr>
          <w:rFonts w:asciiTheme="minorEastAsia" w:eastAsiaTheme="minorEastAsia" w:hAnsiTheme="minorEastAsia" w:hint="eastAsia"/>
        </w:rPr>
        <w:t>，及基金注册登记机构认可的其它行为</w:t>
      </w:r>
      <w:r w:rsidRPr="00456512">
        <w:rPr>
          <w:rFonts w:asciiTheme="minorEastAsia" w:eastAsiaTheme="minorEastAsia" w:hAnsiTheme="minorEastAsia"/>
        </w:rPr>
        <w:t>。无论在上述何种情况下，接受划转的主体必须是</w:t>
      </w:r>
      <w:r w:rsidRPr="00456512">
        <w:rPr>
          <w:rFonts w:asciiTheme="minorEastAsia" w:eastAsiaTheme="minorEastAsia" w:hAnsiTheme="minorEastAsia" w:hint="eastAsia"/>
        </w:rPr>
        <w:t>合格</w:t>
      </w:r>
      <w:r w:rsidRPr="00456512">
        <w:rPr>
          <w:rFonts w:asciiTheme="minorEastAsia" w:eastAsiaTheme="minorEastAsia" w:hAnsiTheme="minorEastAsia"/>
        </w:rPr>
        <w:t>的个人投资者或机构投资者。</w:t>
      </w:r>
      <w:r w:rsidRPr="00456512">
        <w:rPr>
          <w:rFonts w:asciiTheme="minorEastAsia" w:eastAsiaTheme="minorEastAsia" w:hAnsiTheme="minorEastAsia" w:hint="eastAsia"/>
          <w:szCs w:val="21"/>
        </w:rPr>
        <w:t>其中：</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“继承”是指基金份额持有人死亡，其持有的基金份额由其合法的继承人或受遗赠人继承；</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“捐赠”仅指基金份额持有人将其合法持有的基金份额捐赠给福利性质的基金会或其他具有社会公益性质的社会团体；</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szCs w:val="21"/>
        </w:rPr>
        <w:t>“遗赠”指基金份额持有人立遗嘱将其持有的基金份额赠给法定继承人以外的其他人；</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szCs w:val="21"/>
        </w:rPr>
        <w:t>“自愿离婚”指原属夫妻共同财产的基金份额因基金份额持有人自愿离婚而使原在某一方名下的部分或全部基金份额划转至另一方名下；</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szCs w:val="21"/>
        </w:rPr>
        <w:t>“分家析产”指原属家庭共有（如父子共有、兄弟共有等）的基金份额从某一家庭成员名下划转至其他家庭成员名下的行为；</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szCs w:val="21"/>
        </w:rPr>
        <w:t>“国有资产无偿划转”指因管理体制改革、组织形式调整或资产重组等原因引起的作为国有资产的基金份额在不同国有产权主体之间的无偿转移；</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7、</w:t>
      </w:r>
      <w:r w:rsidR="001D2E2F" w:rsidRPr="00456512">
        <w:rPr>
          <w:rFonts w:asciiTheme="minorEastAsia" w:eastAsiaTheme="minorEastAsia" w:hAnsiTheme="minorEastAsia"/>
          <w:szCs w:val="21"/>
        </w:rPr>
        <w:t>“机构合并或分立”指因机构的合并或分立而导致的基金份额的划转；</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8、</w:t>
      </w:r>
      <w:r w:rsidR="001D2E2F" w:rsidRPr="00456512">
        <w:rPr>
          <w:rFonts w:asciiTheme="minorEastAsia" w:eastAsiaTheme="minorEastAsia" w:hAnsiTheme="minorEastAsia"/>
          <w:szCs w:val="21"/>
        </w:rPr>
        <w:t>“资产售卖”指一企业出售它的下属部门（独立部门、分支机构或生产线）的整体资产给另一企业的交易，在这种交易中，前者持有的基金份额随其他经营性资产一同转让给后者，由后者一并支付对价；</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9、</w:t>
      </w:r>
      <w:r w:rsidR="001D2E2F" w:rsidRPr="00456512">
        <w:rPr>
          <w:rFonts w:asciiTheme="minorEastAsia" w:eastAsiaTheme="minorEastAsia" w:hAnsiTheme="minorEastAsia"/>
          <w:szCs w:val="21"/>
        </w:rPr>
        <w:t>“机构清算”是指机构因组织文件规定的期限届满或出现其他解散事由，或因其权力机关作出解散决议，或依法被责令关闭或撤销而导致解散，或因其他原因解散，从而进入清算程序（破产清算程序除外），清算组（或类似组织，下同）将该机构持有的基金份额分配给该机构的债权人以清偿债务，或将清偿债务后的剩余财产中的基金份额分配给机构的股东、成员、出资者或开办人；</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10、</w:t>
      </w:r>
      <w:r w:rsidR="001D2E2F" w:rsidRPr="00456512">
        <w:rPr>
          <w:rFonts w:asciiTheme="minorEastAsia" w:eastAsiaTheme="minorEastAsia" w:hAnsiTheme="minorEastAsia"/>
          <w:szCs w:val="21"/>
        </w:rPr>
        <w:t>“企业破产清算”是指一企业法人根据《中华人民共和国企业破产法（试行）》或《中华人民共和国民事诉讼法》第十九章的有关规定被宣告破产，清算组依法将破产企业持有的基金份额直接分配给该破产企业的债权人所导致的基金份额的划转；</w:t>
      </w:r>
    </w:p>
    <w:p w:rsidR="001D2E2F" w:rsidRPr="00456512" w:rsidRDefault="00C64778" w:rsidP="00C64778">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11、</w:t>
      </w:r>
      <w:r w:rsidR="001D2E2F" w:rsidRPr="00456512">
        <w:rPr>
          <w:rFonts w:asciiTheme="minorEastAsia" w:eastAsiaTheme="minorEastAsia" w:hAnsiTheme="minorEastAsia" w:hint="eastAsia"/>
          <w:szCs w:val="21"/>
        </w:rPr>
        <w:t>“强制执行”是指国家有权机关依据生效的法律文书将基金份额持有人持有的基金份额强制执行划转给其他自然人、法人、社会团体或其他组织。</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（二）</w:t>
      </w:r>
      <w:r w:rsidRPr="00456512">
        <w:rPr>
          <w:rFonts w:asciiTheme="minorEastAsia" w:eastAsiaTheme="minorEastAsia" w:hAnsiTheme="minorEastAsia" w:hint="eastAsia"/>
          <w:szCs w:val="21"/>
        </w:rPr>
        <w:tab/>
        <w:t>办理非交易过户业务必须提供基金注册登记机构要求提供的相关资料，其中，</w:t>
      </w:r>
      <w:r w:rsidRPr="00456512">
        <w:rPr>
          <w:rFonts w:asciiTheme="minorEastAsia" w:eastAsiaTheme="minorEastAsia" w:hAnsiTheme="minorEastAsia"/>
        </w:rPr>
        <w:t>因继承、捐赠、遗赠、自愿离婚、分家析产原因</w:t>
      </w:r>
      <w:r w:rsidRPr="00456512">
        <w:rPr>
          <w:rFonts w:asciiTheme="minorEastAsia" w:eastAsiaTheme="minorEastAsia" w:hAnsiTheme="minorEastAsia" w:hint="eastAsia"/>
          <w:szCs w:val="21"/>
        </w:rPr>
        <w:t>导致的非交易过户向基金销售网点申请办理，</w:t>
      </w:r>
      <w:r w:rsidRPr="00456512">
        <w:rPr>
          <w:rFonts w:asciiTheme="minorEastAsia" w:eastAsiaTheme="minorEastAsia" w:hAnsiTheme="minorEastAsia"/>
        </w:rPr>
        <w:t>因国有资产无偿划转、机构合并或分立、资产售卖、机构</w:t>
      </w:r>
      <w:r w:rsidRPr="00456512">
        <w:rPr>
          <w:rFonts w:asciiTheme="minorEastAsia" w:eastAsiaTheme="minorEastAsia" w:hAnsiTheme="minorEastAsia" w:hint="eastAsia"/>
        </w:rPr>
        <w:t>清算</w:t>
      </w:r>
      <w:r w:rsidRPr="00456512">
        <w:rPr>
          <w:rFonts w:asciiTheme="minorEastAsia" w:eastAsiaTheme="minorEastAsia" w:hAnsiTheme="minorEastAsia"/>
        </w:rPr>
        <w:t>、企业破产</w:t>
      </w:r>
      <w:r w:rsidRPr="00456512">
        <w:rPr>
          <w:rFonts w:asciiTheme="minorEastAsia" w:eastAsiaTheme="minorEastAsia" w:hAnsiTheme="minorEastAsia" w:hint="eastAsia"/>
        </w:rPr>
        <w:t>清算</w:t>
      </w:r>
      <w:r w:rsidRPr="00456512">
        <w:rPr>
          <w:rFonts w:asciiTheme="minorEastAsia" w:eastAsiaTheme="minorEastAsia" w:hAnsiTheme="minorEastAsia"/>
        </w:rPr>
        <w:t>、强制执行原因</w:t>
      </w:r>
      <w:r w:rsidRPr="00456512">
        <w:rPr>
          <w:rFonts w:asciiTheme="minorEastAsia" w:eastAsiaTheme="minorEastAsia" w:hAnsiTheme="minorEastAsia" w:hint="eastAsia"/>
          <w:szCs w:val="21"/>
        </w:rPr>
        <w:t>导致的非交易过户直接向基金注册登记机构统一申请办理。</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（三）</w:t>
      </w:r>
      <w:r w:rsidRPr="00456512">
        <w:rPr>
          <w:rFonts w:asciiTheme="minorEastAsia" w:eastAsiaTheme="minorEastAsia" w:hAnsiTheme="minorEastAsia" w:hint="eastAsia"/>
          <w:szCs w:val="21"/>
        </w:rPr>
        <w:tab/>
        <w:t>符合条件的非交易过户申请自申请受理日起，二个月内办理；申请人按基金注册登记机构规定的标准缴纳过户费用。</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（四）</w:t>
      </w:r>
      <w:r w:rsidRPr="00456512">
        <w:rPr>
          <w:rFonts w:asciiTheme="minorEastAsia" w:eastAsiaTheme="minorEastAsia" w:hAnsiTheme="minorEastAsia" w:hint="eastAsia"/>
          <w:szCs w:val="21"/>
        </w:rPr>
        <w:tab/>
      </w:r>
      <w:r w:rsidRPr="00456512">
        <w:rPr>
          <w:rFonts w:asciiTheme="minorEastAsia" w:eastAsiaTheme="minorEastAsia" w:hAnsiTheme="minorEastAsia" w:hint="eastAsia"/>
        </w:rPr>
        <w:t>基金份额持有人可以办理其基金份额在不同销售机构的转托管手续，转托管业务由各销售机构负责受理。</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（五）</w:t>
      </w:r>
      <w:r w:rsidRPr="00456512">
        <w:rPr>
          <w:rFonts w:asciiTheme="minorEastAsia" w:eastAsiaTheme="minorEastAsia" w:hAnsiTheme="minorEastAsia" w:hint="eastAsia"/>
          <w:szCs w:val="21"/>
        </w:rPr>
        <w:tab/>
        <w:t>基金注册登记机构只受理国家有权机关依法要求的基金账户或基金份额的冻结与解冻。基金账户或基金份额被冻结的，被冻结部分产生的权益（包括现金分红和红利再投资）一并冻结。</w:t>
      </w:r>
    </w:p>
    <w:p w:rsidR="005E306A" w:rsidRPr="00456512" w:rsidRDefault="005E306A" w:rsidP="00084917">
      <w:pPr>
        <w:snapToGrid w:val="0"/>
        <w:spacing w:line="360" w:lineRule="auto"/>
        <w:rPr>
          <w:rFonts w:asciiTheme="minorEastAsia" w:eastAsiaTheme="minorEastAsia" w:hAnsiTheme="minorEastAsia"/>
        </w:rPr>
        <w:sectPr w:rsidR="005E306A" w:rsidRPr="00456512" w:rsidSect="0037562B">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41" w:name="_Toc30161784"/>
      <w:bookmarkStart w:id="42" w:name="_Toc52310853"/>
      <w:r w:rsidRPr="00456512">
        <w:rPr>
          <w:rFonts w:asciiTheme="minorEastAsia" w:eastAsiaTheme="minorEastAsia" w:hAnsiTheme="minorEastAsia" w:hint="eastAsia"/>
          <w:b/>
        </w:rPr>
        <w:lastRenderedPageBreak/>
        <w:t>八、基金的投资</w:t>
      </w:r>
      <w:bookmarkEnd w:id="41"/>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43" w:name="_Toc52310848"/>
      <w:bookmarkStart w:id="44" w:name="_Toc64861723"/>
      <w:bookmarkStart w:id="45" w:name="_Toc30161785"/>
      <w:r w:rsidRPr="00456512">
        <w:rPr>
          <w:rFonts w:asciiTheme="minorEastAsia" w:eastAsiaTheme="minorEastAsia" w:hAnsiTheme="minorEastAsia" w:hint="eastAsia"/>
          <w:b w:val="0"/>
        </w:rPr>
        <w:t>投资目标</w:t>
      </w:r>
      <w:bookmarkEnd w:id="43"/>
      <w:bookmarkEnd w:id="44"/>
      <w:bookmarkEnd w:id="45"/>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本基金主要投资超速成长公司，以实现基金资产的长期最大化增值。</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46" w:name="_Toc52310849"/>
      <w:bookmarkStart w:id="47" w:name="_Toc64861724"/>
      <w:bookmarkStart w:id="48" w:name="_Toc30161786"/>
      <w:r w:rsidRPr="00456512">
        <w:rPr>
          <w:rFonts w:asciiTheme="minorEastAsia" w:eastAsiaTheme="minorEastAsia" w:hAnsiTheme="minorEastAsia" w:hint="eastAsia"/>
          <w:b w:val="0"/>
        </w:rPr>
        <w:t>投资方向</w:t>
      </w:r>
      <w:bookmarkEnd w:id="46"/>
      <w:bookmarkEnd w:id="47"/>
      <w:bookmarkEnd w:id="48"/>
    </w:p>
    <w:p w:rsidR="001D2E2F" w:rsidRPr="00456512" w:rsidRDefault="001D2E2F" w:rsidP="00084917">
      <w:pPr>
        <w:snapToGrid w:val="0"/>
        <w:spacing w:line="360" w:lineRule="auto"/>
        <w:ind w:firstLineChars="196" w:firstLine="412"/>
        <w:rPr>
          <w:rFonts w:asciiTheme="minorEastAsia" w:eastAsiaTheme="minorEastAsia" w:hAnsiTheme="minorEastAsia"/>
        </w:rPr>
      </w:pPr>
      <w:r w:rsidRPr="00456512">
        <w:rPr>
          <w:rFonts w:asciiTheme="minorEastAsia" w:eastAsiaTheme="minorEastAsia" w:hAnsiTheme="minorEastAsia" w:hint="eastAsia"/>
          <w:szCs w:val="21"/>
        </w:rPr>
        <w:t>本基金的投资范围为</w:t>
      </w:r>
      <w:r w:rsidRPr="00456512">
        <w:rPr>
          <w:rFonts w:asciiTheme="minorEastAsia" w:eastAsiaTheme="minorEastAsia" w:hAnsiTheme="minorEastAsia" w:hint="eastAsia"/>
          <w:kern w:val="0"/>
          <w:szCs w:val="21"/>
        </w:rPr>
        <w:t>具有良好流动性的金融工具，包括国内依法公开发行、上市的股票和债券以及中国证监会允许基金投资的其它金融工具。</w:t>
      </w:r>
    </w:p>
    <w:p w:rsidR="001D2E2F" w:rsidRPr="00456512" w:rsidRDefault="001D2E2F" w:rsidP="00084917">
      <w:pPr>
        <w:snapToGrid w:val="0"/>
        <w:spacing w:line="360" w:lineRule="auto"/>
        <w:ind w:firstLineChars="196" w:firstLine="412"/>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本基金将不低于80%的股票资产投资于“超速成长”公司的股票。</w:t>
      </w:r>
    </w:p>
    <w:p w:rsidR="001D2E2F" w:rsidRPr="00456512" w:rsidRDefault="001D2E2F" w:rsidP="00084917">
      <w:pPr>
        <w:snapToGrid w:val="0"/>
        <w:spacing w:line="360" w:lineRule="auto"/>
        <w:ind w:firstLineChars="196" w:firstLine="412"/>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超速成长”公司包括：1、未来一年利润总额增长率超过国内生产总值增长率3倍，而且在未来两到三年将继续保持盈利增长的公司。2、未来一年利润总额增长率超过上一年利润总额增长率的1.5倍，绝对增长率超过国内生产总值增长率，而且在未来两到三年将继续保持盈利增长的公司。</w:t>
      </w:r>
    </w:p>
    <w:p w:rsidR="001D2E2F" w:rsidRPr="00456512" w:rsidRDefault="001D2E2F" w:rsidP="00084917">
      <w:pPr>
        <w:snapToGrid w:val="0"/>
        <w:spacing w:line="360" w:lineRule="auto"/>
        <w:ind w:firstLineChars="196" w:firstLine="412"/>
        <w:rPr>
          <w:rFonts w:asciiTheme="minorEastAsia" w:eastAsiaTheme="minorEastAsia" w:hAnsiTheme="minorEastAsia"/>
          <w:kern w:val="0"/>
          <w:szCs w:val="21"/>
        </w:rPr>
      </w:pPr>
      <w:r w:rsidRPr="00456512">
        <w:rPr>
          <w:rFonts w:asciiTheme="minorEastAsia" w:eastAsiaTheme="minorEastAsia" w:hAnsiTheme="minorEastAsia" w:hint="eastAsia"/>
        </w:rPr>
        <w:t>本基金将密切关注深圳交易所推出的中小企业板的投资机会，并随着该板块市值规模的扩大和流动性的提高，逐渐加大对其中具有良好成长性股票的投资比重。</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49" w:name="_Toc52310850"/>
      <w:bookmarkStart w:id="50" w:name="_Toc64861725"/>
      <w:bookmarkStart w:id="51" w:name="_Toc30161787"/>
      <w:r w:rsidRPr="00456512">
        <w:rPr>
          <w:rFonts w:asciiTheme="minorEastAsia" w:eastAsiaTheme="minorEastAsia" w:hAnsiTheme="minorEastAsia" w:hint="eastAsia"/>
          <w:b w:val="0"/>
        </w:rPr>
        <w:t>投资理念</w:t>
      </w:r>
      <w:bookmarkEnd w:id="49"/>
      <w:bookmarkEnd w:id="50"/>
      <w:bookmarkEnd w:id="51"/>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投资超速成长企业，获取超额收益。</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52" w:name="_Toc52310852"/>
      <w:bookmarkStart w:id="53" w:name="_Toc64861727"/>
      <w:bookmarkStart w:id="54" w:name="_Toc30161788"/>
      <w:r w:rsidRPr="00456512">
        <w:rPr>
          <w:rFonts w:asciiTheme="minorEastAsia" w:eastAsiaTheme="minorEastAsia" w:hAnsiTheme="minorEastAsia" w:hint="eastAsia"/>
          <w:b w:val="0"/>
        </w:rPr>
        <w:t>投资策略</w:t>
      </w:r>
      <w:bookmarkEnd w:id="52"/>
      <w:bookmarkEnd w:id="53"/>
      <w:bookmarkEnd w:id="54"/>
    </w:p>
    <w:p w:rsidR="001D2E2F" w:rsidRPr="00456512" w:rsidRDefault="001D2E2F" w:rsidP="00084917">
      <w:pPr>
        <w:adjustRightInd w:val="0"/>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采取主动投资管理模式，主要分为两个层次，第一层次是主动地进行资产配置，以控制或规避市场的系统性风险，第二层次是自下而上的选股策略，在控制个股风险的基础上，给投资人带来尽可能高的回报。本基金投资策略的重点是第二层次选股策略。</w:t>
      </w:r>
    </w:p>
    <w:p w:rsidR="001D2E2F" w:rsidRPr="00456512" w:rsidRDefault="001D2E2F" w:rsidP="00084917">
      <w:pPr>
        <w:snapToGrid w:val="0"/>
        <w:spacing w:line="360" w:lineRule="auto"/>
        <w:ind w:firstLineChars="196" w:firstLine="413"/>
        <w:rPr>
          <w:rFonts w:asciiTheme="minorEastAsia" w:eastAsiaTheme="minorEastAsia" w:hAnsiTheme="minorEastAsia"/>
          <w:b/>
          <w:szCs w:val="21"/>
        </w:rPr>
      </w:pPr>
      <w:r w:rsidRPr="00456512">
        <w:rPr>
          <w:rFonts w:asciiTheme="minorEastAsia" w:eastAsiaTheme="minorEastAsia" w:hAnsiTheme="minorEastAsia" w:hint="eastAsia"/>
          <w:b/>
          <w:szCs w:val="21"/>
        </w:rPr>
        <w:t>1</w:t>
      </w:r>
      <w:r w:rsidR="00C64778" w:rsidRPr="00456512">
        <w:rPr>
          <w:rFonts w:asciiTheme="minorEastAsia" w:eastAsiaTheme="minorEastAsia" w:hAnsiTheme="minorEastAsia" w:hint="eastAsia"/>
          <w:b/>
          <w:szCs w:val="21"/>
        </w:rPr>
        <w:t>、</w:t>
      </w:r>
      <w:r w:rsidRPr="00456512">
        <w:rPr>
          <w:rFonts w:asciiTheme="minorEastAsia" w:eastAsiaTheme="minorEastAsia" w:hAnsiTheme="minorEastAsia" w:hint="eastAsia"/>
          <w:b/>
          <w:szCs w:val="21"/>
        </w:rPr>
        <w:t>资产配置策略</w:t>
      </w:r>
    </w:p>
    <w:p w:rsidR="001D2E2F" w:rsidRPr="00456512" w:rsidRDefault="001D2E2F" w:rsidP="00084917">
      <w:pPr>
        <w:adjustRightInd w:val="0"/>
        <w:snapToGrid w:val="0"/>
        <w:spacing w:line="360" w:lineRule="auto"/>
        <w:ind w:firstLine="437"/>
        <w:rPr>
          <w:rFonts w:asciiTheme="minorEastAsia" w:eastAsiaTheme="minorEastAsia" w:hAnsiTheme="minorEastAsia"/>
        </w:rPr>
      </w:pPr>
      <w:r w:rsidRPr="00456512">
        <w:rPr>
          <w:rFonts w:asciiTheme="minorEastAsia" w:eastAsiaTheme="minorEastAsia" w:hAnsiTheme="minorEastAsia" w:hint="eastAsia"/>
        </w:rPr>
        <w:t>本基金主要根据宏观经济、政策环境、利率走势、资金供求以及股票市场波动等因素的分析判断，其中重点关注国民经济的领先指标，如一次能源生产总量、钢产量、铁矿石产量、新开工项目数、狭义货币M1、商品销售收入等指标，分析预测宏观经济的发展趋势，据此评价未来一段时间股票、债券市场相对收益率，主动调整股票、债券及现金的配置比例。</w:t>
      </w:r>
    </w:p>
    <w:p w:rsidR="001D2E2F" w:rsidRPr="00456512" w:rsidRDefault="001D2E2F" w:rsidP="00084917">
      <w:pPr>
        <w:adjustRightInd w:val="0"/>
        <w:snapToGrid w:val="0"/>
        <w:spacing w:line="360" w:lineRule="auto"/>
        <w:ind w:firstLine="437"/>
        <w:rPr>
          <w:rFonts w:asciiTheme="minorEastAsia" w:eastAsiaTheme="minorEastAsia" w:hAnsiTheme="minorEastAsia"/>
        </w:rPr>
      </w:pPr>
      <w:r w:rsidRPr="00456512">
        <w:rPr>
          <w:rFonts w:asciiTheme="minorEastAsia" w:eastAsiaTheme="minorEastAsia" w:hAnsiTheme="minorEastAsia" w:hint="eastAsia"/>
        </w:rPr>
        <w:t>在有关法律法规许可的前提下，一般情况下，本基金将60%以上的资产投资于股票市场。</w:t>
      </w:r>
      <w:r w:rsidRPr="00456512">
        <w:rPr>
          <w:rFonts w:asciiTheme="minorEastAsia" w:eastAsiaTheme="minorEastAsia" w:hAnsiTheme="minorEastAsia" w:hint="eastAsia"/>
        </w:rPr>
        <w:lastRenderedPageBreak/>
        <w:t>而当股票市场系统性风险加大时，本基金可加大投资债券市场的比例，但股票资产占基金总资产的比重最低不低于40%。</w:t>
      </w:r>
    </w:p>
    <w:p w:rsidR="001D2E2F" w:rsidRPr="00456512" w:rsidRDefault="001D2E2F" w:rsidP="00084917">
      <w:pPr>
        <w:snapToGrid w:val="0"/>
        <w:spacing w:line="360" w:lineRule="auto"/>
        <w:ind w:firstLineChars="196" w:firstLine="413"/>
        <w:rPr>
          <w:rFonts w:asciiTheme="minorEastAsia" w:eastAsiaTheme="minorEastAsia" w:hAnsiTheme="minorEastAsia"/>
          <w:b/>
          <w:szCs w:val="21"/>
        </w:rPr>
      </w:pPr>
      <w:r w:rsidRPr="00456512">
        <w:rPr>
          <w:rFonts w:asciiTheme="minorEastAsia" w:eastAsiaTheme="minorEastAsia" w:hAnsiTheme="minorEastAsia" w:hint="eastAsia"/>
          <w:b/>
          <w:szCs w:val="21"/>
        </w:rPr>
        <w:t>2</w:t>
      </w:r>
      <w:r w:rsidR="00C64778" w:rsidRPr="00456512">
        <w:rPr>
          <w:rFonts w:asciiTheme="minorEastAsia" w:eastAsiaTheme="minorEastAsia" w:hAnsiTheme="minorEastAsia" w:hint="eastAsia"/>
          <w:b/>
          <w:szCs w:val="21"/>
        </w:rPr>
        <w:t>、</w:t>
      </w:r>
      <w:r w:rsidRPr="00456512">
        <w:rPr>
          <w:rFonts w:asciiTheme="minorEastAsia" w:eastAsiaTheme="minorEastAsia" w:hAnsiTheme="minorEastAsia" w:hint="eastAsia"/>
          <w:b/>
          <w:szCs w:val="21"/>
        </w:rPr>
        <w:t>股票投资策略</w:t>
      </w:r>
    </w:p>
    <w:p w:rsidR="001D2E2F" w:rsidRPr="00456512" w:rsidRDefault="001D2E2F" w:rsidP="00084917">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本基金认为，公司未来盈利的增长是股价上涨的主要驱动因素，因此将对上市公司基本面的深入研究作为基金的投资基础。本基金股票部分将投资未来有成长潜力的公司，即未来两到三年企业利润总额持续增长的公司。</w:t>
      </w:r>
    </w:p>
    <w:p w:rsidR="001D2E2F" w:rsidRPr="00456512" w:rsidRDefault="001D2E2F" w:rsidP="00084917">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本基金将首先采用定量分析与定性分析的方法，初步筛选出成长潜力较大的上市公司作为本基金的初选库。采用的定量指标主要包括主营利润增长率、净利润增长率、净资产收益率、主营业务利润率、主营利润率变化率等指标。</w:t>
      </w:r>
    </w:p>
    <w:p w:rsidR="001D2E2F" w:rsidRPr="00456512" w:rsidRDefault="001D2E2F" w:rsidP="00084917">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然后，本基金将对有成长潜力的上市公司进行进一步案头研究和实地调研，深入研究企业的基本面。在此过程中，本基金管理人将应用以下的“易方达成长公司投资评价体系”，对上市公司进行投资评价，对企业在未来两到三年的成长性进行分析和预测，优选成长性高、有持续成长能力、股票定价相对合理的公司作为本基金的备选库。</w:t>
      </w:r>
    </w:p>
    <w:p w:rsidR="001D2E2F" w:rsidRPr="00456512" w:rsidRDefault="001D2E2F" w:rsidP="00084917">
      <w:pPr>
        <w:snapToGrid w:val="0"/>
        <w:spacing w:line="360" w:lineRule="auto"/>
        <w:ind w:firstLine="271"/>
        <w:rPr>
          <w:rFonts w:asciiTheme="minorEastAsia" w:eastAsiaTheme="minorEastAsia" w:hAnsiTheme="minorEastAsia"/>
        </w:rPr>
      </w:pPr>
      <w:r w:rsidRPr="00456512">
        <w:rPr>
          <w:rFonts w:asciiTheme="minorEastAsia" w:eastAsiaTheme="minorEastAsia" w:hAnsiTheme="minorEastAsia" w:hint="eastAsia"/>
        </w:rPr>
        <w:t>“易方达成长公司投资评价体系”主要包括：</w:t>
      </w:r>
    </w:p>
    <w:p w:rsidR="001D2E2F" w:rsidRPr="00456512" w:rsidRDefault="00C64778" w:rsidP="00084917">
      <w:pPr>
        <w:snapToGrid w:val="0"/>
        <w:spacing w:line="360" w:lineRule="auto"/>
        <w:ind w:firstLineChars="196" w:firstLine="412"/>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行业因素</w:t>
      </w:r>
    </w:p>
    <w:p w:rsidR="001D2E2F" w:rsidRPr="00456512" w:rsidRDefault="00C64778" w:rsidP="00C64778">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市场空间。企业收入主要来源所在行业市场空间较大，远未饱和，消费需求持续增长；</w:t>
      </w:r>
    </w:p>
    <w:p w:rsidR="001D2E2F" w:rsidRPr="00456512" w:rsidRDefault="006F79CF" w:rsidP="00C64778">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行业周期。行业处于发展期或成熟期前期，或行业正从衰退中复苏；</w:t>
      </w:r>
    </w:p>
    <w:p w:rsidR="001D2E2F" w:rsidRPr="00456512" w:rsidRDefault="006F79CF" w:rsidP="00C64778">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rPr>
        <w:t>行业成长的推动力。企业在市场、产品结构、技术、原料等方面有区别，行业成长对不同企业的推动力也不一样。这里主要关注行业成长能否对企业的盈利有明显的推动力。</w:t>
      </w:r>
    </w:p>
    <w:p w:rsidR="001D2E2F" w:rsidRPr="00456512" w:rsidRDefault="006F79CF" w:rsidP="00084917">
      <w:pPr>
        <w:snapToGrid w:val="0"/>
        <w:spacing w:line="360" w:lineRule="auto"/>
        <w:ind w:left="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企业因素</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规模。企业原来规模较小，成长空间大；</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产能。企业可加大投入，不断扩大产能，并有配套的销售能力和市场空间；</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rPr>
        <w:t>创新。企业产品或技术创新能力较强，新产品、高技术含量产品的收入比例不断提高；</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竞争优势。企业有难以为竞争对手模仿的竞争优势，如在资源、技术、人才、资金、经营许可证、销售网络等方面的优势等，借此优势，企业可不断提高市场占有率；</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hint="eastAsia"/>
        </w:rPr>
        <w:t>管理。企业内部挖潜的潜力较大，可通过提高管理水平，降低营业成本、生产成本；</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6）</w:t>
      </w:r>
      <w:r w:rsidR="001D2E2F" w:rsidRPr="00456512">
        <w:rPr>
          <w:rFonts w:asciiTheme="minorEastAsia" w:eastAsiaTheme="minorEastAsia" w:hAnsiTheme="minorEastAsia" w:hint="eastAsia"/>
        </w:rPr>
        <w:t>购并。企业有潜在发生重组、收购、兼并的可能或机会，购并后将对企业的盈利能力有明显改善，企业购并实现的可能性较大，市场不完全了解有关信息或对企业盈利前景判断不一致时，蕴藏着较大投资机会。</w:t>
      </w:r>
    </w:p>
    <w:p w:rsidR="001D2E2F" w:rsidRPr="00456512" w:rsidRDefault="006F79CF" w:rsidP="00084917">
      <w:pPr>
        <w:snapToGrid w:val="0"/>
        <w:spacing w:line="360" w:lineRule="auto"/>
        <w:ind w:left="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定价因素</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相对定价。本基金根据不同行业的特点采用了不同的股票定价模型，并在综合考虑股票的历史的、国内的以及国外的定价水平的基础上，对企业进行相对定价。本基金主要投</w:t>
      </w:r>
      <w:r w:rsidR="001D2E2F" w:rsidRPr="00456512">
        <w:rPr>
          <w:rFonts w:asciiTheme="minorEastAsia" w:eastAsiaTheme="minorEastAsia" w:hAnsiTheme="minorEastAsia" w:hint="eastAsia"/>
        </w:rPr>
        <w:lastRenderedPageBreak/>
        <w:t>资有较高成长性的公司，股票市盈率可能较高，本基金将主要关注公司在本行业中的相对定价水平。</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市场预期。在短期内，公司价值没有变化，但因盈利预期、公司事件、市场热点转换等因素影响，板块或股票价格会重新定位。本基金将根据对市场的判断，在控制股票相对市盈率的基础上，准确及时地把握这类短期的投资机会。</w:t>
      </w:r>
    </w:p>
    <w:p w:rsidR="001D2E2F" w:rsidRPr="00456512" w:rsidRDefault="001D2E2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本基金将密切关注深圳交易所推出的中小企业板的投资机会，并随着该板块市值规模的扩大和流动性的提高，逐渐加大对其中具有良好成长性股票的投资比重。</w:t>
      </w:r>
    </w:p>
    <w:p w:rsidR="001D2E2F" w:rsidRPr="00456512" w:rsidRDefault="001D2E2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在按以上标准优选的股票中，本基金将再精选“超速成长”公司，作为本基金的核心备选库。本基金认为以下两类公司为“超速成长”公司。</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企业未来一年利润总额增长率超过国内生产总值增长率3倍，而且在未来两到三年将继续保持盈利增长。</w:t>
      </w:r>
    </w:p>
    <w:p w:rsidR="001D2E2F" w:rsidRPr="00456512" w:rsidRDefault="006F79CF" w:rsidP="006F79CF">
      <w:pPr>
        <w:snapToGrid w:val="0"/>
        <w:spacing w:line="360" w:lineRule="auto"/>
        <w:ind w:firstLine="36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企业下一年利润总额增长率超过上一年利润总额增长率的1.5倍，下一年利润绝对增长率超过国内生产总值增长率，而且在未来两到三年将继续保持盈利增长的上市公司。</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本基金除考虑上述公司的成长性和相对价值以外，还将结合股票的流动性、流通市值和风险分析等因素，构造股票投资组合。</w:t>
      </w:r>
    </w:p>
    <w:p w:rsidR="005E306A" w:rsidRPr="00456512" w:rsidRDefault="001D2E2F" w:rsidP="00084917">
      <w:pPr>
        <w:snapToGrid w:val="0"/>
        <w:spacing w:line="360" w:lineRule="auto"/>
        <w:ind w:leftChars="66" w:left="139" w:firstLineChars="183" w:firstLine="384"/>
        <w:rPr>
          <w:rFonts w:asciiTheme="minorEastAsia" w:eastAsiaTheme="minorEastAsia" w:hAnsiTheme="minorEastAsia"/>
          <w:kern w:val="0"/>
          <w:szCs w:val="21"/>
        </w:rPr>
        <w:sectPr w:rsidR="005E306A" w:rsidRPr="00456512" w:rsidSect="005E306A">
          <w:pgSz w:w="11906" w:h="16838" w:code="9"/>
          <w:pgMar w:top="1440" w:right="1800" w:bottom="1440" w:left="1800" w:header="851" w:footer="992" w:gutter="0"/>
          <w:cols w:space="425"/>
          <w:titlePg/>
          <w:docGrid w:type="lines" w:linePitch="312"/>
        </w:sectPr>
      </w:pPr>
      <w:r w:rsidRPr="00456512">
        <w:rPr>
          <w:rFonts w:asciiTheme="minorEastAsia" w:eastAsiaTheme="minorEastAsia" w:hAnsiTheme="minorEastAsia" w:hint="eastAsia"/>
        </w:rPr>
        <w:t>本基金将不低于80%的股票资产投资于</w:t>
      </w:r>
      <w:r w:rsidRPr="00456512">
        <w:rPr>
          <w:rFonts w:asciiTheme="minorEastAsia" w:eastAsiaTheme="minorEastAsia" w:hAnsiTheme="minorEastAsia" w:hint="eastAsia"/>
          <w:kern w:val="0"/>
          <w:szCs w:val="21"/>
        </w:rPr>
        <w:t>“超速成长”公司的股票。</w:t>
      </w:r>
    </w:p>
    <w:p w:rsidR="001D2E2F" w:rsidRPr="00456512" w:rsidRDefault="001D2E2F" w:rsidP="00084917">
      <w:pPr>
        <w:snapToGrid w:val="0"/>
        <w:spacing w:line="360" w:lineRule="auto"/>
        <w:ind w:firstLine="271"/>
        <w:jc w:val="center"/>
        <w:rPr>
          <w:rFonts w:asciiTheme="minorEastAsia" w:eastAsiaTheme="minorEastAsia" w:hAnsiTheme="minorEastAsia"/>
          <w:b/>
          <w:bCs/>
          <w:szCs w:val="21"/>
        </w:rPr>
      </w:pPr>
      <w:r w:rsidRPr="00456512">
        <w:rPr>
          <w:rFonts w:asciiTheme="minorEastAsia" w:eastAsiaTheme="minorEastAsia" w:hAnsiTheme="minorEastAsia" w:hint="eastAsia"/>
          <w:b/>
          <w:bCs/>
          <w:szCs w:val="21"/>
        </w:rPr>
        <w:lastRenderedPageBreak/>
        <w:t>股票投资流程</w: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29" style="position:absolute;left:0;text-align:left;flip:x;z-index:251642368" from="153pt,15.6pt" to="306pt,15.6pt">
            <v:stroke endarrow="block"/>
          </v:line>
        </w:pict>
      </w:r>
      <w:r>
        <w:rPr>
          <w:rFonts w:asciiTheme="minorEastAsia" w:eastAsiaTheme="minorEastAsia" w:hAnsiTheme="minorEastAsia"/>
          <w:noProof/>
          <w:sz w:val="20"/>
          <w:szCs w:val="21"/>
        </w:rPr>
        <w:pict>
          <v:shapetype id="_x0000_t202" coordsize="21600,21600" o:spt="202" path="m,l,21600r21600,l21600,xe">
            <v:stroke joinstyle="miter"/>
            <v:path gradientshapeok="t" o:connecttype="rect"/>
          </v:shapetype>
          <v:shape id="_x0000_s1027" type="#_x0000_t202" style="position:absolute;left:0;text-align:left;margin-left:306pt;margin-top:7.8pt;width:90pt;height:23.4pt;z-index:251640320">
            <v:textbox style="mso-next-textbox:#_x0000_s1027">
              <w:txbxContent>
                <w:p w:rsidR="00FF100F" w:rsidRDefault="00FF100F" w:rsidP="001D2E2F">
                  <w:pPr>
                    <w:jc w:val="center"/>
                  </w:pPr>
                  <w:r>
                    <w:rPr>
                      <w:rFonts w:hint="eastAsia"/>
                    </w:rPr>
                    <w:t>股票资产配置</w:t>
                  </w:r>
                </w:p>
              </w:txbxContent>
            </v:textbox>
          </v:shape>
        </w:pict>
      </w:r>
      <w:r>
        <w:rPr>
          <w:rFonts w:asciiTheme="minorEastAsia" w:eastAsiaTheme="minorEastAsia" w:hAnsiTheme="minorEastAsia"/>
          <w:noProof/>
          <w:sz w:val="20"/>
          <w:szCs w:val="21"/>
        </w:rPr>
        <w:pict>
          <v:shape id="_x0000_s1026" type="#_x0000_t202" style="position:absolute;left:0;text-align:left;margin-left:45pt;margin-top:7.8pt;width:108pt;height:23.4pt;z-index:251639296">
            <v:textbox style="mso-next-textbox:#_x0000_s1026">
              <w:txbxContent>
                <w:p w:rsidR="00FF100F" w:rsidRDefault="00FF100F" w:rsidP="001D2E2F">
                  <w:r>
                    <w:rPr>
                      <w:rFonts w:hint="eastAsia"/>
                    </w:rPr>
                    <w:t>整体股票上市公司</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32" style="position:absolute;left:0;text-align:left;z-index:251645440" from="99pt,10.8pt" to="99pt,36pt">
            <v:stroke endarrow="block"/>
          </v:lin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60" style="position:absolute;left:0;text-align:left;flip:y;z-index:251674112" from="15.75pt,20.4pt" to="15.75pt,252.9pt"/>
        </w:pict>
      </w:r>
      <w:r>
        <w:rPr>
          <w:rFonts w:asciiTheme="minorEastAsia" w:eastAsiaTheme="minorEastAsia" w:hAnsiTheme="minorEastAsia"/>
          <w:noProof/>
          <w:sz w:val="20"/>
          <w:szCs w:val="21"/>
        </w:rPr>
        <w:pict>
          <v:shape id="_x0000_s1030" type="#_x0000_t202" style="position:absolute;left:0;text-align:left;margin-left:306pt;margin-top:7.8pt;width:90pt;height:23.4pt;z-index:251643392">
            <v:textbox style="mso-next-textbox:#_x0000_s1030">
              <w:txbxContent>
                <w:p w:rsidR="00FF100F" w:rsidRDefault="00FF100F" w:rsidP="001D2E2F">
                  <w:pPr>
                    <w:jc w:val="center"/>
                  </w:pPr>
                  <w:r>
                    <w:rPr>
                      <w:rFonts w:hint="eastAsia"/>
                    </w:rPr>
                    <w:t>定量分析与定性分析</w:t>
                  </w:r>
                </w:p>
              </w:txbxContent>
            </v:textbox>
          </v:shape>
        </w:pict>
      </w:r>
      <w:r>
        <w:rPr>
          <w:rFonts w:asciiTheme="minorEastAsia" w:eastAsiaTheme="minorEastAsia" w:hAnsiTheme="minorEastAsia"/>
          <w:noProof/>
          <w:sz w:val="20"/>
          <w:szCs w:val="21"/>
        </w:rPr>
        <w:pict>
          <v:shape id="_x0000_s1028" type="#_x0000_t202" style="position:absolute;left:0;text-align:left;margin-left:54pt;margin-top:15.6pt;width:90pt;height:23.4pt;z-index:251641344">
            <v:textbox style="mso-next-textbox:#_x0000_s1028">
              <w:txbxContent>
                <w:p w:rsidR="00FF100F" w:rsidRDefault="00FF100F" w:rsidP="001D2E2F">
                  <w:r>
                    <w:rPr>
                      <w:rFonts w:hint="eastAsia"/>
                    </w:rPr>
                    <w:t>成长股初选库</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35" type="#_x0000_t202" style="position:absolute;left:0;text-align:left;margin-left:108pt;margin-top:18.6pt;width:63pt;height:69.95pt;z-index:251648512" stroked="f">
            <v:textbox style="mso-next-textbox:#_x0000_s1035">
              <w:txbxContent>
                <w:p w:rsidR="00FF100F" w:rsidRDefault="00FF100F" w:rsidP="001D2E2F">
                  <w:r>
                    <w:rPr>
                      <w:rFonts w:hint="eastAsia"/>
                    </w:rPr>
                    <w:t>案头研究公司调研研究报告</w:t>
                  </w:r>
                </w:p>
                <w:p w:rsidR="00FF100F" w:rsidRDefault="00FF100F" w:rsidP="001D2E2F">
                  <w:r>
                    <w:rPr>
                      <w:rFonts w:hint="eastAsia"/>
                    </w:rPr>
                    <w:t>投资会议</w:t>
                  </w:r>
                </w:p>
              </w:txbxContent>
            </v:textbox>
          </v:shape>
        </w:pict>
      </w:r>
      <w:r>
        <w:rPr>
          <w:rFonts w:asciiTheme="minorEastAsia" w:eastAsiaTheme="minorEastAsia" w:hAnsiTheme="minorEastAsia"/>
          <w:noProof/>
          <w:sz w:val="20"/>
          <w:szCs w:val="21"/>
        </w:rPr>
        <w:pict>
          <v:line id="_x0000_s1031" style="position:absolute;left:0;text-align:left;flip:x;z-index:251644416" from="2in,0" to="306pt,0">
            <v:stroke endarrow="block"/>
          </v:line>
        </w:pict>
      </w:r>
      <w:r>
        <w:rPr>
          <w:rFonts w:asciiTheme="minorEastAsia" w:eastAsiaTheme="minorEastAsia" w:hAnsiTheme="minorEastAsia"/>
          <w:noProof/>
          <w:sz w:val="20"/>
          <w:szCs w:val="21"/>
        </w:rPr>
        <w:pict>
          <v:line id="_x0000_s1061" style="position:absolute;left:0;text-align:left;z-index:251675136" from="18pt,0" to="54pt,0">
            <v:stroke endarrow="block"/>
          </v:lin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34" style="position:absolute;left:0;text-align:left;flip:x;z-index:251647488" from="98.95pt,.6pt" to="98.95pt,67.1pt">
            <v:stroke endarrow="block"/>
          </v:line>
        </w:pict>
      </w:r>
      <w:r>
        <w:rPr>
          <w:rFonts w:asciiTheme="minorEastAsia" w:eastAsiaTheme="minorEastAsia" w:hAnsiTheme="minorEastAsia"/>
          <w:noProof/>
          <w:sz w:val="20"/>
          <w:szCs w:val="21"/>
        </w:rPr>
        <w:pict>
          <v:shape id="_x0000_s1036" type="#_x0000_t202" style="position:absolute;left:0;text-align:left;margin-left:225pt;margin-top:14.1pt;width:27pt;height:140.4pt;z-index:251649536">
            <v:textbox style="mso-next-textbox:#_x0000_s1036">
              <w:txbxContent>
                <w:p w:rsidR="00FF100F" w:rsidRDefault="00FF100F" w:rsidP="001D2E2F">
                  <w:r>
                    <w:rPr>
                      <w:rFonts w:hint="eastAsia"/>
                    </w:rPr>
                    <w:t>成长公司评价体系</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37" type="#_x0000_t202" style="position:absolute;left:0;text-align:left;margin-left:306pt;margin-top:0;width:90pt;height:23.4pt;z-index:251650560">
            <v:textbox style="mso-next-textbox:#_x0000_s1037">
              <w:txbxContent>
                <w:p w:rsidR="00FF100F" w:rsidRDefault="00FF100F" w:rsidP="001D2E2F">
                  <w:pPr>
                    <w:jc w:val="center"/>
                  </w:pPr>
                  <w:r>
                    <w:rPr>
                      <w:rFonts w:hint="eastAsia"/>
                    </w:rPr>
                    <w:t>行业因素</w:t>
                  </w:r>
                </w:p>
              </w:txbxContent>
            </v:textbox>
          </v:shape>
        </w:pict>
      </w:r>
      <w:r>
        <w:rPr>
          <w:rFonts w:asciiTheme="minorEastAsia" w:eastAsiaTheme="minorEastAsia" w:hAnsiTheme="minorEastAsia"/>
          <w:noProof/>
          <w:sz w:val="20"/>
          <w:szCs w:val="21"/>
        </w:rPr>
        <w:pict>
          <v:line id="_x0000_s1041" style="position:absolute;left:0;text-align:left;flip:x;z-index:251654656" from="252pt,15.6pt" to="306pt,15.6pt"/>
        </w:pict>
      </w:r>
    </w:p>
    <w:p w:rsidR="001D2E2F" w:rsidRPr="00456512" w:rsidRDefault="001D2E2F" w:rsidP="00084917">
      <w:pPr>
        <w:snapToGrid w:val="0"/>
        <w:spacing w:line="360" w:lineRule="auto"/>
        <w:ind w:firstLine="271"/>
        <w:rPr>
          <w:rFonts w:asciiTheme="minorEastAsia" w:eastAsiaTheme="minorEastAsia" w:hAnsiTheme="minorEastAsia"/>
          <w:szCs w:val="21"/>
        </w:rPr>
      </w:pP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39" type="#_x0000_t202" style="position:absolute;left:0;text-align:left;margin-left:306pt;margin-top:7.8pt;width:90pt;height:23.4pt;z-index:251652608">
            <v:textbox style="mso-next-textbox:#_x0000_s1039">
              <w:txbxContent>
                <w:p w:rsidR="00FF100F" w:rsidRDefault="00FF100F" w:rsidP="001D2E2F">
                  <w:pPr>
                    <w:jc w:val="center"/>
                  </w:pPr>
                  <w:r>
                    <w:rPr>
                      <w:rFonts w:hint="eastAsia"/>
                    </w:rPr>
                    <w:t>企业因素</w:t>
                  </w:r>
                </w:p>
              </w:txbxContent>
            </v:textbox>
          </v:shape>
        </w:pict>
      </w:r>
      <w:r>
        <w:rPr>
          <w:rFonts w:asciiTheme="minorEastAsia" w:eastAsiaTheme="minorEastAsia" w:hAnsiTheme="minorEastAsia"/>
          <w:noProof/>
          <w:sz w:val="20"/>
          <w:szCs w:val="21"/>
        </w:rPr>
        <w:pict>
          <v:shape id="_x0000_s1033" type="#_x0000_t202" style="position:absolute;left:0;text-align:left;margin-left:54pt;margin-top:7.8pt;width:90pt;height:23.4pt;z-index:251646464">
            <v:textbox style="mso-next-textbox:#_x0000_s1033">
              <w:txbxContent>
                <w:p w:rsidR="00FF100F" w:rsidRDefault="00FF100F" w:rsidP="001D2E2F">
                  <w:r>
                    <w:rPr>
                      <w:rFonts w:hint="eastAsia"/>
                    </w:rPr>
                    <w:t>成长股备选库</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45" style="position:absolute;left:0;text-align:left;z-index:251658752" from="99pt,10.65pt" to="99pt,68.25pt">
            <v:stroke endarrow="block"/>
          </v:line>
        </w:pict>
      </w:r>
      <w:r>
        <w:rPr>
          <w:rFonts w:asciiTheme="minorEastAsia" w:eastAsiaTheme="minorEastAsia" w:hAnsiTheme="minorEastAsia"/>
          <w:noProof/>
          <w:sz w:val="20"/>
          <w:szCs w:val="21"/>
        </w:rPr>
        <w:pict>
          <v:line id="_x0000_s1043" style="position:absolute;left:0;text-align:left;flip:x;z-index:251656704" from="252pt,0" to="306pt,0"/>
        </w:pict>
      </w:r>
      <w:r>
        <w:rPr>
          <w:rFonts w:asciiTheme="minorEastAsia" w:eastAsiaTheme="minorEastAsia" w:hAnsiTheme="minorEastAsia"/>
          <w:noProof/>
          <w:sz w:val="20"/>
          <w:szCs w:val="21"/>
        </w:rPr>
        <w:pict>
          <v:line id="_x0000_s1040" style="position:absolute;left:0;text-align:left;flip:x;z-index:251653632" from="2in,0" to="225pt,0">
            <v:stroke endarrow="block"/>
          </v:lin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46" type="#_x0000_t202" style="position:absolute;left:0;text-align:left;margin-left:117pt;margin-top:0;width:63pt;height:39pt;z-index:251659776" stroked="f">
            <v:textbox style="mso-next-textbox:#_x0000_s1046">
              <w:txbxContent>
                <w:p w:rsidR="00FF100F" w:rsidRDefault="00FF100F" w:rsidP="001D2E2F">
                  <w:r>
                    <w:rPr>
                      <w:rFonts w:hint="eastAsia"/>
                    </w:rPr>
                    <w:t>优中选优</w:t>
                  </w:r>
                </w:p>
                <w:p w:rsidR="00FF100F" w:rsidRDefault="00FF100F" w:rsidP="001D2E2F">
                  <w:r>
                    <w:rPr>
                      <w:rFonts w:hint="eastAsia"/>
                    </w:rPr>
                    <w:t>深入调研</w:t>
                  </w:r>
                </w:p>
              </w:txbxContent>
            </v:textbox>
          </v:shape>
        </w:pict>
      </w:r>
      <w:r>
        <w:rPr>
          <w:rFonts w:asciiTheme="minorEastAsia" w:eastAsiaTheme="minorEastAsia" w:hAnsiTheme="minorEastAsia"/>
          <w:noProof/>
          <w:sz w:val="20"/>
          <w:szCs w:val="21"/>
        </w:rPr>
        <w:pict>
          <v:shape id="_x0000_s1038" type="#_x0000_t202" style="position:absolute;left:0;text-align:left;margin-left:306pt;margin-top:7.8pt;width:90pt;height:23.4pt;z-index:251651584">
            <v:textbox style="mso-next-textbox:#_x0000_s1038">
              <w:txbxContent>
                <w:p w:rsidR="00FF100F" w:rsidRDefault="00FF100F" w:rsidP="001D2E2F">
                  <w:pPr>
                    <w:jc w:val="center"/>
                  </w:pPr>
                  <w:r>
                    <w:rPr>
                      <w:rFonts w:hint="eastAsia"/>
                    </w:rPr>
                    <w:t>定价因素</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47" type="#_x0000_t202" style="position:absolute;left:0;text-align:left;margin-left:306pt;margin-top:15.6pt;width:90pt;height:23.4pt;z-index:251660800">
            <v:textbox style="mso-next-textbox:#_x0000_s1047">
              <w:txbxContent>
                <w:p w:rsidR="00FF100F" w:rsidRDefault="00FF100F" w:rsidP="001D2E2F">
                  <w:pPr>
                    <w:jc w:val="center"/>
                  </w:pPr>
                  <w:r>
                    <w:rPr>
                      <w:rFonts w:hint="eastAsia"/>
                    </w:rPr>
                    <w:t>3</w:t>
                  </w:r>
                  <w:r>
                    <w:rPr>
                      <w:rFonts w:hint="eastAsia"/>
                    </w:rPr>
                    <w:t>倍</w:t>
                  </w:r>
                  <w:r>
                    <w:rPr>
                      <w:rFonts w:hint="eastAsia"/>
                    </w:rPr>
                    <w:t>GDP</w:t>
                  </w:r>
                  <w:r>
                    <w:rPr>
                      <w:rFonts w:hint="eastAsia"/>
                    </w:rPr>
                    <w:t>增速</w:t>
                  </w:r>
                </w:p>
              </w:txbxContent>
            </v:textbox>
          </v:shape>
        </w:pict>
      </w:r>
      <w:r>
        <w:rPr>
          <w:rFonts w:asciiTheme="minorEastAsia" w:eastAsiaTheme="minorEastAsia" w:hAnsiTheme="minorEastAsia"/>
          <w:noProof/>
          <w:sz w:val="20"/>
          <w:szCs w:val="21"/>
        </w:rPr>
        <w:pict>
          <v:line id="_x0000_s1042" style="position:absolute;left:0;text-align:left;flip:x;z-index:251655680" from="252pt,0" to="306pt,0"/>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49" style="position:absolute;left:0;text-align:left;z-index:251662848" from="4in,7.8pt" to="4in,40.85pt"/>
        </w:pict>
      </w:r>
      <w:r>
        <w:rPr>
          <w:rFonts w:asciiTheme="minorEastAsia" w:eastAsiaTheme="minorEastAsia" w:hAnsiTheme="minorEastAsia"/>
          <w:noProof/>
          <w:sz w:val="20"/>
          <w:szCs w:val="21"/>
        </w:rPr>
        <w:pict>
          <v:line id="_x0000_s1052" style="position:absolute;left:0;text-align:left;flip:x;z-index:251665920" from="153pt,18.6pt" to="4in,18.6pt">
            <v:stroke endarrow="block"/>
          </v:line>
        </w:pict>
      </w:r>
      <w:r>
        <w:rPr>
          <w:rFonts w:asciiTheme="minorEastAsia" w:eastAsiaTheme="minorEastAsia" w:hAnsiTheme="minorEastAsia"/>
          <w:noProof/>
          <w:sz w:val="20"/>
          <w:szCs w:val="21"/>
        </w:rPr>
        <w:pict>
          <v:line id="_x0000_s1050" style="position:absolute;left:0;text-align:left;z-index:251663872" from="4in,7.8pt" to="306pt,7.8pt"/>
        </w:pict>
      </w:r>
      <w:r>
        <w:rPr>
          <w:rFonts w:asciiTheme="minorEastAsia" w:eastAsiaTheme="minorEastAsia" w:hAnsiTheme="minorEastAsia"/>
          <w:noProof/>
          <w:sz w:val="20"/>
          <w:szCs w:val="21"/>
        </w:rPr>
        <w:pict>
          <v:shape id="_x0000_s1044" type="#_x0000_t202" style="position:absolute;left:0;text-align:left;margin-left:45pt;margin-top:7.8pt;width:108pt;height:23.4pt;z-index:251657728">
            <v:textbox style="mso-next-textbox:#_x0000_s1044">
              <w:txbxContent>
                <w:p w:rsidR="00FF100F" w:rsidRDefault="00FF100F" w:rsidP="001D2E2F">
                  <w:pPr>
                    <w:jc w:val="center"/>
                  </w:pPr>
                  <w:r>
                    <w:rPr>
                      <w:rFonts w:hint="eastAsia"/>
                    </w:rPr>
                    <w:t>成长股核心备选库</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55" style="position:absolute;left:0;text-align:left;flip:x;z-index:251668992" from="99.75pt,12pt" to="99.75pt,35.25pt">
            <v:stroke endarrow="block"/>
          </v:line>
        </w:pict>
      </w:r>
      <w:r>
        <w:rPr>
          <w:rFonts w:asciiTheme="minorEastAsia" w:eastAsiaTheme="minorEastAsia" w:hAnsiTheme="minorEastAsia"/>
          <w:noProof/>
          <w:sz w:val="20"/>
          <w:szCs w:val="21"/>
        </w:rPr>
        <w:pict>
          <v:shape id="_x0000_s1048" type="#_x0000_t202" style="position:absolute;left:0;text-align:left;margin-left:306pt;margin-top:7.8pt;width:90pt;height:23.4pt;z-index:251661824">
            <v:textbox style="mso-next-textbox:#_x0000_s1048">
              <w:txbxContent>
                <w:p w:rsidR="00FF100F" w:rsidRDefault="00FF100F" w:rsidP="001D2E2F">
                  <w:pPr>
                    <w:jc w:val="center"/>
                  </w:pPr>
                  <w:r>
                    <w:rPr>
                      <w:rFonts w:hint="eastAsia"/>
                    </w:rPr>
                    <w:t>1.5</w:t>
                  </w:r>
                  <w:r>
                    <w:rPr>
                      <w:rFonts w:hint="eastAsia"/>
                    </w:rPr>
                    <w:t>倍加速增长</w:t>
                  </w:r>
                </w:p>
              </w:txbxContent>
            </v:textbox>
          </v:shape>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shape id="_x0000_s1057" type="#_x0000_t202" style="position:absolute;left:0;text-align:left;margin-left:306pt;margin-top:15.6pt;width:81pt;height:85.8pt;z-index:251671040">
            <v:textbox style="mso-next-textbox:#_x0000_s1057">
              <w:txbxContent>
                <w:p w:rsidR="00FF100F" w:rsidRDefault="00FF100F" w:rsidP="001D2E2F">
                  <w:pPr>
                    <w:jc w:val="center"/>
                  </w:pPr>
                  <w:r>
                    <w:rPr>
                      <w:rFonts w:hint="eastAsia"/>
                    </w:rPr>
                    <w:t>成长性</w:t>
                  </w:r>
                </w:p>
                <w:p w:rsidR="00FF100F" w:rsidRDefault="00FF100F" w:rsidP="001D2E2F">
                  <w:pPr>
                    <w:jc w:val="center"/>
                  </w:pPr>
                  <w:r>
                    <w:rPr>
                      <w:rFonts w:hint="eastAsia"/>
                    </w:rPr>
                    <w:t>相对定价</w:t>
                  </w:r>
                </w:p>
                <w:p w:rsidR="00FF100F" w:rsidRDefault="00FF100F" w:rsidP="001D2E2F">
                  <w:pPr>
                    <w:jc w:val="center"/>
                  </w:pPr>
                  <w:r>
                    <w:rPr>
                      <w:rFonts w:hint="eastAsia"/>
                    </w:rPr>
                    <w:t>流动性</w:t>
                  </w:r>
                </w:p>
                <w:p w:rsidR="00FF100F" w:rsidRDefault="00FF100F" w:rsidP="001D2E2F">
                  <w:pPr>
                    <w:jc w:val="center"/>
                  </w:pPr>
                  <w:r>
                    <w:rPr>
                      <w:rFonts w:hint="eastAsia"/>
                    </w:rPr>
                    <w:t>流通市值</w:t>
                  </w:r>
                </w:p>
                <w:p w:rsidR="00FF100F" w:rsidRDefault="00FF100F" w:rsidP="001D2E2F">
                  <w:pPr>
                    <w:jc w:val="center"/>
                  </w:pPr>
                  <w:r>
                    <w:rPr>
                      <w:rFonts w:hint="eastAsia"/>
                    </w:rPr>
                    <w:t>买卖纪律</w:t>
                  </w:r>
                </w:p>
              </w:txbxContent>
            </v:textbox>
          </v:shape>
        </w:pict>
      </w:r>
      <w:r>
        <w:rPr>
          <w:rFonts w:asciiTheme="minorEastAsia" w:eastAsiaTheme="minorEastAsia" w:hAnsiTheme="minorEastAsia"/>
          <w:noProof/>
          <w:sz w:val="20"/>
          <w:szCs w:val="21"/>
        </w:rPr>
        <w:pict>
          <v:shape id="_x0000_s1053" type="#_x0000_t202" style="position:absolute;left:0;text-align:left;margin-left:45pt;margin-top:15.6pt;width:108pt;height:23.4pt;z-index:251666944">
            <v:textbox style="mso-next-textbox:#_x0000_s1053">
              <w:txbxContent>
                <w:p w:rsidR="00FF100F" w:rsidRDefault="00FF100F" w:rsidP="001D2E2F">
                  <w:pPr>
                    <w:jc w:val="center"/>
                  </w:pPr>
                  <w:r>
                    <w:rPr>
                      <w:rFonts w:hint="eastAsia"/>
                    </w:rPr>
                    <w:t>构造并调整组合</w:t>
                  </w:r>
                </w:p>
              </w:txbxContent>
            </v:textbox>
          </v:shape>
        </w:pict>
      </w:r>
      <w:r>
        <w:rPr>
          <w:rFonts w:asciiTheme="minorEastAsia" w:eastAsiaTheme="minorEastAsia" w:hAnsiTheme="minorEastAsia"/>
          <w:noProof/>
          <w:sz w:val="20"/>
          <w:szCs w:val="21"/>
        </w:rPr>
        <w:pict>
          <v:line id="_x0000_s1051" style="position:absolute;left:0;text-align:left;z-index:251664896" from="4in,0" to="306pt,0"/>
        </w:pict>
      </w:r>
    </w:p>
    <w:p w:rsidR="001D2E2F" w:rsidRPr="00456512" w:rsidRDefault="00A37DE8" w:rsidP="00084917">
      <w:pPr>
        <w:snapToGrid w:val="0"/>
        <w:spacing w:line="360" w:lineRule="auto"/>
        <w:ind w:firstLine="271"/>
        <w:rPr>
          <w:rFonts w:asciiTheme="minorEastAsia" w:eastAsiaTheme="minorEastAsia" w:hAnsiTheme="minorEastAsia"/>
          <w:szCs w:val="21"/>
        </w:rPr>
      </w:pPr>
      <w:r>
        <w:rPr>
          <w:rFonts w:asciiTheme="minorEastAsia" w:eastAsiaTheme="minorEastAsia" w:hAnsiTheme="minorEastAsia"/>
          <w:noProof/>
          <w:sz w:val="20"/>
          <w:szCs w:val="21"/>
        </w:rPr>
        <w:pict>
          <v:line id="_x0000_s1059" style="position:absolute;left:0;text-align:left;flip:y;z-index:251673088" from="1in,20.1pt" to="1in,43.5pt">
            <v:stroke endarrow="block"/>
          </v:line>
        </w:pict>
      </w:r>
      <w:r>
        <w:rPr>
          <w:rFonts w:asciiTheme="minorEastAsia" w:eastAsiaTheme="minorEastAsia" w:hAnsiTheme="minorEastAsia"/>
          <w:noProof/>
          <w:sz w:val="20"/>
          <w:szCs w:val="21"/>
        </w:rPr>
        <w:pict>
          <v:line id="_x0000_s1056" style="position:absolute;left:0;text-align:left;z-index:251670016" from="99pt,19.35pt" to="99pt,42.75pt">
            <v:stroke endarrow="block"/>
          </v:line>
        </w:pict>
      </w:r>
      <w:r>
        <w:rPr>
          <w:rFonts w:asciiTheme="minorEastAsia" w:eastAsiaTheme="minorEastAsia" w:hAnsiTheme="minorEastAsia"/>
          <w:noProof/>
          <w:sz w:val="20"/>
          <w:szCs w:val="21"/>
        </w:rPr>
        <w:pict>
          <v:line id="_x0000_s1062" style="position:absolute;left:0;text-align:left;z-index:251676160" from="18pt,7.8pt" to="45pt,7.8pt"/>
        </w:pict>
      </w:r>
      <w:r>
        <w:rPr>
          <w:rFonts w:asciiTheme="minorEastAsia" w:eastAsiaTheme="minorEastAsia" w:hAnsiTheme="minorEastAsia"/>
          <w:noProof/>
          <w:sz w:val="20"/>
          <w:szCs w:val="21"/>
        </w:rPr>
        <w:pict>
          <v:line id="_x0000_s1058" style="position:absolute;left:0;text-align:left;flip:x;z-index:251672064" from="153pt,7.8pt" to="306pt,7.8pt">
            <v:stroke endarrow="block"/>
          </v:line>
        </w:pict>
      </w:r>
    </w:p>
    <w:p w:rsidR="001D2E2F" w:rsidRPr="00456512" w:rsidRDefault="001D2E2F" w:rsidP="00084917">
      <w:pPr>
        <w:snapToGrid w:val="0"/>
        <w:spacing w:line="360" w:lineRule="auto"/>
        <w:ind w:firstLine="271"/>
        <w:rPr>
          <w:rFonts w:asciiTheme="minorEastAsia" w:eastAsiaTheme="minorEastAsia" w:hAnsiTheme="minorEastAsia"/>
          <w:szCs w:val="21"/>
        </w:rPr>
      </w:pPr>
    </w:p>
    <w:p w:rsidR="001D2E2F" w:rsidRPr="00456512" w:rsidRDefault="00A37DE8" w:rsidP="00084917">
      <w:pPr>
        <w:snapToGrid w:val="0"/>
        <w:spacing w:line="360" w:lineRule="auto"/>
        <w:ind w:leftChars="129" w:left="271" w:firstLine="464"/>
        <w:rPr>
          <w:rFonts w:asciiTheme="minorEastAsia" w:eastAsiaTheme="minorEastAsia" w:hAnsiTheme="minorEastAsia"/>
          <w:szCs w:val="21"/>
        </w:rPr>
      </w:pPr>
      <w:r>
        <w:rPr>
          <w:rFonts w:asciiTheme="minorEastAsia" w:eastAsiaTheme="minorEastAsia" w:hAnsiTheme="minorEastAsia"/>
          <w:noProof/>
          <w:sz w:val="20"/>
          <w:szCs w:val="21"/>
        </w:rPr>
        <w:pict>
          <v:shape id="_x0000_s1054" type="#_x0000_t202" style="position:absolute;left:0;text-align:left;margin-left:45pt;margin-top:3pt;width:108pt;height:23.4pt;z-index:251667968">
            <v:textbox style="mso-next-textbox:#_x0000_s1054">
              <w:txbxContent>
                <w:p w:rsidR="00FF100F" w:rsidRDefault="00FF100F" w:rsidP="001D2E2F">
                  <w:pPr>
                    <w:jc w:val="center"/>
                  </w:pPr>
                  <w:r>
                    <w:rPr>
                      <w:rFonts w:hint="eastAsia"/>
                    </w:rPr>
                    <w:t>风险控制</w:t>
                  </w:r>
                </w:p>
              </w:txbxContent>
            </v:textbox>
          </v:shape>
        </w:pict>
      </w:r>
    </w:p>
    <w:p w:rsidR="001D2E2F" w:rsidRPr="00456512" w:rsidRDefault="001D2E2F" w:rsidP="00084917">
      <w:pPr>
        <w:snapToGrid w:val="0"/>
        <w:spacing w:line="360" w:lineRule="auto"/>
        <w:ind w:leftChars="129" w:left="271" w:firstLine="464"/>
        <w:rPr>
          <w:rFonts w:asciiTheme="minorEastAsia" w:eastAsiaTheme="minorEastAsia" w:hAnsiTheme="minorEastAsia"/>
          <w:szCs w:val="21"/>
        </w:rPr>
      </w:pPr>
    </w:p>
    <w:p w:rsidR="001D2E2F" w:rsidRPr="00456512" w:rsidRDefault="001D2E2F" w:rsidP="00084917">
      <w:pPr>
        <w:snapToGrid w:val="0"/>
        <w:spacing w:line="360" w:lineRule="auto"/>
        <w:ind w:firstLineChars="196" w:firstLine="413"/>
        <w:rPr>
          <w:rFonts w:asciiTheme="minorEastAsia" w:eastAsiaTheme="minorEastAsia" w:hAnsiTheme="minorEastAsia"/>
          <w:b/>
          <w:szCs w:val="21"/>
        </w:rPr>
      </w:pPr>
      <w:r w:rsidRPr="00456512">
        <w:rPr>
          <w:rFonts w:asciiTheme="minorEastAsia" w:eastAsiaTheme="minorEastAsia" w:hAnsiTheme="minorEastAsia" w:hint="eastAsia"/>
          <w:b/>
          <w:szCs w:val="21"/>
        </w:rPr>
        <w:t>3</w:t>
      </w:r>
      <w:r w:rsidR="006F79CF" w:rsidRPr="00456512">
        <w:rPr>
          <w:rFonts w:asciiTheme="minorEastAsia" w:eastAsiaTheme="minorEastAsia" w:hAnsiTheme="minorEastAsia" w:hint="eastAsia"/>
          <w:b/>
          <w:szCs w:val="21"/>
        </w:rPr>
        <w:t>、</w:t>
      </w:r>
      <w:r w:rsidRPr="00456512">
        <w:rPr>
          <w:rFonts w:asciiTheme="minorEastAsia" w:eastAsiaTheme="minorEastAsia" w:hAnsiTheme="minorEastAsia" w:hint="eastAsia"/>
          <w:b/>
          <w:szCs w:val="21"/>
        </w:rPr>
        <w:t>债券投资策略</w:t>
      </w:r>
    </w:p>
    <w:p w:rsidR="001D2E2F" w:rsidRPr="00456512" w:rsidRDefault="001D2E2F" w:rsidP="00084917">
      <w:pPr>
        <w:tabs>
          <w:tab w:val="left" w:pos="0"/>
        </w:tabs>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在债券投资方面，本基金可投资于国债、金融债、企业债和可转换债券等债券品种。本基金将根据对利率走势的预测、债券等级、债券的期限结构、风险结构、不同品种流动性的高低等因素，构造债券组合。</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55" w:name="_Toc30161789"/>
      <w:r w:rsidRPr="00456512">
        <w:rPr>
          <w:rFonts w:asciiTheme="minorEastAsia" w:eastAsiaTheme="minorEastAsia" w:hAnsiTheme="minorEastAsia" w:hint="eastAsia"/>
          <w:b w:val="0"/>
        </w:rPr>
        <w:t>业绩</w:t>
      </w:r>
      <w:r w:rsidRPr="00456512">
        <w:rPr>
          <w:rFonts w:asciiTheme="minorEastAsia" w:eastAsiaTheme="minorEastAsia" w:hAnsiTheme="minorEastAsia"/>
          <w:b w:val="0"/>
        </w:rPr>
        <w:t>比较基准</w:t>
      </w:r>
      <w:bookmarkEnd w:id="55"/>
    </w:p>
    <w:p w:rsidR="001D2E2F" w:rsidRPr="00456512" w:rsidRDefault="001D2E2F" w:rsidP="00084917">
      <w:pPr>
        <w:adjustRightInd w:val="0"/>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本基金的业绩比较基准为：上证A股指数。</w:t>
      </w:r>
    </w:p>
    <w:p w:rsidR="001D2E2F" w:rsidRPr="00456512" w:rsidRDefault="001D2E2F" w:rsidP="00084917">
      <w:pPr>
        <w:adjustRightInd w:val="0"/>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积极成长基金使用上述业绩比较基准主要考虑到：上证A指使用时间长，投资者认同度高,而且市场代表性较强，所以选其作为业绩比较基准。</w:t>
      </w:r>
    </w:p>
    <w:p w:rsidR="001D2E2F" w:rsidRPr="00456512" w:rsidRDefault="001D2E2F" w:rsidP="00084917">
      <w:pPr>
        <w:adjustRightInd w:val="0"/>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当市场出现更合适、更权威的比较基准时，本基金管理人有权选用新的比较基准，并将及时公告。</w:t>
      </w:r>
    </w:p>
    <w:p w:rsidR="001D2E2F" w:rsidRPr="00456512" w:rsidRDefault="001D2E2F" w:rsidP="00084917">
      <w:pPr>
        <w:adjustRightInd w:val="0"/>
        <w:snapToGrid w:val="0"/>
        <w:spacing w:line="360" w:lineRule="auto"/>
        <w:ind w:firstLine="420"/>
        <w:rPr>
          <w:rFonts w:asciiTheme="minorEastAsia" w:eastAsiaTheme="minorEastAsia" w:hAnsiTheme="minorEastAsia"/>
        </w:rPr>
      </w:pP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56" w:name="_Toc99507340"/>
      <w:bookmarkStart w:id="57" w:name="_Toc30161790"/>
      <w:bookmarkEnd w:id="56"/>
      <w:r w:rsidRPr="00456512">
        <w:rPr>
          <w:rFonts w:asciiTheme="minorEastAsia" w:eastAsiaTheme="minorEastAsia" w:hAnsiTheme="minorEastAsia" w:hint="eastAsia"/>
          <w:b w:val="0"/>
        </w:rPr>
        <w:lastRenderedPageBreak/>
        <w:t>投资程序</w:t>
      </w:r>
      <w:bookmarkEnd w:id="42"/>
      <w:bookmarkEnd w:id="57"/>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1</w:t>
      </w:r>
      <w:r w:rsidR="006F79CF" w:rsidRPr="00456512">
        <w:rPr>
          <w:rFonts w:asciiTheme="minorEastAsia" w:eastAsiaTheme="minorEastAsia" w:hAnsiTheme="minorEastAsia" w:hint="eastAsia"/>
        </w:rPr>
        <w:t>、</w:t>
      </w:r>
      <w:r w:rsidRPr="00456512">
        <w:rPr>
          <w:rFonts w:asciiTheme="minorEastAsia" w:eastAsiaTheme="minorEastAsia" w:hAnsiTheme="minorEastAsia" w:hint="eastAsia"/>
        </w:rPr>
        <w:t>投资决策程序</w:t>
      </w:r>
    </w:p>
    <w:p w:rsidR="001D2E2F" w:rsidRPr="00456512" w:rsidRDefault="00BF0BE0"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w:t>
      </w:r>
      <w:r w:rsidR="001D2E2F" w:rsidRPr="00456512">
        <w:rPr>
          <w:rFonts w:asciiTheme="minorEastAsia" w:eastAsiaTheme="minorEastAsia" w:hAnsiTheme="minorEastAsia" w:hint="eastAsia"/>
        </w:rPr>
        <w:t>1）投资决策依据</w:t>
      </w:r>
    </w:p>
    <w:p w:rsidR="001D2E2F" w:rsidRPr="00456512" w:rsidRDefault="005964E1"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szCs w:val="21"/>
        </w:rPr>
        <w:t>1</w:t>
      </w:r>
      <w:r w:rsidRPr="00456512">
        <w:rPr>
          <w:rFonts w:asciiTheme="minorEastAsia" w:eastAsiaTheme="minorEastAsia" w:hAnsiTheme="minorEastAsia" w:hint="eastAsia"/>
          <w:szCs w:val="21"/>
        </w:rPr>
        <w:t>）</w:t>
      </w:r>
      <w:r w:rsidR="001D2E2F" w:rsidRPr="00456512">
        <w:rPr>
          <w:rFonts w:asciiTheme="minorEastAsia" w:eastAsiaTheme="minorEastAsia" w:hAnsiTheme="minorEastAsia" w:hint="eastAsia"/>
          <w:szCs w:val="21"/>
        </w:rPr>
        <w:t>国家有关法律、法规和《基金合同》的规定。</w:t>
      </w:r>
    </w:p>
    <w:p w:rsidR="001D2E2F" w:rsidRPr="00456512" w:rsidRDefault="005964E1"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政治形势、政策趋势和宏观经济形势。</w:t>
      </w:r>
    </w:p>
    <w:p w:rsidR="001D2E2F" w:rsidRPr="00456512" w:rsidRDefault="005964E1"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行业和上市公司基本面。</w:t>
      </w:r>
    </w:p>
    <w:p w:rsidR="001D2E2F" w:rsidRPr="00456512" w:rsidRDefault="005964E1"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证券市场发展趋势。</w:t>
      </w:r>
    </w:p>
    <w:p w:rsidR="001D2E2F" w:rsidRPr="00456512" w:rsidRDefault="005964E1"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投资决策流程</w:t>
      </w:r>
    </w:p>
    <w:p w:rsidR="00BF0BE0" w:rsidRPr="00456512" w:rsidRDefault="00BF0BE0"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szCs w:val="21"/>
        </w:rPr>
        <w:t>1</w:t>
      </w:r>
      <w:r w:rsidRPr="00456512">
        <w:rPr>
          <w:rFonts w:asciiTheme="minorEastAsia" w:eastAsiaTheme="minorEastAsia" w:hAnsiTheme="minorEastAsia" w:hint="eastAsia"/>
          <w:szCs w:val="21"/>
        </w:rPr>
        <w:t>）资产配置决策</w:t>
      </w:r>
    </w:p>
    <w:p w:rsidR="00456512" w:rsidRPr="00456512" w:rsidRDefault="00D64D21"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投资决策委员会定期召开会议，确定阶段性的投资思路，提出资产配置和行业配置的指导性意见。</w:t>
      </w:r>
    </w:p>
    <w:p w:rsidR="00BF0BE0" w:rsidRPr="00456512" w:rsidRDefault="00BF0BE0"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kern w:val="0"/>
        </w:rPr>
        <w:t>2）</w:t>
      </w:r>
      <w:r w:rsidRPr="00456512">
        <w:rPr>
          <w:rFonts w:asciiTheme="minorEastAsia" w:eastAsiaTheme="minorEastAsia" w:hAnsiTheme="minorEastAsia" w:hint="eastAsia"/>
          <w:szCs w:val="21"/>
        </w:rPr>
        <w:t>类别资产投资决策</w:t>
      </w:r>
    </w:p>
    <w:p w:rsidR="00BF0BE0" w:rsidRPr="00456512" w:rsidRDefault="00BF0BE0"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基金经理根据各类资产的投资策略，分别进行股票、债券等资产类别的投资决策。</w:t>
      </w:r>
    </w:p>
    <w:p w:rsidR="00BF0BE0" w:rsidRPr="00456512" w:rsidRDefault="00BF0BE0" w:rsidP="007F114F">
      <w:pPr>
        <w:numPr>
          <w:ilvl w:val="0"/>
          <w:numId w:val="8"/>
        </w:numPr>
        <w:snapToGrid w:val="0"/>
        <w:spacing w:line="360" w:lineRule="auto"/>
        <w:ind w:left="0" w:firstLineChars="200" w:firstLine="420"/>
        <w:rPr>
          <w:rFonts w:asciiTheme="minorEastAsia" w:eastAsiaTheme="minorEastAsia" w:hAnsiTheme="minorEastAsia"/>
          <w:kern w:val="0"/>
        </w:rPr>
      </w:pPr>
      <w:r w:rsidRPr="00456512">
        <w:rPr>
          <w:rFonts w:asciiTheme="minorEastAsia" w:eastAsiaTheme="minorEastAsia" w:hAnsiTheme="minorEastAsia" w:hint="eastAsia"/>
          <w:szCs w:val="21"/>
        </w:rPr>
        <w:t>股票投资决策</w:t>
      </w:r>
    </w:p>
    <w:p w:rsidR="001D2E2F" w:rsidRPr="00456512" w:rsidRDefault="00166FB7" w:rsidP="00084917">
      <w:pPr>
        <w:snapToGrid w:val="0"/>
        <w:spacing w:line="360" w:lineRule="auto"/>
        <w:ind w:firstLineChars="200" w:firstLine="420"/>
        <w:rPr>
          <w:rFonts w:asciiTheme="minorEastAsia" w:eastAsiaTheme="minorEastAsia" w:hAnsiTheme="minorEastAsia"/>
          <w:kern w:val="0"/>
        </w:rPr>
      </w:pPr>
      <w:r w:rsidRPr="00456512">
        <w:rPr>
          <w:rFonts w:asciiTheme="minorEastAsia" w:eastAsiaTheme="minorEastAsia" w:hAnsiTheme="minorEastAsia" w:hint="eastAsia"/>
          <w:kern w:val="0"/>
        </w:rPr>
        <w:t>A.</w:t>
      </w:r>
      <w:r w:rsidR="006A7AFA" w:rsidRPr="00456512">
        <w:rPr>
          <w:rFonts w:asciiTheme="minorEastAsia" w:eastAsiaTheme="minorEastAsia" w:hAnsiTheme="minorEastAsia" w:hint="eastAsia"/>
          <w:kern w:val="0"/>
        </w:rPr>
        <w:t>研究员对有成长潜力的上市公司进行深入调研，从而对企业未来的成长性进行预测，</w:t>
      </w:r>
      <w:r w:rsidR="006A7AFA" w:rsidRPr="00456512">
        <w:rPr>
          <w:rFonts w:asciiTheme="minorEastAsia" w:eastAsiaTheme="minorEastAsia" w:hAnsiTheme="minorEastAsia" w:hint="eastAsia"/>
        </w:rPr>
        <w:t>选择高成长企业</w:t>
      </w:r>
      <w:r w:rsidR="00C54EE8" w:rsidRPr="00456512">
        <w:rPr>
          <w:rFonts w:asciiTheme="minorEastAsia" w:eastAsiaTheme="minorEastAsia" w:hAnsiTheme="minorEastAsia" w:hint="eastAsia"/>
        </w:rPr>
        <w:t>作为主要投资对象</w:t>
      </w:r>
      <w:r w:rsidR="006A7AFA" w:rsidRPr="00456512">
        <w:rPr>
          <w:rFonts w:asciiTheme="minorEastAsia" w:eastAsiaTheme="minorEastAsia" w:hAnsiTheme="minorEastAsia" w:hint="eastAsia"/>
        </w:rPr>
        <w:t>，并从中优选超速成长企业</w:t>
      </w:r>
      <w:r w:rsidR="001D2E2F" w:rsidRPr="00456512">
        <w:rPr>
          <w:rFonts w:asciiTheme="minorEastAsia" w:eastAsiaTheme="minorEastAsia" w:hAnsiTheme="minorEastAsia" w:hint="eastAsia"/>
          <w:kern w:val="0"/>
        </w:rPr>
        <w:t>；</w:t>
      </w:r>
    </w:p>
    <w:p w:rsidR="00BF0BE0" w:rsidRPr="00456512" w:rsidRDefault="00166FB7"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rPr>
        <w:t>B.</w:t>
      </w:r>
      <w:r w:rsidR="00C54EE8" w:rsidRPr="00456512">
        <w:rPr>
          <w:rFonts w:asciiTheme="minorEastAsia" w:eastAsiaTheme="minorEastAsia" w:hAnsiTheme="minorEastAsia" w:hint="eastAsia"/>
          <w:kern w:val="0"/>
        </w:rPr>
        <w:t xml:space="preserve"> 基金经理根据基金合同的要求、投资决策委员会的决议和指导性意见、研究员的评价报告，</w:t>
      </w:r>
      <w:r w:rsidR="00523BBA" w:rsidRPr="00456512">
        <w:rPr>
          <w:rFonts w:asciiTheme="minorEastAsia" w:eastAsiaTheme="minorEastAsia" w:hAnsiTheme="minorEastAsia" w:hint="eastAsia"/>
          <w:kern w:val="0"/>
        </w:rPr>
        <w:t>确定本基金的投资决策</w:t>
      </w:r>
      <w:r w:rsidRPr="00456512">
        <w:rPr>
          <w:rFonts w:asciiTheme="minorEastAsia" w:eastAsiaTheme="minorEastAsia" w:hAnsiTheme="minorEastAsia" w:hint="eastAsia"/>
          <w:szCs w:val="21"/>
        </w:rPr>
        <w:t>。</w:t>
      </w:r>
    </w:p>
    <w:p w:rsidR="00166FB7" w:rsidRPr="00456512" w:rsidRDefault="00166FB7" w:rsidP="007F114F">
      <w:pPr>
        <w:numPr>
          <w:ilvl w:val="0"/>
          <w:numId w:val="8"/>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债券投资决策</w:t>
      </w:r>
    </w:p>
    <w:p w:rsidR="00BF0BE0" w:rsidRPr="00456512" w:rsidRDefault="00BF0BE0"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基金经理根据宏观研究员及债券研究员提供的研究报告，结合自身的分析判断，选择具体的债券品种构造投资组合。</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2</w:t>
      </w:r>
      <w:r w:rsidR="006F79CF" w:rsidRPr="00456512">
        <w:rPr>
          <w:rFonts w:asciiTheme="minorEastAsia" w:eastAsiaTheme="minorEastAsia" w:hAnsiTheme="minorEastAsia" w:hint="eastAsia"/>
        </w:rPr>
        <w:t>、</w:t>
      </w:r>
      <w:r w:rsidRPr="00456512">
        <w:rPr>
          <w:rFonts w:asciiTheme="minorEastAsia" w:eastAsiaTheme="minorEastAsia" w:hAnsiTheme="minorEastAsia" w:hint="eastAsia"/>
        </w:rPr>
        <w:t>投资交易程序</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3</w:t>
      </w:r>
      <w:r w:rsidR="006F79CF" w:rsidRPr="00456512">
        <w:rPr>
          <w:rFonts w:asciiTheme="minorEastAsia" w:eastAsiaTheme="minorEastAsia" w:hAnsiTheme="minorEastAsia" w:hint="eastAsia"/>
        </w:rPr>
        <w:t>、</w:t>
      </w:r>
      <w:r w:rsidRPr="00456512">
        <w:rPr>
          <w:rFonts w:asciiTheme="minorEastAsia" w:eastAsiaTheme="minorEastAsia" w:hAnsiTheme="minorEastAsia" w:hint="eastAsia"/>
        </w:rPr>
        <w:t>投资风险的监控和管理</w:t>
      </w:r>
    </w:p>
    <w:p w:rsidR="00D52386" w:rsidRPr="00456512" w:rsidRDefault="00D52386" w:rsidP="00084917">
      <w:pPr>
        <w:snapToGrid w:val="0"/>
        <w:spacing w:line="360" w:lineRule="auto"/>
        <w:ind w:firstLineChars="200" w:firstLine="420"/>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（1）</w:t>
      </w:r>
      <w:r w:rsidR="00456512" w:rsidRPr="00456512">
        <w:rPr>
          <w:rFonts w:asciiTheme="minorEastAsia" w:eastAsiaTheme="minorEastAsia" w:hAnsiTheme="minorEastAsia" w:hint="eastAsia"/>
          <w:kern w:val="0"/>
          <w:szCs w:val="21"/>
        </w:rPr>
        <w:t>监察合规管理部门</w:t>
      </w:r>
      <w:r w:rsidRPr="00456512">
        <w:rPr>
          <w:rFonts w:asciiTheme="minorEastAsia" w:eastAsiaTheme="minorEastAsia" w:hAnsiTheme="minorEastAsia" w:hint="eastAsia"/>
          <w:kern w:val="0"/>
          <w:szCs w:val="21"/>
        </w:rPr>
        <w:t>对基金的日常投资和交易是否遵守法律法规、基金合同进行独立监督检查。</w:t>
      </w:r>
    </w:p>
    <w:p w:rsidR="00D52386" w:rsidRPr="00456512" w:rsidRDefault="00D52386" w:rsidP="00084917">
      <w:pPr>
        <w:snapToGrid w:val="0"/>
        <w:spacing w:line="360" w:lineRule="auto"/>
        <w:ind w:firstLineChars="200" w:firstLine="420"/>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（2）投资风险管理部定期出具基金绩效评估和风险管理报告，供基金经理调整投资组合时参考。</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58" w:name="_Toc52310854"/>
      <w:bookmarkStart w:id="59" w:name="_Toc30161791"/>
      <w:r w:rsidRPr="00456512">
        <w:rPr>
          <w:rFonts w:asciiTheme="minorEastAsia" w:eastAsiaTheme="minorEastAsia" w:hAnsiTheme="minorEastAsia" w:hint="eastAsia"/>
          <w:b w:val="0"/>
        </w:rPr>
        <w:lastRenderedPageBreak/>
        <w:t>基金投资限制</w:t>
      </w:r>
      <w:bookmarkEnd w:id="58"/>
      <w:bookmarkEnd w:id="59"/>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除法律法规和本《基金合同》规定的关于基金投资的限制外，本基金对投资运作不设另外的限制。</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因基金规模或市场剧烈变化导致投资组合不符合上述比例限制时，基金管理人应在合理的期限内进行调整，以符合有关限制规定。法律法规另有规定时从其规定。</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60" w:name="_Toc52310855"/>
      <w:bookmarkStart w:id="61" w:name="_Toc30161792"/>
      <w:r w:rsidRPr="00456512">
        <w:rPr>
          <w:rFonts w:asciiTheme="minorEastAsia" w:eastAsiaTheme="minorEastAsia" w:hAnsiTheme="minorEastAsia" w:hint="eastAsia"/>
          <w:b w:val="0"/>
        </w:rPr>
        <w:t>禁止行为</w:t>
      </w:r>
      <w:bookmarkEnd w:id="60"/>
      <w:bookmarkEnd w:id="61"/>
    </w:p>
    <w:p w:rsidR="001D2E2F" w:rsidRPr="00456512" w:rsidRDefault="001D2E2F" w:rsidP="00084917">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按照当时有效的法律、法规、规章的规定，基金资产不得用于下列投资或者活动：</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1、</w:t>
      </w:r>
      <w:r w:rsidR="001D2E2F" w:rsidRPr="00456512">
        <w:rPr>
          <w:rFonts w:asciiTheme="minorEastAsia" w:eastAsiaTheme="minorEastAsia" w:hAnsiTheme="minorEastAsia" w:hint="eastAsia"/>
          <w:szCs w:val="24"/>
        </w:rPr>
        <w:t>买卖其他证券投资基金份额，但法律法规另有规定的除外；</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2、</w:t>
      </w:r>
      <w:r w:rsidR="001D2E2F" w:rsidRPr="00456512">
        <w:rPr>
          <w:rFonts w:asciiTheme="minorEastAsia" w:eastAsiaTheme="minorEastAsia" w:hAnsiTheme="minorEastAsia" w:hint="eastAsia"/>
          <w:szCs w:val="24"/>
        </w:rPr>
        <w:t>将基金资产用于向他人贷款或提供担保；</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3、</w:t>
      </w:r>
      <w:r w:rsidR="001D2E2F" w:rsidRPr="00456512">
        <w:rPr>
          <w:rFonts w:asciiTheme="minorEastAsia" w:eastAsiaTheme="minorEastAsia" w:hAnsiTheme="minorEastAsia" w:hint="eastAsia"/>
          <w:szCs w:val="24"/>
        </w:rPr>
        <w:t>承销证券；</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4、</w:t>
      </w:r>
      <w:r w:rsidR="001D2E2F" w:rsidRPr="00456512">
        <w:rPr>
          <w:rFonts w:asciiTheme="minorEastAsia" w:eastAsiaTheme="minorEastAsia" w:hAnsiTheme="minorEastAsia" w:hint="eastAsia"/>
          <w:szCs w:val="24"/>
        </w:rPr>
        <w:t>从事可能使基金资产承担无限责任的投资；</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5、</w:t>
      </w:r>
      <w:r w:rsidR="001D2E2F" w:rsidRPr="00456512">
        <w:rPr>
          <w:rFonts w:asciiTheme="minorEastAsia" w:eastAsiaTheme="minorEastAsia" w:hAnsiTheme="minorEastAsia" w:hint="eastAsia"/>
          <w:szCs w:val="24"/>
        </w:rPr>
        <w:t>向基金管理人、基金托管人出资或者买卖基金管理人、基金托管人发行的股票或债券；</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6、</w:t>
      </w:r>
      <w:r w:rsidR="001D2E2F" w:rsidRPr="00456512">
        <w:rPr>
          <w:rFonts w:asciiTheme="minorEastAsia" w:eastAsiaTheme="minorEastAsia" w:hAnsiTheme="minorEastAsia" w:hint="eastAsia"/>
          <w:szCs w:val="24"/>
        </w:rPr>
        <w:t>买卖与基金管理人、基金托管人有控股关系的股东或者与基金管理人、基金托管人有其他重大利害关系的公司发行的证券或承销期内承销的证券；</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7、</w:t>
      </w:r>
      <w:r w:rsidR="001D2E2F" w:rsidRPr="00456512">
        <w:rPr>
          <w:rFonts w:asciiTheme="minorEastAsia" w:eastAsiaTheme="minorEastAsia" w:hAnsiTheme="minorEastAsia" w:hint="eastAsia"/>
          <w:szCs w:val="24"/>
        </w:rPr>
        <w:t>从事内幕交易、操纵证券交易价格及其他不正当的证券交易活动；</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8、</w:t>
      </w:r>
      <w:r w:rsidR="001D2E2F" w:rsidRPr="00456512">
        <w:rPr>
          <w:rFonts w:asciiTheme="minorEastAsia" w:eastAsiaTheme="minorEastAsia" w:hAnsiTheme="minorEastAsia" w:hint="eastAsia"/>
          <w:szCs w:val="24"/>
        </w:rPr>
        <w:t>其他法律、法规、规章、中国证监会及《基金合同》规定禁止从事的行为。</w:t>
      </w:r>
    </w:p>
    <w:p w:rsidR="001D2E2F" w:rsidRPr="00456512" w:rsidRDefault="006F79CF" w:rsidP="00084917">
      <w:pPr>
        <w:pStyle w:val="a6"/>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9、</w:t>
      </w:r>
      <w:r w:rsidR="001D2E2F" w:rsidRPr="00456512">
        <w:rPr>
          <w:rFonts w:asciiTheme="minorEastAsia" w:eastAsiaTheme="minorEastAsia" w:hAnsiTheme="minorEastAsia" w:hint="eastAsia"/>
          <w:szCs w:val="21"/>
        </w:rPr>
        <w:t>对上述事项，法律法规另有规定时从其规定。</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62" w:name="_Toc30161793"/>
      <w:r w:rsidRPr="00456512">
        <w:rPr>
          <w:rFonts w:asciiTheme="minorEastAsia" w:eastAsiaTheme="minorEastAsia" w:hAnsiTheme="minorEastAsia" w:hint="eastAsia"/>
          <w:b w:val="0"/>
        </w:rPr>
        <w:t>基金管理人代表基金行使所投资证券产生权利的处理原则及方法</w:t>
      </w:r>
      <w:bookmarkEnd w:id="62"/>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1、</w:t>
      </w:r>
      <w:r w:rsidR="001D2E2F" w:rsidRPr="00456512">
        <w:rPr>
          <w:rFonts w:asciiTheme="minorEastAsia" w:eastAsiaTheme="minorEastAsia" w:hAnsiTheme="minorEastAsia" w:hint="eastAsia"/>
          <w:szCs w:val="24"/>
        </w:rPr>
        <w:t>不谋求对上市公司的控股，不参与所投资上市公司的经营管理；</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2、</w:t>
      </w:r>
      <w:r w:rsidR="001D2E2F" w:rsidRPr="00456512">
        <w:rPr>
          <w:rFonts w:asciiTheme="minorEastAsia" w:eastAsiaTheme="minorEastAsia" w:hAnsiTheme="minorEastAsia" w:hint="eastAsia"/>
          <w:szCs w:val="24"/>
        </w:rPr>
        <w:t>有利于基金资产的安全与增值；</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3、</w:t>
      </w:r>
      <w:r w:rsidR="001D2E2F" w:rsidRPr="00456512">
        <w:rPr>
          <w:rFonts w:asciiTheme="minorEastAsia" w:eastAsiaTheme="minorEastAsia" w:hAnsiTheme="minorEastAsia" w:hint="eastAsia"/>
          <w:szCs w:val="24"/>
        </w:rPr>
        <w:t>基金管理人按照国家有关规定代表基金独立行使股东权利，保护基金投资者的利益。</w:t>
      </w:r>
    </w:p>
    <w:p w:rsidR="001D2E2F" w:rsidRPr="00456512" w:rsidRDefault="006F79CF" w:rsidP="006F79CF">
      <w:pPr>
        <w:pStyle w:val="a6"/>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4、</w:t>
      </w:r>
      <w:r w:rsidR="001D2E2F" w:rsidRPr="00456512">
        <w:rPr>
          <w:rFonts w:asciiTheme="minorEastAsia" w:eastAsiaTheme="minorEastAsia" w:hAnsiTheme="minorEastAsia" w:hint="eastAsia"/>
          <w:szCs w:val="24"/>
        </w:rPr>
        <w:t>基金管理人按照国家有关规定代表基金独立行使债权人权利，保护基金投资者的利益。</w:t>
      </w:r>
    </w:p>
    <w:p w:rsidR="001D2E2F" w:rsidRPr="00456512" w:rsidRDefault="001D2E2F" w:rsidP="00084917">
      <w:pPr>
        <w:pStyle w:val="23"/>
        <w:numPr>
          <w:ilvl w:val="1"/>
          <w:numId w:val="6"/>
        </w:numPr>
        <w:tabs>
          <w:tab w:val="num" w:pos="630"/>
        </w:tabs>
        <w:snapToGrid w:val="0"/>
        <w:spacing w:before="312" w:after="312" w:line="360" w:lineRule="auto"/>
        <w:ind w:left="0" w:firstLineChars="0" w:firstLine="0"/>
        <w:rPr>
          <w:rFonts w:asciiTheme="minorEastAsia" w:eastAsiaTheme="minorEastAsia" w:hAnsiTheme="minorEastAsia"/>
          <w:b w:val="0"/>
        </w:rPr>
      </w:pPr>
      <w:bookmarkStart w:id="63" w:name="_Toc30161794"/>
      <w:r w:rsidRPr="00456512">
        <w:rPr>
          <w:rFonts w:asciiTheme="minorEastAsia" w:eastAsiaTheme="minorEastAsia" w:hAnsiTheme="minorEastAsia" w:hint="eastAsia"/>
          <w:b w:val="0"/>
        </w:rPr>
        <w:t>基金投资组合报告（未经审计）</w:t>
      </w:r>
      <w:bookmarkEnd w:id="63"/>
    </w:p>
    <w:p w:rsidR="00F524E3" w:rsidRPr="00456512" w:rsidRDefault="00F524E3" w:rsidP="00F524E3">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本基金管理人的董事会及董事保证本报告所载资料不存在虚假记载、误导性陈述或重大</w:t>
      </w:r>
      <w:r w:rsidRPr="00456512">
        <w:rPr>
          <w:rFonts w:asciiTheme="minorEastAsia" w:eastAsiaTheme="minorEastAsia" w:hAnsiTheme="minorEastAsia" w:hint="eastAsia"/>
          <w:sz w:val="21"/>
          <w:szCs w:val="21"/>
        </w:rPr>
        <w:lastRenderedPageBreak/>
        <w:t>遗漏，并对其内容的真实性、准确性和完整性承担个别及连带责任。</w:t>
      </w:r>
    </w:p>
    <w:p w:rsidR="00F524E3" w:rsidRPr="00456512" w:rsidRDefault="00F524E3" w:rsidP="00F524E3">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本基金的托管人中国银行股份有限公司根据本基金合同的规定，复核了本投资组合报告的内容。</w:t>
      </w:r>
    </w:p>
    <w:p w:rsidR="00F524E3" w:rsidRPr="00456512" w:rsidRDefault="00083CDE" w:rsidP="00F524E3">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本投资组合报告有关数据的期间为2019年7月1日至2019年9月30日</w:t>
      </w:r>
      <w:r w:rsidR="00F524E3" w:rsidRPr="00456512">
        <w:rPr>
          <w:rFonts w:asciiTheme="minorEastAsia" w:eastAsiaTheme="minorEastAsia" w:hAnsiTheme="minorEastAsia" w:hint="eastAsia"/>
          <w:sz w:val="21"/>
          <w:szCs w:val="21"/>
        </w:rPr>
        <w:t>。</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1、报告期末基金资产组合情况</w:t>
      </w:r>
    </w:p>
    <w:tbl>
      <w:tblPr>
        <w:tblW w:w="8000" w:type="dxa"/>
        <w:tblInd w:w="-171" w:type="dxa"/>
        <w:tblCellMar>
          <w:left w:w="0" w:type="dxa"/>
          <w:right w:w="0" w:type="dxa"/>
        </w:tblCellMar>
        <w:tblLook w:val="04A0" w:firstRow="1" w:lastRow="0" w:firstColumn="1" w:lastColumn="0" w:noHBand="0" w:noVBand="1"/>
      </w:tblPr>
      <w:tblGrid>
        <w:gridCol w:w="725"/>
        <w:gridCol w:w="2827"/>
        <w:gridCol w:w="2909"/>
        <w:gridCol w:w="1539"/>
      </w:tblGrid>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序号</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项目</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金额（元）</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占基金总资产的比例（%）</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1</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权益投资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1,802,468,248.41</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88.52</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3CDE" w:rsidRPr="00456512" w:rsidRDefault="00083CDE">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其中：股票</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1,802,468,248.41</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88.52</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2</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固定收益投资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80,157,998.29</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3.94</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3CDE" w:rsidRPr="00456512" w:rsidRDefault="00083CDE">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其中：债券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80,157,998.29</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3.94</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3CDE" w:rsidRPr="00456512" w:rsidRDefault="00083CDE">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autoSpaceDE w:val="0"/>
              <w:autoSpaceDN w:val="0"/>
              <w:adjustRightInd w:val="0"/>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资产支持证券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3</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CDE" w:rsidRPr="00456512" w:rsidRDefault="00083CDE">
            <w:pPr>
              <w:spacing w:before="29" w:line="300" w:lineRule="auto"/>
              <w:ind w:leftChars="50" w:left="105"/>
              <w:rPr>
                <w:rFonts w:asciiTheme="minorEastAsia" w:eastAsiaTheme="minorEastAsia" w:hAnsiTheme="minorEastAsia"/>
                <w:kern w:val="0"/>
              </w:rPr>
            </w:pPr>
            <w:r w:rsidRPr="00456512">
              <w:rPr>
                <w:rFonts w:asciiTheme="minorEastAsia" w:eastAsiaTheme="minorEastAsia" w:hAnsiTheme="minorEastAsia" w:hint="eastAsia"/>
                <w:kern w:val="0"/>
              </w:rPr>
              <w:t>贵金属投资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4</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金融衍生品投资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5</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3CDE" w:rsidRPr="00456512" w:rsidRDefault="00083CDE">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其中：买断式回购的买入返售金融资产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6</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银行存款和结算备付金合计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151,662,567.26</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7.45</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7</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left"/>
              <w:rPr>
                <w:rFonts w:asciiTheme="minorEastAsia" w:eastAsiaTheme="minorEastAsia" w:hAnsiTheme="minorEastAsia"/>
                <w:kern w:val="0"/>
              </w:rPr>
            </w:pPr>
            <w:r w:rsidRPr="00456512">
              <w:rPr>
                <w:rFonts w:asciiTheme="minorEastAsia" w:eastAsiaTheme="minorEastAsia" w:hAnsiTheme="minorEastAsia" w:hint="eastAsia"/>
                <w:kern w:val="0"/>
              </w:rPr>
              <w:t>其他资产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1,860,005.29</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0.09</w:t>
            </w:r>
          </w:p>
        </w:tc>
      </w:tr>
      <w:tr w:rsidR="00456512" w:rsidRPr="00456512" w:rsidTr="00083CDE">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8</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left"/>
              <w:rPr>
                <w:rFonts w:asciiTheme="minorEastAsia" w:eastAsiaTheme="minorEastAsia" w:hAnsiTheme="minorEastAsia"/>
                <w:kern w:val="0"/>
              </w:rPr>
            </w:pPr>
            <w:r w:rsidRPr="00456512">
              <w:rPr>
                <w:rFonts w:asciiTheme="minorEastAsia" w:eastAsiaTheme="minorEastAsia" w:hAnsiTheme="minorEastAsia" w:hint="eastAsia"/>
                <w:kern w:val="0"/>
              </w:rPr>
              <w:t>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2,036,148,819.25</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100.00</w:t>
            </w:r>
          </w:p>
        </w:tc>
      </w:tr>
    </w:tbl>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2、报告期末按行业分类的股票投资组合</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（1）报告期末按行业分类的境内股票投资组合</w:t>
      </w:r>
    </w:p>
    <w:tbl>
      <w:tblPr>
        <w:tblW w:w="8000" w:type="dxa"/>
        <w:tblInd w:w="-171" w:type="dxa"/>
        <w:tblCellMar>
          <w:left w:w="0" w:type="dxa"/>
          <w:right w:w="0" w:type="dxa"/>
        </w:tblCellMar>
        <w:tblLook w:val="04A0" w:firstRow="1" w:lastRow="0" w:firstColumn="1" w:lastColumn="0" w:noHBand="0" w:noVBand="1"/>
      </w:tblPr>
      <w:tblGrid>
        <w:gridCol w:w="530"/>
        <w:gridCol w:w="3471"/>
        <w:gridCol w:w="2660"/>
        <w:gridCol w:w="1339"/>
      </w:tblGrid>
      <w:tr w:rsidR="00456512" w:rsidRPr="00456512" w:rsidTr="00083CDE">
        <w:trPr>
          <w:trHeight w:val="390"/>
        </w:trPr>
        <w:tc>
          <w:tcPr>
            <w:tcW w:w="579" w:type="dxa"/>
            <w:tcBorders>
              <w:top w:val="single" w:sz="4" w:space="0" w:color="000000"/>
              <w:left w:val="single" w:sz="4" w:space="0" w:color="000000"/>
              <w:bottom w:val="single" w:sz="4" w:space="0" w:color="000000"/>
              <w:right w:val="single" w:sz="4" w:space="0" w:color="000000"/>
            </w:tcBorders>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代码</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行业类别</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公允价值（元）</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占基金资产净值比例（％）</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A</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农、林、牧、渔业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325,438,521.85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16.06</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B</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采矿业</w:t>
            </w:r>
          </w:p>
        </w:tc>
        <w:tc>
          <w:tcPr>
            <w:tcW w:w="2816" w:type="dxa"/>
            <w:tcBorders>
              <w:top w:val="single" w:sz="4" w:space="0" w:color="000000"/>
              <w:left w:val="single" w:sz="4" w:space="0" w:color="auto"/>
              <w:bottom w:val="single" w:sz="4" w:space="0" w:color="000000"/>
              <w:right w:val="single" w:sz="4" w:space="0" w:color="000000"/>
            </w:tcBorders>
            <w:vAlign w:val="center"/>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p w:rsidR="00083CDE" w:rsidRPr="00456512" w:rsidRDefault="00083CDE">
            <w:pPr>
              <w:spacing w:line="300" w:lineRule="auto"/>
              <w:jc w:val="right"/>
              <w:rPr>
                <w:rFonts w:asciiTheme="minorEastAsia" w:eastAsiaTheme="minorEastAsia" w:hAnsiTheme="minorEastAsia"/>
                <w:kern w:val="0"/>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p w:rsidR="00083CDE" w:rsidRPr="00456512" w:rsidRDefault="00083CDE">
            <w:pPr>
              <w:spacing w:line="300" w:lineRule="auto"/>
              <w:jc w:val="right"/>
              <w:rPr>
                <w:rFonts w:asciiTheme="minorEastAsia" w:eastAsiaTheme="minorEastAsia" w:hAnsiTheme="minorEastAsia"/>
                <w:kern w:val="0"/>
              </w:rPr>
            </w:pP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C</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制造业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1,107,017,637.63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54.62</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D</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电力、热力、燃气及水生产和供应业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2,139,240.40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0.11</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E</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建筑业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F</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批发和零售业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24,648,676.13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1.22</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G</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交通运输、仓储和邮政业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85,550,000.00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4.22</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H</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住宿和餐饮业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lastRenderedPageBreak/>
              <w:t>I</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信息传输、软件和信息技术服务业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434,672.24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0.02</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J</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金融业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146,888,182.27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7.25</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K</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房地产业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L</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租赁和商务服务业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M</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科学研究和技术服务业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N</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水利、环境和公共设施管理业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26,531,317.89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1.31</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O</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居民服务、修理和其他服务业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P</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教育</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Q</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卫生和社会工作</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R</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文化、体育和娱乐业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83,820,000.00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4.14</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adjustRightInd w:val="0"/>
              <w:snapToGrid w:val="0"/>
              <w:spacing w:line="300" w:lineRule="auto"/>
              <w:jc w:val="center"/>
              <w:rPr>
                <w:rFonts w:asciiTheme="minorEastAsia" w:eastAsiaTheme="minorEastAsia" w:hAnsiTheme="minorEastAsia"/>
                <w:kern w:val="0"/>
              </w:rPr>
            </w:pPr>
            <w:r w:rsidRPr="00456512">
              <w:rPr>
                <w:rFonts w:asciiTheme="minorEastAsia" w:eastAsiaTheme="minorEastAsia" w:hAnsiTheme="minorEastAsia" w:hint="eastAsia"/>
                <w:kern w:val="0"/>
              </w:rPr>
              <w:t>S</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综合</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3CDE" w:rsidRPr="00456512" w:rsidRDefault="00083CDE">
            <w:pPr>
              <w:adjustRightInd w:val="0"/>
              <w:snapToGrid w:val="0"/>
              <w:spacing w:line="300" w:lineRule="auto"/>
              <w:jc w:val="center"/>
              <w:rPr>
                <w:rFonts w:asciiTheme="minorEastAsia" w:eastAsiaTheme="minorEastAsia" w:hAnsiTheme="minorEastAsia"/>
                <w:kern w:val="0"/>
              </w:rPr>
            </w:pP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083CDE" w:rsidRPr="00456512" w:rsidRDefault="00083CDE">
            <w:pPr>
              <w:adjustRightInd w:val="0"/>
              <w:snapToGrid w:val="0"/>
              <w:spacing w:line="300" w:lineRule="auto"/>
              <w:rPr>
                <w:rFonts w:asciiTheme="minorEastAsia" w:eastAsiaTheme="minorEastAsia" w:hAnsiTheme="minorEastAsia"/>
                <w:kern w:val="0"/>
              </w:rPr>
            </w:pPr>
            <w:r w:rsidRPr="00456512">
              <w:rPr>
                <w:rFonts w:asciiTheme="minorEastAsia" w:eastAsiaTheme="minorEastAsia" w:hAnsiTheme="minorEastAsia" w:hint="eastAsia"/>
                <w:kern w:val="0"/>
              </w:rPr>
              <w:t>合计</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1,802,468,248.41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3CDE" w:rsidRPr="00456512" w:rsidRDefault="00083CDE">
            <w:pPr>
              <w:spacing w:line="300" w:lineRule="auto"/>
              <w:jc w:val="right"/>
              <w:rPr>
                <w:rFonts w:asciiTheme="minorEastAsia" w:eastAsiaTheme="minorEastAsia" w:hAnsiTheme="minorEastAsia"/>
                <w:kern w:val="0"/>
              </w:rPr>
            </w:pPr>
            <w:r w:rsidRPr="00456512">
              <w:rPr>
                <w:rFonts w:asciiTheme="minorEastAsia" w:eastAsiaTheme="minorEastAsia" w:hAnsiTheme="minorEastAsia" w:hint="eastAsia"/>
                <w:kern w:val="0"/>
              </w:rPr>
              <w:t>88.93</w:t>
            </w:r>
          </w:p>
        </w:tc>
      </w:tr>
    </w:tbl>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3、报告期末按公允价值占基金资产净值比例大小排序的前十名股票投资明细</w:t>
      </w:r>
    </w:p>
    <w:tbl>
      <w:tblPr>
        <w:tblW w:w="8000" w:type="dxa"/>
        <w:tblInd w:w="-171" w:type="dxa"/>
        <w:tblCellMar>
          <w:left w:w="0" w:type="dxa"/>
          <w:right w:w="0" w:type="dxa"/>
        </w:tblCellMar>
        <w:tblLook w:val="04A0" w:firstRow="1" w:lastRow="0" w:firstColumn="1" w:lastColumn="0" w:noHBand="0" w:noVBand="1"/>
      </w:tblPr>
      <w:tblGrid>
        <w:gridCol w:w="744"/>
        <w:gridCol w:w="1176"/>
        <w:gridCol w:w="1190"/>
        <w:gridCol w:w="1576"/>
        <w:gridCol w:w="1917"/>
        <w:gridCol w:w="1397"/>
      </w:tblGrid>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序号</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股票代码</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股票名称</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数量（股）</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autoSpaceDE w:val="0"/>
              <w:autoSpaceDN w:val="0"/>
              <w:adjustRightInd w:val="0"/>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公允价值（元）</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占基金资产净值比例（％）</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szCs w:val="21"/>
              </w:rPr>
            </w:pPr>
            <w:r w:rsidRPr="00456512">
              <w:rPr>
                <w:rFonts w:asciiTheme="minorEastAsia" w:eastAsiaTheme="minorEastAsia" w:hAnsiTheme="minorEastAsia" w:hint="eastAsia"/>
                <w:kern w:val="0"/>
              </w:rPr>
              <w:t>1</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szCs w:val="22"/>
              </w:rPr>
            </w:pPr>
            <w:r w:rsidRPr="00456512">
              <w:rPr>
                <w:rFonts w:asciiTheme="minorEastAsia" w:eastAsiaTheme="minorEastAsia" w:hAnsiTheme="minorEastAsia" w:hint="eastAsia"/>
                <w:kern w:val="0"/>
              </w:rPr>
              <w:t>300628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亿联网络</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3,000,020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182,071,213.80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8.98</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2</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300498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温氏股份</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4,800,072</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178,466,676.96</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8.81</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3</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603707</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健友股份</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4,352,991</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161,713,615.65</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7.98</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4</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002311</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海大集团</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3,650,088</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114,247,754.40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5.64</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5</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002690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美亚光电</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3,440,026</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113,899,260.86</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5.62</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6</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000001</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平安银行</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6,990,000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108,974,100.00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5.38</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7</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002032</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苏泊尔</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1,479,881</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106,151,864.13</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5.24</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8</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603515</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欧普照明</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3,800,031</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100,206,817.47</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4.94</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9</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002299</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圣农发展</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3,830,021</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94,448,317.86</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4.66</w:t>
            </w:r>
          </w:p>
        </w:tc>
      </w:tr>
      <w:tr w:rsidR="00456512" w:rsidRPr="00456512" w:rsidTr="00083CDE">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10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300144</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宋城演艺</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3,000,000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83,820,000.00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4.14</w:t>
            </w:r>
          </w:p>
        </w:tc>
      </w:tr>
    </w:tbl>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4、报告期末按债券品种分类的债券投资组合</w:t>
      </w:r>
    </w:p>
    <w:tbl>
      <w:tblPr>
        <w:tblStyle w:val="afff2"/>
        <w:tblW w:w="7995" w:type="dxa"/>
        <w:jc w:val="center"/>
        <w:tblLayout w:type="fixed"/>
        <w:tblLook w:val="04A0" w:firstRow="1" w:lastRow="0" w:firstColumn="1" w:lastColumn="0" w:noHBand="0" w:noVBand="1"/>
      </w:tblPr>
      <w:tblGrid>
        <w:gridCol w:w="760"/>
        <w:gridCol w:w="2966"/>
        <w:gridCol w:w="2685"/>
        <w:gridCol w:w="1584"/>
      </w:tblGrid>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rPr>
            </w:pPr>
            <w:r w:rsidRPr="00456512">
              <w:rPr>
                <w:rFonts w:asciiTheme="minorEastAsia" w:eastAsiaTheme="minorEastAsia" w:hAnsiTheme="minorEastAsia" w:cstheme="minorBidi"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占基金资产净值比例(％)</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80,028,000.00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3.95</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83CDE" w:rsidRPr="00456512" w:rsidRDefault="00083CDE">
            <w:pPr>
              <w:spacing w:before="29" w:line="300" w:lineRule="auto"/>
              <w:ind w:left="17"/>
              <w:jc w:val="center"/>
              <w:rPr>
                <w:rFonts w:asciiTheme="minorEastAsia" w:eastAsiaTheme="minorEastAsia" w:hAnsiTheme="minorEastAsia"/>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80,028,000.00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3.95</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lastRenderedPageBreak/>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129,998.29</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0.01</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left"/>
              <w:rPr>
                <w:rFonts w:asciiTheme="minorEastAsia" w:eastAsiaTheme="minorEastAsia" w:hAnsiTheme="minorEastAsia"/>
                <w:kern w:val="0"/>
              </w:rPr>
            </w:pPr>
            <w:r w:rsidRPr="00456512">
              <w:rPr>
                <w:rFonts w:asciiTheme="minorEastAsia" w:eastAsiaTheme="minorEastAsia" w:hAnsiTheme="minorEastAsia" w:hint="eastAsia"/>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80,157,998.29</w:t>
            </w:r>
          </w:p>
        </w:tc>
        <w:tc>
          <w:tcPr>
            <w:tcW w:w="1729"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spacing w:before="29" w:line="300" w:lineRule="auto"/>
              <w:ind w:left="17"/>
              <w:jc w:val="right"/>
              <w:rPr>
                <w:rFonts w:asciiTheme="minorEastAsia" w:eastAsiaTheme="minorEastAsia" w:hAnsiTheme="minorEastAsia"/>
                <w:kern w:val="0"/>
              </w:rPr>
            </w:pPr>
            <w:r w:rsidRPr="00456512">
              <w:rPr>
                <w:rFonts w:asciiTheme="minorEastAsia" w:eastAsiaTheme="minorEastAsia" w:hAnsiTheme="minorEastAsia" w:hint="eastAsia"/>
                <w:kern w:val="0"/>
              </w:rPr>
              <w:t>3.95</w:t>
            </w:r>
          </w:p>
        </w:tc>
      </w:tr>
    </w:tbl>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5、报告期末按公允价值占基金资产净值比例大小排序的前五名债券投资明细</w:t>
      </w:r>
    </w:p>
    <w:tbl>
      <w:tblPr>
        <w:tblW w:w="8000" w:type="dxa"/>
        <w:tblCellMar>
          <w:left w:w="0" w:type="dxa"/>
          <w:right w:w="0" w:type="dxa"/>
        </w:tblCellMar>
        <w:tblLook w:val="04A0" w:firstRow="1" w:lastRow="0" w:firstColumn="1" w:lastColumn="0" w:noHBand="0" w:noVBand="1"/>
      </w:tblPr>
      <w:tblGrid>
        <w:gridCol w:w="806"/>
        <w:gridCol w:w="1275"/>
        <w:gridCol w:w="967"/>
        <w:gridCol w:w="1469"/>
        <w:gridCol w:w="2100"/>
        <w:gridCol w:w="1383"/>
      </w:tblGrid>
      <w:tr w:rsidR="00456512" w:rsidRPr="00456512" w:rsidTr="00083CDE">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序号</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债券代码</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债券名称</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数量（张）</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公允价值（元）</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占基金资产净值比例（％）</w:t>
            </w:r>
          </w:p>
        </w:tc>
      </w:tr>
      <w:tr w:rsidR="00456512" w:rsidRPr="00456512" w:rsidTr="00083CDE">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szCs w:val="21"/>
              </w:rPr>
            </w:pPr>
            <w:r w:rsidRPr="00456512">
              <w:rPr>
                <w:rFonts w:asciiTheme="minorEastAsia" w:eastAsiaTheme="minorEastAsia" w:hAnsiTheme="minorEastAsia" w:hint="eastAsia"/>
                <w:kern w:val="0"/>
              </w:rPr>
              <w:t>1</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szCs w:val="22"/>
              </w:rPr>
            </w:pPr>
            <w:r w:rsidRPr="00456512">
              <w:rPr>
                <w:rFonts w:asciiTheme="minorEastAsia" w:eastAsiaTheme="minorEastAsia" w:hAnsiTheme="minorEastAsia" w:hint="eastAsia"/>
                <w:kern w:val="0"/>
              </w:rPr>
              <w:t>130208</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13国开08</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400,000</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40,036,000.00</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1.98</w:t>
            </w:r>
          </w:p>
        </w:tc>
      </w:tr>
      <w:tr w:rsidR="00456512" w:rsidRPr="00456512" w:rsidTr="00083CDE">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2</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190304</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19进出04</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400,000</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39,992,000.00</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1.97</w:t>
            </w:r>
          </w:p>
        </w:tc>
      </w:tr>
      <w:tr w:rsidR="00456512" w:rsidRPr="00456512" w:rsidTr="00083CDE">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3</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128075</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center"/>
              <w:rPr>
                <w:rFonts w:asciiTheme="minorEastAsia" w:eastAsiaTheme="minorEastAsia" w:hAnsiTheme="minorEastAsia"/>
              </w:rPr>
            </w:pPr>
            <w:r w:rsidRPr="00456512">
              <w:rPr>
                <w:rFonts w:asciiTheme="minorEastAsia" w:eastAsiaTheme="minorEastAsia" w:hAnsiTheme="minorEastAsia" w:hint="eastAsia"/>
                <w:kern w:val="0"/>
              </w:rPr>
              <w:t>远东转债</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1,300</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129,998.29</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3CDE" w:rsidRPr="00456512" w:rsidRDefault="00083CDE">
            <w:pPr>
              <w:spacing w:line="300" w:lineRule="auto"/>
              <w:jc w:val="right"/>
              <w:rPr>
                <w:rFonts w:asciiTheme="minorEastAsia" w:eastAsiaTheme="minorEastAsia" w:hAnsiTheme="minorEastAsia"/>
              </w:rPr>
            </w:pPr>
            <w:r w:rsidRPr="00456512">
              <w:rPr>
                <w:rFonts w:asciiTheme="minorEastAsia" w:eastAsiaTheme="minorEastAsia" w:hAnsiTheme="minorEastAsia" w:hint="eastAsia"/>
                <w:kern w:val="0"/>
              </w:rPr>
              <w:t>0.01</w:t>
            </w:r>
          </w:p>
        </w:tc>
      </w:tr>
    </w:tbl>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6、报告期末按公允价值占基金资产净值比例大小排序的前十名资产支持证券投资明细</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本基金本报告期末未持有资产支持证券。</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7、报告期末按公允价值占基金资产净值比例大小排序的前五名贵金属投资明细</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本基金本报告期末未持有贵金属。</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8、报告期末按公允价值占基金资产净值比例大小排序的前五名权证投资明细</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本基金本报告期末未持有权证。</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9、报告期末本基金投资的股指期货交易情况说明</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本基金本报告期末未投资股指期货。</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10、报告期末本基金投资的国债期货交易情况说明</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本基金本报告期末未投资国债期货。</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11、投资组合报告附注</w:t>
      </w:r>
    </w:p>
    <w:p w:rsidR="00EF3764"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1）平安银行（代码：000001）为易方达积极成长证券投资基金的前十大重仓证券之一。2018年12月13日，中国银行业监督管理委员会宁波监管局针对平安银行股份有限公司信用卡中心宁波分中心内控管理不到位的违法违规事实，处以罚款人民币40万元，并责令机构对相关直接责任人给予纪律处分的行政处罚。2019年5月10日，中国银行保险监督管理委员会上海监管局针对平安银行股份有限公司信用卡中心上海分中心2015年至2017年对员工经商办企业的行为屡禁不止，员工行为管理严重违反审慎经营规则的违法违规事实，</w:t>
      </w:r>
      <w:r w:rsidRPr="00456512">
        <w:rPr>
          <w:rFonts w:asciiTheme="minorEastAsia" w:eastAsiaTheme="minorEastAsia" w:hAnsiTheme="minorEastAsia" w:hint="eastAsia"/>
          <w:sz w:val="21"/>
          <w:szCs w:val="21"/>
        </w:rPr>
        <w:lastRenderedPageBreak/>
        <w:t>责令改正，并处罚款40万元。2019年8月12日，中国银行保险监督管理委员会上海监管局针对平安银行股份有限公司资金运营中心2017年末至2018年9月信息科技风险管理严重违反审慎经营规则的违法违规事实，责令改正，并处罚款20万元。</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本基金投资平安银行的投资决策程序符合公司投资制度的规定。</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除平安银行外，本基金投资的前十名证券的发行主体本期没有出现被监管部门立案调查，或在报告编制日前一年内受到公开谴责、处罚的情形。</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（2）本基金投资的前十名股票没有超出基金合同规定的备选股票库。</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2301"/>
        <w:gridCol w:w="4531"/>
      </w:tblGrid>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7"/>
              <w:jc w:val="center"/>
              <w:rPr>
                <w:rFonts w:asciiTheme="minorEastAsia" w:eastAsiaTheme="minorEastAsia" w:hAnsiTheme="minorEastAsia"/>
                <w:kern w:val="0"/>
              </w:rPr>
            </w:pPr>
            <w:r w:rsidRPr="00456512">
              <w:rPr>
                <w:rFonts w:asciiTheme="minorEastAsia" w:eastAsiaTheme="minorEastAsia" w:hAnsiTheme="minorEastAsia" w:hint="eastAsia"/>
                <w:kern w:val="0"/>
              </w:rPr>
              <w:t>金额（元）</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846,198.10</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672,641.54</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341,165.65</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w:t>
            </w:r>
          </w:p>
        </w:tc>
      </w:tr>
      <w:tr w:rsidR="00456512" w:rsidRPr="00456512" w:rsidTr="00083CDE">
        <w:tc>
          <w:tcPr>
            <w:tcW w:w="1235"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center"/>
              <w:rPr>
                <w:rFonts w:asciiTheme="minorEastAsia" w:eastAsiaTheme="minorEastAsia" w:hAnsiTheme="minorEastAsia"/>
                <w:kern w:val="0"/>
              </w:rPr>
            </w:pPr>
            <w:r w:rsidRPr="00456512">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left"/>
              <w:rPr>
                <w:rFonts w:asciiTheme="minorEastAsia" w:eastAsiaTheme="minorEastAsia" w:hAnsiTheme="minorEastAsia"/>
                <w:kern w:val="0"/>
              </w:rPr>
            </w:pPr>
            <w:r w:rsidRPr="00456512">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083CDE" w:rsidRPr="00456512" w:rsidRDefault="00083CDE">
            <w:pPr>
              <w:autoSpaceDE w:val="0"/>
              <w:autoSpaceDN w:val="0"/>
              <w:adjustRightInd w:val="0"/>
              <w:spacing w:before="29" w:line="300" w:lineRule="auto"/>
              <w:ind w:left="15"/>
              <w:jc w:val="right"/>
              <w:rPr>
                <w:rFonts w:asciiTheme="minorEastAsia" w:eastAsiaTheme="minorEastAsia" w:hAnsiTheme="minorEastAsia"/>
                <w:kern w:val="0"/>
              </w:rPr>
            </w:pPr>
            <w:r w:rsidRPr="00456512">
              <w:rPr>
                <w:rFonts w:asciiTheme="minorEastAsia" w:eastAsiaTheme="minorEastAsia" w:hAnsiTheme="minorEastAsia" w:hint="eastAsia"/>
                <w:kern w:val="0"/>
              </w:rPr>
              <w:t>1,860,005.29</w:t>
            </w:r>
          </w:p>
        </w:tc>
      </w:tr>
    </w:tbl>
    <w:p w:rsidR="00083CDE"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（4）</w:t>
      </w:r>
      <w:r w:rsidR="00083CDE" w:rsidRPr="00456512">
        <w:rPr>
          <w:rFonts w:asciiTheme="minorEastAsia" w:eastAsiaTheme="minorEastAsia" w:hAnsiTheme="minorEastAsia" w:hint="eastAsia"/>
          <w:sz w:val="21"/>
          <w:szCs w:val="21"/>
        </w:rPr>
        <w:t>报告期末持有的处于转股期的可转换债券明细</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本基金本报告期末未持有处于转股期的可转换债券。</w:t>
      </w:r>
    </w:p>
    <w:p w:rsidR="00083CDE" w:rsidRPr="00456512" w:rsidRDefault="00EF3764"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（5）</w:t>
      </w:r>
      <w:r w:rsidR="00083CDE" w:rsidRPr="00456512">
        <w:rPr>
          <w:rFonts w:asciiTheme="minorEastAsia" w:eastAsiaTheme="minorEastAsia" w:hAnsiTheme="minorEastAsia" w:hint="eastAsia"/>
          <w:sz w:val="21"/>
          <w:szCs w:val="21"/>
        </w:rPr>
        <w:t>报告期末前十名股票中存在流通受限情况的说明</w:t>
      </w:r>
    </w:p>
    <w:p w:rsidR="00083CDE" w:rsidRPr="00456512" w:rsidRDefault="00083CDE" w:rsidP="00960F82">
      <w:pPr>
        <w:pStyle w:val="afc"/>
        <w:snapToGrid w:val="0"/>
        <w:spacing w:line="360" w:lineRule="auto"/>
        <w:ind w:firstLineChars="200" w:firstLine="420"/>
        <w:rPr>
          <w:rFonts w:asciiTheme="minorEastAsia" w:eastAsiaTheme="minorEastAsia" w:hAnsiTheme="minorEastAsia"/>
          <w:sz w:val="21"/>
          <w:szCs w:val="21"/>
        </w:rPr>
      </w:pPr>
      <w:r w:rsidRPr="00456512">
        <w:rPr>
          <w:rFonts w:asciiTheme="minorEastAsia" w:eastAsiaTheme="minorEastAsia" w:hAnsiTheme="minorEastAsia" w:hint="eastAsia"/>
          <w:sz w:val="21"/>
          <w:szCs w:val="21"/>
        </w:rPr>
        <w:t>本基金本报告期末前十名股票中不存在流通受限情况。</w:t>
      </w:r>
    </w:p>
    <w:p w:rsidR="00EF3764" w:rsidRPr="00456512" w:rsidRDefault="00EF3764">
      <w:pPr>
        <w:widowControl/>
        <w:jc w:val="left"/>
        <w:rPr>
          <w:rFonts w:asciiTheme="minorEastAsia" w:eastAsiaTheme="minorEastAsia" w:hAnsiTheme="minorEastAsia"/>
          <w:szCs w:val="22"/>
        </w:rPr>
      </w:pPr>
      <w:r w:rsidRPr="00456512">
        <w:rPr>
          <w:rFonts w:asciiTheme="minorEastAsia" w:eastAsiaTheme="minorEastAsia" w:hAnsiTheme="minorEastAsia"/>
          <w:szCs w:val="22"/>
        </w:rPr>
        <w:br w:type="page"/>
      </w:r>
    </w:p>
    <w:p w:rsidR="00083CDE" w:rsidRPr="00456512" w:rsidRDefault="00083CDE" w:rsidP="00083CDE">
      <w:pPr>
        <w:spacing w:line="300" w:lineRule="auto"/>
        <w:rPr>
          <w:rFonts w:asciiTheme="minorEastAsia" w:eastAsiaTheme="minorEastAsia" w:hAnsiTheme="minorEastAsia"/>
          <w:szCs w:val="22"/>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64" w:name="_Toc92774755"/>
      <w:bookmarkStart w:id="65" w:name="_Toc30161795"/>
      <w:r w:rsidRPr="00456512">
        <w:rPr>
          <w:rFonts w:asciiTheme="minorEastAsia" w:eastAsiaTheme="minorEastAsia" w:hAnsiTheme="minorEastAsia" w:hint="eastAsia"/>
          <w:b/>
        </w:rPr>
        <w:t>九、基金的业绩</w:t>
      </w:r>
      <w:bookmarkEnd w:id="64"/>
      <w:bookmarkEnd w:id="65"/>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kern w:val="0"/>
        </w:rPr>
      </w:pPr>
      <w:r w:rsidRPr="00456512">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456512">
        <w:rPr>
          <w:rFonts w:asciiTheme="minorEastAsia" w:eastAsiaTheme="minorEastAsia" w:hAnsiTheme="minorEastAsia" w:hint="eastAsia"/>
          <w:kern w:val="0"/>
        </w:rPr>
        <w:t>作出</w:t>
      </w:r>
      <w:r w:rsidRPr="00456512">
        <w:rPr>
          <w:rFonts w:asciiTheme="minorEastAsia" w:eastAsiaTheme="minorEastAsia" w:hAnsiTheme="minorEastAsia"/>
          <w:kern w:val="0"/>
        </w:rPr>
        <w:t>投资决策前应仔细阅读本基金的招募说明书。</w:t>
      </w:r>
    </w:p>
    <w:p w:rsidR="005156D4" w:rsidRPr="00456512" w:rsidRDefault="001D2E2F" w:rsidP="00084917">
      <w:pPr>
        <w:autoSpaceDE w:val="0"/>
        <w:autoSpaceDN w:val="0"/>
        <w:adjustRightInd w:val="0"/>
        <w:snapToGrid w:val="0"/>
        <w:spacing w:line="360" w:lineRule="auto"/>
        <w:ind w:firstLineChars="202" w:firstLine="424"/>
        <w:rPr>
          <w:rFonts w:asciiTheme="minorEastAsia" w:eastAsiaTheme="minorEastAsia" w:hAnsiTheme="minorEastAsia"/>
          <w:kern w:val="0"/>
          <w:szCs w:val="21"/>
        </w:rPr>
      </w:pPr>
      <w:r w:rsidRPr="00456512">
        <w:rPr>
          <w:rFonts w:asciiTheme="minorEastAsia" w:eastAsiaTheme="minorEastAsia" w:hAnsiTheme="minorEastAsia" w:hint="eastAsia"/>
          <w:kern w:val="0"/>
        </w:rPr>
        <w:t>本基</w:t>
      </w:r>
      <w:r w:rsidRPr="00456512">
        <w:rPr>
          <w:rFonts w:asciiTheme="minorEastAsia" w:eastAsiaTheme="minorEastAsia" w:hAnsiTheme="minorEastAsia" w:hint="eastAsia"/>
          <w:kern w:val="0"/>
          <w:szCs w:val="21"/>
        </w:rPr>
        <w:t>金合同生效日为2004年9月9日，</w:t>
      </w:r>
      <w:r w:rsidR="005C0024" w:rsidRPr="00456512">
        <w:rPr>
          <w:rFonts w:asciiTheme="minorEastAsia" w:eastAsiaTheme="minorEastAsia" w:hAnsiTheme="minorEastAsia" w:hint="eastAsia"/>
          <w:szCs w:val="21"/>
        </w:rPr>
        <w:t>本基金最近</w:t>
      </w:r>
      <w:r w:rsidR="005C0024" w:rsidRPr="00456512">
        <w:rPr>
          <w:rFonts w:asciiTheme="minorEastAsia" w:eastAsiaTheme="minorEastAsia" w:hAnsiTheme="minorEastAsia"/>
          <w:szCs w:val="21"/>
        </w:rPr>
        <w:t>10</w:t>
      </w:r>
      <w:r w:rsidR="005C0024" w:rsidRPr="00456512">
        <w:rPr>
          <w:rFonts w:asciiTheme="minorEastAsia" w:eastAsiaTheme="minorEastAsia" w:hAnsiTheme="minorEastAsia" w:hint="eastAsia"/>
          <w:szCs w:val="21"/>
        </w:rPr>
        <w:t>个完整会计年度</w:t>
      </w:r>
      <w:r w:rsidR="00D675F5" w:rsidRPr="00456512">
        <w:rPr>
          <w:rFonts w:asciiTheme="minorEastAsia" w:eastAsiaTheme="minorEastAsia" w:hAnsiTheme="minorEastAsia" w:hint="eastAsia"/>
          <w:szCs w:val="21"/>
        </w:rPr>
        <w:t>（截至201</w:t>
      </w:r>
      <w:r w:rsidR="00ED2FA2" w:rsidRPr="00456512">
        <w:rPr>
          <w:rFonts w:asciiTheme="minorEastAsia" w:eastAsiaTheme="minorEastAsia" w:hAnsiTheme="minorEastAsia" w:hint="eastAsia"/>
          <w:szCs w:val="21"/>
        </w:rPr>
        <w:t>9</w:t>
      </w:r>
      <w:r w:rsidR="00D675F5" w:rsidRPr="00456512">
        <w:rPr>
          <w:rFonts w:asciiTheme="minorEastAsia" w:eastAsiaTheme="minorEastAsia" w:hAnsiTheme="minorEastAsia" w:hint="eastAsia"/>
          <w:szCs w:val="21"/>
        </w:rPr>
        <w:t>年</w:t>
      </w:r>
      <w:r w:rsidR="00D675F5" w:rsidRPr="00456512">
        <w:rPr>
          <w:rFonts w:asciiTheme="minorEastAsia" w:eastAsiaTheme="minorEastAsia" w:hAnsiTheme="minorEastAsia"/>
          <w:szCs w:val="21"/>
        </w:rPr>
        <w:t>12</w:t>
      </w:r>
      <w:r w:rsidR="00D675F5" w:rsidRPr="00456512">
        <w:rPr>
          <w:rFonts w:asciiTheme="minorEastAsia" w:eastAsiaTheme="minorEastAsia" w:hAnsiTheme="minorEastAsia" w:hint="eastAsia"/>
          <w:szCs w:val="21"/>
        </w:rPr>
        <w:t>月</w:t>
      </w:r>
      <w:r w:rsidR="00D675F5" w:rsidRPr="00456512">
        <w:rPr>
          <w:rFonts w:asciiTheme="minorEastAsia" w:eastAsiaTheme="minorEastAsia" w:hAnsiTheme="minorEastAsia"/>
          <w:szCs w:val="21"/>
        </w:rPr>
        <w:t>31</w:t>
      </w:r>
      <w:r w:rsidR="00D675F5" w:rsidRPr="00456512">
        <w:rPr>
          <w:rFonts w:asciiTheme="minorEastAsia" w:eastAsiaTheme="minorEastAsia" w:hAnsiTheme="minorEastAsia" w:hint="eastAsia"/>
          <w:szCs w:val="21"/>
        </w:rPr>
        <w:t>日）</w:t>
      </w:r>
      <w:r w:rsidRPr="00456512">
        <w:rPr>
          <w:rFonts w:asciiTheme="minorEastAsia" w:eastAsiaTheme="minorEastAsia" w:hAnsiTheme="minorEastAsia" w:hint="eastAsia"/>
          <w:kern w:val="0"/>
          <w:szCs w:val="21"/>
        </w:rPr>
        <w:t>的投资业绩及与同期基准的比较如下表所示：</w:t>
      </w:r>
    </w:p>
    <w:tbl>
      <w:tblPr>
        <w:tblW w:w="8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024"/>
        <w:gridCol w:w="1050"/>
        <w:gridCol w:w="1155"/>
        <w:gridCol w:w="1155"/>
        <w:gridCol w:w="1131"/>
        <w:gridCol w:w="1026"/>
      </w:tblGrid>
      <w:tr w:rsidR="00456512" w:rsidRPr="00456512" w:rsidTr="00D937F5">
        <w:trPr>
          <w:trHeight w:val="315"/>
        </w:trPr>
        <w:tc>
          <w:tcPr>
            <w:tcW w:w="1811"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阶段</w:t>
            </w:r>
          </w:p>
        </w:tc>
        <w:tc>
          <w:tcPr>
            <w:tcW w:w="1024"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净值增长率①</w:t>
            </w:r>
          </w:p>
        </w:tc>
        <w:tc>
          <w:tcPr>
            <w:tcW w:w="1050"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净值增长率标准差②</w:t>
            </w:r>
          </w:p>
        </w:tc>
        <w:tc>
          <w:tcPr>
            <w:tcW w:w="1155"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业绩比较基准收益率③</w:t>
            </w:r>
          </w:p>
        </w:tc>
        <w:tc>
          <w:tcPr>
            <w:tcW w:w="1155"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业绩比较基准收益率标准差④</w:t>
            </w:r>
          </w:p>
        </w:tc>
        <w:tc>
          <w:tcPr>
            <w:tcW w:w="1131" w:type="dxa"/>
            <w:vAlign w:val="center"/>
          </w:tcPr>
          <w:p w:rsidR="001D2E2F" w:rsidRPr="00456512" w:rsidRDefault="001D2E2F" w:rsidP="00084917">
            <w:pPr>
              <w:tabs>
                <w:tab w:val="left" w:pos="5400"/>
              </w:tabs>
              <w:snapToGrid w:val="0"/>
              <w:spacing w:line="360" w:lineRule="auto"/>
              <w:ind w:leftChars="-51" w:left="-107" w:rightChars="-51" w:right="-107"/>
              <w:jc w:val="center"/>
              <w:rPr>
                <w:rFonts w:asciiTheme="minorEastAsia" w:eastAsiaTheme="minorEastAsia" w:hAnsiTheme="minorEastAsia"/>
                <w:szCs w:val="21"/>
              </w:rPr>
            </w:pPr>
            <w:r w:rsidRPr="00456512">
              <w:rPr>
                <w:rFonts w:asciiTheme="minorEastAsia" w:eastAsiaTheme="minorEastAsia" w:hAnsiTheme="minorEastAsia" w:hint="eastAsia"/>
                <w:szCs w:val="21"/>
              </w:rPr>
              <w:t>①-③</w:t>
            </w:r>
          </w:p>
        </w:tc>
        <w:tc>
          <w:tcPr>
            <w:tcW w:w="1026" w:type="dxa"/>
            <w:vAlign w:val="center"/>
          </w:tcPr>
          <w:p w:rsidR="001D2E2F" w:rsidRPr="00456512" w:rsidRDefault="001D2E2F" w:rsidP="00084917">
            <w:pPr>
              <w:tabs>
                <w:tab w:val="left" w:pos="5400"/>
              </w:tabs>
              <w:snapToGrid w:val="0"/>
              <w:spacing w:line="360" w:lineRule="auto"/>
              <w:ind w:leftChars="-52" w:left="-106" w:rightChars="-51" w:right="-107" w:hanging="3"/>
              <w:jc w:val="center"/>
              <w:rPr>
                <w:rFonts w:asciiTheme="minorEastAsia" w:eastAsiaTheme="minorEastAsia" w:hAnsiTheme="minorEastAsia"/>
                <w:szCs w:val="21"/>
              </w:rPr>
            </w:pPr>
            <w:r w:rsidRPr="00456512">
              <w:rPr>
                <w:rFonts w:asciiTheme="minorEastAsia" w:eastAsiaTheme="minorEastAsia" w:hAnsiTheme="minorEastAsia" w:hint="eastAsia"/>
                <w:szCs w:val="21"/>
              </w:rPr>
              <w:t>②-④</w:t>
            </w:r>
          </w:p>
        </w:tc>
      </w:tr>
      <w:tr w:rsidR="00456512" w:rsidRPr="00456512" w:rsidTr="00D937F5">
        <w:trPr>
          <w:trHeight w:val="300"/>
        </w:trPr>
        <w:tc>
          <w:tcPr>
            <w:tcW w:w="1811" w:type="dxa"/>
            <w:vAlign w:val="center"/>
          </w:tcPr>
          <w:p w:rsidR="001D2E2F" w:rsidRPr="00456512" w:rsidRDefault="001D2E2F"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2010年1月1日至2010年12月31日</w:t>
            </w:r>
          </w:p>
        </w:tc>
        <w:tc>
          <w:tcPr>
            <w:tcW w:w="1024"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5.32%</w:t>
            </w:r>
          </w:p>
        </w:tc>
        <w:tc>
          <w:tcPr>
            <w:tcW w:w="1050"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1.35%</w:t>
            </w:r>
          </w:p>
        </w:tc>
        <w:tc>
          <w:tcPr>
            <w:tcW w:w="1155"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-14.46%</w:t>
            </w:r>
          </w:p>
        </w:tc>
        <w:tc>
          <w:tcPr>
            <w:tcW w:w="1155"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1.42%</w:t>
            </w:r>
          </w:p>
        </w:tc>
        <w:tc>
          <w:tcPr>
            <w:tcW w:w="1131"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19.78%</w:t>
            </w:r>
          </w:p>
        </w:tc>
        <w:tc>
          <w:tcPr>
            <w:tcW w:w="1026" w:type="dxa"/>
            <w:vAlign w:val="center"/>
          </w:tcPr>
          <w:p w:rsidR="001D2E2F" w:rsidRPr="00456512" w:rsidRDefault="001D2E2F"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cs="Courier New"/>
                <w:szCs w:val="21"/>
              </w:rPr>
              <w:t>-0.07%</w:t>
            </w:r>
          </w:p>
        </w:tc>
      </w:tr>
      <w:tr w:rsidR="00456512" w:rsidRPr="00456512" w:rsidTr="00D937F5">
        <w:trPr>
          <w:trHeight w:val="300"/>
        </w:trPr>
        <w:tc>
          <w:tcPr>
            <w:tcW w:w="1811" w:type="dxa"/>
            <w:vAlign w:val="center"/>
          </w:tcPr>
          <w:p w:rsidR="0072486B" w:rsidRPr="00456512" w:rsidRDefault="0072486B"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2011年1月1日至2011年12月31日</w:t>
            </w:r>
          </w:p>
        </w:tc>
        <w:tc>
          <w:tcPr>
            <w:tcW w:w="1024"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-26.54%</w:t>
            </w:r>
          </w:p>
        </w:tc>
        <w:tc>
          <w:tcPr>
            <w:tcW w:w="1050"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1.18%</w:t>
            </w:r>
          </w:p>
        </w:tc>
        <w:tc>
          <w:tcPr>
            <w:tcW w:w="1155"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-21.64%</w:t>
            </w:r>
          </w:p>
        </w:tc>
        <w:tc>
          <w:tcPr>
            <w:tcW w:w="1155"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1.15%</w:t>
            </w:r>
          </w:p>
        </w:tc>
        <w:tc>
          <w:tcPr>
            <w:tcW w:w="1131"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-4.90%</w:t>
            </w:r>
          </w:p>
        </w:tc>
        <w:tc>
          <w:tcPr>
            <w:tcW w:w="1026" w:type="dxa"/>
            <w:vAlign w:val="center"/>
          </w:tcPr>
          <w:p w:rsidR="0072486B" w:rsidRPr="00456512" w:rsidRDefault="0072486B" w:rsidP="00084917">
            <w:pPr>
              <w:tabs>
                <w:tab w:val="left" w:pos="5400"/>
              </w:tabs>
              <w:snapToGrid w:val="0"/>
              <w:spacing w:line="360" w:lineRule="auto"/>
              <w:ind w:leftChars="-51" w:left="-107" w:rightChars="-51" w:right="-107"/>
              <w:jc w:val="right"/>
              <w:rPr>
                <w:rFonts w:asciiTheme="minorEastAsia" w:eastAsiaTheme="minorEastAsia" w:hAnsiTheme="minorEastAsia" w:cs="Courier New"/>
                <w:szCs w:val="21"/>
              </w:rPr>
            </w:pPr>
            <w:r w:rsidRPr="00456512">
              <w:rPr>
                <w:rFonts w:asciiTheme="minorEastAsia" w:eastAsiaTheme="minorEastAsia" w:hAnsiTheme="minorEastAsia" w:hint="eastAsia"/>
                <w:szCs w:val="21"/>
              </w:rPr>
              <w:t>0.03%</w:t>
            </w:r>
          </w:p>
        </w:tc>
      </w:tr>
      <w:tr w:rsidR="00456512" w:rsidRPr="00456512" w:rsidTr="00D937F5">
        <w:trPr>
          <w:trHeight w:val="300"/>
        </w:trPr>
        <w:tc>
          <w:tcPr>
            <w:tcW w:w="1811" w:type="dxa"/>
            <w:vAlign w:val="center"/>
          </w:tcPr>
          <w:p w:rsidR="00A57C16" w:rsidRPr="00456512" w:rsidRDefault="00A57C16"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2012年1月1日至</w:t>
            </w:r>
            <w:r w:rsidR="00A05057" w:rsidRPr="00456512">
              <w:rPr>
                <w:rFonts w:asciiTheme="minorEastAsia" w:eastAsiaTheme="minorEastAsia" w:hAnsiTheme="minorEastAsia" w:hint="eastAsia"/>
                <w:szCs w:val="21"/>
              </w:rPr>
              <w:t>2012年12</w:t>
            </w:r>
            <w:r w:rsidRPr="00456512">
              <w:rPr>
                <w:rFonts w:asciiTheme="minorEastAsia" w:eastAsiaTheme="minorEastAsia" w:hAnsiTheme="minorEastAsia" w:hint="eastAsia"/>
                <w:szCs w:val="21"/>
              </w:rPr>
              <w:t>月</w:t>
            </w:r>
            <w:r w:rsidR="00A05057" w:rsidRPr="00456512">
              <w:rPr>
                <w:rFonts w:asciiTheme="minorEastAsia" w:eastAsiaTheme="minorEastAsia" w:hAnsiTheme="minorEastAsia" w:hint="eastAsia"/>
                <w:szCs w:val="21"/>
              </w:rPr>
              <w:t>31</w:t>
            </w:r>
            <w:r w:rsidRPr="00456512">
              <w:rPr>
                <w:rFonts w:asciiTheme="minorEastAsia" w:eastAsiaTheme="minorEastAsia" w:hAnsiTheme="minorEastAsia" w:hint="eastAsia"/>
                <w:szCs w:val="21"/>
              </w:rPr>
              <w:t>日</w:t>
            </w:r>
          </w:p>
        </w:tc>
        <w:tc>
          <w:tcPr>
            <w:tcW w:w="1024" w:type="dxa"/>
            <w:vAlign w:val="center"/>
          </w:tcPr>
          <w:p w:rsidR="00A57C16" w:rsidRPr="00456512"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2.87%</w:t>
            </w:r>
          </w:p>
        </w:tc>
        <w:tc>
          <w:tcPr>
            <w:tcW w:w="1050" w:type="dxa"/>
            <w:vAlign w:val="center"/>
          </w:tcPr>
          <w:p w:rsidR="00A57C16" w:rsidRPr="00456512"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1.15%</w:t>
            </w:r>
          </w:p>
        </w:tc>
        <w:tc>
          <w:tcPr>
            <w:tcW w:w="1155" w:type="dxa"/>
            <w:vAlign w:val="center"/>
          </w:tcPr>
          <w:p w:rsidR="00A57C16" w:rsidRPr="00456512" w:rsidRDefault="001D3831" w:rsidP="00084917">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3.12%</w:t>
            </w:r>
          </w:p>
        </w:tc>
        <w:tc>
          <w:tcPr>
            <w:tcW w:w="1155" w:type="dxa"/>
            <w:vAlign w:val="center"/>
          </w:tcPr>
          <w:p w:rsidR="00A57C16" w:rsidRPr="00456512"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1.09%</w:t>
            </w:r>
          </w:p>
        </w:tc>
        <w:tc>
          <w:tcPr>
            <w:tcW w:w="1131" w:type="dxa"/>
            <w:vAlign w:val="center"/>
          </w:tcPr>
          <w:p w:rsidR="00A57C16" w:rsidRPr="00456512"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-0.25%</w:t>
            </w:r>
          </w:p>
        </w:tc>
        <w:tc>
          <w:tcPr>
            <w:tcW w:w="1026" w:type="dxa"/>
            <w:vAlign w:val="center"/>
          </w:tcPr>
          <w:p w:rsidR="00A57C16" w:rsidRPr="00456512" w:rsidRDefault="001D3831"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0.06%</w:t>
            </w:r>
          </w:p>
        </w:tc>
      </w:tr>
      <w:tr w:rsidR="00456512" w:rsidRPr="00456512" w:rsidTr="00D937F5">
        <w:trPr>
          <w:trHeight w:val="300"/>
        </w:trPr>
        <w:tc>
          <w:tcPr>
            <w:tcW w:w="1811" w:type="dxa"/>
            <w:vAlign w:val="center"/>
          </w:tcPr>
          <w:p w:rsidR="00AF0F94" w:rsidRPr="00456512" w:rsidRDefault="00AF0F94"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2013年1月1日至2013年12月31日</w:t>
            </w:r>
          </w:p>
        </w:tc>
        <w:tc>
          <w:tcPr>
            <w:tcW w:w="1024" w:type="dxa"/>
            <w:vAlign w:val="center"/>
          </w:tcPr>
          <w:p w:rsidR="00AF0F94" w:rsidRPr="00456512"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18.27%</w:t>
            </w:r>
          </w:p>
        </w:tc>
        <w:tc>
          <w:tcPr>
            <w:tcW w:w="1050" w:type="dxa"/>
            <w:vAlign w:val="center"/>
          </w:tcPr>
          <w:p w:rsidR="00AF0F94" w:rsidRPr="00456512"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1.28%</w:t>
            </w:r>
          </w:p>
        </w:tc>
        <w:tc>
          <w:tcPr>
            <w:tcW w:w="1155" w:type="dxa"/>
            <w:vAlign w:val="center"/>
          </w:tcPr>
          <w:p w:rsidR="00AF0F94" w:rsidRPr="00456512" w:rsidRDefault="00AF0F94" w:rsidP="00084917">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-6.80%</w:t>
            </w:r>
          </w:p>
        </w:tc>
        <w:tc>
          <w:tcPr>
            <w:tcW w:w="1155" w:type="dxa"/>
            <w:vAlign w:val="center"/>
          </w:tcPr>
          <w:p w:rsidR="00AF0F94" w:rsidRPr="00456512"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1.16%</w:t>
            </w:r>
          </w:p>
        </w:tc>
        <w:tc>
          <w:tcPr>
            <w:tcW w:w="1131" w:type="dxa"/>
            <w:vAlign w:val="center"/>
          </w:tcPr>
          <w:p w:rsidR="00AF0F94" w:rsidRPr="00456512"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25.07%</w:t>
            </w:r>
          </w:p>
        </w:tc>
        <w:tc>
          <w:tcPr>
            <w:tcW w:w="1026" w:type="dxa"/>
            <w:vAlign w:val="center"/>
          </w:tcPr>
          <w:p w:rsidR="00AF0F94" w:rsidRPr="00456512" w:rsidRDefault="00AF0F94"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0.12%</w:t>
            </w:r>
          </w:p>
        </w:tc>
      </w:tr>
      <w:tr w:rsidR="00456512" w:rsidRPr="00456512" w:rsidTr="00D937F5">
        <w:trPr>
          <w:trHeight w:val="300"/>
        </w:trPr>
        <w:tc>
          <w:tcPr>
            <w:tcW w:w="1811" w:type="dxa"/>
            <w:vAlign w:val="center"/>
          </w:tcPr>
          <w:p w:rsidR="00BB1C18" w:rsidRPr="00456512" w:rsidRDefault="00BB1C18"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2014年1月1日至2014年12月31日</w:t>
            </w:r>
          </w:p>
        </w:tc>
        <w:tc>
          <w:tcPr>
            <w:tcW w:w="1024" w:type="dxa"/>
            <w:vAlign w:val="center"/>
          </w:tcPr>
          <w:p w:rsidR="00BB1C18" w:rsidRPr="00456512"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-0.33%</w:t>
            </w:r>
          </w:p>
        </w:tc>
        <w:tc>
          <w:tcPr>
            <w:tcW w:w="1050" w:type="dxa"/>
            <w:vAlign w:val="center"/>
          </w:tcPr>
          <w:p w:rsidR="00BB1C18" w:rsidRPr="00456512"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1.10%</w:t>
            </w:r>
          </w:p>
        </w:tc>
        <w:tc>
          <w:tcPr>
            <w:tcW w:w="1155" w:type="dxa"/>
            <w:vAlign w:val="center"/>
          </w:tcPr>
          <w:p w:rsidR="00BB1C18" w:rsidRPr="00456512" w:rsidRDefault="00E874AF" w:rsidP="00084917">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53.06%</w:t>
            </w:r>
          </w:p>
        </w:tc>
        <w:tc>
          <w:tcPr>
            <w:tcW w:w="1155" w:type="dxa"/>
            <w:vAlign w:val="center"/>
          </w:tcPr>
          <w:p w:rsidR="00BB1C18" w:rsidRPr="00456512"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1.09%</w:t>
            </w:r>
          </w:p>
        </w:tc>
        <w:tc>
          <w:tcPr>
            <w:tcW w:w="1131" w:type="dxa"/>
            <w:vAlign w:val="center"/>
          </w:tcPr>
          <w:p w:rsidR="00BB1C18" w:rsidRPr="00456512"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-53.39%</w:t>
            </w:r>
          </w:p>
        </w:tc>
        <w:tc>
          <w:tcPr>
            <w:tcW w:w="1026" w:type="dxa"/>
            <w:vAlign w:val="center"/>
          </w:tcPr>
          <w:p w:rsidR="00BB1C18" w:rsidRPr="00456512" w:rsidRDefault="00E874AF"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0.01%</w:t>
            </w:r>
          </w:p>
        </w:tc>
      </w:tr>
      <w:tr w:rsidR="00456512" w:rsidRPr="00456512" w:rsidTr="00D937F5">
        <w:trPr>
          <w:trHeight w:val="300"/>
        </w:trPr>
        <w:tc>
          <w:tcPr>
            <w:tcW w:w="1811" w:type="dxa"/>
            <w:vAlign w:val="center"/>
          </w:tcPr>
          <w:p w:rsidR="00D267BA" w:rsidRPr="00456512" w:rsidRDefault="00D267BA" w:rsidP="00084917">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2015年1月1日至2015年12月31日</w:t>
            </w:r>
          </w:p>
        </w:tc>
        <w:tc>
          <w:tcPr>
            <w:tcW w:w="1024" w:type="dxa"/>
            <w:vAlign w:val="center"/>
          </w:tcPr>
          <w:p w:rsidR="00D267BA" w:rsidRPr="00456512"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24.58%</w:t>
            </w:r>
          </w:p>
        </w:tc>
        <w:tc>
          <w:tcPr>
            <w:tcW w:w="1050" w:type="dxa"/>
            <w:vAlign w:val="center"/>
          </w:tcPr>
          <w:p w:rsidR="00D267BA" w:rsidRPr="00456512"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2.75%</w:t>
            </w:r>
          </w:p>
        </w:tc>
        <w:tc>
          <w:tcPr>
            <w:tcW w:w="1155" w:type="dxa"/>
            <w:vAlign w:val="center"/>
          </w:tcPr>
          <w:p w:rsidR="00D267BA" w:rsidRPr="00456512" w:rsidRDefault="00D267BA" w:rsidP="00084917">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9.29%</w:t>
            </w:r>
          </w:p>
        </w:tc>
        <w:tc>
          <w:tcPr>
            <w:tcW w:w="1155" w:type="dxa"/>
            <w:vAlign w:val="center"/>
          </w:tcPr>
          <w:p w:rsidR="00D267BA" w:rsidRPr="00456512"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2.45%</w:t>
            </w:r>
          </w:p>
        </w:tc>
        <w:tc>
          <w:tcPr>
            <w:tcW w:w="1131" w:type="dxa"/>
            <w:vAlign w:val="center"/>
          </w:tcPr>
          <w:p w:rsidR="00D267BA" w:rsidRPr="00456512"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15.29%</w:t>
            </w:r>
          </w:p>
        </w:tc>
        <w:tc>
          <w:tcPr>
            <w:tcW w:w="1026" w:type="dxa"/>
            <w:vAlign w:val="center"/>
          </w:tcPr>
          <w:p w:rsidR="00D267BA" w:rsidRPr="00456512" w:rsidRDefault="00D267BA" w:rsidP="00084917">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0.30%</w:t>
            </w:r>
          </w:p>
        </w:tc>
      </w:tr>
      <w:tr w:rsidR="00456512" w:rsidRPr="00456512" w:rsidTr="00AE562A">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rsidP="00AE562A">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2016年1月1日至2016年12月31日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-4.85%</w:t>
            </w:r>
          </w:p>
        </w:tc>
        <w:tc>
          <w:tcPr>
            <w:tcW w:w="1050"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1.61%</w:t>
            </w:r>
          </w:p>
        </w:tc>
        <w:tc>
          <w:tcPr>
            <w:tcW w:w="1155"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rsidP="00AE562A">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-12.28%</w:t>
            </w:r>
          </w:p>
        </w:tc>
        <w:tc>
          <w:tcPr>
            <w:tcW w:w="1155"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1.45%</w:t>
            </w:r>
          </w:p>
        </w:tc>
        <w:tc>
          <w:tcPr>
            <w:tcW w:w="1131"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7.43%</w:t>
            </w:r>
          </w:p>
        </w:tc>
        <w:tc>
          <w:tcPr>
            <w:tcW w:w="1026" w:type="dxa"/>
            <w:tcBorders>
              <w:top w:val="single" w:sz="4" w:space="0" w:color="auto"/>
              <w:left w:val="single" w:sz="4" w:space="0" w:color="auto"/>
              <w:bottom w:val="single" w:sz="4" w:space="0" w:color="auto"/>
              <w:right w:val="single" w:sz="4" w:space="0" w:color="auto"/>
            </w:tcBorders>
            <w:vAlign w:val="center"/>
          </w:tcPr>
          <w:p w:rsidR="00AE562A" w:rsidRPr="00456512" w:rsidRDefault="00AE562A">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hint="eastAsia"/>
                <w:szCs w:val="21"/>
              </w:rPr>
              <w:t>0.16%</w:t>
            </w:r>
          </w:p>
        </w:tc>
      </w:tr>
      <w:tr w:rsidR="00456512" w:rsidRPr="00456512" w:rsidTr="00AE562A">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hint="eastAsia"/>
                <w:szCs w:val="21"/>
              </w:rPr>
              <w:t>2017年1月1日至2017年</w:t>
            </w:r>
            <w:r w:rsidRPr="00456512">
              <w:rPr>
                <w:rFonts w:asciiTheme="minorEastAsia" w:eastAsiaTheme="minorEastAsia" w:hAnsiTheme="minorEastAsia"/>
                <w:szCs w:val="21"/>
              </w:rPr>
              <w:t>12</w:t>
            </w:r>
            <w:r w:rsidRPr="00456512">
              <w:rPr>
                <w:rFonts w:asciiTheme="minorEastAsia" w:eastAsiaTheme="minorEastAsia" w:hAnsiTheme="minorEastAsia" w:hint="eastAsia"/>
                <w:szCs w:val="21"/>
              </w:rPr>
              <w:t>月</w:t>
            </w:r>
            <w:r w:rsidRPr="00456512">
              <w:rPr>
                <w:rFonts w:asciiTheme="minorEastAsia" w:eastAsiaTheme="minorEastAsia" w:hAnsiTheme="minorEastAsia"/>
                <w:szCs w:val="21"/>
              </w:rPr>
              <w:t>31</w:t>
            </w:r>
            <w:r w:rsidRPr="00456512">
              <w:rPr>
                <w:rFonts w:asciiTheme="minorEastAsia" w:eastAsiaTheme="minorEastAsia" w:hAnsiTheme="minorEastAsia" w:hint="eastAsia"/>
                <w:szCs w:val="21"/>
              </w:rPr>
              <w:t>日</w:t>
            </w:r>
          </w:p>
        </w:tc>
        <w:tc>
          <w:tcPr>
            <w:tcW w:w="1024"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19.87%</w:t>
            </w:r>
          </w:p>
        </w:tc>
        <w:tc>
          <w:tcPr>
            <w:tcW w:w="1050"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0.84%</w:t>
            </w:r>
          </w:p>
        </w:tc>
        <w:tc>
          <w:tcPr>
            <w:tcW w:w="1155"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6.58%</w:t>
            </w:r>
          </w:p>
        </w:tc>
        <w:tc>
          <w:tcPr>
            <w:tcW w:w="1155"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0.55%</w:t>
            </w:r>
          </w:p>
        </w:tc>
        <w:tc>
          <w:tcPr>
            <w:tcW w:w="1131"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13.29%</w:t>
            </w:r>
          </w:p>
        </w:tc>
        <w:tc>
          <w:tcPr>
            <w:tcW w:w="1026" w:type="dxa"/>
            <w:tcBorders>
              <w:top w:val="single" w:sz="4" w:space="0" w:color="auto"/>
              <w:left w:val="single" w:sz="4" w:space="0" w:color="auto"/>
              <w:bottom w:val="single" w:sz="4" w:space="0" w:color="auto"/>
              <w:right w:val="single" w:sz="4" w:space="0" w:color="auto"/>
            </w:tcBorders>
            <w:vAlign w:val="center"/>
          </w:tcPr>
          <w:p w:rsidR="00934B5C" w:rsidRPr="00456512" w:rsidRDefault="00934B5C" w:rsidP="00934B5C">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0.29%</w:t>
            </w:r>
          </w:p>
        </w:tc>
      </w:tr>
      <w:tr w:rsidR="00456512" w:rsidRPr="00456512" w:rsidTr="009625B4">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szCs w:val="21"/>
              </w:rPr>
              <w:t>2018年1月1日至2018年12月31日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-28.33%</w:t>
            </w:r>
          </w:p>
        </w:tc>
        <w:tc>
          <w:tcPr>
            <w:tcW w:w="1050"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1.37%</w:t>
            </w:r>
          </w:p>
        </w:tc>
        <w:tc>
          <w:tcPr>
            <w:tcW w:w="1155"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-24.60%</w:t>
            </w:r>
          </w:p>
        </w:tc>
        <w:tc>
          <w:tcPr>
            <w:tcW w:w="1155"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1.23%</w:t>
            </w:r>
          </w:p>
        </w:tc>
        <w:tc>
          <w:tcPr>
            <w:tcW w:w="1131"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-3.73%</w:t>
            </w:r>
          </w:p>
        </w:tc>
        <w:tc>
          <w:tcPr>
            <w:tcW w:w="1026" w:type="dxa"/>
            <w:tcBorders>
              <w:top w:val="single" w:sz="4" w:space="0" w:color="auto"/>
              <w:left w:val="single" w:sz="4" w:space="0" w:color="auto"/>
              <w:bottom w:val="single" w:sz="4" w:space="0" w:color="auto"/>
              <w:right w:val="single" w:sz="4" w:space="0" w:color="auto"/>
            </w:tcBorders>
            <w:vAlign w:val="center"/>
          </w:tcPr>
          <w:p w:rsidR="00F7389D" w:rsidRPr="00456512" w:rsidRDefault="00F7389D" w:rsidP="00F7389D">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szCs w:val="21"/>
              </w:rPr>
              <w:t>0.14%</w:t>
            </w:r>
          </w:p>
        </w:tc>
      </w:tr>
      <w:tr w:rsidR="00456512" w:rsidRPr="00456512" w:rsidTr="00960F82">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rPr>
                <w:rFonts w:asciiTheme="minorEastAsia" w:eastAsiaTheme="minorEastAsia" w:hAnsiTheme="minorEastAsia"/>
                <w:szCs w:val="21"/>
              </w:rPr>
            </w:pPr>
            <w:r w:rsidRPr="00456512">
              <w:rPr>
                <w:rFonts w:asciiTheme="minorEastAsia" w:eastAsiaTheme="minorEastAsia" w:hAnsiTheme="minorEastAsia"/>
                <w:szCs w:val="21"/>
              </w:rPr>
              <w:t>2019年1月1日至2019年12月31日</w:t>
            </w:r>
          </w:p>
        </w:tc>
        <w:tc>
          <w:tcPr>
            <w:tcW w:w="1024"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rPr>
              <w:t>40.23%</w:t>
            </w:r>
          </w:p>
        </w:tc>
        <w:tc>
          <w:tcPr>
            <w:tcW w:w="1050"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rPr>
              <w:t>1.15%</w:t>
            </w:r>
          </w:p>
        </w:tc>
        <w:tc>
          <w:tcPr>
            <w:tcW w:w="1155"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rightChars="-51" w:right="-107"/>
              <w:jc w:val="right"/>
              <w:rPr>
                <w:rFonts w:asciiTheme="minorEastAsia" w:eastAsiaTheme="minorEastAsia" w:hAnsiTheme="minorEastAsia"/>
                <w:szCs w:val="21"/>
              </w:rPr>
            </w:pPr>
            <w:r w:rsidRPr="00456512">
              <w:rPr>
                <w:rFonts w:asciiTheme="minorEastAsia" w:eastAsiaTheme="minorEastAsia" w:hAnsiTheme="minorEastAsia"/>
              </w:rPr>
              <w:t>22.39%</w:t>
            </w:r>
          </w:p>
        </w:tc>
        <w:tc>
          <w:tcPr>
            <w:tcW w:w="1155"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rPr>
              <w:t>1.14%</w:t>
            </w:r>
          </w:p>
        </w:tc>
        <w:tc>
          <w:tcPr>
            <w:tcW w:w="1131"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rPr>
              <w:t>17.84%</w:t>
            </w:r>
          </w:p>
        </w:tc>
        <w:tc>
          <w:tcPr>
            <w:tcW w:w="1026" w:type="dxa"/>
            <w:tcBorders>
              <w:top w:val="single" w:sz="4" w:space="0" w:color="auto"/>
              <w:left w:val="single" w:sz="4" w:space="0" w:color="auto"/>
              <w:bottom w:val="single" w:sz="4" w:space="0" w:color="auto"/>
              <w:right w:val="single" w:sz="4" w:space="0" w:color="auto"/>
            </w:tcBorders>
            <w:vAlign w:val="center"/>
          </w:tcPr>
          <w:p w:rsidR="00960F82" w:rsidRPr="00456512" w:rsidRDefault="00960F82" w:rsidP="00960F82">
            <w:pPr>
              <w:tabs>
                <w:tab w:val="left" w:pos="5400"/>
              </w:tabs>
              <w:snapToGrid w:val="0"/>
              <w:spacing w:line="360" w:lineRule="auto"/>
              <w:ind w:leftChars="-51" w:left="-107" w:rightChars="-51" w:right="-107"/>
              <w:jc w:val="right"/>
              <w:rPr>
                <w:rFonts w:asciiTheme="minorEastAsia" w:eastAsiaTheme="minorEastAsia" w:hAnsiTheme="minorEastAsia"/>
                <w:szCs w:val="21"/>
              </w:rPr>
            </w:pPr>
            <w:r w:rsidRPr="00456512">
              <w:rPr>
                <w:rFonts w:asciiTheme="minorEastAsia" w:eastAsiaTheme="minorEastAsia" w:hAnsiTheme="minorEastAsia"/>
              </w:rPr>
              <w:t>0.01%</w:t>
            </w:r>
          </w:p>
        </w:tc>
      </w:tr>
    </w:tbl>
    <w:p w:rsidR="00750981" w:rsidRPr="00456512" w:rsidRDefault="00750981" w:rsidP="00084917">
      <w:pPr>
        <w:snapToGrid w:val="0"/>
        <w:spacing w:line="360" w:lineRule="auto"/>
        <w:ind w:firstLine="181"/>
        <w:rPr>
          <w:rFonts w:asciiTheme="minorEastAsia" w:eastAsiaTheme="minorEastAsia" w:hAnsiTheme="minorEastAsia"/>
        </w:rPr>
        <w:sectPr w:rsidR="00750981" w:rsidRPr="00456512" w:rsidSect="005E306A">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66" w:name="_Toc92774756"/>
      <w:bookmarkStart w:id="67" w:name="_Toc30161796"/>
      <w:r w:rsidRPr="00456512">
        <w:rPr>
          <w:rFonts w:asciiTheme="minorEastAsia" w:eastAsiaTheme="minorEastAsia" w:hAnsiTheme="minorEastAsia" w:hint="eastAsia"/>
          <w:b/>
        </w:rPr>
        <w:lastRenderedPageBreak/>
        <w:t>十、基金的财产</w:t>
      </w:r>
      <w:bookmarkEnd w:id="66"/>
      <w:bookmarkEnd w:id="67"/>
    </w:p>
    <w:p w:rsidR="001D2E2F" w:rsidRPr="00456512"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rPr>
      </w:pPr>
      <w:r w:rsidRPr="00456512">
        <w:rPr>
          <w:rFonts w:asciiTheme="minorEastAsia" w:eastAsiaTheme="minorEastAsia" w:hAnsiTheme="minorEastAsia" w:hint="eastAsia"/>
          <w:b/>
          <w:bCs/>
        </w:rPr>
        <w:t>基金财产的构成</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基金资产总值是指所购买的各类证券价值、银行存款本息和基金应收的申购基金款以及其他投资所形成的价值总和。基金资产净值是指基金资产总值减去负债后的价值。</w:t>
      </w:r>
    </w:p>
    <w:p w:rsidR="001D2E2F" w:rsidRPr="00456512"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rPr>
      </w:pPr>
      <w:r w:rsidRPr="00456512">
        <w:rPr>
          <w:rFonts w:asciiTheme="minorEastAsia" w:eastAsiaTheme="minorEastAsia" w:hAnsiTheme="minorEastAsia" w:hint="eastAsia"/>
          <w:b/>
          <w:bCs/>
        </w:rPr>
        <w:t>基金财产的账户</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本基金按有关规定开立基金专用银行存款账户以及证券账户，</w:t>
      </w:r>
      <w:r w:rsidRPr="00456512">
        <w:rPr>
          <w:rFonts w:asciiTheme="minorEastAsia" w:eastAsiaTheme="minorEastAsia" w:hAnsiTheme="minorEastAsia"/>
          <w:szCs w:val="21"/>
        </w:rPr>
        <w:t>与基金管理人、基金托管人、基金</w:t>
      </w:r>
      <w:r w:rsidR="0004048E" w:rsidRPr="00456512">
        <w:rPr>
          <w:rFonts w:asciiTheme="minorEastAsia" w:eastAsiaTheme="minorEastAsia" w:hAnsiTheme="minorEastAsia" w:hint="eastAsia"/>
          <w:szCs w:val="21"/>
        </w:rPr>
        <w:t>销售</w:t>
      </w:r>
      <w:r w:rsidRPr="00456512">
        <w:rPr>
          <w:rFonts w:asciiTheme="minorEastAsia" w:eastAsiaTheme="minorEastAsia" w:hAnsiTheme="minorEastAsia"/>
          <w:szCs w:val="21"/>
        </w:rPr>
        <w:t>机构、</w:t>
      </w:r>
      <w:r w:rsidRPr="00456512">
        <w:rPr>
          <w:rFonts w:asciiTheme="minorEastAsia" w:eastAsiaTheme="minorEastAsia" w:hAnsiTheme="minorEastAsia" w:hint="eastAsia"/>
          <w:szCs w:val="21"/>
        </w:rPr>
        <w:t>基金注册登记机构</w:t>
      </w:r>
      <w:r w:rsidRPr="00456512">
        <w:rPr>
          <w:rFonts w:asciiTheme="minorEastAsia" w:eastAsiaTheme="minorEastAsia" w:hAnsiTheme="minorEastAsia"/>
          <w:szCs w:val="21"/>
        </w:rPr>
        <w:t>自有的</w:t>
      </w:r>
      <w:r w:rsidRPr="00456512">
        <w:rPr>
          <w:rFonts w:asciiTheme="minorEastAsia" w:eastAsiaTheme="minorEastAsia" w:hAnsiTheme="minorEastAsia" w:hint="eastAsia"/>
          <w:szCs w:val="21"/>
        </w:rPr>
        <w:t>财</w:t>
      </w:r>
      <w:r w:rsidRPr="00456512">
        <w:rPr>
          <w:rFonts w:asciiTheme="minorEastAsia" w:eastAsiaTheme="minorEastAsia" w:hAnsiTheme="minorEastAsia"/>
          <w:szCs w:val="21"/>
        </w:rPr>
        <w:t>产账户以及其它基金</w:t>
      </w:r>
      <w:r w:rsidRPr="00456512">
        <w:rPr>
          <w:rFonts w:asciiTheme="minorEastAsia" w:eastAsiaTheme="minorEastAsia" w:hAnsiTheme="minorEastAsia" w:hint="eastAsia"/>
          <w:szCs w:val="21"/>
        </w:rPr>
        <w:t>财</w:t>
      </w:r>
      <w:r w:rsidRPr="00456512">
        <w:rPr>
          <w:rFonts w:asciiTheme="minorEastAsia" w:eastAsiaTheme="minorEastAsia" w:hAnsiTheme="minorEastAsia"/>
          <w:szCs w:val="21"/>
        </w:rPr>
        <w:t>产账户相互独立。</w:t>
      </w:r>
    </w:p>
    <w:p w:rsidR="001D2E2F" w:rsidRPr="00456512" w:rsidRDefault="001D2E2F" w:rsidP="007F114F">
      <w:pPr>
        <w:numPr>
          <w:ilvl w:val="0"/>
          <w:numId w:val="25"/>
        </w:numPr>
        <w:autoSpaceDE w:val="0"/>
        <w:autoSpaceDN w:val="0"/>
        <w:adjustRightInd w:val="0"/>
        <w:snapToGrid w:val="0"/>
        <w:spacing w:line="360" w:lineRule="auto"/>
        <w:rPr>
          <w:rFonts w:asciiTheme="minorEastAsia" w:eastAsiaTheme="minorEastAsia" w:hAnsiTheme="minorEastAsia"/>
          <w:b/>
          <w:bCs/>
        </w:rPr>
      </w:pPr>
      <w:r w:rsidRPr="00456512">
        <w:rPr>
          <w:rFonts w:asciiTheme="minorEastAsia" w:eastAsiaTheme="minorEastAsia" w:hAnsiTheme="minorEastAsia" w:hint="eastAsia"/>
          <w:b/>
          <w:bCs/>
        </w:rPr>
        <w:t>基金财产的保管与处分</w:t>
      </w:r>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rPr>
        <w:t>本基金财产独立于基金管理人、基金托管人的固有财产，并由基金托管人保管。</w:t>
      </w:r>
      <w:r w:rsidRPr="00456512">
        <w:rPr>
          <w:rFonts w:asciiTheme="minorEastAsia" w:eastAsiaTheme="minorEastAsia" w:hAnsiTheme="minorEastAsia" w:hint="eastAsia"/>
          <w:szCs w:val="21"/>
        </w:rPr>
        <w:t>基金管理人、基金托管人不得将基金财产归入其固有财产；基金管理人、基金托管人因基金财产的管理、运用或其他情形而取得的财产和收益，归入基金财产。</w:t>
      </w:r>
      <w:r w:rsidRPr="00456512">
        <w:rPr>
          <w:rFonts w:asciiTheme="minorEastAsia" w:eastAsiaTheme="minorEastAsia" w:hAnsiTheme="minorEastAsia" w:hint="eastAsia"/>
        </w:rPr>
        <w:t>基金管理人、基金托管人以其自有的财产承担自身相应的法律责任，其债权人不得对基金财产行使请求冻结、扣押或其他权利。</w:t>
      </w:r>
      <w:r w:rsidRPr="00456512">
        <w:rPr>
          <w:rFonts w:asciiTheme="minorEastAsia" w:eastAsiaTheme="minorEastAsia" w:hAnsiTheme="minorEastAsia" w:hint="eastAsia"/>
          <w:szCs w:val="21"/>
        </w:rPr>
        <w:t>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基金管理人管理运作基金财产所产生的债权，不得与其固有资产产生的债务相互抵消；基金管理人管理运作不同基金的基金财产所产生的债权债务不得相互抵消。</w:t>
      </w:r>
    </w:p>
    <w:p w:rsidR="001D2E2F" w:rsidRPr="00456512" w:rsidRDefault="001D2E2F" w:rsidP="00084917">
      <w:pPr>
        <w:snapToGrid w:val="0"/>
        <w:spacing w:line="360" w:lineRule="auto"/>
        <w:ind w:firstLine="420"/>
        <w:rPr>
          <w:rFonts w:asciiTheme="minorEastAsia" w:eastAsiaTheme="minorEastAsia" w:hAnsiTheme="minorEastAsia"/>
        </w:rPr>
      </w:pPr>
    </w:p>
    <w:p w:rsidR="006F79CF" w:rsidRPr="00456512" w:rsidRDefault="006F79CF" w:rsidP="00084917">
      <w:pPr>
        <w:snapToGrid w:val="0"/>
        <w:spacing w:line="360" w:lineRule="auto"/>
        <w:ind w:firstLine="420"/>
        <w:rPr>
          <w:rFonts w:asciiTheme="minorEastAsia" w:eastAsiaTheme="minorEastAsia" w:hAnsiTheme="minorEastAsia"/>
        </w:rPr>
      </w:pPr>
    </w:p>
    <w:p w:rsidR="006F79CF" w:rsidRPr="00456512" w:rsidRDefault="006F79CF" w:rsidP="00084917">
      <w:pPr>
        <w:snapToGrid w:val="0"/>
        <w:spacing w:line="360" w:lineRule="auto"/>
        <w:ind w:firstLine="420"/>
        <w:rPr>
          <w:rFonts w:asciiTheme="minorEastAsia" w:eastAsiaTheme="minorEastAsia" w:hAnsiTheme="minorEastAsia"/>
        </w:rPr>
      </w:pPr>
    </w:p>
    <w:p w:rsidR="006F79CF" w:rsidRPr="00456512" w:rsidRDefault="006F79CF" w:rsidP="00084917">
      <w:pPr>
        <w:snapToGrid w:val="0"/>
        <w:spacing w:line="360" w:lineRule="auto"/>
        <w:ind w:firstLine="420"/>
        <w:rPr>
          <w:rFonts w:asciiTheme="minorEastAsia" w:eastAsiaTheme="minorEastAsia" w:hAnsiTheme="minorEastAsia"/>
        </w:rPr>
      </w:pPr>
    </w:p>
    <w:p w:rsidR="002A707B" w:rsidRPr="00456512" w:rsidRDefault="002A707B">
      <w:pPr>
        <w:widowControl/>
        <w:jc w:val="left"/>
        <w:rPr>
          <w:rFonts w:asciiTheme="minorEastAsia" w:eastAsiaTheme="minorEastAsia" w:hAnsiTheme="minorEastAsia"/>
        </w:rPr>
      </w:pPr>
      <w:r w:rsidRPr="00456512">
        <w:rPr>
          <w:rFonts w:asciiTheme="minorEastAsia" w:eastAsiaTheme="minorEastAsia" w:hAnsiTheme="minorEastAsia"/>
        </w:rPr>
        <w:br w:type="page"/>
      </w: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rPr>
      </w:pPr>
      <w:bookmarkStart w:id="68" w:name="_Toc92774757"/>
      <w:bookmarkStart w:id="69" w:name="_Toc30161797"/>
      <w:r w:rsidRPr="00456512">
        <w:rPr>
          <w:rFonts w:asciiTheme="minorEastAsia" w:eastAsiaTheme="minorEastAsia" w:hAnsiTheme="minorEastAsia" w:hint="eastAsia"/>
          <w:b/>
        </w:rPr>
        <w:lastRenderedPageBreak/>
        <w:t>十一、基金资产的估值</w:t>
      </w:r>
      <w:bookmarkEnd w:id="68"/>
      <w:bookmarkEnd w:id="69"/>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0" w:name="_Toc30161798"/>
      <w:r w:rsidRPr="00456512">
        <w:rPr>
          <w:rFonts w:asciiTheme="minorEastAsia" w:eastAsiaTheme="minorEastAsia" w:hAnsiTheme="minorEastAsia" w:hint="eastAsia"/>
          <w:szCs w:val="21"/>
        </w:rPr>
        <w:t>（一）估值目的</w:t>
      </w:r>
      <w:bookmarkEnd w:id="70"/>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1" w:name="_Toc30161799"/>
      <w:r w:rsidRPr="00456512">
        <w:rPr>
          <w:rFonts w:asciiTheme="minorEastAsia" w:eastAsiaTheme="minorEastAsia" w:hAnsiTheme="minorEastAsia" w:hint="eastAsia"/>
          <w:szCs w:val="21"/>
        </w:rPr>
        <w:t>（二）估值日</w:t>
      </w:r>
      <w:bookmarkEnd w:id="71"/>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本基金的估值日为上海和深圳证券交易所的交易日以及国家法律法规规定需要对外披露基金净值的非营业日。</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2" w:name="_Toc30161800"/>
      <w:r w:rsidRPr="00456512">
        <w:rPr>
          <w:rFonts w:asciiTheme="minorEastAsia" w:eastAsiaTheme="minorEastAsia" w:hAnsiTheme="minorEastAsia" w:hint="eastAsia"/>
          <w:szCs w:val="21"/>
        </w:rPr>
        <w:t>（三）估值对象</w:t>
      </w:r>
      <w:bookmarkEnd w:id="72"/>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基金所持有的金融资产和金融负债</w:t>
      </w:r>
      <w:r w:rsidRPr="00456512">
        <w:rPr>
          <w:rFonts w:asciiTheme="minorEastAsia" w:eastAsiaTheme="minorEastAsia" w:hAnsiTheme="minorEastAsia"/>
          <w:szCs w:val="21"/>
        </w:rPr>
        <w:t>。</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3" w:name="_Toc30161801"/>
      <w:r w:rsidRPr="00456512">
        <w:rPr>
          <w:rFonts w:asciiTheme="minorEastAsia" w:eastAsiaTheme="minorEastAsia" w:hAnsiTheme="minorEastAsia" w:hint="eastAsia"/>
          <w:szCs w:val="21"/>
        </w:rPr>
        <w:t>（四）估值方法</w:t>
      </w:r>
      <w:bookmarkEnd w:id="73"/>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股票估值方法</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（1）上市流通股票的估值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上市流通股票按估值日其所在证券交易所的收盘价估值；估值日无交易的，以最近交易日的收盘价估值。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（2）未上市股票的估值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送股、转增股、配股和公开增发新股等发行未上市的股票，按估值日在交易所挂牌的同一股票的收盘价估值；估值日无交易的，以最近交易日的收盘价估值。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首次发行未上市的股票，采用估值技术确定公允价值，在估值技术难以可靠计量的情况下，按成本估值。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（3）有明确锁定期股票的估值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固定收益证券的估值办法</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（1）证券交易所市场实行净价交易的债券按估值日收盘净价估值，估值日没有交易的，按最近交易日的收盘净价估值。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（2）证券交易所市场未实行净价交易的债券按估值日收盘价减去债券收盘价中所含的债券应收利息得到的净价进行估值，估值日没有交易的，按有交易的最近交易日所采用的净价估值。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（3）未上市债券采用估值技术确定公允价值，在估值技术难以可靠计量的情况下，按成本估值。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（4）在银行间债券市场交易的债券、资产支持证券等固定收益品种，采用估值技术确定公允价值。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（5）交易所以大宗交易方式转让的资产支持证券，采用估值技术确定公允价值，在估值技术难以可靠计量公允价值的情况下，按成本进行后续计量。</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（6）同一债券同时在两个或两个以上市场交易的，按债券所处的市场分别估值。</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权证估值：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（1）配股权证的估值：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因持有股票而享有的配股权，采用估值技术进行估值。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（2）认沽/认购权证的估值：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其他资产按国家有关规定进行估值。</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国家有最新规定的，按其规定进行估值。</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4" w:name="_Toc30161802"/>
      <w:r w:rsidRPr="00456512">
        <w:rPr>
          <w:rFonts w:asciiTheme="minorEastAsia" w:eastAsiaTheme="minorEastAsia" w:hAnsiTheme="minorEastAsia" w:hint="eastAsia"/>
          <w:szCs w:val="21"/>
        </w:rPr>
        <w:t>（五）估值程序</w:t>
      </w:r>
      <w:bookmarkEnd w:id="74"/>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5" w:name="_Toc30161803"/>
      <w:r w:rsidRPr="00456512">
        <w:rPr>
          <w:rFonts w:asciiTheme="minorEastAsia" w:eastAsiaTheme="minorEastAsia" w:hAnsiTheme="minorEastAsia" w:hint="eastAsia"/>
          <w:szCs w:val="21"/>
        </w:rPr>
        <w:t>（六）暂停估值的情形</w:t>
      </w:r>
      <w:bookmarkEnd w:id="75"/>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基金投资所涉及的证券交易所遇法定节假日或因其他原因暂停营业时；</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因不可抗力或其他情形致使基金管理人、基金托管人无法准确评估基金财产价值时；</w:t>
      </w:r>
    </w:p>
    <w:p w:rsidR="0071674B"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71674B" w:rsidRPr="00456512">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当前一估值日基金资产净值50%以上的资产出现无可参考的活跃市场价格且采用估值技术仍导致公允价值存在重大不确定性时，经与基金托管人协商一致并暂停估值时；</w:t>
      </w:r>
    </w:p>
    <w:p w:rsidR="001D2E2F" w:rsidRPr="00456512" w:rsidRDefault="0071674B"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Pr="00456512">
        <w:rPr>
          <w:rFonts w:asciiTheme="minorEastAsia" w:eastAsiaTheme="minorEastAsia" w:hAnsiTheme="minorEastAsia"/>
          <w:szCs w:val="21"/>
        </w:rPr>
        <w:t>、</w:t>
      </w:r>
      <w:r w:rsidR="001D2E2F" w:rsidRPr="00456512">
        <w:rPr>
          <w:rFonts w:asciiTheme="minorEastAsia" w:eastAsiaTheme="minorEastAsia" w:hAnsiTheme="minorEastAsia" w:hint="eastAsia"/>
          <w:szCs w:val="21"/>
        </w:rPr>
        <w:t>中国证监会认定的其他情形。</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6" w:name="_Toc30161804"/>
      <w:r w:rsidRPr="00456512">
        <w:rPr>
          <w:rFonts w:asciiTheme="minorEastAsia" w:eastAsiaTheme="minorEastAsia" w:hAnsiTheme="minorEastAsia" w:hint="eastAsia"/>
          <w:szCs w:val="21"/>
        </w:rPr>
        <w:t>（七）基金份额净值的确认</w:t>
      </w:r>
      <w:bookmarkEnd w:id="76"/>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基金份额净值的计算精确到0.0001元，小数点后第五位四舍五入。国家另有规定的，</w:t>
      </w:r>
      <w:r w:rsidRPr="00456512">
        <w:rPr>
          <w:rFonts w:asciiTheme="minorEastAsia" w:eastAsiaTheme="minorEastAsia" w:hAnsiTheme="minorEastAsia" w:hint="eastAsia"/>
          <w:szCs w:val="21"/>
        </w:rPr>
        <w:lastRenderedPageBreak/>
        <w:t>从其规定。</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7" w:name="_Toc30161805"/>
      <w:r w:rsidRPr="00456512">
        <w:rPr>
          <w:rFonts w:asciiTheme="minorEastAsia" w:eastAsiaTheme="minorEastAsia" w:hAnsiTheme="minorEastAsia" w:hint="eastAsia"/>
          <w:szCs w:val="21"/>
        </w:rPr>
        <w:t>（八）估值错误的处理</w:t>
      </w:r>
      <w:bookmarkEnd w:id="77"/>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当基金资产的估值导致基金份额净值小数点后四位（含第四位）内发生差错时，视为基金份额净值估值错误。</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前述内容如法律法规或监管机构另有规定的，按其规定处理。</w:t>
      </w:r>
    </w:p>
    <w:p w:rsidR="001D2E2F" w:rsidRPr="00456512" w:rsidRDefault="001D2E2F" w:rsidP="00084917">
      <w:pPr>
        <w:snapToGrid w:val="0"/>
        <w:spacing w:line="360" w:lineRule="auto"/>
        <w:ind w:firstLineChars="200" w:firstLine="420"/>
        <w:outlineLvl w:val="1"/>
        <w:rPr>
          <w:rFonts w:asciiTheme="minorEastAsia" w:eastAsiaTheme="minorEastAsia" w:hAnsiTheme="minorEastAsia"/>
          <w:szCs w:val="21"/>
        </w:rPr>
      </w:pPr>
      <w:bookmarkStart w:id="78" w:name="_Toc30161806"/>
      <w:r w:rsidRPr="00456512">
        <w:rPr>
          <w:rFonts w:asciiTheme="minorEastAsia" w:eastAsiaTheme="minorEastAsia" w:hAnsiTheme="minorEastAsia" w:hint="eastAsia"/>
          <w:szCs w:val="21"/>
        </w:rPr>
        <w:t>（九）特殊情形的处理</w:t>
      </w:r>
      <w:bookmarkEnd w:id="78"/>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基金管理人按本条第（四）款有关估值方法规定的第5项条款进行估值时，所造成的误差不作为基金份额净值错误处理。</w:t>
      </w:r>
    </w:p>
    <w:p w:rsidR="001D2E2F" w:rsidRPr="00456512" w:rsidRDefault="006F79C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1D2E2F" w:rsidRPr="00456512" w:rsidRDefault="001D2E2F" w:rsidP="00084917">
      <w:pPr>
        <w:pStyle w:val="aff9"/>
        <w:snapToGrid w:val="0"/>
        <w:spacing w:after="0" w:line="360" w:lineRule="auto"/>
        <w:ind w:firstLineChars="0" w:firstLine="210"/>
        <w:rPr>
          <w:rFonts w:asciiTheme="minorEastAsia" w:eastAsiaTheme="minorEastAsia" w:hAnsiTheme="minorEastAsia"/>
        </w:rPr>
      </w:pPr>
      <w:bookmarkStart w:id="79" w:name="_Toc13148331"/>
      <w:bookmarkStart w:id="80" w:name="_Toc13150559"/>
      <w:bookmarkStart w:id="81" w:name="_Toc13291944"/>
      <w:bookmarkStart w:id="82" w:name="_Toc13504670"/>
      <w:bookmarkStart w:id="83" w:name="_Toc13504786"/>
      <w:bookmarkStart w:id="84" w:name="_Toc13556279"/>
      <w:bookmarkStart w:id="85" w:name="_Toc14337401"/>
      <w:bookmarkEnd w:id="79"/>
      <w:bookmarkEnd w:id="80"/>
      <w:bookmarkEnd w:id="81"/>
      <w:bookmarkEnd w:id="82"/>
      <w:bookmarkEnd w:id="83"/>
      <w:bookmarkEnd w:id="84"/>
      <w:bookmarkEnd w:id="85"/>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6F79CF" w:rsidRPr="00456512" w:rsidRDefault="006F79CF" w:rsidP="00084917">
      <w:pPr>
        <w:pStyle w:val="aff9"/>
        <w:snapToGrid w:val="0"/>
        <w:spacing w:after="0" w:line="360" w:lineRule="auto"/>
        <w:ind w:firstLineChars="0" w:firstLine="210"/>
        <w:rPr>
          <w:rFonts w:asciiTheme="minorEastAsia" w:eastAsiaTheme="minorEastAsia" w:hAnsiTheme="minorEastAsia"/>
        </w:rPr>
      </w:pPr>
    </w:p>
    <w:p w:rsidR="001D2E2F" w:rsidRPr="00456512" w:rsidRDefault="001D2E2F" w:rsidP="00084917">
      <w:pPr>
        <w:pStyle w:val="aff9"/>
        <w:snapToGrid w:val="0"/>
        <w:spacing w:after="0" w:line="360" w:lineRule="auto"/>
        <w:ind w:firstLineChars="0" w:firstLine="210"/>
        <w:rPr>
          <w:rFonts w:asciiTheme="minorEastAsia" w:eastAsiaTheme="minorEastAsia" w:hAnsiTheme="minorEastAsia"/>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Cs/>
        </w:rPr>
      </w:pPr>
      <w:bookmarkStart w:id="86" w:name="_Toc30161807"/>
      <w:r w:rsidRPr="00456512">
        <w:rPr>
          <w:rFonts w:asciiTheme="minorEastAsia" w:eastAsiaTheme="minorEastAsia" w:hAnsiTheme="minorEastAsia" w:hint="eastAsia"/>
          <w:b/>
          <w:bCs/>
        </w:rPr>
        <w:lastRenderedPageBreak/>
        <w:t>十二、基金的收益分配</w:t>
      </w:r>
      <w:bookmarkEnd w:id="86"/>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87" w:name="_Toc30161808"/>
      <w:r w:rsidRPr="00456512">
        <w:rPr>
          <w:rFonts w:asciiTheme="minorEastAsia" w:eastAsiaTheme="minorEastAsia" w:hAnsiTheme="minorEastAsia" w:hint="eastAsia"/>
          <w:bCs/>
        </w:rPr>
        <w:t>（一）收益的构成</w:t>
      </w:r>
      <w:bookmarkEnd w:id="87"/>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基金收益包括：基金投资所得红利、股息、债券利息、买卖证券差价、银行存款利息以及其他收入。因运用基金资产带来的成本或费用的节约计入收益。</w:t>
      </w:r>
    </w:p>
    <w:p w:rsidR="001D2E2F" w:rsidRPr="00456512" w:rsidRDefault="001D2E2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基金净收益为基金收益扣除按照有关规定可以在基金收益中扣除的费用等项目后的余额。</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88" w:name="_Toc30161809"/>
      <w:r w:rsidRPr="00456512">
        <w:rPr>
          <w:rFonts w:asciiTheme="minorEastAsia" w:eastAsiaTheme="minorEastAsia" w:hAnsiTheme="minorEastAsia" w:hint="eastAsia"/>
          <w:bCs/>
        </w:rPr>
        <w:t>（二）收益分配原则</w:t>
      </w:r>
      <w:bookmarkEnd w:id="88"/>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收益分配采用现金方式，投资者可选择获取现金红利或者将现金红利按红利发放日前一工作日的基金份额净值自动转为基金份额进行再投资（简称“再投资方式”）；如果投资者没有明示选择，则视为选择现金方式；</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每一基金份额享有同等分配权；</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基金当期收益先弥补上期亏损后，方可进行当期收益分配；</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基金收益分配后每基金份额净值不能低于面值；</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如果基金投资当期出现亏损，则不进行收益分配；</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基金当年累计分配的收益不得低于该年度可分配收益的30%，不足部分于次年三个月内补足，但是每基金份额可分配收益不足0.01元时，可不分配。</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7、</w:t>
      </w:r>
      <w:r w:rsidR="001D2E2F" w:rsidRPr="00456512">
        <w:rPr>
          <w:rFonts w:asciiTheme="minorEastAsia" w:eastAsiaTheme="minorEastAsia" w:hAnsiTheme="minorEastAsia" w:hint="eastAsia"/>
          <w:szCs w:val="21"/>
        </w:rPr>
        <w:t>在符合基金分红条件的前提下，本基金每年至少分红一次，最多不超过六次。基金合同生效当年不满3个月，收益可不分配。法律、法规或监管机构另有规定的从其规定。</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89" w:name="_Toc30161810"/>
      <w:r w:rsidRPr="00456512">
        <w:rPr>
          <w:rFonts w:asciiTheme="minorEastAsia" w:eastAsiaTheme="minorEastAsia" w:hAnsiTheme="minorEastAsia" w:hint="eastAsia"/>
          <w:bCs/>
        </w:rPr>
        <w:t>（三）收益分配方案的确定与公告</w:t>
      </w:r>
      <w:bookmarkEnd w:id="89"/>
      <w:r w:rsidRPr="00456512">
        <w:rPr>
          <w:rFonts w:asciiTheme="minorEastAsia" w:eastAsiaTheme="minorEastAsia" w:hAnsiTheme="minorEastAsia"/>
          <w:bCs/>
        </w:rPr>
        <w:tab/>
      </w:r>
    </w:p>
    <w:p w:rsidR="001D2E2F" w:rsidRPr="00456512" w:rsidRDefault="001D2E2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基金收益分配方案中载明基金收益的范围、基金净收益、基金收益分配对象、分配原则、分配时间、分配数额及比例、分配方式及有关手续费等内容。</w:t>
      </w:r>
    </w:p>
    <w:p w:rsidR="001D2E2F" w:rsidRPr="00456512" w:rsidRDefault="001D2E2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本基金收益分配方案由基金管理人拟定、基金托管人核实后确定，</w:t>
      </w:r>
      <w:r w:rsidR="002D277E" w:rsidRPr="00456512">
        <w:rPr>
          <w:rFonts w:asciiTheme="minorEastAsia" w:eastAsiaTheme="minorEastAsia" w:hAnsiTheme="minorEastAsia" w:hint="eastAsia"/>
          <w:szCs w:val="21"/>
        </w:rPr>
        <w:t>在2日内在指定媒介公告。</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90" w:name="_Toc30161811"/>
      <w:r w:rsidRPr="00456512">
        <w:rPr>
          <w:rFonts w:asciiTheme="minorEastAsia" w:eastAsiaTheme="minorEastAsia" w:hAnsiTheme="minorEastAsia" w:hint="eastAsia"/>
          <w:bCs/>
        </w:rPr>
        <w:t>（四）</w:t>
      </w:r>
      <w:r w:rsidRPr="00456512">
        <w:rPr>
          <w:rFonts w:asciiTheme="minorEastAsia" w:eastAsiaTheme="minorEastAsia" w:hAnsiTheme="minorEastAsia"/>
          <w:bCs/>
        </w:rPr>
        <w:t>收益分配中发生的费用</w:t>
      </w:r>
      <w:bookmarkEnd w:id="90"/>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szCs w:val="21"/>
        </w:rPr>
        <w:t>收益分配采用红利再投资方式免收再投资的费用。</w:t>
      </w:r>
    </w:p>
    <w:p w:rsidR="001D2E2F" w:rsidRPr="00456512" w:rsidRDefault="006F79CF" w:rsidP="006F79CF">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收益分配时发生的银行转帐等手续费由基金份额持有人自行承担；</w:t>
      </w:r>
      <w:r w:rsidR="001D2E2F" w:rsidRPr="00456512">
        <w:rPr>
          <w:rFonts w:asciiTheme="minorEastAsia" w:eastAsiaTheme="minorEastAsia" w:hAnsiTheme="minorEastAsia"/>
          <w:szCs w:val="21"/>
        </w:rPr>
        <w:t>如果基金份额持</w:t>
      </w:r>
      <w:r w:rsidR="001D2E2F" w:rsidRPr="00456512">
        <w:rPr>
          <w:rFonts w:asciiTheme="minorEastAsia" w:eastAsiaTheme="minorEastAsia" w:hAnsiTheme="minorEastAsia"/>
          <w:szCs w:val="21"/>
        </w:rPr>
        <w:lastRenderedPageBreak/>
        <w:t>有人所获现金红利不足支付前述银行</w:t>
      </w:r>
      <w:r w:rsidR="001D2E2F" w:rsidRPr="00456512">
        <w:rPr>
          <w:rFonts w:asciiTheme="minorEastAsia" w:eastAsiaTheme="minorEastAsia" w:hAnsiTheme="minorEastAsia" w:hint="eastAsia"/>
          <w:szCs w:val="21"/>
        </w:rPr>
        <w:t>转帐等</w:t>
      </w:r>
      <w:r w:rsidR="001D2E2F" w:rsidRPr="00456512">
        <w:rPr>
          <w:rFonts w:asciiTheme="minorEastAsia" w:eastAsiaTheme="minorEastAsia" w:hAnsiTheme="minorEastAsia"/>
          <w:szCs w:val="21"/>
        </w:rPr>
        <w:t>手续费，</w:t>
      </w:r>
      <w:r w:rsidR="001D2E2F" w:rsidRPr="00456512">
        <w:rPr>
          <w:rFonts w:asciiTheme="minorEastAsia" w:eastAsiaTheme="minorEastAsia" w:hAnsiTheme="minorEastAsia" w:hint="eastAsia"/>
          <w:szCs w:val="21"/>
        </w:rPr>
        <w:t>注册登记机构</w:t>
      </w:r>
      <w:r w:rsidR="001D2E2F" w:rsidRPr="00456512">
        <w:rPr>
          <w:rFonts w:asciiTheme="minorEastAsia" w:eastAsiaTheme="minorEastAsia" w:hAnsiTheme="minorEastAsia"/>
          <w:szCs w:val="21"/>
        </w:rPr>
        <w:t>自动将该基金份额持有人的现金红利按红利发放日</w:t>
      </w:r>
      <w:r w:rsidR="001D2E2F" w:rsidRPr="00456512">
        <w:rPr>
          <w:rFonts w:asciiTheme="minorEastAsia" w:eastAsiaTheme="minorEastAsia" w:hAnsiTheme="minorEastAsia" w:hint="eastAsia"/>
          <w:szCs w:val="21"/>
        </w:rPr>
        <w:t>前一工作日</w:t>
      </w:r>
      <w:r w:rsidR="001D2E2F" w:rsidRPr="00456512">
        <w:rPr>
          <w:rFonts w:asciiTheme="minorEastAsia" w:eastAsiaTheme="minorEastAsia" w:hAnsiTheme="minorEastAsia"/>
          <w:szCs w:val="21"/>
        </w:rPr>
        <w:t>的基金份额净值转为基金份额。</w:t>
      </w:r>
    </w:p>
    <w:p w:rsidR="001D2E2F" w:rsidRPr="00456512" w:rsidRDefault="001D2E2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6F79CF" w:rsidRPr="00456512" w:rsidRDefault="006F79CF" w:rsidP="00084917">
      <w:pPr>
        <w:snapToGrid w:val="0"/>
        <w:spacing w:line="360" w:lineRule="auto"/>
        <w:rPr>
          <w:rFonts w:asciiTheme="minorEastAsia" w:eastAsiaTheme="minorEastAsia" w:hAnsiTheme="minorEastAsia"/>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Cs/>
        </w:rPr>
      </w:pPr>
      <w:bookmarkStart w:id="91" w:name="_Toc30161812"/>
      <w:r w:rsidRPr="00456512">
        <w:rPr>
          <w:rFonts w:asciiTheme="minorEastAsia" w:eastAsiaTheme="minorEastAsia" w:hAnsiTheme="minorEastAsia" w:hint="eastAsia"/>
          <w:b/>
          <w:bCs/>
        </w:rPr>
        <w:lastRenderedPageBreak/>
        <w:t>十三、基金的费用与税收</w:t>
      </w:r>
      <w:bookmarkEnd w:id="91"/>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92" w:name="_Toc30161813"/>
      <w:r w:rsidRPr="00456512">
        <w:rPr>
          <w:rFonts w:asciiTheme="minorEastAsia" w:eastAsiaTheme="minorEastAsia" w:hAnsiTheme="minorEastAsia" w:hint="eastAsia"/>
          <w:bCs/>
        </w:rPr>
        <w:t>（一）与基金运作有关的费用</w:t>
      </w:r>
      <w:bookmarkEnd w:id="92"/>
    </w:p>
    <w:p w:rsidR="001D2E2F" w:rsidRPr="00456512" w:rsidRDefault="00D759DD" w:rsidP="00D759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基金费用的种类</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基金管理人的管理费；</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基金托管人的托管费；</w:t>
      </w:r>
    </w:p>
    <w:p w:rsidR="001D2E2F" w:rsidRPr="00456512" w:rsidRDefault="001D2E2F" w:rsidP="007F114F">
      <w:pPr>
        <w:pStyle w:val="a6"/>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基金信息披露费用；</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基金份额持有人大会费用；</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与基金相关的会计师费和律师费；</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szCs w:val="21"/>
        </w:rPr>
        <w:t>证券交易费用；</w:t>
      </w:r>
    </w:p>
    <w:p w:rsidR="001D2E2F" w:rsidRPr="00456512" w:rsidRDefault="001D2E2F" w:rsidP="007F114F">
      <w:pPr>
        <w:numPr>
          <w:ilvl w:val="1"/>
          <w:numId w:val="26"/>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szCs w:val="21"/>
        </w:rPr>
        <w:t>按照国家有关规定和《基金合同》规定可以列入的其他费用。</w:t>
      </w:r>
    </w:p>
    <w:p w:rsidR="001D2E2F" w:rsidRPr="00456512" w:rsidRDefault="001D2E2F" w:rsidP="00084917">
      <w:pPr>
        <w:snapToGrid w:val="0"/>
        <w:spacing w:line="360" w:lineRule="auto"/>
        <w:ind w:firstLineChars="550" w:firstLine="1155"/>
        <w:rPr>
          <w:rFonts w:asciiTheme="minorEastAsia" w:eastAsiaTheme="minorEastAsia" w:hAnsiTheme="minorEastAsia"/>
        </w:rPr>
      </w:pPr>
      <w:r w:rsidRPr="00456512">
        <w:rPr>
          <w:rFonts w:asciiTheme="minorEastAsia" w:eastAsiaTheme="minorEastAsia" w:hAnsiTheme="minorEastAsia" w:hint="eastAsia"/>
          <w:szCs w:val="21"/>
        </w:rPr>
        <w:t>法律法规另有规定时从其规定。</w:t>
      </w:r>
    </w:p>
    <w:p w:rsidR="001D2E2F" w:rsidRPr="00456512" w:rsidRDefault="00D759DD" w:rsidP="00D759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基金费用计提方法、计提标准和支付方式</w:t>
      </w:r>
    </w:p>
    <w:p w:rsidR="001D2E2F" w:rsidRPr="00456512" w:rsidRDefault="001D2E2F" w:rsidP="007F114F">
      <w:pPr>
        <w:pStyle w:val="a6"/>
        <w:numPr>
          <w:ilvl w:val="0"/>
          <w:numId w:val="27"/>
        </w:numPr>
        <w:snapToGrid w:val="0"/>
        <w:spacing w:line="360" w:lineRule="auto"/>
        <w:rPr>
          <w:rFonts w:asciiTheme="minorEastAsia" w:eastAsiaTheme="minorEastAsia" w:hAnsiTheme="minorEastAsia"/>
          <w:szCs w:val="24"/>
        </w:rPr>
      </w:pPr>
      <w:r w:rsidRPr="00456512">
        <w:rPr>
          <w:rFonts w:asciiTheme="minorEastAsia" w:eastAsiaTheme="minorEastAsia" w:hAnsiTheme="minorEastAsia" w:hint="eastAsia"/>
          <w:szCs w:val="24"/>
        </w:rPr>
        <w:t>基金管理人的管理费</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szCs w:val="21"/>
        </w:rPr>
        <w:t>基金管理费按基金前一日的资产净值乘以</w:t>
      </w:r>
      <w:r w:rsidRPr="00456512">
        <w:rPr>
          <w:rFonts w:asciiTheme="minorEastAsia" w:eastAsiaTheme="minorEastAsia" w:hAnsiTheme="minorEastAsia" w:hint="eastAsia"/>
          <w:szCs w:val="21"/>
        </w:rPr>
        <w:t>1.5％</w:t>
      </w:r>
      <w:r w:rsidRPr="00456512">
        <w:rPr>
          <w:rFonts w:asciiTheme="minorEastAsia" w:eastAsiaTheme="minorEastAsia" w:hAnsiTheme="minorEastAsia"/>
          <w:szCs w:val="21"/>
        </w:rPr>
        <w:t>的管理费年费率来计算，具体计算方法如下：</w:t>
      </w:r>
    </w:p>
    <w:p w:rsidR="001D2E2F" w:rsidRPr="00456512" w:rsidRDefault="001D2E2F" w:rsidP="00084917">
      <w:pPr>
        <w:snapToGrid w:val="0"/>
        <w:spacing w:line="360" w:lineRule="auto"/>
        <w:ind w:firstLineChars="195" w:firstLine="409"/>
        <w:rPr>
          <w:rFonts w:asciiTheme="minorEastAsia" w:eastAsiaTheme="minorEastAsia" w:hAnsiTheme="minorEastAsia"/>
          <w:szCs w:val="21"/>
        </w:rPr>
      </w:pPr>
      <w:r w:rsidRPr="00456512">
        <w:rPr>
          <w:rFonts w:asciiTheme="minorEastAsia" w:eastAsiaTheme="minorEastAsia" w:hAnsiTheme="minorEastAsia"/>
          <w:szCs w:val="21"/>
        </w:rPr>
        <w:t>每日应付的基金管理费=前一日该基金的资产净值×年管理费率÷</w:t>
      </w:r>
      <w:r w:rsidRPr="00456512">
        <w:rPr>
          <w:rFonts w:asciiTheme="minorEastAsia" w:eastAsiaTheme="minorEastAsia" w:hAnsiTheme="minorEastAsia" w:hint="eastAsia"/>
          <w:szCs w:val="21"/>
        </w:rPr>
        <w:t>当年天数</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基金管理费每日计算，逐日累计至每个月月末，按月支付，由基金管理人向基金托管人发送基金管理费划付指令，基金托管人复核后于次月的前两个工作日内从基金资产中一次性支付给基金管理人。</w:t>
      </w:r>
    </w:p>
    <w:p w:rsidR="001D2E2F" w:rsidRPr="00456512" w:rsidRDefault="001D2E2F" w:rsidP="007F114F">
      <w:pPr>
        <w:numPr>
          <w:ilvl w:val="0"/>
          <w:numId w:val="27"/>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基金托管人的托管费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本基金的托管费按该基金前一日资产净值乘以</w:t>
      </w:r>
      <w:r w:rsidRPr="00456512">
        <w:rPr>
          <w:rFonts w:asciiTheme="minorEastAsia" w:eastAsiaTheme="minorEastAsia" w:hAnsiTheme="minorEastAsia" w:hint="eastAsia"/>
          <w:szCs w:val="21"/>
        </w:rPr>
        <w:t>0.25%</w:t>
      </w:r>
      <w:r w:rsidRPr="00456512">
        <w:rPr>
          <w:rFonts w:asciiTheme="minorEastAsia" w:eastAsiaTheme="minorEastAsia" w:hAnsiTheme="minorEastAsia"/>
          <w:szCs w:val="21"/>
        </w:rPr>
        <w:t>的托管费年费率来计算。计算方法如下：</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每日应支付的基金托管费=前一日该基金资产净值×年托管费率÷</w:t>
      </w:r>
      <w:r w:rsidRPr="00456512">
        <w:rPr>
          <w:rFonts w:asciiTheme="minorEastAsia" w:eastAsiaTheme="minorEastAsia" w:hAnsiTheme="minorEastAsia" w:hint="eastAsia"/>
          <w:szCs w:val="21"/>
        </w:rPr>
        <w:t>当年天数</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基金托管费每日计算，逐日累计至每个月月末，按月支付。由基金管理人向基金托管人发送基金托管费划付指令，基金托管人复核后于次月的前两个工作日内从基金资产中一次性支付给基金托管人。</w:t>
      </w:r>
    </w:p>
    <w:p w:rsidR="001D2E2F" w:rsidRPr="00456512" w:rsidRDefault="001D2E2F" w:rsidP="007F114F">
      <w:pPr>
        <w:numPr>
          <w:ilvl w:val="0"/>
          <w:numId w:val="27"/>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rPr>
        <w:t>上述1款中（3）至（7）项费用由基金托管人根据有关法规及相应协议的规定，按费用实际支出金额支付，列入当期基金费用。</w:t>
      </w:r>
    </w:p>
    <w:p w:rsidR="001D2E2F" w:rsidRPr="00456512" w:rsidRDefault="00D759DD" w:rsidP="00D759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不列入基金费用的项目</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基金管理人和基金托管人因未履行或未完全履行义务导致的费用支出或基金资产的损失，以及处理与基金运作无关的事项发生的费用等不列入基金费用。</w:t>
      </w:r>
    </w:p>
    <w:p w:rsidR="001D2E2F" w:rsidRPr="00456512" w:rsidRDefault="00D759DD" w:rsidP="00D759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基金管理人和基金托管人可磋商酌情调低基金管理费和基金托管费，经中国证监会</w:t>
      </w:r>
      <w:r w:rsidR="001D2E2F" w:rsidRPr="00456512">
        <w:rPr>
          <w:rFonts w:asciiTheme="minorEastAsia" w:eastAsiaTheme="minorEastAsia" w:hAnsiTheme="minorEastAsia" w:hint="eastAsia"/>
          <w:szCs w:val="21"/>
        </w:rPr>
        <w:lastRenderedPageBreak/>
        <w:t>核准后公告。此项调整不需要基金份额持有人大会决议通过。</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93" w:name="_Toc30161814"/>
      <w:r w:rsidRPr="00456512">
        <w:rPr>
          <w:rFonts w:asciiTheme="minorEastAsia" w:eastAsiaTheme="minorEastAsia" w:hAnsiTheme="minorEastAsia" w:hint="eastAsia"/>
          <w:bCs/>
        </w:rPr>
        <w:t>（二）与基金销售有关的费用</w:t>
      </w:r>
      <w:bookmarkEnd w:id="93"/>
    </w:p>
    <w:p w:rsidR="00EF00B2" w:rsidRPr="00456512" w:rsidRDefault="00D759DD" w:rsidP="00D759DD">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1、</w:t>
      </w:r>
      <w:r w:rsidR="00EF00B2" w:rsidRPr="00456512">
        <w:rPr>
          <w:rFonts w:asciiTheme="minorEastAsia" w:eastAsiaTheme="minorEastAsia" w:hAnsiTheme="minorEastAsia" w:hint="eastAsia"/>
          <w:szCs w:val="21"/>
        </w:rPr>
        <w:t>本基金对通过本公司直销中心申购的的特定投资群体与除此之外的其他投资者实施差别的申购费率。</w:t>
      </w:r>
    </w:p>
    <w:p w:rsidR="00EF00B2" w:rsidRPr="00456512" w:rsidRDefault="00EF00B2" w:rsidP="00084917">
      <w:pPr>
        <w:pStyle w:val="a6"/>
        <w:snapToGrid w:val="0"/>
        <w:spacing w:line="360" w:lineRule="auto"/>
        <w:ind w:left="420" w:firstLine="0"/>
        <w:rPr>
          <w:rFonts w:asciiTheme="minorEastAsia" w:eastAsiaTheme="minorEastAsia" w:hAnsiTheme="minorEastAsia"/>
        </w:rPr>
      </w:pPr>
      <w:r w:rsidRPr="00456512">
        <w:rPr>
          <w:rFonts w:asciiTheme="minorEastAsia" w:eastAsiaTheme="minorEastAsia" w:hAnsiTheme="minorEastAsia" w:hint="eastAsia"/>
        </w:rPr>
        <w:t>特定投资群体指全国社会保障基金、依法设立的基本养老保险基金、依法制定的企业年</w:t>
      </w:r>
    </w:p>
    <w:p w:rsidR="00EF00B2" w:rsidRPr="00456512" w:rsidRDefault="00EF00B2" w:rsidP="00084917">
      <w:pPr>
        <w:pStyle w:val="a6"/>
        <w:snapToGrid w:val="0"/>
        <w:spacing w:line="360" w:lineRule="auto"/>
        <w:ind w:firstLine="0"/>
        <w:rPr>
          <w:rFonts w:asciiTheme="minorEastAsia" w:eastAsiaTheme="minorEastAsia" w:hAnsiTheme="minorEastAsia"/>
        </w:rPr>
      </w:pPr>
      <w:r w:rsidRPr="00456512">
        <w:rPr>
          <w:rFonts w:asciiTheme="minorEastAsia" w:eastAsiaTheme="minorEastAsia" w:hAnsiTheme="minorEastAsia" w:hint="eastAsia"/>
        </w:rPr>
        <w:t>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F00B2" w:rsidRPr="00456512" w:rsidRDefault="00EF00B2" w:rsidP="00084917">
      <w:pPr>
        <w:pStyle w:val="a6"/>
        <w:snapToGrid w:val="0"/>
        <w:spacing w:line="360" w:lineRule="auto"/>
        <w:ind w:left="420" w:firstLine="0"/>
        <w:rPr>
          <w:rFonts w:asciiTheme="minorEastAsia" w:eastAsiaTheme="minorEastAsia" w:hAnsiTheme="minorEastAsia"/>
        </w:rPr>
      </w:pPr>
      <w:r w:rsidRPr="00456512">
        <w:rPr>
          <w:rFonts w:asciiTheme="minorEastAsia" w:eastAsiaTheme="minorEastAsia" w:hAnsiTheme="minorEastAsia" w:hint="eastAsia"/>
        </w:rPr>
        <w:t>通过基金管理人的直销中心申购本基金的特定投资群体申购费率见下表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456512" w:rsidRPr="00456512"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Style w:val="afff0"/>
                <w:rFonts w:asciiTheme="minorEastAsia" w:eastAsiaTheme="minorEastAsia" w:hAnsiTheme="minorEastAsia" w:hint="eastAsia"/>
                <w:b w:val="0"/>
                <w:szCs w:val="21"/>
              </w:rPr>
              <w:t>申购金额M（元）（含申购费）</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Style w:val="afff0"/>
                <w:rFonts w:asciiTheme="minorEastAsia" w:eastAsiaTheme="minorEastAsia" w:hAnsiTheme="minorEastAsia" w:hint="eastAsia"/>
                <w:b w:val="0"/>
                <w:szCs w:val="21"/>
              </w:rPr>
              <w:t>前端申购费率</w:t>
            </w:r>
          </w:p>
        </w:tc>
      </w:tr>
      <w:tr w:rsidR="00456512" w:rsidRPr="00456512"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M≥1000万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按笔收取，1000元/笔</w:t>
            </w:r>
          </w:p>
        </w:tc>
      </w:tr>
      <w:tr w:rsidR="00456512" w:rsidRPr="00456512"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500万≤M＜1000万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0.03%</w:t>
            </w:r>
          </w:p>
        </w:tc>
      </w:tr>
      <w:tr w:rsidR="00456512" w:rsidRPr="00456512"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100万≤M＜500万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0.12%</w:t>
            </w:r>
          </w:p>
        </w:tc>
      </w:tr>
      <w:tr w:rsidR="00456512" w:rsidRPr="00456512" w:rsidTr="00EF00B2">
        <w:trPr>
          <w:jc w:val="center"/>
        </w:trPr>
        <w:tc>
          <w:tcPr>
            <w:tcW w:w="3543"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M＜100万</w:t>
            </w:r>
          </w:p>
        </w:tc>
        <w:tc>
          <w:tcPr>
            <w:tcW w:w="3544" w:type="dxa"/>
            <w:tcBorders>
              <w:top w:val="thinThickLargeGap" w:sz="6" w:space="0" w:color="808080"/>
              <w:left w:val="thinThickLargeGap" w:sz="6" w:space="0" w:color="808080"/>
              <w:bottom w:val="thinThickLargeGap" w:sz="6" w:space="0" w:color="808080"/>
              <w:right w:val="thinThickLargeGap" w:sz="6" w:space="0" w:color="808080"/>
            </w:tcBorders>
            <w:vAlign w:val="center"/>
            <w:hideMark/>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0.15%</w:t>
            </w:r>
          </w:p>
        </w:tc>
      </w:tr>
    </w:tbl>
    <w:p w:rsidR="00EF00B2" w:rsidRPr="00456512" w:rsidRDefault="00EF00B2" w:rsidP="00084917">
      <w:pPr>
        <w:pStyle w:val="a6"/>
        <w:snapToGrid w:val="0"/>
        <w:spacing w:line="360" w:lineRule="auto"/>
        <w:ind w:left="420" w:firstLine="0"/>
        <w:rPr>
          <w:rFonts w:asciiTheme="minorEastAsia" w:eastAsiaTheme="minorEastAsia" w:hAnsiTheme="minorEastAsia"/>
          <w:szCs w:val="21"/>
        </w:rPr>
      </w:pPr>
      <w:r w:rsidRPr="00456512">
        <w:rPr>
          <w:rFonts w:asciiTheme="minorEastAsia" w:eastAsiaTheme="minorEastAsia" w:hAnsiTheme="minorEastAsia" w:hint="eastAsia"/>
          <w:szCs w:val="21"/>
        </w:rPr>
        <w:t>其他投资者申购本基金的申购费率见下表：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456512" w:rsidRPr="00456512" w:rsidTr="00873168">
        <w:trPr>
          <w:jc w:val="center"/>
        </w:trPr>
        <w:tc>
          <w:tcPr>
            <w:tcW w:w="3543"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Style w:val="afff0"/>
                <w:rFonts w:asciiTheme="minorEastAsia" w:eastAsiaTheme="minorEastAsia" w:hAnsiTheme="minorEastAsia" w:hint="eastAsia"/>
                <w:b w:val="0"/>
                <w:szCs w:val="21"/>
              </w:rPr>
              <w:t>申购金额M（元）（含申购费）</w:t>
            </w:r>
          </w:p>
        </w:tc>
        <w:tc>
          <w:tcPr>
            <w:tcW w:w="3544"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Style w:val="afff0"/>
                <w:rFonts w:asciiTheme="minorEastAsia" w:eastAsiaTheme="minorEastAsia" w:hAnsiTheme="minorEastAsia" w:hint="eastAsia"/>
                <w:b w:val="0"/>
                <w:szCs w:val="21"/>
              </w:rPr>
              <w:t>前端申购费率</w:t>
            </w:r>
          </w:p>
        </w:tc>
      </w:tr>
      <w:tr w:rsidR="00456512" w:rsidRPr="00456512" w:rsidTr="00873168">
        <w:trPr>
          <w:jc w:val="center"/>
        </w:trPr>
        <w:tc>
          <w:tcPr>
            <w:tcW w:w="3543"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M</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1000</w:t>
            </w:r>
            <w:r w:rsidRPr="00456512">
              <w:rPr>
                <w:rFonts w:asciiTheme="minorEastAsia" w:eastAsiaTheme="minorEastAsia" w:hAnsiTheme="minorEastAsia" w:hint="eastAsia"/>
                <w:szCs w:val="21"/>
              </w:rPr>
              <w:t>万</w:t>
            </w:r>
          </w:p>
        </w:tc>
        <w:tc>
          <w:tcPr>
            <w:tcW w:w="3544"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按笔收取，</w:t>
            </w:r>
            <w:r w:rsidRPr="00456512">
              <w:rPr>
                <w:rFonts w:asciiTheme="minorEastAsia" w:eastAsiaTheme="minorEastAsia" w:hAnsiTheme="minorEastAsia"/>
                <w:szCs w:val="21"/>
              </w:rPr>
              <w:t>1000</w:t>
            </w:r>
            <w:r w:rsidRPr="00456512">
              <w:rPr>
                <w:rFonts w:asciiTheme="minorEastAsia" w:eastAsiaTheme="minorEastAsia" w:hAnsiTheme="minorEastAsia" w:hint="eastAsia"/>
                <w:szCs w:val="21"/>
              </w:rPr>
              <w:t>元</w:t>
            </w:r>
            <w:r w:rsidRPr="00456512">
              <w:rPr>
                <w:rFonts w:asciiTheme="minorEastAsia" w:eastAsiaTheme="minorEastAsia" w:hAnsiTheme="minorEastAsia"/>
                <w:szCs w:val="21"/>
              </w:rPr>
              <w:t>/</w:t>
            </w:r>
            <w:r w:rsidRPr="00456512">
              <w:rPr>
                <w:rFonts w:asciiTheme="minorEastAsia" w:eastAsiaTheme="minorEastAsia" w:hAnsiTheme="minorEastAsia" w:hint="eastAsia"/>
                <w:szCs w:val="21"/>
              </w:rPr>
              <w:t>笔</w:t>
            </w:r>
          </w:p>
        </w:tc>
      </w:tr>
      <w:tr w:rsidR="00456512" w:rsidRPr="00456512" w:rsidTr="00873168">
        <w:trPr>
          <w:jc w:val="center"/>
        </w:trPr>
        <w:tc>
          <w:tcPr>
            <w:tcW w:w="3543"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500</w:t>
            </w:r>
            <w:r w:rsidRPr="00456512">
              <w:rPr>
                <w:rFonts w:asciiTheme="minorEastAsia" w:eastAsiaTheme="minorEastAsia" w:hAnsiTheme="minorEastAsia" w:hint="eastAsia"/>
                <w:szCs w:val="21"/>
              </w:rPr>
              <w:t>万≤</w:t>
            </w:r>
            <w:r w:rsidRPr="00456512">
              <w:rPr>
                <w:rFonts w:asciiTheme="minorEastAsia" w:eastAsiaTheme="minorEastAsia" w:hAnsiTheme="minorEastAsia"/>
                <w:szCs w:val="21"/>
              </w:rPr>
              <w:t>M</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1000</w:t>
            </w:r>
            <w:r w:rsidRPr="00456512">
              <w:rPr>
                <w:rFonts w:asciiTheme="minorEastAsia" w:eastAsiaTheme="minorEastAsia" w:hAnsiTheme="minorEastAsia" w:hint="eastAsia"/>
                <w:szCs w:val="21"/>
              </w:rPr>
              <w:t>万</w:t>
            </w:r>
          </w:p>
        </w:tc>
        <w:tc>
          <w:tcPr>
            <w:tcW w:w="3544"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0.3%</w:t>
            </w:r>
          </w:p>
        </w:tc>
      </w:tr>
      <w:tr w:rsidR="00456512" w:rsidRPr="00456512" w:rsidTr="00873168">
        <w:trPr>
          <w:jc w:val="center"/>
        </w:trPr>
        <w:tc>
          <w:tcPr>
            <w:tcW w:w="3543"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万≤</w:t>
            </w:r>
            <w:r w:rsidRPr="00456512">
              <w:rPr>
                <w:rFonts w:asciiTheme="minorEastAsia" w:eastAsiaTheme="minorEastAsia" w:hAnsiTheme="minorEastAsia"/>
                <w:szCs w:val="21"/>
              </w:rPr>
              <w:t>M</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500</w:t>
            </w:r>
            <w:r w:rsidRPr="00456512">
              <w:rPr>
                <w:rFonts w:asciiTheme="minorEastAsia" w:eastAsiaTheme="minorEastAsia" w:hAnsiTheme="minorEastAsia" w:hint="eastAsia"/>
                <w:szCs w:val="21"/>
              </w:rPr>
              <w:t>万</w:t>
            </w:r>
          </w:p>
        </w:tc>
        <w:tc>
          <w:tcPr>
            <w:tcW w:w="3544"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1.2%</w:t>
            </w:r>
          </w:p>
        </w:tc>
      </w:tr>
      <w:tr w:rsidR="00456512" w:rsidRPr="00456512" w:rsidTr="00873168">
        <w:trPr>
          <w:jc w:val="center"/>
        </w:trPr>
        <w:tc>
          <w:tcPr>
            <w:tcW w:w="3543"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M</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100</w:t>
            </w:r>
            <w:r w:rsidRPr="00456512">
              <w:rPr>
                <w:rFonts w:asciiTheme="minorEastAsia" w:eastAsiaTheme="minorEastAsia" w:hAnsiTheme="minorEastAsia" w:hint="eastAsia"/>
                <w:szCs w:val="21"/>
              </w:rPr>
              <w:t>万</w:t>
            </w:r>
          </w:p>
        </w:tc>
        <w:tc>
          <w:tcPr>
            <w:tcW w:w="3544" w:type="dxa"/>
            <w:vAlign w:val="center"/>
          </w:tcPr>
          <w:p w:rsidR="00EF00B2" w:rsidRPr="00456512" w:rsidRDefault="00EF00B2"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szCs w:val="21"/>
              </w:rPr>
              <w:t>1.5%</w:t>
            </w:r>
          </w:p>
        </w:tc>
      </w:tr>
    </w:tbl>
    <w:p w:rsidR="001D2E2F" w:rsidRPr="00456512" w:rsidRDefault="001D2E2F" w:rsidP="00084917">
      <w:pPr>
        <w:pStyle w:val="a6"/>
        <w:tabs>
          <w:tab w:val="left" w:pos="735"/>
        </w:tabs>
        <w:snapToGrid w:val="0"/>
        <w:spacing w:line="360" w:lineRule="auto"/>
        <w:ind w:left="420" w:firstLine="0"/>
        <w:rPr>
          <w:rFonts w:asciiTheme="minorEastAsia" w:eastAsiaTheme="minorEastAsia" w:hAnsiTheme="minorEastAsia"/>
        </w:rPr>
      </w:pPr>
      <w:r w:rsidRPr="00456512">
        <w:rPr>
          <w:rFonts w:asciiTheme="minorEastAsia" w:eastAsiaTheme="minorEastAsia" w:hAnsiTheme="minorEastAsia" w:hint="eastAsia"/>
          <w:kern w:val="0"/>
        </w:rPr>
        <w:t>投资人在一天之内如果有多笔申购，适用费率按单笔分别计算。</w:t>
      </w:r>
    </w:p>
    <w:p w:rsidR="001D2E2F" w:rsidRPr="00456512" w:rsidRDefault="001D2E2F" w:rsidP="00084917">
      <w:pPr>
        <w:pStyle w:val="a6"/>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基金的申购费由申购人承担，不计入基金财产。</w:t>
      </w:r>
    </w:p>
    <w:p w:rsidR="001D2E2F" w:rsidRPr="00456512" w:rsidRDefault="00D759DD" w:rsidP="00D759DD">
      <w:pPr>
        <w:pStyle w:val="a6"/>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2、</w:t>
      </w:r>
      <w:r w:rsidR="00A506F8" w:rsidRPr="00456512">
        <w:rPr>
          <w:rFonts w:asciiTheme="minorEastAsia" w:eastAsiaTheme="minorEastAsia" w:hAnsiTheme="minorEastAsia" w:hint="eastAsia"/>
        </w:rPr>
        <w:t>本基金的赎回费率根据持有期限的不同分为四档</w:t>
      </w:r>
      <w:r w:rsidR="001D2E2F" w:rsidRPr="00456512">
        <w:rPr>
          <w:rFonts w:asciiTheme="minorEastAsia" w:eastAsiaTheme="minorEastAsia" w:hAnsiTheme="minorEastAsia" w:hint="eastAsia"/>
        </w:rPr>
        <w:t>。持有期限的起始日为基金权益登记日。</w:t>
      </w:r>
    </w:p>
    <w:tbl>
      <w:tblPr>
        <w:tblW w:w="413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477"/>
        <w:gridCol w:w="3556"/>
      </w:tblGrid>
      <w:tr w:rsidR="00456512" w:rsidRPr="00456512" w:rsidTr="00D937F5">
        <w:trPr>
          <w:tblCellSpacing w:w="7" w:type="dxa"/>
          <w:jc w:val="center"/>
        </w:trPr>
        <w:tc>
          <w:tcPr>
            <w:tcW w:w="2457" w:type="pct"/>
            <w:shd w:val="clear" w:color="auto" w:fill="auto"/>
            <w:vAlign w:val="center"/>
          </w:tcPr>
          <w:p w:rsidR="001D2E2F" w:rsidRPr="00456512" w:rsidRDefault="001D2E2F" w:rsidP="00084917">
            <w:pPr>
              <w:snapToGrid w:val="0"/>
              <w:spacing w:line="360" w:lineRule="auto"/>
              <w:ind w:leftChars="164" w:left="344"/>
              <w:rPr>
                <w:rStyle w:val="afff0"/>
                <w:rFonts w:asciiTheme="minorEastAsia" w:eastAsiaTheme="minorEastAsia" w:hAnsiTheme="minorEastAsia"/>
                <w:b w:val="0"/>
                <w:szCs w:val="21"/>
              </w:rPr>
            </w:pPr>
            <w:r w:rsidRPr="00456512">
              <w:rPr>
                <w:rStyle w:val="afff0"/>
                <w:rFonts w:asciiTheme="minorEastAsia" w:eastAsiaTheme="minorEastAsia" w:hAnsiTheme="minorEastAsia" w:hint="eastAsia"/>
                <w:b w:val="0"/>
                <w:szCs w:val="21"/>
              </w:rPr>
              <w:t>持有基金时间（天）</w:t>
            </w:r>
          </w:p>
        </w:tc>
        <w:tc>
          <w:tcPr>
            <w:tcW w:w="2513" w:type="pct"/>
            <w:shd w:val="clear" w:color="auto" w:fill="auto"/>
            <w:vAlign w:val="center"/>
          </w:tcPr>
          <w:p w:rsidR="001D2E2F" w:rsidRPr="00456512" w:rsidRDefault="001D2E2F" w:rsidP="00084917">
            <w:pPr>
              <w:snapToGrid w:val="0"/>
              <w:spacing w:line="360" w:lineRule="auto"/>
              <w:ind w:leftChars="226" w:left="475"/>
              <w:rPr>
                <w:rStyle w:val="afff0"/>
                <w:rFonts w:asciiTheme="minorEastAsia" w:eastAsiaTheme="minorEastAsia" w:hAnsiTheme="minorEastAsia"/>
                <w:b w:val="0"/>
                <w:szCs w:val="21"/>
              </w:rPr>
            </w:pPr>
            <w:r w:rsidRPr="00456512">
              <w:rPr>
                <w:rStyle w:val="afff0"/>
                <w:rFonts w:asciiTheme="minorEastAsia" w:eastAsiaTheme="minorEastAsia" w:hAnsiTheme="minorEastAsia" w:hint="eastAsia"/>
                <w:b w:val="0"/>
                <w:szCs w:val="21"/>
              </w:rPr>
              <w:t>赎回费率</w:t>
            </w:r>
          </w:p>
        </w:tc>
      </w:tr>
      <w:tr w:rsidR="00456512" w:rsidRPr="00456512" w:rsidTr="00D937F5">
        <w:trPr>
          <w:tblCellSpacing w:w="7" w:type="dxa"/>
          <w:jc w:val="center"/>
        </w:trPr>
        <w:tc>
          <w:tcPr>
            <w:tcW w:w="2457" w:type="pct"/>
            <w:shd w:val="clear" w:color="auto" w:fill="auto"/>
            <w:vAlign w:val="center"/>
          </w:tcPr>
          <w:p w:rsidR="0071674B" w:rsidRPr="00456512" w:rsidRDefault="0071674B" w:rsidP="00084917">
            <w:pPr>
              <w:snapToGrid w:val="0"/>
              <w:spacing w:line="360" w:lineRule="auto"/>
              <w:ind w:leftChars="164" w:left="344"/>
              <w:rPr>
                <w:rStyle w:val="afff0"/>
                <w:rFonts w:asciiTheme="minorEastAsia" w:eastAsiaTheme="minorEastAsia" w:hAnsiTheme="minorEastAsia"/>
                <w:b w:val="0"/>
                <w:szCs w:val="21"/>
              </w:rPr>
            </w:pPr>
            <w:r w:rsidRPr="00456512">
              <w:rPr>
                <w:rStyle w:val="afff0"/>
                <w:rFonts w:asciiTheme="minorEastAsia" w:eastAsiaTheme="minorEastAsia" w:hAnsiTheme="minorEastAsia" w:hint="eastAsia"/>
                <w:b w:val="0"/>
                <w:szCs w:val="21"/>
              </w:rPr>
              <w:t>0</w:t>
            </w:r>
            <w:r w:rsidRPr="00456512">
              <w:rPr>
                <w:rStyle w:val="afff0"/>
                <w:rFonts w:asciiTheme="minorEastAsia" w:eastAsiaTheme="minorEastAsia" w:hAnsiTheme="minorEastAsia"/>
                <w:b w:val="0"/>
                <w:szCs w:val="21"/>
              </w:rPr>
              <w:t>-6</w:t>
            </w:r>
          </w:p>
        </w:tc>
        <w:tc>
          <w:tcPr>
            <w:tcW w:w="2513" w:type="pct"/>
            <w:shd w:val="clear" w:color="auto" w:fill="auto"/>
            <w:vAlign w:val="center"/>
          </w:tcPr>
          <w:p w:rsidR="0071674B" w:rsidRPr="00456512" w:rsidRDefault="0071674B" w:rsidP="00084917">
            <w:pPr>
              <w:snapToGrid w:val="0"/>
              <w:spacing w:line="360" w:lineRule="auto"/>
              <w:ind w:leftChars="226" w:left="475"/>
              <w:rPr>
                <w:rStyle w:val="afff0"/>
                <w:rFonts w:asciiTheme="minorEastAsia" w:eastAsiaTheme="minorEastAsia" w:hAnsiTheme="minorEastAsia"/>
                <w:b w:val="0"/>
                <w:szCs w:val="21"/>
              </w:rPr>
            </w:pPr>
            <w:r w:rsidRPr="00456512">
              <w:rPr>
                <w:rStyle w:val="afff0"/>
                <w:rFonts w:asciiTheme="minorEastAsia" w:eastAsiaTheme="minorEastAsia" w:hAnsiTheme="minorEastAsia" w:hint="eastAsia"/>
                <w:b w:val="0"/>
                <w:szCs w:val="21"/>
              </w:rPr>
              <w:t>1</w:t>
            </w:r>
            <w:r w:rsidRPr="00456512">
              <w:rPr>
                <w:rStyle w:val="afff0"/>
                <w:rFonts w:asciiTheme="minorEastAsia" w:eastAsiaTheme="minorEastAsia" w:hAnsiTheme="minorEastAsia"/>
                <w:b w:val="0"/>
                <w:szCs w:val="21"/>
              </w:rPr>
              <w:t>.50%</w:t>
            </w:r>
          </w:p>
        </w:tc>
      </w:tr>
      <w:tr w:rsidR="00456512" w:rsidRPr="00456512" w:rsidTr="00D937F5">
        <w:trPr>
          <w:tblCellSpacing w:w="7" w:type="dxa"/>
          <w:jc w:val="center"/>
        </w:trPr>
        <w:tc>
          <w:tcPr>
            <w:tcW w:w="2457" w:type="pct"/>
            <w:shd w:val="clear" w:color="auto" w:fill="auto"/>
            <w:vAlign w:val="center"/>
          </w:tcPr>
          <w:p w:rsidR="001D2E2F" w:rsidRPr="00456512" w:rsidRDefault="0071674B" w:rsidP="00084917">
            <w:pPr>
              <w:snapToGrid w:val="0"/>
              <w:spacing w:line="360" w:lineRule="auto"/>
              <w:ind w:leftChars="164" w:left="344"/>
              <w:rPr>
                <w:rFonts w:asciiTheme="minorEastAsia" w:eastAsiaTheme="minorEastAsia" w:hAnsiTheme="minorEastAsia" w:cs="Arial Unicode MS"/>
                <w:szCs w:val="21"/>
              </w:rPr>
            </w:pPr>
            <w:r w:rsidRPr="00456512">
              <w:rPr>
                <w:rFonts w:asciiTheme="minorEastAsia" w:eastAsiaTheme="minorEastAsia" w:hAnsiTheme="minorEastAsia"/>
                <w:szCs w:val="21"/>
              </w:rPr>
              <w:t>7</w:t>
            </w:r>
            <w:r w:rsidR="001D2E2F" w:rsidRPr="00456512">
              <w:rPr>
                <w:rFonts w:asciiTheme="minorEastAsia" w:eastAsiaTheme="minorEastAsia" w:hAnsiTheme="minorEastAsia"/>
                <w:szCs w:val="21"/>
              </w:rPr>
              <w:t>-</w:t>
            </w:r>
            <w:r w:rsidR="001D2E2F" w:rsidRPr="00456512">
              <w:rPr>
                <w:rStyle w:val="afff0"/>
                <w:rFonts w:asciiTheme="minorEastAsia" w:eastAsiaTheme="minorEastAsia" w:hAnsiTheme="minorEastAsia"/>
                <w:b w:val="0"/>
                <w:szCs w:val="21"/>
              </w:rPr>
              <w:t>364</w:t>
            </w:r>
          </w:p>
        </w:tc>
        <w:tc>
          <w:tcPr>
            <w:tcW w:w="2513" w:type="pct"/>
            <w:shd w:val="clear" w:color="auto" w:fill="auto"/>
            <w:vAlign w:val="center"/>
          </w:tcPr>
          <w:p w:rsidR="001D2E2F" w:rsidRPr="00456512" w:rsidRDefault="001D2E2F" w:rsidP="00084917">
            <w:pPr>
              <w:snapToGrid w:val="0"/>
              <w:spacing w:line="360" w:lineRule="auto"/>
              <w:ind w:leftChars="226" w:left="475"/>
              <w:rPr>
                <w:rFonts w:asciiTheme="minorEastAsia" w:eastAsiaTheme="minorEastAsia" w:hAnsiTheme="minorEastAsia" w:cs="Arial Unicode MS"/>
                <w:szCs w:val="21"/>
              </w:rPr>
            </w:pPr>
            <w:r w:rsidRPr="00456512">
              <w:rPr>
                <w:rFonts w:asciiTheme="minorEastAsia" w:eastAsiaTheme="minorEastAsia" w:hAnsiTheme="minorEastAsia"/>
                <w:szCs w:val="21"/>
              </w:rPr>
              <w:t>0.50%</w:t>
            </w:r>
          </w:p>
        </w:tc>
      </w:tr>
      <w:tr w:rsidR="00456512" w:rsidRPr="00456512" w:rsidTr="00D937F5">
        <w:trPr>
          <w:tblCellSpacing w:w="7" w:type="dxa"/>
          <w:jc w:val="center"/>
        </w:trPr>
        <w:tc>
          <w:tcPr>
            <w:tcW w:w="2457" w:type="pct"/>
            <w:shd w:val="clear" w:color="auto" w:fill="auto"/>
            <w:vAlign w:val="center"/>
          </w:tcPr>
          <w:p w:rsidR="001D2E2F" w:rsidRPr="00456512" w:rsidRDefault="001D2E2F" w:rsidP="00084917">
            <w:pPr>
              <w:snapToGrid w:val="0"/>
              <w:spacing w:line="360" w:lineRule="auto"/>
              <w:ind w:leftChars="164" w:left="344"/>
              <w:rPr>
                <w:rFonts w:asciiTheme="minorEastAsia" w:eastAsiaTheme="minorEastAsia" w:hAnsiTheme="minorEastAsia" w:cs="Arial Unicode MS"/>
                <w:szCs w:val="21"/>
              </w:rPr>
            </w:pPr>
            <w:r w:rsidRPr="00456512">
              <w:rPr>
                <w:rStyle w:val="afff0"/>
                <w:rFonts w:asciiTheme="minorEastAsia" w:eastAsiaTheme="minorEastAsia" w:hAnsiTheme="minorEastAsia"/>
                <w:b w:val="0"/>
                <w:szCs w:val="21"/>
              </w:rPr>
              <w:lastRenderedPageBreak/>
              <w:t>365</w:t>
            </w:r>
            <w:r w:rsidRPr="00456512">
              <w:rPr>
                <w:rFonts w:asciiTheme="minorEastAsia" w:eastAsiaTheme="minorEastAsia" w:hAnsiTheme="minorEastAsia"/>
                <w:szCs w:val="21"/>
              </w:rPr>
              <w:t>-729</w:t>
            </w:r>
          </w:p>
        </w:tc>
        <w:tc>
          <w:tcPr>
            <w:tcW w:w="2513" w:type="pct"/>
            <w:shd w:val="clear" w:color="auto" w:fill="auto"/>
            <w:vAlign w:val="center"/>
          </w:tcPr>
          <w:p w:rsidR="001D2E2F" w:rsidRPr="00456512" w:rsidRDefault="001D2E2F" w:rsidP="00084917">
            <w:pPr>
              <w:snapToGrid w:val="0"/>
              <w:spacing w:line="360" w:lineRule="auto"/>
              <w:ind w:leftChars="226" w:left="475"/>
              <w:rPr>
                <w:rFonts w:asciiTheme="minorEastAsia" w:eastAsiaTheme="minorEastAsia" w:hAnsiTheme="minorEastAsia" w:cs="Arial Unicode MS"/>
                <w:szCs w:val="21"/>
              </w:rPr>
            </w:pPr>
            <w:r w:rsidRPr="00456512">
              <w:rPr>
                <w:rFonts w:asciiTheme="minorEastAsia" w:eastAsiaTheme="minorEastAsia" w:hAnsiTheme="minorEastAsia"/>
                <w:szCs w:val="21"/>
              </w:rPr>
              <w:t>0.25%</w:t>
            </w:r>
          </w:p>
        </w:tc>
      </w:tr>
      <w:tr w:rsidR="00456512" w:rsidRPr="00456512" w:rsidTr="00D937F5">
        <w:trPr>
          <w:tblCellSpacing w:w="7" w:type="dxa"/>
          <w:jc w:val="center"/>
        </w:trPr>
        <w:tc>
          <w:tcPr>
            <w:tcW w:w="2457" w:type="pct"/>
            <w:shd w:val="clear" w:color="auto" w:fill="auto"/>
            <w:vAlign w:val="center"/>
          </w:tcPr>
          <w:p w:rsidR="001D2E2F" w:rsidRPr="00456512" w:rsidRDefault="001D2E2F" w:rsidP="00084917">
            <w:pPr>
              <w:snapToGrid w:val="0"/>
              <w:spacing w:line="360" w:lineRule="auto"/>
              <w:ind w:leftChars="164" w:left="344"/>
              <w:rPr>
                <w:rFonts w:asciiTheme="minorEastAsia" w:eastAsiaTheme="minorEastAsia" w:hAnsiTheme="minorEastAsia" w:cs="Arial Unicode MS"/>
                <w:szCs w:val="21"/>
              </w:rPr>
            </w:pPr>
            <w:r w:rsidRPr="00456512">
              <w:rPr>
                <w:rFonts w:asciiTheme="minorEastAsia" w:eastAsiaTheme="minorEastAsia" w:hAnsiTheme="minorEastAsia"/>
                <w:szCs w:val="21"/>
              </w:rPr>
              <w:t>730</w:t>
            </w:r>
            <w:r w:rsidRPr="00456512">
              <w:rPr>
                <w:rFonts w:asciiTheme="minorEastAsia" w:eastAsiaTheme="minorEastAsia" w:hAnsiTheme="minorEastAsia" w:hint="eastAsia"/>
                <w:szCs w:val="21"/>
              </w:rPr>
              <w:t>及以上</w:t>
            </w:r>
          </w:p>
        </w:tc>
        <w:tc>
          <w:tcPr>
            <w:tcW w:w="2513" w:type="pct"/>
            <w:shd w:val="clear" w:color="auto" w:fill="auto"/>
            <w:vAlign w:val="center"/>
          </w:tcPr>
          <w:p w:rsidR="001D2E2F" w:rsidRPr="00456512" w:rsidRDefault="001D2E2F" w:rsidP="00084917">
            <w:pPr>
              <w:snapToGrid w:val="0"/>
              <w:spacing w:line="360" w:lineRule="auto"/>
              <w:ind w:leftChars="226" w:left="475"/>
              <w:rPr>
                <w:rFonts w:asciiTheme="minorEastAsia" w:eastAsiaTheme="minorEastAsia" w:hAnsiTheme="minorEastAsia" w:cs="Arial Unicode MS"/>
                <w:szCs w:val="21"/>
              </w:rPr>
            </w:pPr>
            <w:r w:rsidRPr="00456512">
              <w:rPr>
                <w:rFonts w:asciiTheme="minorEastAsia" w:eastAsiaTheme="minorEastAsia" w:hAnsiTheme="minorEastAsia"/>
                <w:szCs w:val="21"/>
              </w:rPr>
              <w:t>0.00%</w:t>
            </w:r>
          </w:p>
        </w:tc>
      </w:tr>
    </w:tbl>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基金的赎回费由赎回人承担，</w:t>
      </w:r>
      <w:r w:rsidR="0071674B" w:rsidRPr="00456512">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Pr="00456512">
        <w:rPr>
          <w:rFonts w:asciiTheme="minorEastAsia" w:eastAsiaTheme="minorEastAsia" w:hAnsiTheme="minorEastAsia" w:hint="eastAsia"/>
          <w:szCs w:val="21"/>
        </w:rPr>
        <w:t>余额为注册登记费和其他手续费。</w:t>
      </w:r>
    </w:p>
    <w:p w:rsidR="001D2E2F" w:rsidRPr="00456512" w:rsidRDefault="00D759DD" w:rsidP="00D759DD">
      <w:pPr>
        <w:pStyle w:val="a6"/>
        <w:tabs>
          <w:tab w:val="left" w:pos="735"/>
        </w:tabs>
        <w:snapToGrid w:val="0"/>
        <w:spacing w:line="360" w:lineRule="auto"/>
        <w:ind w:left="420" w:firstLine="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rPr>
        <w:t>转换费率</w:t>
      </w:r>
    </w:p>
    <w:p w:rsidR="001D2E2F" w:rsidRPr="00456512" w:rsidRDefault="00525DF5"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目前，基金管理人已开通了本基金与旗下部分开放式基金之间的转换业务，具体实施办法和转换费率详见相关公告。</w:t>
      </w:r>
      <w:r w:rsidR="001D2E2F" w:rsidRPr="00456512">
        <w:rPr>
          <w:rFonts w:asciiTheme="minorEastAsia" w:eastAsiaTheme="minorEastAsia" w:hAnsiTheme="minorEastAsia" w:hint="eastAsia"/>
          <w:szCs w:val="21"/>
        </w:rPr>
        <w:t>本基金的转换费用由投资者承担，基金转换费用由转出基金赎回费用和基金申购补差费用构成，其中转出基金赎回费</w:t>
      </w:r>
      <w:r w:rsidR="00437D6D" w:rsidRPr="00456512">
        <w:rPr>
          <w:rFonts w:asciiTheme="minorEastAsia" w:eastAsiaTheme="minorEastAsia" w:hAnsiTheme="minorEastAsia" w:hint="eastAsia"/>
        </w:rPr>
        <w:t>按照</w:t>
      </w:r>
      <w:r w:rsidR="00E5015A" w:rsidRPr="00456512">
        <w:rPr>
          <w:rFonts w:asciiTheme="minorEastAsia" w:eastAsiaTheme="minorEastAsia" w:hAnsiTheme="minorEastAsia" w:hint="eastAsia"/>
        </w:rPr>
        <w:t>各</w:t>
      </w:r>
      <w:r w:rsidR="00E5015A" w:rsidRPr="00456512">
        <w:rPr>
          <w:rFonts w:asciiTheme="minorEastAsia" w:eastAsiaTheme="minorEastAsia" w:hAnsiTheme="minorEastAsia"/>
        </w:rPr>
        <w:t>基金的</w:t>
      </w:r>
      <w:r w:rsidR="00437D6D" w:rsidRPr="00456512">
        <w:rPr>
          <w:rFonts w:asciiTheme="minorEastAsia" w:eastAsiaTheme="minorEastAsia" w:hAnsiTheme="minorEastAsia" w:hint="eastAsia"/>
        </w:rPr>
        <w:t>基金合同、更新的招募说明书及最新的相关公告约定的比例归入基金财产</w:t>
      </w:r>
      <w:r w:rsidR="001D2E2F" w:rsidRPr="00456512">
        <w:rPr>
          <w:rFonts w:asciiTheme="minorEastAsia" w:eastAsiaTheme="minorEastAsia" w:hAnsiTheme="minorEastAsia" w:hint="eastAsia"/>
          <w:szCs w:val="21"/>
        </w:rPr>
        <w:t>，其余部分用于支付注册登记费等相关手续费，</w:t>
      </w:r>
      <w:r w:rsidR="001D2E2F" w:rsidRPr="00456512">
        <w:rPr>
          <w:rFonts w:asciiTheme="minorEastAsia" w:eastAsiaTheme="minorEastAsia" w:hAnsiTheme="minorEastAsia"/>
          <w:szCs w:val="21"/>
        </w:rPr>
        <w:t>转换费用以人民币元为单位，计算结果按照四舍五入方法，保留小数点后两位</w:t>
      </w:r>
      <w:r w:rsidR="001D2E2F" w:rsidRPr="00456512">
        <w:rPr>
          <w:rFonts w:asciiTheme="minorEastAsia" w:eastAsiaTheme="minorEastAsia" w:hAnsiTheme="minorEastAsia" w:hint="eastAsia"/>
          <w:szCs w:val="21"/>
        </w:rPr>
        <w:t>。</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szCs w:val="21"/>
        </w:rPr>
        <w:t>基金管理人可以在基金合同规定的范围内调整</w:t>
      </w:r>
      <w:r w:rsidR="001D2E2F" w:rsidRPr="00456512">
        <w:rPr>
          <w:rFonts w:asciiTheme="minorEastAsia" w:eastAsiaTheme="minorEastAsia" w:hAnsiTheme="minorEastAsia" w:hint="eastAsia"/>
          <w:szCs w:val="21"/>
        </w:rPr>
        <w:t>上述</w:t>
      </w:r>
      <w:r w:rsidR="001D2E2F" w:rsidRPr="00456512">
        <w:rPr>
          <w:rFonts w:asciiTheme="minorEastAsia" w:eastAsiaTheme="minorEastAsia" w:hAnsiTheme="minorEastAsia"/>
          <w:szCs w:val="21"/>
        </w:rPr>
        <w:t>费率</w:t>
      </w:r>
      <w:r w:rsidR="001D2E2F" w:rsidRPr="00456512">
        <w:rPr>
          <w:rFonts w:asciiTheme="minorEastAsia" w:eastAsiaTheme="minorEastAsia" w:hAnsiTheme="minorEastAsia" w:hint="eastAsia"/>
          <w:szCs w:val="21"/>
        </w:rPr>
        <w:t>。</w:t>
      </w:r>
      <w:r w:rsidR="001D2E2F" w:rsidRPr="00456512">
        <w:rPr>
          <w:rFonts w:asciiTheme="minorEastAsia" w:eastAsiaTheme="minorEastAsia" w:hAnsiTheme="minorEastAsia"/>
          <w:szCs w:val="21"/>
        </w:rPr>
        <w:t>上述费率如发生变更，基金管理人应最迟于新的费率实施前3个工作日在</w:t>
      </w:r>
      <w:r w:rsidR="008B3426" w:rsidRPr="00456512">
        <w:rPr>
          <w:rFonts w:asciiTheme="minorEastAsia" w:eastAsiaTheme="minorEastAsia" w:hAnsiTheme="minorEastAsia" w:hint="eastAsia"/>
          <w:szCs w:val="21"/>
        </w:rPr>
        <w:t>指定</w:t>
      </w:r>
      <w:r w:rsidR="008B3426" w:rsidRPr="00456512">
        <w:rPr>
          <w:rFonts w:asciiTheme="minorEastAsia" w:eastAsiaTheme="minorEastAsia" w:hAnsiTheme="minorEastAsia"/>
          <w:szCs w:val="21"/>
        </w:rPr>
        <w:t>媒介</w:t>
      </w:r>
      <w:r w:rsidR="001D2E2F" w:rsidRPr="00456512">
        <w:rPr>
          <w:rFonts w:asciiTheme="minorEastAsia" w:eastAsiaTheme="minorEastAsia" w:hAnsiTheme="minorEastAsia"/>
          <w:szCs w:val="21"/>
        </w:rPr>
        <w:t>公告。</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w:t>
      </w:r>
      <w:r w:rsidR="00E707A9" w:rsidRPr="00456512">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94" w:name="_Toc30161815"/>
      <w:r w:rsidRPr="00456512">
        <w:rPr>
          <w:rFonts w:asciiTheme="minorEastAsia" w:eastAsiaTheme="minorEastAsia" w:hAnsiTheme="minorEastAsia" w:hint="eastAsia"/>
          <w:bCs/>
        </w:rPr>
        <w:t>（三）基金税收</w:t>
      </w:r>
      <w:bookmarkEnd w:id="94"/>
    </w:p>
    <w:p w:rsidR="001D2E2F" w:rsidRPr="00456512" w:rsidRDefault="001D2E2F" w:rsidP="00084917">
      <w:pPr>
        <w:snapToGrid w:val="0"/>
        <w:spacing w:line="360" w:lineRule="auto"/>
        <w:ind w:firstLine="480"/>
        <w:rPr>
          <w:rFonts w:asciiTheme="minorEastAsia" w:eastAsiaTheme="minorEastAsia" w:hAnsiTheme="minorEastAsia"/>
          <w:szCs w:val="21"/>
        </w:rPr>
      </w:pPr>
      <w:r w:rsidRPr="00456512">
        <w:rPr>
          <w:rFonts w:asciiTheme="minorEastAsia" w:eastAsiaTheme="minorEastAsia" w:hAnsiTheme="minorEastAsia" w:hint="eastAsia"/>
          <w:szCs w:val="21"/>
        </w:rPr>
        <w:t>本基金运作过程中涉及的各纳税主体，应按国家税收法律、法规履行其纳税义务。</w:t>
      </w:r>
    </w:p>
    <w:p w:rsidR="001D2E2F" w:rsidRPr="00456512" w:rsidRDefault="001D2E2F"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D759DD" w:rsidRPr="00456512" w:rsidRDefault="00D759DD" w:rsidP="00084917">
      <w:pPr>
        <w:snapToGrid w:val="0"/>
        <w:spacing w:line="360" w:lineRule="auto"/>
        <w:rPr>
          <w:rFonts w:asciiTheme="minorEastAsia" w:eastAsiaTheme="minorEastAsia" w:hAnsiTheme="minorEastAsia"/>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Cs/>
        </w:rPr>
      </w:pPr>
      <w:bookmarkStart w:id="95" w:name="_Toc38437218"/>
      <w:bookmarkStart w:id="96" w:name="_Toc38437354"/>
      <w:bookmarkStart w:id="97" w:name="_Toc38437490"/>
      <w:bookmarkStart w:id="98" w:name="_Toc38437626"/>
      <w:bookmarkStart w:id="99" w:name="_Toc38437772"/>
      <w:bookmarkStart w:id="100" w:name="_Toc38437918"/>
      <w:bookmarkStart w:id="101" w:name="_Toc38438064"/>
      <w:bookmarkStart w:id="102" w:name="_Toc38438210"/>
      <w:bookmarkStart w:id="103" w:name="_Toc38438547"/>
      <w:bookmarkStart w:id="104" w:name="_Toc38438884"/>
      <w:bookmarkStart w:id="105" w:name="_Toc38439221"/>
      <w:bookmarkStart w:id="106" w:name="_Toc38439558"/>
      <w:bookmarkStart w:id="107" w:name="_Toc38439895"/>
      <w:bookmarkStart w:id="108" w:name="_Toc38440232"/>
      <w:bookmarkStart w:id="109" w:name="_Toc38440569"/>
      <w:bookmarkStart w:id="110" w:name="_Toc38440768"/>
      <w:bookmarkStart w:id="111" w:name="_Toc38441101"/>
      <w:bookmarkStart w:id="112" w:name="_Toc38441433"/>
      <w:bookmarkStart w:id="113" w:name="_Toc38441765"/>
      <w:bookmarkStart w:id="114" w:name="_Toc38442093"/>
      <w:bookmarkStart w:id="115" w:name="_Toc38442425"/>
      <w:bookmarkStart w:id="116" w:name="_Toc38442757"/>
      <w:bookmarkStart w:id="117" w:name="_Toc38443088"/>
      <w:bookmarkStart w:id="118" w:name="_Toc38443419"/>
      <w:bookmarkStart w:id="119" w:name="_Toc38443750"/>
      <w:bookmarkStart w:id="120" w:name="_Toc3016181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56512">
        <w:rPr>
          <w:rFonts w:asciiTheme="minorEastAsia" w:eastAsiaTheme="minorEastAsia" w:hAnsiTheme="minorEastAsia" w:hint="eastAsia"/>
          <w:b/>
          <w:bCs/>
        </w:rPr>
        <w:lastRenderedPageBreak/>
        <w:t>十四、基金的会计与审计</w:t>
      </w:r>
      <w:bookmarkEnd w:id="120"/>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121" w:name="_Toc30161817"/>
      <w:r w:rsidRPr="00456512">
        <w:rPr>
          <w:rFonts w:asciiTheme="minorEastAsia" w:eastAsiaTheme="minorEastAsia" w:hAnsiTheme="minorEastAsia" w:hint="eastAsia"/>
          <w:bCs/>
        </w:rPr>
        <w:t>（一）基金会计政策</w:t>
      </w:r>
      <w:bookmarkEnd w:id="121"/>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基金管理人为本基金的基金会计责任方；</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基金的会计年度为公历每年1月1日至12月31日；</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基金核算以人民币为记帐本位币，记帐单位是人民币元；</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会计制度执行国家有关的会计制度；</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本</w:t>
      </w:r>
      <w:r w:rsidR="001D2E2F" w:rsidRPr="00456512">
        <w:rPr>
          <w:rFonts w:asciiTheme="minorEastAsia" w:eastAsiaTheme="minorEastAsia" w:hAnsiTheme="minorEastAsia"/>
          <w:szCs w:val="21"/>
        </w:rPr>
        <w:t>基金</w:t>
      </w:r>
      <w:r w:rsidR="001D2E2F" w:rsidRPr="00456512">
        <w:rPr>
          <w:rFonts w:asciiTheme="minorEastAsia" w:eastAsiaTheme="minorEastAsia" w:hAnsiTheme="minorEastAsia" w:hint="eastAsia"/>
          <w:szCs w:val="21"/>
        </w:rPr>
        <w:t>独立建帐、独立核算；</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基金管理人及基金托管人各自保留完整的基金会计帐目、凭证并进行日常的会计核算，按照有关规定编制基金会计报表；</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7、</w:t>
      </w:r>
      <w:r w:rsidR="001D2E2F" w:rsidRPr="00456512">
        <w:rPr>
          <w:rFonts w:asciiTheme="minorEastAsia" w:eastAsiaTheme="minorEastAsia" w:hAnsiTheme="minorEastAsia" w:hint="eastAsia"/>
          <w:szCs w:val="21"/>
        </w:rPr>
        <w:t>基金托管人每月与基金管理人就基金的会计核算、报表编制等进行核对并以书面方式确认。</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122" w:name="_Toc30161818"/>
      <w:r w:rsidRPr="00456512">
        <w:rPr>
          <w:rFonts w:asciiTheme="minorEastAsia" w:eastAsiaTheme="minorEastAsia" w:hAnsiTheme="minorEastAsia" w:hint="eastAsia"/>
          <w:bCs/>
        </w:rPr>
        <w:t>（二）基金的审计</w:t>
      </w:r>
      <w:bookmarkEnd w:id="122"/>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基金管理人聘请具有证券</w:t>
      </w:r>
      <w:r w:rsidR="002D277E" w:rsidRPr="00456512">
        <w:rPr>
          <w:rFonts w:asciiTheme="minorEastAsia" w:eastAsiaTheme="minorEastAsia" w:hAnsiTheme="minorEastAsia" w:hint="eastAsia"/>
          <w:szCs w:val="21"/>
        </w:rPr>
        <w:t>、期货相关业务资格</w:t>
      </w:r>
      <w:r w:rsidR="001D2E2F" w:rsidRPr="00456512">
        <w:rPr>
          <w:rFonts w:asciiTheme="minorEastAsia" w:eastAsiaTheme="minorEastAsia" w:hAnsiTheme="minorEastAsia" w:hint="eastAsia"/>
          <w:szCs w:val="21"/>
        </w:rPr>
        <w:t>的会计师事务所及其注册会计师对基金年度财务报表及其它规定事项进行审计。会计师事务所及其注册会计师与基金管理人、基金托管人相互独立。</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会计师事务所更换经办注册会计师时，须事先征得基金管理人同意，并报中国证监会备案。</w:t>
      </w:r>
    </w:p>
    <w:p w:rsidR="001D2E2F" w:rsidRPr="00456512" w:rsidRDefault="00D759DD" w:rsidP="00D759DD">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基金管理人（或基金托管人）认为有充足理由更换会计师事务所，经基金托管人（或基金管理人）同意可以更换。基金管理人应当在更换会计师事务所后2日内公告。</w:t>
      </w:r>
    </w:p>
    <w:p w:rsidR="001D2E2F" w:rsidRPr="00456512" w:rsidRDefault="001D2E2F" w:rsidP="00084917">
      <w:pPr>
        <w:autoSpaceDE w:val="0"/>
        <w:autoSpaceDN w:val="0"/>
        <w:snapToGrid w:val="0"/>
        <w:spacing w:line="360" w:lineRule="auto"/>
        <w:ind w:firstLine="480"/>
        <w:rPr>
          <w:rFonts w:asciiTheme="minorEastAsia" w:eastAsiaTheme="minorEastAsia" w:hAnsiTheme="minorEastAsia"/>
          <w:szCs w:val="21"/>
        </w:rPr>
      </w:pPr>
      <w:bookmarkStart w:id="123" w:name="_Toc38433500"/>
      <w:bookmarkStart w:id="124" w:name="_Toc38433635"/>
      <w:bookmarkStart w:id="125" w:name="_Toc38433769"/>
      <w:bookmarkStart w:id="126" w:name="_Toc38433919"/>
      <w:bookmarkStart w:id="127" w:name="_Toc38434067"/>
      <w:bookmarkStart w:id="128" w:name="_Toc38434215"/>
      <w:bookmarkStart w:id="129" w:name="_Toc38434361"/>
      <w:bookmarkStart w:id="130" w:name="_Toc38434504"/>
      <w:bookmarkStart w:id="131" w:name="_Toc38434647"/>
      <w:bookmarkStart w:id="132" w:name="_Toc38434790"/>
      <w:bookmarkStart w:id="133" w:name="_Toc38434934"/>
      <w:bookmarkStart w:id="134" w:name="_Toc38437630"/>
      <w:bookmarkStart w:id="135" w:name="_Toc38437776"/>
      <w:bookmarkStart w:id="136" w:name="_Toc38437922"/>
      <w:bookmarkStart w:id="137" w:name="_Toc38438068"/>
      <w:bookmarkStart w:id="138" w:name="_Toc38438214"/>
      <w:bookmarkStart w:id="139" w:name="_Toc38438551"/>
      <w:bookmarkStart w:id="140" w:name="_Toc38438888"/>
      <w:bookmarkStart w:id="141" w:name="_Toc38439225"/>
      <w:bookmarkStart w:id="142" w:name="_Toc38439562"/>
      <w:bookmarkStart w:id="143" w:name="_Toc38439899"/>
      <w:bookmarkStart w:id="144" w:name="_Toc38440236"/>
      <w:bookmarkStart w:id="145" w:name="_Toc38440573"/>
      <w:bookmarkStart w:id="146" w:name="_Toc38440772"/>
      <w:bookmarkStart w:id="147" w:name="_Toc38441105"/>
      <w:bookmarkStart w:id="148" w:name="_Toc38441437"/>
      <w:bookmarkStart w:id="149" w:name="_Toc38441769"/>
      <w:bookmarkStart w:id="150" w:name="_Toc38442097"/>
      <w:bookmarkStart w:id="151" w:name="_Toc38442429"/>
      <w:bookmarkStart w:id="152" w:name="_Toc38442761"/>
      <w:bookmarkStart w:id="153" w:name="_Toc38443092"/>
      <w:bookmarkStart w:id="154" w:name="_Toc38443423"/>
      <w:bookmarkStart w:id="155" w:name="_Toc38443754"/>
      <w:bookmarkStart w:id="156" w:name="_Toc38433501"/>
      <w:bookmarkStart w:id="157" w:name="_Toc38433636"/>
      <w:bookmarkStart w:id="158" w:name="_Toc38433770"/>
      <w:bookmarkStart w:id="159" w:name="_Toc38433920"/>
      <w:bookmarkStart w:id="160" w:name="_Toc38434068"/>
      <w:bookmarkStart w:id="161" w:name="_Toc38434216"/>
      <w:bookmarkStart w:id="162" w:name="_Toc38434362"/>
      <w:bookmarkStart w:id="163" w:name="_Toc38434505"/>
      <w:bookmarkStart w:id="164" w:name="_Toc38434648"/>
      <w:bookmarkStart w:id="165" w:name="_Toc38434791"/>
      <w:bookmarkStart w:id="166" w:name="_Toc38434935"/>
      <w:bookmarkStart w:id="167" w:name="_Toc38437631"/>
      <w:bookmarkStart w:id="168" w:name="_Toc38437777"/>
      <w:bookmarkStart w:id="169" w:name="_Toc38437923"/>
      <w:bookmarkStart w:id="170" w:name="_Toc38438069"/>
      <w:bookmarkStart w:id="171" w:name="_Toc38438215"/>
      <w:bookmarkStart w:id="172" w:name="_Toc38438552"/>
      <w:bookmarkStart w:id="173" w:name="_Toc38438889"/>
      <w:bookmarkStart w:id="174" w:name="_Toc38439226"/>
      <w:bookmarkStart w:id="175" w:name="_Toc38439563"/>
      <w:bookmarkStart w:id="176" w:name="_Toc38439900"/>
      <w:bookmarkStart w:id="177" w:name="_Toc38440237"/>
      <w:bookmarkStart w:id="178" w:name="_Toc38440574"/>
      <w:bookmarkStart w:id="179" w:name="_Toc38440773"/>
      <w:bookmarkStart w:id="180" w:name="_Toc38441106"/>
      <w:bookmarkStart w:id="181" w:name="_Toc38441438"/>
      <w:bookmarkStart w:id="182" w:name="_Toc38441770"/>
      <w:bookmarkStart w:id="183" w:name="_Toc38442098"/>
      <w:bookmarkStart w:id="184" w:name="_Toc38442430"/>
      <w:bookmarkStart w:id="185" w:name="_Toc38442762"/>
      <w:bookmarkStart w:id="186" w:name="_Toc38443093"/>
      <w:bookmarkStart w:id="187" w:name="_Toc38443424"/>
      <w:bookmarkStart w:id="188" w:name="_Toc38443755"/>
      <w:bookmarkStart w:id="189" w:name="_Toc38433502"/>
      <w:bookmarkStart w:id="190" w:name="_Toc38433637"/>
      <w:bookmarkStart w:id="191" w:name="_Toc38433771"/>
      <w:bookmarkStart w:id="192" w:name="_Toc38433921"/>
      <w:bookmarkStart w:id="193" w:name="_Toc38434069"/>
      <w:bookmarkStart w:id="194" w:name="_Toc38434217"/>
      <w:bookmarkStart w:id="195" w:name="_Toc38434363"/>
      <w:bookmarkStart w:id="196" w:name="_Toc38434506"/>
      <w:bookmarkStart w:id="197" w:name="_Toc38434649"/>
      <w:bookmarkStart w:id="198" w:name="_Toc38434792"/>
      <w:bookmarkStart w:id="199" w:name="_Toc38434936"/>
      <w:bookmarkStart w:id="200" w:name="_Toc38437632"/>
      <w:bookmarkStart w:id="201" w:name="_Toc38437778"/>
      <w:bookmarkStart w:id="202" w:name="_Toc38437924"/>
      <w:bookmarkStart w:id="203" w:name="_Toc38438070"/>
      <w:bookmarkStart w:id="204" w:name="_Toc38438216"/>
      <w:bookmarkStart w:id="205" w:name="_Toc38438553"/>
      <w:bookmarkStart w:id="206" w:name="_Toc38438890"/>
      <w:bookmarkStart w:id="207" w:name="_Toc38439227"/>
      <w:bookmarkStart w:id="208" w:name="_Toc38439564"/>
      <w:bookmarkStart w:id="209" w:name="_Toc38439901"/>
      <w:bookmarkStart w:id="210" w:name="_Toc38440238"/>
      <w:bookmarkStart w:id="211" w:name="_Toc38440575"/>
      <w:bookmarkStart w:id="212" w:name="_Toc38440774"/>
      <w:bookmarkStart w:id="213" w:name="_Toc38441107"/>
      <w:bookmarkStart w:id="214" w:name="_Toc38441439"/>
      <w:bookmarkStart w:id="215" w:name="_Toc38441771"/>
      <w:bookmarkStart w:id="216" w:name="_Toc38442099"/>
      <w:bookmarkStart w:id="217" w:name="_Toc38442431"/>
      <w:bookmarkStart w:id="218" w:name="_Toc38442763"/>
      <w:bookmarkStart w:id="219" w:name="_Toc38443094"/>
      <w:bookmarkStart w:id="220" w:name="_Toc38443425"/>
      <w:bookmarkStart w:id="221" w:name="_Toc38443756"/>
      <w:bookmarkStart w:id="222" w:name="_Toc38433503"/>
      <w:bookmarkStart w:id="223" w:name="_Toc38433638"/>
      <w:bookmarkStart w:id="224" w:name="_Toc38433772"/>
      <w:bookmarkStart w:id="225" w:name="_Toc38433922"/>
      <w:bookmarkStart w:id="226" w:name="_Toc38434070"/>
      <w:bookmarkStart w:id="227" w:name="_Toc38434218"/>
      <w:bookmarkStart w:id="228" w:name="_Toc38434364"/>
      <w:bookmarkStart w:id="229" w:name="_Toc38434507"/>
      <w:bookmarkStart w:id="230" w:name="_Toc38434650"/>
      <w:bookmarkStart w:id="231" w:name="_Toc38434793"/>
      <w:bookmarkStart w:id="232" w:name="_Toc38434937"/>
      <w:bookmarkStart w:id="233" w:name="_Toc38437633"/>
      <w:bookmarkStart w:id="234" w:name="_Toc38437779"/>
      <w:bookmarkStart w:id="235" w:name="_Toc38437925"/>
      <w:bookmarkStart w:id="236" w:name="_Toc38438071"/>
      <w:bookmarkStart w:id="237" w:name="_Toc38438217"/>
      <w:bookmarkStart w:id="238" w:name="_Toc38438554"/>
      <w:bookmarkStart w:id="239" w:name="_Toc38438891"/>
      <w:bookmarkStart w:id="240" w:name="_Toc38439228"/>
      <w:bookmarkStart w:id="241" w:name="_Toc38439565"/>
      <w:bookmarkStart w:id="242" w:name="_Toc38439902"/>
      <w:bookmarkStart w:id="243" w:name="_Toc38440239"/>
      <w:bookmarkStart w:id="244" w:name="_Toc38440576"/>
      <w:bookmarkStart w:id="245" w:name="_Toc38440775"/>
      <w:bookmarkStart w:id="246" w:name="_Toc38441108"/>
      <w:bookmarkStart w:id="247" w:name="_Toc38441440"/>
      <w:bookmarkStart w:id="248" w:name="_Toc38441772"/>
      <w:bookmarkStart w:id="249" w:name="_Toc38442100"/>
      <w:bookmarkStart w:id="250" w:name="_Toc38442432"/>
      <w:bookmarkStart w:id="251" w:name="_Toc38442764"/>
      <w:bookmarkStart w:id="252" w:name="_Toc38443095"/>
      <w:bookmarkStart w:id="253" w:name="_Toc38443426"/>
      <w:bookmarkStart w:id="254" w:name="_Toc38443757"/>
      <w:bookmarkStart w:id="255" w:name="_Toc38433504"/>
      <w:bookmarkStart w:id="256" w:name="_Toc38433639"/>
      <w:bookmarkStart w:id="257" w:name="_Toc38433773"/>
      <w:bookmarkStart w:id="258" w:name="_Toc38433923"/>
      <w:bookmarkStart w:id="259" w:name="_Toc38434071"/>
      <w:bookmarkStart w:id="260" w:name="_Toc38434219"/>
      <w:bookmarkStart w:id="261" w:name="_Toc38434365"/>
      <w:bookmarkStart w:id="262" w:name="_Toc38434508"/>
      <w:bookmarkStart w:id="263" w:name="_Toc38434651"/>
      <w:bookmarkStart w:id="264" w:name="_Toc38434794"/>
      <w:bookmarkStart w:id="265" w:name="_Toc38434938"/>
      <w:bookmarkStart w:id="266" w:name="_Toc38437634"/>
      <w:bookmarkStart w:id="267" w:name="_Toc38437780"/>
      <w:bookmarkStart w:id="268" w:name="_Toc38437926"/>
      <w:bookmarkStart w:id="269" w:name="_Toc38438072"/>
      <w:bookmarkStart w:id="270" w:name="_Toc38438218"/>
      <w:bookmarkStart w:id="271" w:name="_Toc38438555"/>
      <w:bookmarkStart w:id="272" w:name="_Toc38438892"/>
      <w:bookmarkStart w:id="273" w:name="_Toc38439229"/>
      <w:bookmarkStart w:id="274" w:name="_Toc38439566"/>
      <w:bookmarkStart w:id="275" w:name="_Toc38439903"/>
      <w:bookmarkStart w:id="276" w:name="_Toc38440240"/>
      <w:bookmarkStart w:id="277" w:name="_Toc38440577"/>
      <w:bookmarkStart w:id="278" w:name="_Toc38440776"/>
      <w:bookmarkStart w:id="279" w:name="_Toc38441109"/>
      <w:bookmarkStart w:id="280" w:name="_Toc38441441"/>
      <w:bookmarkStart w:id="281" w:name="_Toc38441773"/>
      <w:bookmarkStart w:id="282" w:name="_Toc38442101"/>
      <w:bookmarkStart w:id="283" w:name="_Toc38442433"/>
      <w:bookmarkStart w:id="284" w:name="_Toc38442765"/>
      <w:bookmarkStart w:id="285" w:name="_Toc38443096"/>
      <w:bookmarkStart w:id="286" w:name="_Toc38443427"/>
      <w:bookmarkStart w:id="287" w:name="_Toc38443758"/>
      <w:bookmarkStart w:id="288" w:name="_Toc38433505"/>
      <w:bookmarkStart w:id="289" w:name="_Toc38433640"/>
      <w:bookmarkStart w:id="290" w:name="_Toc38433774"/>
      <w:bookmarkStart w:id="291" w:name="_Toc38433924"/>
      <w:bookmarkStart w:id="292" w:name="_Toc38434072"/>
      <w:bookmarkStart w:id="293" w:name="_Toc38434220"/>
      <w:bookmarkStart w:id="294" w:name="_Toc38434366"/>
      <w:bookmarkStart w:id="295" w:name="_Toc38434509"/>
      <w:bookmarkStart w:id="296" w:name="_Toc38434652"/>
      <w:bookmarkStart w:id="297" w:name="_Toc38434795"/>
      <w:bookmarkStart w:id="298" w:name="_Toc38434939"/>
      <w:bookmarkStart w:id="299" w:name="_Toc38437635"/>
      <w:bookmarkStart w:id="300" w:name="_Toc38437781"/>
      <w:bookmarkStart w:id="301" w:name="_Toc38437927"/>
      <w:bookmarkStart w:id="302" w:name="_Toc38438073"/>
      <w:bookmarkStart w:id="303" w:name="_Toc38438219"/>
      <w:bookmarkStart w:id="304" w:name="_Toc38438556"/>
      <w:bookmarkStart w:id="305" w:name="_Toc38438893"/>
      <w:bookmarkStart w:id="306" w:name="_Toc38439230"/>
      <w:bookmarkStart w:id="307" w:name="_Toc38439567"/>
      <w:bookmarkStart w:id="308" w:name="_Toc38439904"/>
      <w:bookmarkStart w:id="309" w:name="_Toc38440241"/>
      <w:bookmarkStart w:id="310" w:name="_Toc38440578"/>
      <w:bookmarkStart w:id="311" w:name="_Toc38440777"/>
      <w:bookmarkStart w:id="312" w:name="_Toc38441110"/>
      <w:bookmarkStart w:id="313" w:name="_Toc38441442"/>
      <w:bookmarkStart w:id="314" w:name="_Toc38441774"/>
      <w:bookmarkStart w:id="315" w:name="_Toc38442102"/>
      <w:bookmarkStart w:id="316" w:name="_Toc38442434"/>
      <w:bookmarkStart w:id="317" w:name="_Toc38442766"/>
      <w:bookmarkStart w:id="318" w:name="_Toc38443097"/>
      <w:bookmarkStart w:id="319" w:name="_Toc38443428"/>
      <w:bookmarkStart w:id="320" w:name="_Toc38443759"/>
      <w:bookmarkStart w:id="321" w:name="_Toc38433506"/>
      <w:bookmarkStart w:id="322" w:name="_Toc38433641"/>
      <w:bookmarkStart w:id="323" w:name="_Toc38433775"/>
      <w:bookmarkStart w:id="324" w:name="_Toc38433925"/>
      <w:bookmarkStart w:id="325" w:name="_Toc38434073"/>
      <w:bookmarkStart w:id="326" w:name="_Toc38434221"/>
      <w:bookmarkStart w:id="327" w:name="_Toc38434367"/>
      <w:bookmarkStart w:id="328" w:name="_Toc38434510"/>
      <w:bookmarkStart w:id="329" w:name="_Toc38434653"/>
      <w:bookmarkStart w:id="330" w:name="_Toc38434796"/>
      <w:bookmarkStart w:id="331" w:name="_Toc38434940"/>
      <w:bookmarkStart w:id="332" w:name="_Toc38437636"/>
      <w:bookmarkStart w:id="333" w:name="_Toc38437782"/>
      <w:bookmarkStart w:id="334" w:name="_Toc38437928"/>
      <w:bookmarkStart w:id="335" w:name="_Toc38438074"/>
      <w:bookmarkStart w:id="336" w:name="_Toc38438220"/>
      <w:bookmarkStart w:id="337" w:name="_Toc38438557"/>
      <w:bookmarkStart w:id="338" w:name="_Toc38438894"/>
      <w:bookmarkStart w:id="339" w:name="_Toc38439231"/>
      <w:bookmarkStart w:id="340" w:name="_Toc38439568"/>
      <w:bookmarkStart w:id="341" w:name="_Toc38439905"/>
      <w:bookmarkStart w:id="342" w:name="_Toc38440242"/>
      <w:bookmarkStart w:id="343" w:name="_Toc38440579"/>
      <w:bookmarkStart w:id="344" w:name="_Toc38440778"/>
      <w:bookmarkStart w:id="345" w:name="_Toc38441111"/>
      <w:bookmarkStart w:id="346" w:name="_Toc38441443"/>
      <w:bookmarkStart w:id="347" w:name="_Toc38441775"/>
      <w:bookmarkStart w:id="348" w:name="_Toc38442103"/>
      <w:bookmarkStart w:id="349" w:name="_Toc38442435"/>
      <w:bookmarkStart w:id="350" w:name="_Toc38442767"/>
      <w:bookmarkStart w:id="351" w:name="_Toc38443098"/>
      <w:bookmarkStart w:id="352" w:name="_Toc38443429"/>
      <w:bookmarkStart w:id="353" w:name="_Toc38443760"/>
      <w:bookmarkStart w:id="354" w:name="_Toc38433507"/>
      <w:bookmarkStart w:id="355" w:name="_Toc38433642"/>
      <w:bookmarkStart w:id="356" w:name="_Toc38433776"/>
      <w:bookmarkStart w:id="357" w:name="_Toc38433926"/>
      <w:bookmarkStart w:id="358" w:name="_Toc38434074"/>
      <w:bookmarkStart w:id="359" w:name="_Toc38434222"/>
      <w:bookmarkStart w:id="360" w:name="_Toc38434368"/>
      <w:bookmarkStart w:id="361" w:name="_Toc38434511"/>
      <w:bookmarkStart w:id="362" w:name="_Toc38434654"/>
      <w:bookmarkStart w:id="363" w:name="_Toc38434797"/>
      <w:bookmarkStart w:id="364" w:name="_Toc38434941"/>
      <w:bookmarkStart w:id="365" w:name="_Toc38437637"/>
      <w:bookmarkStart w:id="366" w:name="_Toc38437783"/>
      <w:bookmarkStart w:id="367" w:name="_Toc38437929"/>
      <w:bookmarkStart w:id="368" w:name="_Toc38438075"/>
      <w:bookmarkStart w:id="369" w:name="_Toc38438221"/>
      <w:bookmarkStart w:id="370" w:name="_Toc38438558"/>
      <w:bookmarkStart w:id="371" w:name="_Toc38438895"/>
      <w:bookmarkStart w:id="372" w:name="_Toc38439232"/>
      <w:bookmarkStart w:id="373" w:name="_Toc38439569"/>
      <w:bookmarkStart w:id="374" w:name="_Toc38439906"/>
      <w:bookmarkStart w:id="375" w:name="_Toc38440243"/>
      <w:bookmarkStart w:id="376" w:name="_Toc38440580"/>
      <w:bookmarkStart w:id="377" w:name="_Toc38440779"/>
      <w:bookmarkStart w:id="378" w:name="_Toc38441112"/>
      <w:bookmarkStart w:id="379" w:name="_Toc38441444"/>
      <w:bookmarkStart w:id="380" w:name="_Toc38441776"/>
      <w:bookmarkStart w:id="381" w:name="_Toc38442104"/>
      <w:bookmarkStart w:id="382" w:name="_Toc38442436"/>
      <w:bookmarkStart w:id="383" w:name="_Toc38442768"/>
      <w:bookmarkStart w:id="384" w:name="_Toc38443099"/>
      <w:bookmarkStart w:id="385" w:name="_Toc38443430"/>
      <w:bookmarkStart w:id="386" w:name="_Toc38443761"/>
      <w:bookmarkStart w:id="387" w:name="_Toc38433508"/>
      <w:bookmarkStart w:id="388" w:name="_Toc38433643"/>
      <w:bookmarkStart w:id="389" w:name="_Toc38433777"/>
      <w:bookmarkStart w:id="390" w:name="_Toc38433927"/>
      <w:bookmarkStart w:id="391" w:name="_Toc38434075"/>
      <w:bookmarkStart w:id="392" w:name="_Toc38434223"/>
      <w:bookmarkStart w:id="393" w:name="_Toc38434369"/>
      <w:bookmarkStart w:id="394" w:name="_Toc38434512"/>
      <w:bookmarkStart w:id="395" w:name="_Toc38434655"/>
      <w:bookmarkStart w:id="396" w:name="_Toc38434798"/>
      <w:bookmarkStart w:id="397" w:name="_Toc38434942"/>
      <w:bookmarkStart w:id="398" w:name="_Toc38437638"/>
      <w:bookmarkStart w:id="399" w:name="_Toc38437784"/>
      <w:bookmarkStart w:id="400" w:name="_Toc38437930"/>
      <w:bookmarkStart w:id="401" w:name="_Toc38438076"/>
      <w:bookmarkStart w:id="402" w:name="_Toc38438222"/>
      <w:bookmarkStart w:id="403" w:name="_Toc38438559"/>
      <w:bookmarkStart w:id="404" w:name="_Toc38438896"/>
      <w:bookmarkStart w:id="405" w:name="_Toc38439233"/>
      <w:bookmarkStart w:id="406" w:name="_Toc38439570"/>
      <w:bookmarkStart w:id="407" w:name="_Toc38439907"/>
      <w:bookmarkStart w:id="408" w:name="_Toc38440244"/>
      <w:bookmarkStart w:id="409" w:name="_Toc38440581"/>
      <w:bookmarkStart w:id="410" w:name="_Toc38440780"/>
      <w:bookmarkStart w:id="411" w:name="_Toc38441113"/>
      <w:bookmarkStart w:id="412" w:name="_Toc38441445"/>
      <w:bookmarkStart w:id="413" w:name="_Toc38441777"/>
      <w:bookmarkStart w:id="414" w:name="_Toc38442105"/>
      <w:bookmarkStart w:id="415" w:name="_Toc38442437"/>
      <w:bookmarkStart w:id="416" w:name="_Toc38442769"/>
      <w:bookmarkStart w:id="417" w:name="_Toc38443100"/>
      <w:bookmarkStart w:id="418" w:name="_Toc38443431"/>
      <w:bookmarkStart w:id="419" w:name="_Toc38443762"/>
      <w:bookmarkStart w:id="420" w:name="_Toc38433510"/>
      <w:bookmarkStart w:id="421" w:name="_Toc38433645"/>
      <w:bookmarkStart w:id="422" w:name="_Toc38433779"/>
      <w:bookmarkStart w:id="423" w:name="_Toc38433929"/>
      <w:bookmarkStart w:id="424" w:name="_Toc38434077"/>
      <w:bookmarkStart w:id="425" w:name="_Toc38434225"/>
      <w:bookmarkStart w:id="426" w:name="_Toc38434371"/>
      <w:bookmarkStart w:id="427" w:name="_Toc38434514"/>
      <w:bookmarkStart w:id="428" w:name="_Toc38434657"/>
      <w:bookmarkStart w:id="429" w:name="_Toc38434800"/>
      <w:bookmarkStart w:id="430" w:name="_Toc38434944"/>
      <w:bookmarkStart w:id="431" w:name="_Toc38437640"/>
      <w:bookmarkStart w:id="432" w:name="_Toc38437786"/>
      <w:bookmarkStart w:id="433" w:name="_Toc38437932"/>
      <w:bookmarkStart w:id="434" w:name="_Toc38438078"/>
      <w:bookmarkStart w:id="435" w:name="_Toc38438224"/>
      <w:bookmarkStart w:id="436" w:name="_Toc38438561"/>
      <w:bookmarkStart w:id="437" w:name="_Toc38438898"/>
      <w:bookmarkStart w:id="438" w:name="_Toc38439235"/>
      <w:bookmarkStart w:id="439" w:name="_Toc38439572"/>
      <w:bookmarkStart w:id="440" w:name="_Toc38439909"/>
      <w:bookmarkStart w:id="441" w:name="_Toc38440246"/>
      <w:bookmarkStart w:id="442" w:name="_Toc38440583"/>
      <w:bookmarkStart w:id="443" w:name="_Toc38440782"/>
      <w:bookmarkStart w:id="444" w:name="_Toc38441115"/>
      <w:bookmarkStart w:id="445" w:name="_Toc38441447"/>
      <w:bookmarkStart w:id="446" w:name="_Toc38441779"/>
      <w:bookmarkStart w:id="447" w:name="_Toc38442107"/>
      <w:bookmarkStart w:id="448" w:name="_Toc38442439"/>
      <w:bookmarkStart w:id="449" w:name="_Toc38442771"/>
      <w:bookmarkStart w:id="450" w:name="_Toc38443102"/>
      <w:bookmarkStart w:id="451" w:name="_Toc38443433"/>
      <w:bookmarkStart w:id="452" w:name="_Toc38443764"/>
      <w:bookmarkStart w:id="453" w:name="_Toc13148353"/>
      <w:bookmarkStart w:id="454" w:name="_Toc13150581"/>
      <w:bookmarkStart w:id="455" w:name="_Toc13291966"/>
      <w:bookmarkStart w:id="456" w:name="_Toc13504692"/>
      <w:bookmarkStart w:id="457" w:name="_Toc13504808"/>
      <w:bookmarkStart w:id="458" w:name="_Toc13556301"/>
      <w:bookmarkStart w:id="459" w:name="_Toc14337423"/>
      <w:bookmarkStart w:id="460" w:name="_Toc13148354"/>
      <w:bookmarkStart w:id="461" w:name="_Toc13150582"/>
      <w:bookmarkStart w:id="462" w:name="_Toc13291967"/>
      <w:bookmarkStart w:id="463" w:name="_Toc13504693"/>
      <w:bookmarkStart w:id="464" w:name="_Toc13504809"/>
      <w:bookmarkStart w:id="465" w:name="_Toc13556302"/>
      <w:bookmarkStart w:id="466" w:name="_Toc14337424"/>
      <w:bookmarkStart w:id="467" w:name="_Toc13148355"/>
      <w:bookmarkStart w:id="468" w:name="_Toc13150583"/>
      <w:bookmarkStart w:id="469" w:name="_Toc13291968"/>
      <w:bookmarkStart w:id="470" w:name="_Toc13504694"/>
      <w:bookmarkStart w:id="471" w:name="_Toc13504810"/>
      <w:bookmarkStart w:id="472" w:name="_Toc13556303"/>
      <w:bookmarkStart w:id="473" w:name="_Toc14337425"/>
      <w:bookmarkStart w:id="474" w:name="_Toc13148356"/>
      <w:bookmarkStart w:id="475" w:name="_Toc13150584"/>
      <w:bookmarkStart w:id="476" w:name="_Toc13291969"/>
      <w:bookmarkStart w:id="477" w:name="_Toc13504695"/>
      <w:bookmarkStart w:id="478" w:name="_Toc13504811"/>
      <w:bookmarkStart w:id="479" w:name="_Toc13556304"/>
      <w:bookmarkStart w:id="480" w:name="_Toc14337426"/>
      <w:bookmarkStart w:id="481" w:name="_Toc13148357"/>
      <w:bookmarkStart w:id="482" w:name="_Toc13150585"/>
      <w:bookmarkStart w:id="483" w:name="_Toc13291970"/>
      <w:bookmarkStart w:id="484" w:name="_Toc13504696"/>
      <w:bookmarkStart w:id="485" w:name="_Toc13504812"/>
      <w:bookmarkStart w:id="486" w:name="_Toc13556305"/>
      <w:bookmarkStart w:id="487" w:name="_Toc14337427"/>
      <w:bookmarkStart w:id="488" w:name="_Toc13148358"/>
      <w:bookmarkStart w:id="489" w:name="_Toc13150586"/>
      <w:bookmarkStart w:id="490" w:name="_Toc13291971"/>
      <w:bookmarkStart w:id="491" w:name="_Toc13504697"/>
      <w:bookmarkStart w:id="492" w:name="_Toc13504813"/>
      <w:bookmarkStart w:id="493" w:name="_Toc13556306"/>
      <w:bookmarkStart w:id="494" w:name="_Toc14337428"/>
      <w:bookmarkStart w:id="495" w:name="_Toc13148359"/>
      <w:bookmarkStart w:id="496" w:name="_Toc13150587"/>
      <w:bookmarkStart w:id="497" w:name="_Toc13291972"/>
      <w:bookmarkStart w:id="498" w:name="_Toc13504698"/>
      <w:bookmarkStart w:id="499" w:name="_Toc13504814"/>
      <w:bookmarkStart w:id="500" w:name="_Toc13556307"/>
      <w:bookmarkStart w:id="501" w:name="_Toc14337429"/>
      <w:bookmarkStart w:id="502" w:name="_Toc13148360"/>
      <w:bookmarkStart w:id="503" w:name="_Toc13150588"/>
      <w:bookmarkStart w:id="504" w:name="_Toc13291973"/>
      <w:bookmarkStart w:id="505" w:name="_Toc13504699"/>
      <w:bookmarkStart w:id="506" w:name="_Toc13504815"/>
      <w:bookmarkStart w:id="507" w:name="_Toc13556308"/>
      <w:bookmarkStart w:id="508" w:name="_Toc14337430"/>
      <w:bookmarkStart w:id="509" w:name="_Toc13148361"/>
      <w:bookmarkStart w:id="510" w:name="_Toc13150589"/>
      <w:bookmarkStart w:id="511" w:name="_Toc13291974"/>
      <w:bookmarkStart w:id="512" w:name="_Toc13504700"/>
      <w:bookmarkStart w:id="513" w:name="_Toc13504816"/>
      <w:bookmarkStart w:id="514" w:name="_Toc13556309"/>
      <w:bookmarkStart w:id="515" w:name="_Toc14337431"/>
      <w:bookmarkStart w:id="516" w:name="_Toc13148362"/>
      <w:bookmarkStart w:id="517" w:name="_Toc13150590"/>
      <w:bookmarkStart w:id="518" w:name="_Toc13291975"/>
      <w:bookmarkStart w:id="519" w:name="_Toc13504701"/>
      <w:bookmarkStart w:id="520" w:name="_Toc13504817"/>
      <w:bookmarkStart w:id="521" w:name="_Toc13556310"/>
      <w:bookmarkStart w:id="522" w:name="_Toc14337432"/>
      <w:bookmarkStart w:id="523" w:name="_Toc13148369"/>
      <w:bookmarkStart w:id="524" w:name="_Toc13150597"/>
      <w:bookmarkStart w:id="525" w:name="_Toc13291982"/>
      <w:bookmarkStart w:id="526" w:name="_Toc13504708"/>
      <w:bookmarkStart w:id="527" w:name="_Toc13504824"/>
      <w:bookmarkStart w:id="528" w:name="_Toc13556317"/>
      <w:bookmarkStart w:id="529" w:name="_Toc14337439"/>
      <w:bookmarkStart w:id="530" w:name="_Toc13148370"/>
      <w:bookmarkStart w:id="531" w:name="_Toc13150598"/>
      <w:bookmarkStart w:id="532" w:name="_Toc13291983"/>
      <w:bookmarkStart w:id="533" w:name="_Toc13504709"/>
      <w:bookmarkStart w:id="534" w:name="_Toc13504825"/>
      <w:bookmarkStart w:id="535" w:name="_Toc13556318"/>
      <w:bookmarkStart w:id="536" w:name="_Toc14337440"/>
      <w:bookmarkStart w:id="537" w:name="_Toc13148371"/>
      <w:bookmarkStart w:id="538" w:name="_Toc13150599"/>
      <w:bookmarkStart w:id="539" w:name="_Toc13291984"/>
      <w:bookmarkStart w:id="540" w:name="_Toc13504710"/>
      <w:bookmarkStart w:id="541" w:name="_Toc13504826"/>
      <w:bookmarkStart w:id="542" w:name="_Toc13556319"/>
      <w:bookmarkStart w:id="543" w:name="_Toc14337441"/>
      <w:bookmarkStart w:id="544" w:name="_Toc13148372"/>
      <w:bookmarkStart w:id="545" w:name="_Toc13150600"/>
      <w:bookmarkStart w:id="546" w:name="_Toc13291985"/>
      <w:bookmarkStart w:id="547" w:name="_Toc13504711"/>
      <w:bookmarkStart w:id="548" w:name="_Toc13504827"/>
      <w:bookmarkStart w:id="549" w:name="_Toc13556320"/>
      <w:bookmarkStart w:id="550" w:name="_Toc14337442"/>
      <w:bookmarkStart w:id="551" w:name="_Toc13148373"/>
      <w:bookmarkStart w:id="552" w:name="_Toc13150601"/>
      <w:bookmarkStart w:id="553" w:name="_Toc13291986"/>
      <w:bookmarkStart w:id="554" w:name="_Toc13504712"/>
      <w:bookmarkStart w:id="555" w:name="_Toc13504828"/>
      <w:bookmarkStart w:id="556" w:name="_Toc13556321"/>
      <w:bookmarkStart w:id="557" w:name="_Toc14337443"/>
      <w:bookmarkStart w:id="558" w:name="_Toc13148374"/>
      <w:bookmarkStart w:id="559" w:name="_Toc13150602"/>
      <w:bookmarkStart w:id="560" w:name="_Toc13291987"/>
      <w:bookmarkStart w:id="561" w:name="_Toc13504713"/>
      <w:bookmarkStart w:id="562" w:name="_Toc13504829"/>
      <w:bookmarkStart w:id="563" w:name="_Toc13556322"/>
      <w:bookmarkStart w:id="564" w:name="_Toc14337444"/>
      <w:bookmarkStart w:id="565" w:name="_Toc13148376"/>
      <w:bookmarkStart w:id="566" w:name="_Toc13150604"/>
      <w:bookmarkStart w:id="567" w:name="_Toc13291989"/>
      <w:bookmarkStart w:id="568" w:name="_Toc13504715"/>
      <w:bookmarkStart w:id="569" w:name="_Toc13504831"/>
      <w:bookmarkStart w:id="570" w:name="_Toc13556324"/>
      <w:bookmarkStart w:id="571" w:name="_Toc14337446"/>
      <w:bookmarkStart w:id="572" w:name="_Toc13148377"/>
      <w:bookmarkStart w:id="573" w:name="_Toc13150605"/>
      <w:bookmarkStart w:id="574" w:name="_Toc13291990"/>
      <w:bookmarkStart w:id="575" w:name="_Toc13504716"/>
      <w:bookmarkStart w:id="576" w:name="_Toc13504832"/>
      <w:bookmarkStart w:id="577" w:name="_Toc13556325"/>
      <w:bookmarkStart w:id="578" w:name="_Toc14337447"/>
      <w:bookmarkStart w:id="579" w:name="_Toc13148379"/>
      <w:bookmarkStart w:id="580" w:name="_Toc13150607"/>
      <w:bookmarkStart w:id="581" w:name="_Toc13291992"/>
      <w:bookmarkStart w:id="582" w:name="_Toc13504718"/>
      <w:bookmarkStart w:id="583" w:name="_Toc13504834"/>
      <w:bookmarkStart w:id="584" w:name="_Toc13556327"/>
      <w:bookmarkStart w:id="585" w:name="_Toc14337449"/>
      <w:bookmarkStart w:id="586" w:name="_Toc13148381"/>
      <w:bookmarkStart w:id="587" w:name="_Toc13150609"/>
      <w:bookmarkStart w:id="588" w:name="_Toc13291994"/>
      <w:bookmarkStart w:id="589" w:name="_Toc13504720"/>
      <w:bookmarkStart w:id="590" w:name="_Toc13504836"/>
      <w:bookmarkStart w:id="591" w:name="_Toc13556329"/>
      <w:bookmarkStart w:id="592" w:name="_Toc14337451"/>
      <w:bookmarkStart w:id="593" w:name="_Toc13148384"/>
      <w:bookmarkStart w:id="594" w:name="_Toc13150612"/>
      <w:bookmarkStart w:id="595" w:name="_Toc13291997"/>
      <w:bookmarkStart w:id="596" w:name="_Toc13504723"/>
      <w:bookmarkStart w:id="597" w:name="_Toc13504839"/>
      <w:bookmarkStart w:id="598" w:name="_Toc13556332"/>
      <w:bookmarkStart w:id="599" w:name="_Toc14337454"/>
      <w:bookmarkStart w:id="600" w:name="_Toc13148385"/>
      <w:bookmarkStart w:id="601" w:name="_Toc13150613"/>
      <w:bookmarkStart w:id="602" w:name="_Toc13291998"/>
      <w:bookmarkStart w:id="603" w:name="_Toc13504724"/>
      <w:bookmarkStart w:id="604" w:name="_Toc13504840"/>
      <w:bookmarkStart w:id="605" w:name="_Toc13556333"/>
      <w:bookmarkStart w:id="606" w:name="_Toc14337455"/>
      <w:bookmarkStart w:id="607" w:name="_Toc13148390"/>
      <w:bookmarkStart w:id="608" w:name="_Toc13150618"/>
      <w:bookmarkStart w:id="609" w:name="_Toc13292003"/>
      <w:bookmarkStart w:id="610" w:name="_Toc13504729"/>
      <w:bookmarkStart w:id="611" w:name="_Toc13504845"/>
      <w:bookmarkStart w:id="612" w:name="_Toc13556338"/>
      <w:bookmarkStart w:id="613" w:name="_Toc14337460"/>
      <w:bookmarkStart w:id="614" w:name="_Toc13148391"/>
      <w:bookmarkStart w:id="615" w:name="_Toc13150619"/>
      <w:bookmarkStart w:id="616" w:name="_Toc13292004"/>
      <w:bookmarkStart w:id="617" w:name="_Toc13504730"/>
      <w:bookmarkStart w:id="618" w:name="_Toc13504846"/>
      <w:bookmarkStart w:id="619" w:name="_Toc13556339"/>
      <w:bookmarkStart w:id="620" w:name="_Toc14337461"/>
      <w:bookmarkStart w:id="621" w:name="_Toc13148392"/>
      <w:bookmarkStart w:id="622" w:name="_Toc13150620"/>
      <w:bookmarkStart w:id="623" w:name="_Toc13292005"/>
      <w:bookmarkStart w:id="624" w:name="_Toc13504731"/>
      <w:bookmarkStart w:id="625" w:name="_Toc13504847"/>
      <w:bookmarkStart w:id="626" w:name="_Toc13556340"/>
      <w:bookmarkStart w:id="627" w:name="_Toc14337462"/>
      <w:bookmarkStart w:id="628" w:name="_Toc13148393"/>
      <w:bookmarkStart w:id="629" w:name="_Toc13150621"/>
      <w:bookmarkStart w:id="630" w:name="_Toc13292006"/>
      <w:bookmarkStart w:id="631" w:name="_Toc13504732"/>
      <w:bookmarkStart w:id="632" w:name="_Toc13504848"/>
      <w:bookmarkStart w:id="633" w:name="_Toc13556341"/>
      <w:bookmarkStart w:id="634" w:name="_Toc14337463"/>
      <w:bookmarkStart w:id="635" w:name="_Toc13148394"/>
      <w:bookmarkStart w:id="636" w:name="_Toc13150622"/>
      <w:bookmarkStart w:id="637" w:name="_Toc13292007"/>
      <w:bookmarkStart w:id="638" w:name="_Toc13504733"/>
      <w:bookmarkStart w:id="639" w:name="_Toc13504849"/>
      <w:bookmarkStart w:id="640" w:name="_Toc13556342"/>
      <w:bookmarkStart w:id="641" w:name="_Toc14337464"/>
      <w:bookmarkStart w:id="642" w:name="_Toc13148395"/>
      <w:bookmarkStart w:id="643" w:name="_Toc13150623"/>
      <w:bookmarkStart w:id="644" w:name="_Toc13292008"/>
      <w:bookmarkStart w:id="645" w:name="_Toc13504734"/>
      <w:bookmarkStart w:id="646" w:name="_Toc13504850"/>
      <w:bookmarkStart w:id="647" w:name="_Toc13556343"/>
      <w:bookmarkStart w:id="648" w:name="_Toc14337465"/>
      <w:bookmarkStart w:id="649" w:name="_Toc13148396"/>
      <w:bookmarkStart w:id="650" w:name="_Toc13150624"/>
      <w:bookmarkStart w:id="651" w:name="_Toc13292009"/>
      <w:bookmarkStart w:id="652" w:name="_Toc13504735"/>
      <w:bookmarkStart w:id="653" w:name="_Toc13504851"/>
      <w:bookmarkStart w:id="654" w:name="_Toc13556344"/>
      <w:bookmarkStart w:id="655" w:name="_Toc14337466"/>
      <w:bookmarkStart w:id="656" w:name="_Toc13148397"/>
      <w:bookmarkStart w:id="657" w:name="_Toc13150625"/>
      <w:bookmarkStart w:id="658" w:name="_Toc13292010"/>
      <w:bookmarkStart w:id="659" w:name="_Toc13504736"/>
      <w:bookmarkStart w:id="660" w:name="_Toc13504852"/>
      <w:bookmarkStart w:id="661" w:name="_Toc13556345"/>
      <w:bookmarkStart w:id="662" w:name="_Toc14337467"/>
      <w:bookmarkStart w:id="663" w:name="_Toc13148398"/>
      <w:bookmarkStart w:id="664" w:name="_Toc13150626"/>
      <w:bookmarkStart w:id="665" w:name="_Toc13292011"/>
      <w:bookmarkStart w:id="666" w:name="_Toc13504737"/>
      <w:bookmarkStart w:id="667" w:name="_Toc13504853"/>
      <w:bookmarkStart w:id="668" w:name="_Toc13556346"/>
      <w:bookmarkStart w:id="669" w:name="_Toc14337468"/>
      <w:bookmarkStart w:id="670" w:name="_Toc13148399"/>
      <w:bookmarkStart w:id="671" w:name="_Toc13150627"/>
      <w:bookmarkStart w:id="672" w:name="_Toc13292012"/>
      <w:bookmarkStart w:id="673" w:name="_Toc13504738"/>
      <w:bookmarkStart w:id="674" w:name="_Toc13504854"/>
      <w:bookmarkStart w:id="675" w:name="_Toc13556347"/>
      <w:bookmarkStart w:id="676" w:name="_Toc14337469"/>
      <w:bookmarkStart w:id="677" w:name="_Toc13148400"/>
      <w:bookmarkStart w:id="678" w:name="_Toc13150628"/>
      <w:bookmarkStart w:id="679" w:name="_Toc13292013"/>
      <w:bookmarkStart w:id="680" w:name="_Toc13504739"/>
      <w:bookmarkStart w:id="681" w:name="_Toc13504855"/>
      <w:bookmarkStart w:id="682" w:name="_Toc13556348"/>
      <w:bookmarkStart w:id="683" w:name="_Toc14337470"/>
      <w:bookmarkStart w:id="684" w:name="_Toc13148401"/>
      <w:bookmarkStart w:id="685" w:name="_Toc13150629"/>
      <w:bookmarkStart w:id="686" w:name="_Toc13292014"/>
      <w:bookmarkStart w:id="687" w:name="_Toc13504740"/>
      <w:bookmarkStart w:id="688" w:name="_Toc13504856"/>
      <w:bookmarkStart w:id="689" w:name="_Toc13556349"/>
      <w:bookmarkStart w:id="690" w:name="_Toc14337471"/>
      <w:bookmarkStart w:id="691" w:name="_Toc13148402"/>
      <w:bookmarkStart w:id="692" w:name="_Toc13150630"/>
      <w:bookmarkStart w:id="693" w:name="_Toc13292015"/>
      <w:bookmarkStart w:id="694" w:name="_Toc13504741"/>
      <w:bookmarkStart w:id="695" w:name="_Toc13504857"/>
      <w:bookmarkStart w:id="696" w:name="_Toc13556350"/>
      <w:bookmarkStart w:id="697" w:name="_Toc14337472"/>
      <w:bookmarkStart w:id="698" w:name="_Toc13148408"/>
      <w:bookmarkStart w:id="699" w:name="_Toc13150636"/>
      <w:bookmarkStart w:id="700" w:name="_Toc13292021"/>
      <w:bookmarkStart w:id="701" w:name="_Toc13504747"/>
      <w:bookmarkStart w:id="702" w:name="_Toc13504863"/>
      <w:bookmarkStart w:id="703" w:name="_Toc13556356"/>
      <w:bookmarkStart w:id="704" w:name="_Toc14337478"/>
      <w:bookmarkStart w:id="705" w:name="_Toc13148409"/>
      <w:bookmarkStart w:id="706" w:name="_Toc13150637"/>
      <w:bookmarkStart w:id="707" w:name="_Toc13292022"/>
      <w:bookmarkStart w:id="708" w:name="_Toc13504748"/>
      <w:bookmarkStart w:id="709" w:name="_Toc13504864"/>
      <w:bookmarkStart w:id="710" w:name="_Toc13556357"/>
      <w:bookmarkStart w:id="711" w:name="_Toc14337479"/>
      <w:bookmarkStart w:id="712" w:name="_Toc13148411"/>
      <w:bookmarkStart w:id="713" w:name="_Toc13150639"/>
      <w:bookmarkStart w:id="714" w:name="_Toc13292024"/>
      <w:bookmarkStart w:id="715" w:name="_Toc13504750"/>
      <w:bookmarkStart w:id="716" w:name="_Toc13504866"/>
      <w:bookmarkStart w:id="717" w:name="_Toc13556359"/>
      <w:bookmarkStart w:id="718" w:name="_Toc14337481"/>
      <w:bookmarkStart w:id="719" w:name="_Toc13148412"/>
      <w:bookmarkStart w:id="720" w:name="_Toc13150640"/>
      <w:bookmarkStart w:id="721" w:name="_Toc13292025"/>
      <w:bookmarkStart w:id="722" w:name="_Toc13504751"/>
      <w:bookmarkStart w:id="723" w:name="_Toc13504867"/>
      <w:bookmarkStart w:id="724" w:name="_Toc13556360"/>
      <w:bookmarkStart w:id="725" w:name="_Toc14337482"/>
      <w:bookmarkStart w:id="726" w:name="_Toc13148413"/>
      <w:bookmarkStart w:id="727" w:name="_Toc13150641"/>
      <w:bookmarkStart w:id="728" w:name="_Toc13292026"/>
      <w:bookmarkStart w:id="729" w:name="_Toc13504752"/>
      <w:bookmarkStart w:id="730" w:name="_Toc13504868"/>
      <w:bookmarkStart w:id="731" w:name="_Toc13556361"/>
      <w:bookmarkStart w:id="732" w:name="_Toc1433748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3E1F0F" w:rsidRPr="00456512" w:rsidRDefault="003E1F0F" w:rsidP="00084917">
      <w:pPr>
        <w:autoSpaceDE w:val="0"/>
        <w:autoSpaceDN w:val="0"/>
        <w:snapToGrid w:val="0"/>
        <w:spacing w:line="360" w:lineRule="auto"/>
        <w:ind w:firstLine="480"/>
        <w:rPr>
          <w:rFonts w:asciiTheme="minorEastAsia" w:eastAsiaTheme="minorEastAsia" w:hAnsiTheme="minorEastAsia"/>
          <w:szCs w:val="21"/>
        </w:rPr>
        <w:sectPr w:rsidR="003E1F0F" w:rsidRPr="00456512" w:rsidSect="005E306A">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Cs/>
        </w:rPr>
      </w:pPr>
      <w:bookmarkStart w:id="733" w:name="_Toc38438236"/>
      <w:bookmarkStart w:id="734" w:name="_Toc38438573"/>
      <w:bookmarkStart w:id="735" w:name="_Toc38438910"/>
      <w:bookmarkStart w:id="736" w:name="_Toc38439247"/>
      <w:bookmarkStart w:id="737" w:name="_Toc38439584"/>
      <w:bookmarkStart w:id="738" w:name="_Toc38439921"/>
      <w:bookmarkStart w:id="739" w:name="_Toc38440258"/>
      <w:bookmarkStart w:id="740" w:name="_Toc38440595"/>
      <w:bookmarkStart w:id="741" w:name="_Toc38440794"/>
      <w:bookmarkStart w:id="742" w:name="_Toc38441127"/>
      <w:bookmarkStart w:id="743" w:name="_Toc38441459"/>
      <w:bookmarkStart w:id="744" w:name="_Toc38441791"/>
      <w:bookmarkStart w:id="745" w:name="_Toc38442119"/>
      <w:bookmarkStart w:id="746" w:name="_Toc38442451"/>
      <w:bookmarkStart w:id="747" w:name="_Toc38442783"/>
      <w:bookmarkStart w:id="748" w:name="_Toc38443114"/>
      <w:bookmarkStart w:id="749" w:name="_Toc38443445"/>
      <w:bookmarkStart w:id="750" w:name="_Toc38443776"/>
      <w:bookmarkStart w:id="751" w:name="_Toc38438238"/>
      <w:bookmarkStart w:id="752" w:name="_Toc38438575"/>
      <w:bookmarkStart w:id="753" w:name="_Toc38438912"/>
      <w:bookmarkStart w:id="754" w:name="_Toc38439249"/>
      <w:bookmarkStart w:id="755" w:name="_Toc38439586"/>
      <w:bookmarkStart w:id="756" w:name="_Toc38439923"/>
      <w:bookmarkStart w:id="757" w:name="_Toc38440260"/>
      <w:bookmarkStart w:id="758" w:name="_Toc38440597"/>
      <w:bookmarkStart w:id="759" w:name="_Toc38440796"/>
      <w:bookmarkStart w:id="760" w:name="_Toc38441129"/>
      <w:bookmarkStart w:id="761" w:name="_Toc38441461"/>
      <w:bookmarkStart w:id="762" w:name="_Toc38441793"/>
      <w:bookmarkStart w:id="763" w:name="_Toc38442121"/>
      <w:bookmarkStart w:id="764" w:name="_Toc38442453"/>
      <w:bookmarkStart w:id="765" w:name="_Toc38442785"/>
      <w:bookmarkStart w:id="766" w:name="_Toc38443116"/>
      <w:bookmarkStart w:id="767" w:name="_Toc38443447"/>
      <w:bookmarkStart w:id="768" w:name="_Toc38443778"/>
      <w:bookmarkStart w:id="769" w:name="_Toc38438239"/>
      <w:bookmarkStart w:id="770" w:name="_Toc38438576"/>
      <w:bookmarkStart w:id="771" w:name="_Toc38438913"/>
      <w:bookmarkStart w:id="772" w:name="_Toc38439250"/>
      <w:bookmarkStart w:id="773" w:name="_Toc38439587"/>
      <w:bookmarkStart w:id="774" w:name="_Toc38439924"/>
      <w:bookmarkStart w:id="775" w:name="_Toc38440261"/>
      <w:bookmarkStart w:id="776" w:name="_Toc38440598"/>
      <w:bookmarkStart w:id="777" w:name="_Toc38440797"/>
      <w:bookmarkStart w:id="778" w:name="_Toc38441130"/>
      <w:bookmarkStart w:id="779" w:name="_Toc38441462"/>
      <w:bookmarkStart w:id="780" w:name="_Toc38441794"/>
      <w:bookmarkStart w:id="781" w:name="_Toc38442122"/>
      <w:bookmarkStart w:id="782" w:name="_Toc38442454"/>
      <w:bookmarkStart w:id="783" w:name="_Toc38442786"/>
      <w:bookmarkStart w:id="784" w:name="_Toc38443117"/>
      <w:bookmarkStart w:id="785" w:name="_Toc38443448"/>
      <w:bookmarkStart w:id="786" w:name="_Toc38443779"/>
      <w:bookmarkStart w:id="787" w:name="_Toc38438240"/>
      <w:bookmarkStart w:id="788" w:name="_Toc38438577"/>
      <w:bookmarkStart w:id="789" w:name="_Toc38438914"/>
      <w:bookmarkStart w:id="790" w:name="_Toc38439251"/>
      <w:bookmarkStart w:id="791" w:name="_Toc38439588"/>
      <w:bookmarkStart w:id="792" w:name="_Toc38439925"/>
      <w:bookmarkStart w:id="793" w:name="_Toc38440262"/>
      <w:bookmarkStart w:id="794" w:name="_Toc38440599"/>
      <w:bookmarkStart w:id="795" w:name="_Toc38440798"/>
      <w:bookmarkStart w:id="796" w:name="_Toc38441131"/>
      <w:bookmarkStart w:id="797" w:name="_Toc38441463"/>
      <w:bookmarkStart w:id="798" w:name="_Toc38441795"/>
      <w:bookmarkStart w:id="799" w:name="_Toc38442123"/>
      <w:bookmarkStart w:id="800" w:name="_Toc38442455"/>
      <w:bookmarkStart w:id="801" w:name="_Toc38442787"/>
      <w:bookmarkStart w:id="802" w:name="_Toc38443118"/>
      <w:bookmarkStart w:id="803" w:name="_Toc38443449"/>
      <w:bookmarkStart w:id="804" w:name="_Toc38443780"/>
      <w:bookmarkStart w:id="805" w:name="_Toc38438241"/>
      <w:bookmarkStart w:id="806" w:name="_Toc38438578"/>
      <w:bookmarkStart w:id="807" w:name="_Toc38438915"/>
      <w:bookmarkStart w:id="808" w:name="_Toc38439252"/>
      <w:bookmarkStart w:id="809" w:name="_Toc38439589"/>
      <w:bookmarkStart w:id="810" w:name="_Toc38439926"/>
      <w:bookmarkStart w:id="811" w:name="_Toc38440263"/>
      <w:bookmarkStart w:id="812" w:name="_Toc38440600"/>
      <w:bookmarkStart w:id="813" w:name="_Toc38440799"/>
      <w:bookmarkStart w:id="814" w:name="_Toc38441132"/>
      <w:bookmarkStart w:id="815" w:name="_Toc38441464"/>
      <w:bookmarkStart w:id="816" w:name="_Toc38441796"/>
      <w:bookmarkStart w:id="817" w:name="_Toc38442124"/>
      <w:bookmarkStart w:id="818" w:name="_Toc38442456"/>
      <w:bookmarkStart w:id="819" w:name="_Toc38442788"/>
      <w:bookmarkStart w:id="820" w:name="_Toc38443119"/>
      <w:bookmarkStart w:id="821" w:name="_Toc38443450"/>
      <w:bookmarkStart w:id="822" w:name="_Toc38443781"/>
      <w:bookmarkStart w:id="823" w:name="_Toc38438242"/>
      <w:bookmarkStart w:id="824" w:name="_Toc38438579"/>
      <w:bookmarkStart w:id="825" w:name="_Toc38438916"/>
      <w:bookmarkStart w:id="826" w:name="_Toc38439253"/>
      <w:bookmarkStart w:id="827" w:name="_Toc38439590"/>
      <w:bookmarkStart w:id="828" w:name="_Toc38439927"/>
      <w:bookmarkStart w:id="829" w:name="_Toc38440264"/>
      <w:bookmarkStart w:id="830" w:name="_Toc38440601"/>
      <w:bookmarkStart w:id="831" w:name="_Toc38440800"/>
      <w:bookmarkStart w:id="832" w:name="_Toc38441133"/>
      <w:bookmarkStart w:id="833" w:name="_Toc38441465"/>
      <w:bookmarkStart w:id="834" w:name="_Toc38441797"/>
      <w:bookmarkStart w:id="835" w:name="_Toc38442125"/>
      <w:bookmarkStart w:id="836" w:name="_Toc38442457"/>
      <w:bookmarkStart w:id="837" w:name="_Toc38442789"/>
      <w:bookmarkStart w:id="838" w:name="_Toc38443120"/>
      <w:bookmarkStart w:id="839" w:name="_Toc38443451"/>
      <w:bookmarkStart w:id="840" w:name="_Toc38443782"/>
      <w:bookmarkStart w:id="841" w:name="_Toc38438243"/>
      <w:bookmarkStart w:id="842" w:name="_Toc38438580"/>
      <w:bookmarkStart w:id="843" w:name="_Toc38438917"/>
      <w:bookmarkStart w:id="844" w:name="_Toc38439254"/>
      <w:bookmarkStart w:id="845" w:name="_Toc38439591"/>
      <w:bookmarkStart w:id="846" w:name="_Toc38439928"/>
      <w:bookmarkStart w:id="847" w:name="_Toc38440265"/>
      <w:bookmarkStart w:id="848" w:name="_Toc38440602"/>
      <w:bookmarkStart w:id="849" w:name="_Toc38440801"/>
      <w:bookmarkStart w:id="850" w:name="_Toc38441134"/>
      <w:bookmarkStart w:id="851" w:name="_Toc38441466"/>
      <w:bookmarkStart w:id="852" w:name="_Toc38441798"/>
      <w:bookmarkStart w:id="853" w:name="_Toc38442126"/>
      <w:bookmarkStart w:id="854" w:name="_Toc38442458"/>
      <w:bookmarkStart w:id="855" w:name="_Toc38442790"/>
      <w:bookmarkStart w:id="856" w:name="_Toc38443121"/>
      <w:bookmarkStart w:id="857" w:name="_Toc38443452"/>
      <w:bookmarkStart w:id="858" w:name="_Toc38443783"/>
      <w:bookmarkStart w:id="859" w:name="_Toc38438244"/>
      <w:bookmarkStart w:id="860" w:name="_Toc38438581"/>
      <w:bookmarkStart w:id="861" w:name="_Toc38438918"/>
      <w:bookmarkStart w:id="862" w:name="_Toc38439255"/>
      <w:bookmarkStart w:id="863" w:name="_Toc38439592"/>
      <w:bookmarkStart w:id="864" w:name="_Toc38439929"/>
      <w:bookmarkStart w:id="865" w:name="_Toc38440266"/>
      <w:bookmarkStart w:id="866" w:name="_Toc38440603"/>
      <w:bookmarkStart w:id="867" w:name="_Toc38440802"/>
      <w:bookmarkStart w:id="868" w:name="_Toc38441135"/>
      <w:bookmarkStart w:id="869" w:name="_Toc38441467"/>
      <w:bookmarkStart w:id="870" w:name="_Toc38441799"/>
      <w:bookmarkStart w:id="871" w:name="_Toc38442127"/>
      <w:bookmarkStart w:id="872" w:name="_Toc38442459"/>
      <w:bookmarkStart w:id="873" w:name="_Toc38442791"/>
      <w:bookmarkStart w:id="874" w:name="_Toc38443122"/>
      <w:bookmarkStart w:id="875" w:name="_Toc38443453"/>
      <w:bookmarkStart w:id="876" w:name="_Toc38443784"/>
      <w:bookmarkStart w:id="877" w:name="_Toc38438245"/>
      <w:bookmarkStart w:id="878" w:name="_Toc38438582"/>
      <w:bookmarkStart w:id="879" w:name="_Toc38438919"/>
      <w:bookmarkStart w:id="880" w:name="_Toc38439256"/>
      <w:bookmarkStart w:id="881" w:name="_Toc38439593"/>
      <w:bookmarkStart w:id="882" w:name="_Toc38439930"/>
      <w:bookmarkStart w:id="883" w:name="_Toc38440267"/>
      <w:bookmarkStart w:id="884" w:name="_Toc38440604"/>
      <w:bookmarkStart w:id="885" w:name="_Toc38440803"/>
      <w:bookmarkStart w:id="886" w:name="_Toc38441136"/>
      <w:bookmarkStart w:id="887" w:name="_Toc38441468"/>
      <w:bookmarkStart w:id="888" w:name="_Toc38441800"/>
      <w:bookmarkStart w:id="889" w:name="_Toc38442128"/>
      <w:bookmarkStart w:id="890" w:name="_Toc38442460"/>
      <w:bookmarkStart w:id="891" w:name="_Toc38442792"/>
      <w:bookmarkStart w:id="892" w:name="_Toc38443123"/>
      <w:bookmarkStart w:id="893" w:name="_Toc38443454"/>
      <w:bookmarkStart w:id="894" w:name="_Toc38443785"/>
      <w:bookmarkStart w:id="895" w:name="_Toc38438246"/>
      <w:bookmarkStart w:id="896" w:name="_Toc38438583"/>
      <w:bookmarkStart w:id="897" w:name="_Toc38438920"/>
      <w:bookmarkStart w:id="898" w:name="_Toc38439257"/>
      <w:bookmarkStart w:id="899" w:name="_Toc38439594"/>
      <w:bookmarkStart w:id="900" w:name="_Toc38439931"/>
      <w:bookmarkStart w:id="901" w:name="_Toc38440268"/>
      <w:bookmarkStart w:id="902" w:name="_Toc38440605"/>
      <w:bookmarkStart w:id="903" w:name="_Toc38440804"/>
      <w:bookmarkStart w:id="904" w:name="_Toc38441137"/>
      <w:bookmarkStart w:id="905" w:name="_Toc38441469"/>
      <w:bookmarkStart w:id="906" w:name="_Toc38441801"/>
      <w:bookmarkStart w:id="907" w:name="_Toc38442129"/>
      <w:bookmarkStart w:id="908" w:name="_Toc38442461"/>
      <w:bookmarkStart w:id="909" w:name="_Toc38442793"/>
      <w:bookmarkStart w:id="910" w:name="_Toc38443124"/>
      <w:bookmarkStart w:id="911" w:name="_Toc38443455"/>
      <w:bookmarkStart w:id="912" w:name="_Toc38443786"/>
      <w:bookmarkStart w:id="913" w:name="_Toc38438247"/>
      <w:bookmarkStart w:id="914" w:name="_Toc38438584"/>
      <w:bookmarkStart w:id="915" w:name="_Toc38438921"/>
      <w:bookmarkStart w:id="916" w:name="_Toc38439258"/>
      <w:bookmarkStart w:id="917" w:name="_Toc38439595"/>
      <w:bookmarkStart w:id="918" w:name="_Toc38439932"/>
      <w:bookmarkStart w:id="919" w:name="_Toc38440269"/>
      <w:bookmarkStart w:id="920" w:name="_Toc38440606"/>
      <w:bookmarkStart w:id="921" w:name="_Toc38440805"/>
      <w:bookmarkStart w:id="922" w:name="_Toc38441138"/>
      <w:bookmarkStart w:id="923" w:name="_Toc38441470"/>
      <w:bookmarkStart w:id="924" w:name="_Toc38441802"/>
      <w:bookmarkStart w:id="925" w:name="_Toc38442130"/>
      <w:bookmarkStart w:id="926" w:name="_Toc38442462"/>
      <w:bookmarkStart w:id="927" w:name="_Toc38442794"/>
      <w:bookmarkStart w:id="928" w:name="_Toc38443125"/>
      <w:bookmarkStart w:id="929" w:name="_Toc38443456"/>
      <w:bookmarkStart w:id="930" w:name="_Toc38443787"/>
      <w:bookmarkStart w:id="931" w:name="_Toc38438248"/>
      <w:bookmarkStart w:id="932" w:name="_Toc38438585"/>
      <w:bookmarkStart w:id="933" w:name="_Toc38438922"/>
      <w:bookmarkStart w:id="934" w:name="_Toc38439259"/>
      <w:bookmarkStart w:id="935" w:name="_Toc38439596"/>
      <w:bookmarkStart w:id="936" w:name="_Toc38439933"/>
      <w:bookmarkStart w:id="937" w:name="_Toc38440270"/>
      <w:bookmarkStart w:id="938" w:name="_Toc38440607"/>
      <w:bookmarkStart w:id="939" w:name="_Toc38440806"/>
      <w:bookmarkStart w:id="940" w:name="_Toc38441139"/>
      <w:bookmarkStart w:id="941" w:name="_Toc38441471"/>
      <w:bookmarkStart w:id="942" w:name="_Toc38441803"/>
      <w:bookmarkStart w:id="943" w:name="_Toc38442131"/>
      <w:bookmarkStart w:id="944" w:name="_Toc38442463"/>
      <w:bookmarkStart w:id="945" w:name="_Toc38442795"/>
      <w:bookmarkStart w:id="946" w:name="_Toc38443126"/>
      <w:bookmarkStart w:id="947" w:name="_Toc38443457"/>
      <w:bookmarkStart w:id="948" w:name="_Toc38443788"/>
      <w:bookmarkStart w:id="949" w:name="_Toc38438249"/>
      <w:bookmarkStart w:id="950" w:name="_Toc38438586"/>
      <w:bookmarkStart w:id="951" w:name="_Toc38438923"/>
      <w:bookmarkStart w:id="952" w:name="_Toc38439260"/>
      <w:bookmarkStart w:id="953" w:name="_Toc38439597"/>
      <w:bookmarkStart w:id="954" w:name="_Toc38439934"/>
      <w:bookmarkStart w:id="955" w:name="_Toc38440271"/>
      <w:bookmarkStart w:id="956" w:name="_Toc38440608"/>
      <w:bookmarkStart w:id="957" w:name="_Toc38440807"/>
      <w:bookmarkStart w:id="958" w:name="_Toc38441140"/>
      <w:bookmarkStart w:id="959" w:name="_Toc38441472"/>
      <w:bookmarkStart w:id="960" w:name="_Toc38441804"/>
      <w:bookmarkStart w:id="961" w:name="_Toc38442132"/>
      <w:bookmarkStart w:id="962" w:name="_Toc38442464"/>
      <w:bookmarkStart w:id="963" w:name="_Toc38442796"/>
      <w:bookmarkStart w:id="964" w:name="_Toc38443127"/>
      <w:bookmarkStart w:id="965" w:name="_Toc38443458"/>
      <w:bookmarkStart w:id="966" w:name="_Toc38443789"/>
      <w:bookmarkStart w:id="967" w:name="_Toc38438250"/>
      <w:bookmarkStart w:id="968" w:name="_Toc38438587"/>
      <w:bookmarkStart w:id="969" w:name="_Toc38438924"/>
      <w:bookmarkStart w:id="970" w:name="_Toc38439261"/>
      <w:bookmarkStart w:id="971" w:name="_Toc38439598"/>
      <w:bookmarkStart w:id="972" w:name="_Toc38439935"/>
      <w:bookmarkStart w:id="973" w:name="_Toc38440272"/>
      <w:bookmarkStart w:id="974" w:name="_Toc38440609"/>
      <w:bookmarkStart w:id="975" w:name="_Toc38440808"/>
      <w:bookmarkStart w:id="976" w:name="_Toc38441141"/>
      <w:bookmarkStart w:id="977" w:name="_Toc38441473"/>
      <w:bookmarkStart w:id="978" w:name="_Toc38441805"/>
      <w:bookmarkStart w:id="979" w:name="_Toc38442133"/>
      <w:bookmarkStart w:id="980" w:name="_Toc38442465"/>
      <w:bookmarkStart w:id="981" w:name="_Toc38442797"/>
      <w:bookmarkStart w:id="982" w:name="_Toc38443128"/>
      <w:bookmarkStart w:id="983" w:name="_Toc38443459"/>
      <w:bookmarkStart w:id="984" w:name="_Toc38443790"/>
      <w:bookmarkStart w:id="985" w:name="_Toc38438251"/>
      <w:bookmarkStart w:id="986" w:name="_Toc38438588"/>
      <w:bookmarkStart w:id="987" w:name="_Toc38438925"/>
      <w:bookmarkStart w:id="988" w:name="_Toc38439262"/>
      <w:bookmarkStart w:id="989" w:name="_Toc38439599"/>
      <w:bookmarkStart w:id="990" w:name="_Toc38439936"/>
      <w:bookmarkStart w:id="991" w:name="_Toc38440273"/>
      <w:bookmarkStart w:id="992" w:name="_Toc38440610"/>
      <w:bookmarkStart w:id="993" w:name="_Toc38440809"/>
      <w:bookmarkStart w:id="994" w:name="_Toc38441142"/>
      <w:bookmarkStart w:id="995" w:name="_Toc38441474"/>
      <w:bookmarkStart w:id="996" w:name="_Toc38441806"/>
      <w:bookmarkStart w:id="997" w:name="_Toc38442134"/>
      <w:bookmarkStart w:id="998" w:name="_Toc38442466"/>
      <w:bookmarkStart w:id="999" w:name="_Toc38442798"/>
      <w:bookmarkStart w:id="1000" w:name="_Toc38443129"/>
      <w:bookmarkStart w:id="1001" w:name="_Toc38443460"/>
      <w:bookmarkStart w:id="1002" w:name="_Toc38443791"/>
      <w:bookmarkStart w:id="1003" w:name="_Toc38438252"/>
      <w:bookmarkStart w:id="1004" w:name="_Toc38438589"/>
      <w:bookmarkStart w:id="1005" w:name="_Toc38438926"/>
      <w:bookmarkStart w:id="1006" w:name="_Toc38439263"/>
      <w:bookmarkStart w:id="1007" w:name="_Toc38439600"/>
      <w:bookmarkStart w:id="1008" w:name="_Toc38439937"/>
      <w:bookmarkStart w:id="1009" w:name="_Toc38440274"/>
      <w:bookmarkStart w:id="1010" w:name="_Toc38440611"/>
      <w:bookmarkStart w:id="1011" w:name="_Toc38440810"/>
      <w:bookmarkStart w:id="1012" w:name="_Toc38441143"/>
      <w:bookmarkStart w:id="1013" w:name="_Toc38441475"/>
      <w:bookmarkStart w:id="1014" w:name="_Toc38441807"/>
      <w:bookmarkStart w:id="1015" w:name="_Toc38442135"/>
      <w:bookmarkStart w:id="1016" w:name="_Toc38442467"/>
      <w:bookmarkStart w:id="1017" w:name="_Toc38442799"/>
      <w:bookmarkStart w:id="1018" w:name="_Toc38443130"/>
      <w:bookmarkStart w:id="1019" w:name="_Toc38443461"/>
      <w:bookmarkStart w:id="1020" w:name="_Toc38443792"/>
      <w:bookmarkStart w:id="1021" w:name="_Toc38438253"/>
      <w:bookmarkStart w:id="1022" w:name="_Toc38438590"/>
      <w:bookmarkStart w:id="1023" w:name="_Toc38438927"/>
      <w:bookmarkStart w:id="1024" w:name="_Toc38439264"/>
      <w:bookmarkStart w:id="1025" w:name="_Toc38439601"/>
      <w:bookmarkStart w:id="1026" w:name="_Toc38439938"/>
      <w:bookmarkStart w:id="1027" w:name="_Toc38440275"/>
      <w:bookmarkStart w:id="1028" w:name="_Toc38440612"/>
      <w:bookmarkStart w:id="1029" w:name="_Toc38440811"/>
      <w:bookmarkStart w:id="1030" w:name="_Toc38441144"/>
      <w:bookmarkStart w:id="1031" w:name="_Toc38441476"/>
      <w:bookmarkStart w:id="1032" w:name="_Toc38441808"/>
      <w:bookmarkStart w:id="1033" w:name="_Toc38442136"/>
      <w:bookmarkStart w:id="1034" w:name="_Toc38442468"/>
      <w:bookmarkStart w:id="1035" w:name="_Toc38442800"/>
      <w:bookmarkStart w:id="1036" w:name="_Toc38443131"/>
      <w:bookmarkStart w:id="1037" w:name="_Toc38443462"/>
      <w:bookmarkStart w:id="1038" w:name="_Toc38443793"/>
      <w:bookmarkStart w:id="1039" w:name="_Toc38438254"/>
      <w:bookmarkStart w:id="1040" w:name="_Toc38438591"/>
      <w:bookmarkStart w:id="1041" w:name="_Toc38438928"/>
      <w:bookmarkStart w:id="1042" w:name="_Toc38439265"/>
      <w:bookmarkStart w:id="1043" w:name="_Toc38439602"/>
      <w:bookmarkStart w:id="1044" w:name="_Toc38439939"/>
      <w:bookmarkStart w:id="1045" w:name="_Toc38440276"/>
      <w:bookmarkStart w:id="1046" w:name="_Toc38440613"/>
      <w:bookmarkStart w:id="1047" w:name="_Toc38440812"/>
      <w:bookmarkStart w:id="1048" w:name="_Toc38441145"/>
      <w:bookmarkStart w:id="1049" w:name="_Toc38441477"/>
      <w:bookmarkStart w:id="1050" w:name="_Toc38441809"/>
      <w:bookmarkStart w:id="1051" w:name="_Toc38442137"/>
      <w:bookmarkStart w:id="1052" w:name="_Toc38442469"/>
      <w:bookmarkStart w:id="1053" w:name="_Toc38442801"/>
      <w:bookmarkStart w:id="1054" w:name="_Toc38443132"/>
      <w:bookmarkStart w:id="1055" w:name="_Toc38443463"/>
      <w:bookmarkStart w:id="1056" w:name="_Toc38443794"/>
      <w:bookmarkStart w:id="1057" w:name="_Toc30161819"/>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456512">
        <w:rPr>
          <w:rFonts w:asciiTheme="minorEastAsia" w:eastAsiaTheme="minorEastAsia" w:hAnsiTheme="minorEastAsia" w:hint="eastAsia"/>
          <w:b/>
          <w:bCs/>
        </w:rPr>
        <w:lastRenderedPageBreak/>
        <w:t>十五、基金的信息披露</w:t>
      </w:r>
      <w:bookmarkEnd w:id="1057"/>
    </w:p>
    <w:p w:rsidR="001D2E2F" w:rsidRPr="00456512"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rPr>
      </w:pPr>
      <w:r w:rsidRPr="00456512">
        <w:rPr>
          <w:rFonts w:asciiTheme="minorEastAsia" w:eastAsiaTheme="minorEastAsia" w:hAnsiTheme="minorEastAsia" w:hint="eastAsia"/>
          <w:b/>
          <w:bCs/>
        </w:rPr>
        <w:t>信息披露的形式</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基金的信息披露严格按照《基金法》、《证券投资基金信息披露管理办法》、《证券投资基金信息披露内容和格式准则》、《证券投资基金信息披露编报规则》、基金合同及其它有关规定进行。本基金的信息披露事项须在</w:t>
      </w:r>
      <w:r w:rsidR="002D277E" w:rsidRPr="00456512">
        <w:rPr>
          <w:rFonts w:asciiTheme="minorEastAsia" w:eastAsiaTheme="minorEastAsia" w:hAnsiTheme="minorEastAsia" w:hint="eastAsia"/>
          <w:szCs w:val="21"/>
        </w:rPr>
        <w:t>指定媒介</w:t>
      </w:r>
      <w:r w:rsidRPr="00456512">
        <w:rPr>
          <w:rFonts w:asciiTheme="minorEastAsia" w:eastAsiaTheme="minorEastAsia" w:hAnsiTheme="minorEastAsia" w:hint="eastAsia"/>
        </w:rPr>
        <w:t>上公告。</w:t>
      </w:r>
    </w:p>
    <w:p w:rsidR="001D2E2F" w:rsidRPr="00456512"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rPr>
      </w:pPr>
      <w:r w:rsidRPr="00456512">
        <w:rPr>
          <w:rFonts w:asciiTheme="minorEastAsia" w:eastAsiaTheme="minorEastAsia" w:hAnsiTheme="minorEastAsia" w:hint="eastAsia"/>
          <w:b/>
          <w:bCs/>
        </w:rPr>
        <w:t>信息披露的种类、披露时间和披露形式</w:t>
      </w:r>
    </w:p>
    <w:p w:rsidR="001D2E2F" w:rsidRPr="00456512" w:rsidRDefault="00D759DD" w:rsidP="00084917">
      <w:pPr>
        <w:pStyle w:val="a6"/>
        <w:tabs>
          <w:tab w:val="left" w:pos="735"/>
        </w:tabs>
        <w:snapToGrid w:val="0"/>
        <w:spacing w:line="360" w:lineRule="auto"/>
        <w:ind w:firstLineChars="200" w:firstLine="422"/>
        <w:rPr>
          <w:rFonts w:asciiTheme="minorEastAsia" w:eastAsiaTheme="minorEastAsia" w:hAnsiTheme="minorEastAsia"/>
          <w:b/>
          <w:bCs/>
        </w:rPr>
      </w:pPr>
      <w:bookmarkStart w:id="1058" w:name="_Toc79236617"/>
      <w:bookmarkStart w:id="1059" w:name="_Toc79236618"/>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招募说明书</w:t>
      </w:r>
      <w:bookmarkEnd w:id="1058"/>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本基金管理人依据《基金法》</w:t>
      </w:r>
      <w:r w:rsidRPr="00456512">
        <w:rPr>
          <w:rFonts w:asciiTheme="minorEastAsia" w:eastAsiaTheme="minorEastAsia" w:hAnsiTheme="minorEastAsia"/>
        </w:rPr>
        <w:t>及</w:t>
      </w:r>
      <w:r w:rsidRPr="00456512">
        <w:rPr>
          <w:rFonts w:asciiTheme="minorEastAsia" w:eastAsiaTheme="minorEastAsia" w:hAnsiTheme="minorEastAsia" w:hint="eastAsia"/>
        </w:rPr>
        <w:t>相关法律法规、</w:t>
      </w:r>
      <w:r w:rsidRPr="00456512">
        <w:rPr>
          <w:rFonts w:asciiTheme="minorEastAsia" w:eastAsiaTheme="minorEastAsia" w:hAnsiTheme="minorEastAsia"/>
        </w:rPr>
        <w:t>实施准则</w:t>
      </w:r>
      <w:r w:rsidRPr="00456512">
        <w:rPr>
          <w:rFonts w:asciiTheme="minorEastAsia" w:eastAsiaTheme="minorEastAsia" w:hAnsiTheme="minorEastAsia" w:hint="eastAsia"/>
        </w:rPr>
        <w:t>编制并公告《招募说明书》。</w:t>
      </w:r>
      <w:r w:rsidR="001833CF" w:rsidRPr="00456512">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833CF" w:rsidRPr="00456512" w:rsidRDefault="001833CF" w:rsidP="001833CF">
      <w:pPr>
        <w:pStyle w:val="a6"/>
        <w:tabs>
          <w:tab w:val="left" w:pos="735"/>
        </w:tabs>
        <w:snapToGrid w:val="0"/>
        <w:spacing w:line="360" w:lineRule="auto"/>
        <w:ind w:firstLineChars="200" w:firstLine="422"/>
        <w:rPr>
          <w:rFonts w:asciiTheme="minorEastAsia" w:eastAsiaTheme="minorEastAsia" w:hAnsiTheme="minorEastAsia"/>
          <w:b/>
          <w:bCs/>
        </w:rPr>
      </w:pPr>
      <w:r w:rsidRPr="00456512">
        <w:rPr>
          <w:rFonts w:asciiTheme="minorEastAsia" w:eastAsiaTheme="minorEastAsia" w:hAnsiTheme="minorEastAsia" w:hint="eastAsia"/>
          <w:b/>
          <w:bCs/>
        </w:rPr>
        <w:t>2、基金产品资料概要</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
          <w:bCs/>
        </w:rPr>
      </w:pPr>
      <w:r w:rsidRPr="00456512">
        <w:rPr>
          <w:rFonts w:asciiTheme="minorEastAsia" w:eastAsiaTheme="minorEastAsia" w:hAnsiTheme="minorEastAsia" w:hint="eastAsia"/>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D2E2F" w:rsidRPr="00456512"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rPr>
      </w:pPr>
      <w:r w:rsidRPr="00456512">
        <w:rPr>
          <w:rFonts w:asciiTheme="minorEastAsia" w:eastAsiaTheme="minorEastAsia" w:hAnsiTheme="minorEastAsia"/>
          <w:b/>
          <w:bCs/>
        </w:rPr>
        <w:t>3</w:t>
      </w:r>
      <w:r w:rsidR="00D759DD" w:rsidRPr="00456512">
        <w:rPr>
          <w:rFonts w:asciiTheme="minorEastAsia" w:eastAsiaTheme="minorEastAsia" w:hAnsiTheme="minorEastAsia" w:hint="eastAsia"/>
          <w:b/>
          <w:bCs/>
        </w:rPr>
        <w:t>、</w:t>
      </w:r>
      <w:r w:rsidR="001D2E2F" w:rsidRPr="00456512">
        <w:rPr>
          <w:rFonts w:asciiTheme="minorEastAsia" w:eastAsiaTheme="minorEastAsia" w:hAnsiTheme="minorEastAsia" w:hint="eastAsia"/>
          <w:b/>
          <w:bCs/>
        </w:rPr>
        <w:t>份额发售公告</w:t>
      </w:r>
      <w:bookmarkEnd w:id="1059"/>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rPr>
        <w:t>本基金管理人按照</w:t>
      </w:r>
      <w:r w:rsidRPr="00456512">
        <w:rPr>
          <w:rFonts w:asciiTheme="minorEastAsia" w:eastAsiaTheme="minorEastAsia" w:hAnsiTheme="minorEastAsia" w:hint="eastAsia"/>
        </w:rPr>
        <w:t>《基金法》</w:t>
      </w:r>
      <w:r w:rsidRPr="00456512">
        <w:rPr>
          <w:rFonts w:asciiTheme="minorEastAsia" w:eastAsiaTheme="minorEastAsia" w:hAnsiTheme="minorEastAsia"/>
        </w:rPr>
        <w:t>及</w:t>
      </w:r>
      <w:r w:rsidRPr="00456512">
        <w:rPr>
          <w:rFonts w:asciiTheme="minorEastAsia" w:eastAsiaTheme="minorEastAsia" w:hAnsiTheme="minorEastAsia" w:hint="eastAsia"/>
        </w:rPr>
        <w:t>相关法律法规、</w:t>
      </w:r>
      <w:r w:rsidRPr="00456512">
        <w:rPr>
          <w:rFonts w:asciiTheme="minorEastAsia" w:eastAsiaTheme="minorEastAsia" w:hAnsiTheme="minorEastAsia"/>
        </w:rPr>
        <w:t>实施准则的有关规定编制并发布份额发售公告</w:t>
      </w:r>
      <w:r w:rsidRPr="00456512">
        <w:rPr>
          <w:rFonts w:asciiTheme="minorEastAsia" w:eastAsiaTheme="minorEastAsia" w:hAnsiTheme="minorEastAsia" w:hint="eastAsia"/>
        </w:rPr>
        <w:t>。</w:t>
      </w:r>
    </w:p>
    <w:p w:rsidR="001D2E2F" w:rsidRPr="00456512"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rPr>
      </w:pPr>
      <w:bookmarkStart w:id="1060" w:name="_Toc79236619"/>
      <w:r w:rsidRPr="00456512">
        <w:rPr>
          <w:rFonts w:asciiTheme="minorEastAsia" w:eastAsiaTheme="minorEastAsia" w:hAnsiTheme="minorEastAsia"/>
          <w:b/>
          <w:bCs/>
        </w:rPr>
        <w:t>4</w:t>
      </w:r>
      <w:r w:rsidR="00D759DD" w:rsidRPr="00456512">
        <w:rPr>
          <w:rFonts w:asciiTheme="minorEastAsia" w:eastAsiaTheme="minorEastAsia" w:hAnsiTheme="minorEastAsia" w:hint="eastAsia"/>
          <w:b/>
          <w:bCs/>
        </w:rPr>
        <w:t>、</w:t>
      </w:r>
      <w:r w:rsidRPr="00456512">
        <w:rPr>
          <w:rFonts w:asciiTheme="minorEastAsia" w:eastAsiaTheme="minorEastAsia" w:hAnsiTheme="minorEastAsia" w:hint="eastAsia"/>
          <w:b/>
        </w:rPr>
        <w:t>基金定期报告，包括基金年度报告、基金中期报告和基金季度报告</w:t>
      </w:r>
      <w:bookmarkEnd w:id="1060"/>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szCs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szCs w:val="24"/>
        </w:rPr>
        <w:t>基金管理人应当在上半年结束之日起两个月内，编制完成基金中期报告，将中期报告登载在指定网站上，并将中期报告提示性公告登载在指定报刊上。</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szCs w:val="24"/>
        </w:rPr>
        <w:t>基金管理人应当在季度结束之日起15个工作日内，编制完成基金季度报告，将季度报告登载在指定网站上，并将季度报告提示性公告登载在指定报刊上。</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szCs w:val="24"/>
        </w:rPr>
        <w:t>《基金合同》生效不足2个月的，基金管理人可以不编制当期季度报告、中期报告或者年度报告。</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szCs w:val="24"/>
        </w:rPr>
        <w:t>如报告期内出现单一投资者持有基金份额达到或超过基金总份额20%的情形，为保障其他投资者的权益，基金管理人至少应当在定期报告“影响投资者决策的其他重要信息”项下</w:t>
      </w:r>
      <w:r w:rsidRPr="00456512">
        <w:rPr>
          <w:rFonts w:asciiTheme="minorEastAsia" w:eastAsiaTheme="minorEastAsia" w:hAnsiTheme="minorEastAsia" w:hint="eastAsia"/>
          <w:szCs w:val="24"/>
        </w:rPr>
        <w:lastRenderedPageBreak/>
        <w:t>披露该投资者的类别、报告期末持有份额及占比、报告期内持有份额变化情况及本基金的特有风险，中国证监会认定的特殊情形除外。</w:t>
      </w:r>
    </w:p>
    <w:p w:rsidR="0071674B" w:rsidRPr="00456512" w:rsidRDefault="001833CF" w:rsidP="0071674B">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基金管理人应当在基金年度报告和中期报告中披露基金组合资产情况及其流动性风险分析等。</w:t>
      </w:r>
    </w:p>
    <w:p w:rsidR="001D2E2F" w:rsidRPr="00456512" w:rsidRDefault="001833CF" w:rsidP="00084917">
      <w:pPr>
        <w:pStyle w:val="a6"/>
        <w:tabs>
          <w:tab w:val="left" w:pos="735"/>
        </w:tabs>
        <w:snapToGrid w:val="0"/>
        <w:spacing w:line="360" w:lineRule="auto"/>
        <w:ind w:firstLineChars="200" w:firstLine="422"/>
        <w:rPr>
          <w:rFonts w:asciiTheme="minorEastAsia" w:eastAsiaTheme="minorEastAsia" w:hAnsiTheme="minorEastAsia"/>
          <w:b/>
          <w:bCs/>
        </w:rPr>
      </w:pPr>
      <w:r w:rsidRPr="00456512">
        <w:rPr>
          <w:rFonts w:asciiTheme="minorEastAsia" w:eastAsiaTheme="minorEastAsia" w:hAnsiTheme="minorEastAsia"/>
          <w:b/>
          <w:bCs/>
        </w:rPr>
        <w:t>5</w:t>
      </w:r>
      <w:r w:rsidR="00D759DD" w:rsidRPr="00456512">
        <w:rPr>
          <w:rFonts w:asciiTheme="minorEastAsia" w:eastAsiaTheme="minorEastAsia" w:hAnsiTheme="minorEastAsia" w:hint="eastAsia"/>
          <w:b/>
          <w:bCs/>
        </w:rPr>
        <w:t>、</w:t>
      </w:r>
      <w:r w:rsidR="001D2E2F" w:rsidRPr="00456512">
        <w:rPr>
          <w:rFonts w:asciiTheme="minorEastAsia" w:eastAsiaTheme="minorEastAsia" w:hAnsiTheme="minorEastAsia" w:hint="eastAsia"/>
          <w:b/>
          <w:bCs/>
        </w:rPr>
        <w:t>基金临时信息披露</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本基金发生重大事件，有关信息披露义务人应当在2日内编制临时报告书，并登载在指定报刊和指定网站上。</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w:t>
      </w:r>
      <w:r w:rsidRPr="00456512">
        <w:rPr>
          <w:rFonts w:asciiTheme="minorEastAsia" w:eastAsiaTheme="minorEastAsia" w:hAnsiTheme="minorEastAsia" w:hint="eastAsia"/>
          <w:szCs w:val="21"/>
        </w:rPr>
        <w:t>）基金份额持有人大会的召开及决定的事项；</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2</w:t>
      </w:r>
      <w:r w:rsidRPr="00456512">
        <w:rPr>
          <w:rFonts w:asciiTheme="minorEastAsia" w:eastAsiaTheme="minorEastAsia" w:hAnsiTheme="minorEastAsia" w:hint="eastAsia"/>
          <w:szCs w:val="21"/>
        </w:rPr>
        <w:t>）基金合同</w:t>
      </w:r>
      <w:r w:rsidRPr="00456512">
        <w:rPr>
          <w:rFonts w:asciiTheme="minorEastAsia" w:eastAsiaTheme="minorEastAsia" w:hAnsiTheme="minorEastAsia"/>
          <w:szCs w:val="21"/>
        </w:rPr>
        <w:t>终止</w:t>
      </w:r>
      <w:r w:rsidRPr="00456512">
        <w:rPr>
          <w:rFonts w:asciiTheme="minorEastAsia" w:eastAsiaTheme="minorEastAsia" w:hAnsiTheme="minorEastAsia" w:hint="eastAsia"/>
          <w:szCs w:val="21"/>
        </w:rPr>
        <w:t>、基金清算；</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3</w:t>
      </w:r>
      <w:r w:rsidRPr="00456512">
        <w:rPr>
          <w:rFonts w:asciiTheme="minorEastAsia" w:eastAsiaTheme="minorEastAsia" w:hAnsiTheme="minorEastAsia" w:hint="eastAsia"/>
          <w:szCs w:val="21"/>
        </w:rPr>
        <w:t>）转换基金运作方式、基金合并；</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4</w:t>
      </w:r>
      <w:r w:rsidRPr="00456512">
        <w:rPr>
          <w:rFonts w:asciiTheme="minorEastAsia" w:eastAsiaTheme="minorEastAsia" w:hAnsiTheme="minorEastAsia" w:hint="eastAsia"/>
          <w:szCs w:val="21"/>
        </w:rPr>
        <w:t>）更换基金管理人、基金托管人、基金份额登记机构，基金改聘会计师事务所；</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6</w:t>
      </w:r>
      <w:r w:rsidRPr="00456512">
        <w:rPr>
          <w:rFonts w:asciiTheme="minorEastAsia" w:eastAsiaTheme="minorEastAsia" w:hAnsiTheme="minorEastAsia" w:hint="eastAsia"/>
          <w:szCs w:val="21"/>
        </w:rPr>
        <w:t>）基金管理人、基金托管人的法定名称、住所发生变更；</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（7）基金管理公司变更持有百分之五以上股权的股东、基金管理人的实际控制人变更</w:t>
      </w:r>
      <w:r w:rsidRPr="00456512">
        <w:rPr>
          <w:rFonts w:asciiTheme="minorEastAsia" w:eastAsiaTheme="minorEastAsia" w:hAnsiTheme="minorEastAsia"/>
          <w:szCs w:val="21"/>
        </w:rPr>
        <w:t>；</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8</w:t>
      </w:r>
      <w:r w:rsidRPr="00456512">
        <w:rPr>
          <w:rFonts w:asciiTheme="minorEastAsia" w:eastAsiaTheme="minorEastAsia" w:hAnsiTheme="minorEastAsia" w:hint="eastAsia"/>
          <w:szCs w:val="21"/>
        </w:rPr>
        <w:t>）基金募集期延长或提前结束募集；</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9</w:t>
      </w:r>
      <w:r w:rsidRPr="00456512">
        <w:rPr>
          <w:rFonts w:asciiTheme="minorEastAsia" w:eastAsiaTheme="minorEastAsia" w:hAnsiTheme="minorEastAsia" w:hint="eastAsia"/>
          <w:szCs w:val="21"/>
        </w:rPr>
        <w:t>）基金管理人的高级管理人员、基金经理和基金托管人专门基金托管部门负责人发生变动；</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10</w:t>
      </w:r>
      <w:r w:rsidRPr="00456512">
        <w:rPr>
          <w:rFonts w:asciiTheme="minorEastAsia" w:eastAsiaTheme="minorEastAsia" w:hAnsiTheme="minorEastAsia" w:hint="eastAsia"/>
          <w:szCs w:val="21"/>
        </w:rPr>
        <w:t>）基金管理人的董事在最近</w:t>
      </w:r>
      <w:r w:rsidRPr="00456512">
        <w:rPr>
          <w:rFonts w:asciiTheme="minorEastAsia" w:eastAsiaTheme="minorEastAsia" w:hAnsiTheme="minorEastAsia"/>
          <w:szCs w:val="21"/>
        </w:rPr>
        <w:t>12</w:t>
      </w:r>
      <w:r w:rsidRPr="00456512">
        <w:rPr>
          <w:rFonts w:asciiTheme="minorEastAsia" w:eastAsiaTheme="minorEastAsia" w:hAnsiTheme="minorEastAsia" w:hint="eastAsia"/>
          <w:szCs w:val="21"/>
        </w:rPr>
        <w:t>个月内变更超过百分之五十，基金管理人、基金托管人专门基金托管部门的主要业务人员在最近</w:t>
      </w:r>
      <w:r w:rsidRPr="00456512">
        <w:rPr>
          <w:rFonts w:asciiTheme="minorEastAsia" w:eastAsiaTheme="minorEastAsia" w:hAnsiTheme="minorEastAsia"/>
          <w:szCs w:val="21"/>
        </w:rPr>
        <w:t>12</w:t>
      </w:r>
      <w:r w:rsidRPr="00456512">
        <w:rPr>
          <w:rFonts w:asciiTheme="minorEastAsia" w:eastAsiaTheme="minorEastAsia" w:hAnsiTheme="minorEastAsia" w:hint="eastAsia"/>
          <w:szCs w:val="21"/>
        </w:rPr>
        <w:t>个月内变动超过百分之三十；</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11</w:t>
      </w:r>
      <w:r w:rsidRPr="00456512">
        <w:rPr>
          <w:rFonts w:asciiTheme="minorEastAsia" w:eastAsiaTheme="minorEastAsia" w:hAnsiTheme="minorEastAsia" w:hint="eastAsia"/>
          <w:szCs w:val="21"/>
        </w:rPr>
        <w:t>）涉及基金财产、基金管理业务、基金托管业务的诉讼或仲裁；</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12</w:t>
      </w:r>
      <w:r w:rsidRPr="00456512">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13</w:t>
      </w:r>
      <w:r w:rsidRPr="00456512">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14</w:t>
      </w:r>
      <w:r w:rsidRPr="00456512">
        <w:rPr>
          <w:rFonts w:asciiTheme="minorEastAsia" w:eastAsiaTheme="minorEastAsia" w:hAnsiTheme="minorEastAsia" w:hint="eastAsia"/>
          <w:szCs w:val="21"/>
        </w:rPr>
        <w:t>）基金收益分配事项；</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15</w:t>
      </w:r>
      <w:r w:rsidRPr="00456512">
        <w:rPr>
          <w:rFonts w:asciiTheme="minorEastAsia" w:eastAsiaTheme="minorEastAsia" w:hAnsiTheme="minorEastAsia" w:hint="eastAsia"/>
          <w:szCs w:val="21"/>
        </w:rPr>
        <w:t>）管理费、托管费、申购费、赎回费等费用计提标准、计提方式和费率发生变更；</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16</w:t>
      </w:r>
      <w:r w:rsidRPr="00456512">
        <w:rPr>
          <w:rFonts w:asciiTheme="minorEastAsia" w:eastAsiaTheme="minorEastAsia" w:hAnsiTheme="minorEastAsia" w:hint="eastAsia"/>
          <w:szCs w:val="21"/>
        </w:rPr>
        <w:t>）基金份额净值计价错误达基金份额净值百分之零点五；</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w:t>
      </w:r>
      <w:r w:rsidRPr="00456512">
        <w:rPr>
          <w:rFonts w:asciiTheme="minorEastAsia" w:eastAsiaTheme="minorEastAsia" w:hAnsiTheme="minorEastAsia"/>
          <w:szCs w:val="21"/>
        </w:rPr>
        <w:t>17</w:t>
      </w:r>
      <w:r w:rsidRPr="00456512">
        <w:rPr>
          <w:rFonts w:asciiTheme="minorEastAsia" w:eastAsiaTheme="minorEastAsia" w:hAnsiTheme="minorEastAsia" w:hint="eastAsia"/>
          <w:szCs w:val="21"/>
        </w:rPr>
        <w:t>）本基金开始办理申购、赎回；</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18</w:t>
      </w:r>
      <w:r w:rsidRPr="00456512">
        <w:rPr>
          <w:rFonts w:asciiTheme="minorEastAsia" w:eastAsiaTheme="minorEastAsia" w:hAnsiTheme="minorEastAsia" w:hint="eastAsia"/>
          <w:szCs w:val="21"/>
        </w:rPr>
        <w:t>）本基金暂停接受申购、赎回申请或重新接受申购、赎回申请；</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19</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调整基金份额类别的设置；</w:t>
      </w:r>
    </w:p>
    <w:p w:rsidR="001833CF" w:rsidRPr="00456512" w:rsidRDefault="001833CF" w:rsidP="001833CF">
      <w:pPr>
        <w:pStyle w:val="25"/>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Pr="00456512">
        <w:rPr>
          <w:rFonts w:asciiTheme="minorEastAsia" w:eastAsiaTheme="minorEastAsia" w:hAnsiTheme="minorEastAsia"/>
          <w:szCs w:val="21"/>
        </w:rPr>
        <w:t>0</w:t>
      </w:r>
      <w:r w:rsidRPr="00456512">
        <w:rPr>
          <w:rFonts w:asciiTheme="minorEastAsia" w:eastAsiaTheme="minorEastAsia" w:hAnsiTheme="minorEastAsia" w:hint="eastAsia"/>
          <w:szCs w:val="21"/>
        </w:rPr>
        <w:t>）基金推出新业务或服务；</w:t>
      </w:r>
    </w:p>
    <w:p w:rsidR="001833CF" w:rsidRPr="00456512" w:rsidRDefault="001833CF" w:rsidP="00084917">
      <w:pPr>
        <w:pStyle w:val="a6"/>
        <w:tabs>
          <w:tab w:val="left" w:pos="735"/>
        </w:tabs>
        <w:snapToGrid w:val="0"/>
        <w:spacing w:line="360" w:lineRule="auto"/>
        <w:ind w:firstLineChars="200"/>
        <w:rPr>
          <w:rFonts w:asciiTheme="minorEastAsia" w:eastAsiaTheme="minorEastAsia" w:hAnsiTheme="minorEastAsia"/>
          <w:b/>
          <w:bCs/>
        </w:rPr>
      </w:pP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21</w:t>
      </w:r>
      <w:r w:rsidRPr="00456512">
        <w:rPr>
          <w:rFonts w:asciiTheme="minorEastAsia" w:eastAsiaTheme="minorEastAsia" w:hAnsiTheme="minorEastAsia" w:hint="eastAsia"/>
          <w:szCs w:val="21"/>
        </w:rPr>
        <w:t>）基金信息披露义务人认为可能对基金份额持有人权益或者基金份额的价格产生重大影响的其他事项或中国证监会规定的其他事项。</w:t>
      </w:r>
    </w:p>
    <w:p w:rsidR="001833CF" w:rsidRPr="00456512" w:rsidRDefault="001833CF" w:rsidP="003E1F0F">
      <w:pPr>
        <w:numPr>
          <w:ilvl w:val="0"/>
          <w:numId w:val="29"/>
        </w:numPr>
        <w:autoSpaceDE w:val="0"/>
        <w:autoSpaceDN w:val="0"/>
        <w:adjustRightInd w:val="0"/>
        <w:snapToGrid w:val="0"/>
        <w:spacing w:line="360" w:lineRule="auto"/>
        <w:rPr>
          <w:rFonts w:asciiTheme="minorEastAsia" w:eastAsiaTheme="minorEastAsia" w:hAnsiTheme="minorEastAsia"/>
          <w:b/>
          <w:bCs/>
        </w:rPr>
      </w:pPr>
      <w:r w:rsidRPr="00456512">
        <w:rPr>
          <w:rFonts w:asciiTheme="minorEastAsia" w:eastAsiaTheme="minorEastAsia" w:hAnsiTheme="minorEastAsia" w:hint="eastAsia"/>
          <w:b/>
          <w:bCs/>
        </w:rPr>
        <w:t>信息披露事务管理</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Cs/>
        </w:rPr>
      </w:pPr>
      <w:r w:rsidRPr="00456512">
        <w:rPr>
          <w:rFonts w:asciiTheme="minorEastAsia" w:eastAsiaTheme="minorEastAsia" w:hAnsiTheme="minorEastAsia" w:hint="eastAsia"/>
          <w:bCs/>
        </w:rPr>
        <w:t>基金管理人、基金托管人应当建立健全信息披露管理制度，指定专门部门及高级管理人员负责管理信息披露事务。</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Cs/>
        </w:rPr>
      </w:pPr>
      <w:r w:rsidRPr="00456512">
        <w:rPr>
          <w:rFonts w:asciiTheme="minorEastAsia" w:eastAsiaTheme="minorEastAsia" w:hAnsiTheme="minorEastAsia" w:hint="eastAsia"/>
          <w:bCs/>
        </w:rPr>
        <w:t>基金信息披露义务人公开披露基金信息，应当符合中国证监会相关基金信息披露内容与格式准则等法规的规定。</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Cs/>
        </w:rPr>
      </w:pPr>
      <w:r w:rsidRPr="00456512">
        <w:rPr>
          <w:rFonts w:asciiTheme="minorEastAsia" w:eastAsiaTheme="minorEastAsia" w:hAnsiTheme="minorEastAsia" w:hint="eastAsia"/>
          <w:bCs/>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Cs/>
        </w:rPr>
      </w:pPr>
      <w:r w:rsidRPr="00456512">
        <w:rPr>
          <w:rFonts w:asciiTheme="minorEastAsia" w:eastAsiaTheme="minorEastAsia" w:hAnsiTheme="minorEastAsia" w:hint="eastAsia"/>
          <w:bCs/>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1833CF" w:rsidRPr="00456512" w:rsidRDefault="001833CF" w:rsidP="001833CF">
      <w:pPr>
        <w:pStyle w:val="a6"/>
        <w:tabs>
          <w:tab w:val="left" w:pos="735"/>
        </w:tabs>
        <w:snapToGrid w:val="0"/>
        <w:spacing w:line="360" w:lineRule="auto"/>
        <w:ind w:firstLineChars="200"/>
        <w:rPr>
          <w:rFonts w:asciiTheme="minorEastAsia" w:eastAsiaTheme="minorEastAsia" w:hAnsiTheme="minorEastAsia"/>
          <w:bCs/>
        </w:rPr>
      </w:pPr>
      <w:r w:rsidRPr="00456512">
        <w:rPr>
          <w:rFonts w:asciiTheme="minorEastAsia" w:eastAsiaTheme="minorEastAsia" w:hAnsiTheme="minorEastAsia" w:hint="eastAsia"/>
          <w:bCs/>
        </w:rPr>
        <w:t>基金管理人、基金托管人除依法在指定媒介上披露信息外，还可以根据需要在其他公共媒介披露信息，但是其他公共媒介不得早于指定媒介披露信息，并且在不同媒介上披露同一信息的内容应当一致。</w:t>
      </w:r>
    </w:p>
    <w:p w:rsidR="001D2E2F" w:rsidRPr="00456512" w:rsidRDefault="001833C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bCs/>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D2E2F" w:rsidRPr="00456512" w:rsidRDefault="001D2E2F" w:rsidP="007F114F">
      <w:pPr>
        <w:numPr>
          <w:ilvl w:val="0"/>
          <w:numId w:val="29"/>
        </w:numPr>
        <w:autoSpaceDE w:val="0"/>
        <w:autoSpaceDN w:val="0"/>
        <w:adjustRightInd w:val="0"/>
        <w:snapToGrid w:val="0"/>
        <w:spacing w:line="360" w:lineRule="auto"/>
        <w:rPr>
          <w:rFonts w:asciiTheme="minorEastAsia" w:eastAsiaTheme="minorEastAsia" w:hAnsiTheme="minorEastAsia"/>
          <w:b/>
          <w:bCs/>
        </w:rPr>
      </w:pPr>
      <w:r w:rsidRPr="00456512">
        <w:rPr>
          <w:rFonts w:asciiTheme="minorEastAsia" w:eastAsiaTheme="minorEastAsia" w:hAnsiTheme="minorEastAsia" w:hint="eastAsia"/>
          <w:b/>
          <w:bCs/>
        </w:rPr>
        <w:t>信息披露文件的存放与查阅</w:t>
      </w:r>
    </w:p>
    <w:p w:rsidR="001D2E2F" w:rsidRPr="00456512" w:rsidRDefault="001833C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1D2E2F" w:rsidRPr="00456512" w:rsidRDefault="001D2E2F" w:rsidP="00084917">
      <w:pPr>
        <w:snapToGrid w:val="0"/>
        <w:spacing w:line="360" w:lineRule="auto"/>
        <w:ind w:firstLine="480"/>
        <w:rPr>
          <w:rFonts w:asciiTheme="minorEastAsia" w:eastAsiaTheme="minorEastAsia" w:hAnsiTheme="minorEastAsia"/>
        </w:rPr>
      </w:pPr>
    </w:p>
    <w:p w:rsidR="00D759DD" w:rsidRPr="00456512" w:rsidRDefault="00D759DD" w:rsidP="00084917">
      <w:pPr>
        <w:snapToGrid w:val="0"/>
        <w:spacing w:line="360" w:lineRule="auto"/>
        <w:ind w:firstLine="480"/>
        <w:rPr>
          <w:rFonts w:asciiTheme="minorEastAsia" w:eastAsiaTheme="minorEastAsia" w:hAnsiTheme="minorEastAsia"/>
        </w:rPr>
      </w:pPr>
    </w:p>
    <w:p w:rsidR="000B6986" w:rsidRDefault="000B6986" w:rsidP="00084917">
      <w:pPr>
        <w:snapToGrid w:val="0"/>
        <w:spacing w:line="360" w:lineRule="auto"/>
        <w:ind w:firstLine="480"/>
        <w:rPr>
          <w:rFonts w:asciiTheme="minorEastAsia" w:eastAsiaTheme="minorEastAsia" w:hAnsiTheme="minorEastAsia"/>
        </w:rPr>
        <w:sectPr w:rsidR="000B6986" w:rsidSect="005E306A">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bCs/>
        </w:rPr>
      </w:pPr>
      <w:bookmarkStart w:id="1061" w:name="_Toc92774762"/>
      <w:bookmarkStart w:id="1062" w:name="_Toc30161820"/>
      <w:bookmarkStart w:id="1063" w:name="_Toc38186653"/>
      <w:r w:rsidRPr="00456512">
        <w:rPr>
          <w:rFonts w:asciiTheme="minorEastAsia" w:eastAsiaTheme="minorEastAsia" w:hAnsiTheme="minorEastAsia" w:hint="eastAsia"/>
          <w:b/>
          <w:bCs/>
          <w:kern w:val="44"/>
          <w:szCs w:val="44"/>
        </w:rPr>
        <w:lastRenderedPageBreak/>
        <w:t>十六、风险揭示</w:t>
      </w:r>
      <w:bookmarkEnd w:id="1061"/>
      <w:bookmarkEnd w:id="1062"/>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1064" w:name="_Toc30161821"/>
      <w:r w:rsidRPr="00456512">
        <w:rPr>
          <w:rFonts w:asciiTheme="minorEastAsia" w:eastAsiaTheme="minorEastAsia" w:hAnsiTheme="minorEastAsia" w:hint="eastAsia"/>
          <w:bCs/>
        </w:rPr>
        <w:t>（一）市场风险</w:t>
      </w:r>
      <w:bookmarkEnd w:id="1064"/>
    </w:p>
    <w:p w:rsidR="001D2E2F" w:rsidRPr="00456512" w:rsidRDefault="001D2E2F" w:rsidP="00084917">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基金主要投资于证券市场，而证券市场价格因受到经济因素、政治因素、投资者心理和交易制度等各种因素的影响而产生波动，从而导致基金收益水平发生变化，产生风险。主要的风险因素包括：</w:t>
      </w:r>
    </w:p>
    <w:p w:rsidR="001D2E2F" w:rsidRPr="00456512" w:rsidRDefault="00D759DD" w:rsidP="00D759DD">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政策风险。因财政政策、货币政策、产业政策、地区发展政策等国家宏观政策发生变化，导致市场价格波动，影响基金收益而产生风险。</w:t>
      </w:r>
    </w:p>
    <w:p w:rsidR="001D2E2F" w:rsidRPr="00456512" w:rsidRDefault="00D759DD" w:rsidP="00D759DD">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经济周期风险。随着经济运行的周期性变化，证券市场的收益水平也呈周期性变化，基金投资的收益水平也会随之变化，从而产生风险。</w:t>
      </w:r>
    </w:p>
    <w:p w:rsidR="001D2E2F" w:rsidRPr="00456512" w:rsidRDefault="00D759DD" w:rsidP="00D759DD">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1D2E2F" w:rsidRPr="00456512" w:rsidRDefault="00D759DD" w:rsidP="00D759DD">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1D2E2F" w:rsidRPr="00456512" w:rsidRDefault="00D759DD" w:rsidP="00D759DD">
      <w:pPr>
        <w:pStyle w:val="25"/>
        <w:snapToGrid w:val="0"/>
        <w:spacing w:before="0" w:beforeAutospacing="0" w:after="0" w:afterAutospacing="0"/>
        <w:ind w:firstLineChars="0"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购买力风险。基金份额持有人收益将主要通过现金形式来分配，而现金可能因为通货膨胀因素而使其购买力下降,从而使基金的实际收益下降。</w:t>
      </w:r>
    </w:p>
    <w:p w:rsidR="001D2E2F" w:rsidRPr="00456512" w:rsidRDefault="001D2E2F" w:rsidP="00084917">
      <w:pPr>
        <w:pStyle w:val="23"/>
        <w:snapToGrid w:val="0"/>
        <w:spacing w:before="312" w:after="312" w:line="360" w:lineRule="auto"/>
        <w:ind w:firstLineChars="0" w:firstLine="0"/>
        <w:rPr>
          <w:rFonts w:asciiTheme="minorEastAsia" w:eastAsiaTheme="minorEastAsia" w:hAnsiTheme="minorEastAsia"/>
          <w:bCs/>
        </w:rPr>
      </w:pPr>
      <w:bookmarkStart w:id="1065" w:name="_Toc30161822"/>
      <w:r w:rsidRPr="00456512">
        <w:rPr>
          <w:rFonts w:asciiTheme="minorEastAsia" w:eastAsiaTheme="minorEastAsia" w:hAnsiTheme="minorEastAsia" w:hint="eastAsia"/>
          <w:bCs/>
        </w:rPr>
        <w:t>（二）本基金特有的风险</w:t>
      </w:r>
      <w:bookmarkEnd w:id="1065"/>
    </w:p>
    <w:p w:rsidR="001D2E2F" w:rsidRPr="00456512" w:rsidRDefault="001D2E2F" w:rsidP="00084917">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本基金采取自下而上的选股策略，对上市公司的研究是否准确、深入，构成本基金特有的风险。如上市公司未能实现本基金管理人预期的业绩增长率，则可能导致基金管理人以过高的价格买入该股票，将会降低基金收益。</w:t>
      </w:r>
    </w:p>
    <w:p w:rsidR="001D2E2F" w:rsidRPr="00456512" w:rsidRDefault="001D2E2F" w:rsidP="00084917">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本基金主要投资成长性较高的上市公司股票，这些公司可能因受到市场的追捧，股价可能较高，股价波动幅度也较大，从而导致基金净值的波动也较大，给投资者带来一定风险。</w:t>
      </w:r>
    </w:p>
    <w:p w:rsidR="001D2E2F" w:rsidRPr="00456512"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rPr>
      </w:pPr>
      <w:bookmarkStart w:id="1066" w:name="_Toc30161823"/>
      <w:r w:rsidRPr="00456512">
        <w:rPr>
          <w:rFonts w:asciiTheme="minorEastAsia" w:eastAsiaTheme="minorEastAsia" w:hAnsiTheme="minorEastAsia" w:hint="eastAsia"/>
          <w:bCs/>
        </w:rPr>
        <w:t>（三）流动性风险</w:t>
      </w:r>
      <w:bookmarkEnd w:id="1066"/>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1</w:t>
      </w:r>
      <w:r w:rsidRPr="00456512">
        <w:rPr>
          <w:rFonts w:asciiTheme="minorEastAsia" w:eastAsiaTheme="minorEastAsia" w:hAnsiTheme="minorEastAsia" w:hint="eastAsia"/>
        </w:rPr>
        <w:t>、流动性风险评估</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本基金为混合型基金，可投资于</w:t>
      </w:r>
      <w:r w:rsidRPr="00456512">
        <w:rPr>
          <w:rFonts w:asciiTheme="minorEastAsia" w:eastAsiaTheme="minorEastAsia" w:hAnsiTheme="minorEastAsia" w:hint="eastAsia"/>
          <w:kern w:val="0"/>
          <w:szCs w:val="21"/>
        </w:rPr>
        <w:t>国内依法公开发行、上市的股票和债券</w:t>
      </w:r>
      <w:r w:rsidRPr="00456512">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w:t>
      </w:r>
      <w:r w:rsidRPr="00456512">
        <w:rPr>
          <w:rFonts w:asciiTheme="minorEastAsia" w:eastAsiaTheme="minorEastAsia" w:hAnsiTheme="minorEastAsia" w:hint="eastAsia"/>
        </w:rPr>
        <w:lastRenderedPageBreak/>
        <w:t>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2</w:t>
      </w:r>
      <w:r w:rsidRPr="00456512">
        <w:rPr>
          <w:rFonts w:asciiTheme="minorEastAsia" w:eastAsiaTheme="minorEastAsia" w:hAnsiTheme="minorEastAsia" w:hint="eastAsia"/>
        </w:rPr>
        <w:t>、巨额赎回情形下的流动性风险管理措施</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当本基金出现巨额赎回时，基金管理人可以根据基金当时的资产组合状况决定接受全额赎回或部分延期赎回；此外，如本基金连续两日以上（含本数）发生巨额赎回，基金管理人认为有必要，可暂停接受赎回申请；已经接受的赎回申请可以延缓支付赎回款项，但不得超过正常支付时间</w:t>
      </w:r>
      <w:r w:rsidRPr="00456512">
        <w:rPr>
          <w:rFonts w:asciiTheme="minorEastAsia" w:eastAsiaTheme="minorEastAsia" w:hAnsiTheme="minorEastAsia"/>
        </w:rPr>
        <w:t>20</w:t>
      </w:r>
      <w:r w:rsidRPr="00456512">
        <w:rPr>
          <w:rFonts w:asciiTheme="minorEastAsia" w:eastAsiaTheme="minorEastAsia" w:hAnsiTheme="minorEastAsia" w:hint="eastAsia"/>
        </w:rPr>
        <w:t>个工作日。当本基金发生巨额赎回且单个基金份额持有人的赎回申请超过上一开放日基金总份额</w:t>
      </w:r>
      <w:r w:rsidRPr="00456512">
        <w:rPr>
          <w:rFonts w:asciiTheme="minorEastAsia" w:eastAsiaTheme="minorEastAsia" w:hAnsiTheme="minorEastAsia"/>
        </w:rPr>
        <w:t>10%</w:t>
      </w:r>
      <w:r w:rsidRPr="00456512">
        <w:rPr>
          <w:rFonts w:asciiTheme="minorEastAsia" w:eastAsiaTheme="minorEastAsia" w:hAnsiTheme="minorEastAsia" w:hint="eastAsia"/>
        </w:rPr>
        <w:t>的，基金管理人有权对该单个基金份额持有人超出该比例的赎回申请实施延期办理。具体情形、程序见招募说明书“六、基金份额的申购、赎回和</w:t>
      </w:r>
      <w:r w:rsidRPr="00456512">
        <w:rPr>
          <w:rFonts w:asciiTheme="minorEastAsia" w:eastAsiaTheme="minorEastAsia" w:hAnsiTheme="minorEastAsia"/>
        </w:rPr>
        <w:t>转换</w:t>
      </w:r>
      <w:r w:rsidRPr="00456512">
        <w:rPr>
          <w:rFonts w:asciiTheme="minorEastAsia" w:eastAsiaTheme="minorEastAsia" w:hAnsiTheme="minorEastAsia" w:hint="eastAsia"/>
        </w:rPr>
        <w:t>”“（九</w:t>
      </w:r>
      <w:r w:rsidRPr="00456512">
        <w:rPr>
          <w:rFonts w:asciiTheme="minorEastAsia" w:eastAsiaTheme="minorEastAsia" w:hAnsiTheme="minorEastAsia"/>
        </w:rPr>
        <w:t>）</w:t>
      </w:r>
      <w:r w:rsidRPr="00456512">
        <w:rPr>
          <w:rFonts w:asciiTheme="minorEastAsia" w:eastAsiaTheme="minorEastAsia" w:hAnsiTheme="minorEastAsia" w:hint="eastAsia"/>
        </w:rPr>
        <w:t>巨额赎回的认定及处理方式。”</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3</w:t>
      </w:r>
      <w:r w:rsidRPr="00456512">
        <w:rPr>
          <w:rFonts w:asciiTheme="minorEastAsia" w:eastAsiaTheme="minorEastAsia" w:hAnsiTheme="minorEastAsia" w:hint="eastAsia"/>
        </w:rPr>
        <w:t>、除巨额赎回情形外实施备用的流动性风险管理工具的情形、程序及对投资者的潜在影响</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暂停接受赎回申请、延缓支付赎回款项等工具的情形、程序见招募说明书“六、基金份额的申购、赎回和</w:t>
      </w:r>
      <w:r w:rsidRPr="00456512">
        <w:rPr>
          <w:rFonts w:asciiTheme="minorEastAsia" w:eastAsiaTheme="minorEastAsia" w:hAnsiTheme="minorEastAsia"/>
        </w:rPr>
        <w:t>转换</w:t>
      </w:r>
      <w:r w:rsidRPr="00456512">
        <w:rPr>
          <w:rFonts w:asciiTheme="minorEastAsia" w:eastAsiaTheme="minorEastAsia" w:hAnsiTheme="minorEastAsia" w:hint="eastAsia"/>
        </w:rPr>
        <w:t>”之“（十）</w:t>
      </w:r>
      <w:r w:rsidRPr="00456512">
        <w:rPr>
          <w:rFonts w:asciiTheme="minorEastAsia" w:eastAsiaTheme="minorEastAsia" w:hAnsiTheme="minorEastAsia"/>
          <w:bCs/>
          <w:szCs w:val="20"/>
        </w:rPr>
        <w:t>拒绝或暂停申购、赎回和转换的情形及处理方式</w:t>
      </w:r>
      <w:r w:rsidRPr="00456512">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733008" w:rsidRPr="00456512" w:rsidRDefault="00733008" w:rsidP="00733008">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1D2E2F" w:rsidRPr="00456512" w:rsidRDefault="00733008" w:rsidP="0073300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456512">
        <w:rPr>
          <w:rFonts w:asciiTheme="minorEastAsia" w:eastAsiaTheme="minorEastAsia" w:hAnsiTheme="minorEastAsia" w:hint="eastAsia"/>
        </w:rPr>
        <w:t>暂停基金估值的情形、程序见招募说明书“十一、基金资产估值”之“（六）</w:t>
      </w:r>
      <w:r w:rsidRPr="00456512">
        <w:rPr>
          <w:rFonts w:asciiTheme="minorEastAsia" w:eastAsiaTheme="minorEastAsia" w:hAnsiTheme="minorEastAsia" w:hint="eastAsia"/>
          <w:szCs w:val="21"/>
        </w:rPr>
        <w:t>暂停估值的情形</w:t>
      </w:r>
      <w:r w:rsidRPr="00456512">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8B3426" w:rsidRPr="00456512" w:rsidRDefault="008B3426" w:rsidP="003E1F0F">
      <w:pPr>
        <w:pStyle w:val="23"/>
        <w:adjustRightInd w:val="0"/>
        <w:snapToGrid w:val="0"/>
        <w:spacing w:beforeLines="0" w:afterLines="0" w:line="360" w:lineRule="auto"/>
        <w:ind w:firstLineChars="0" w:firstLine="0"/>
        <w:rPr>
          <w:rFonts w:asciiTheme="minorEastAsia" w:eastAsiaTheme="minorEastAsia" w:hAnsiTheme="minorEastAsia"/>
          <w:bCs/>
        </w:rPr>
      </w:pPr>
      <w:bookmarkStart w:id="1067" w:name="_Toc30161824"/>
      <w:r w:rsidRPr="00456512">
        <w:rPr>
          <w:rFonts w:asciiTheme="minorEastAsia" w:eastAsiaTheme="minorEastAsia" w:hAnsiTheme="minorEastAsia" w:hint="eastAsia"/>
          <w:bCs/>
        </w:rPr>
        <w:t>（四）本基金法律文件中涉及基金风险特征的表述与销售机构对基金的风险评级可能不一致的风险</w:t>
      </w:r>
      <w:bookmarkEnd w:id="1067"/>
    </w:p>
    <w:p w:rsidR="008B3426" w:rsidRPr="00456512" w:rsidRDefault="008B3426" w:rsidP="008B3426">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w:t>
      </w:r>
      <w:r w:rsidRPr="00456512">
        <w:rPr>
          <w:rFonts w:asciiTheme="minorEastAsia" w:eastAsiaTheme="minorEastAsia" w:hAnsiTheme="minorEastAsia" w:hint="eastAsia"/>
          <w:szCs w:val="21"/>
        </w:rPr>
        <w:lastRenderedPageBreak/>
        <w:t>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1D2E2F" w:rsidRPr="00456512"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rPr>
      </w:pPr>
      <w:bookmarkStart w:id="1068" w:name="_Toc30161825"/>
      <w:r w:rsidRPr="00456512">
        <w:rPr>
          <w:rFonts w:asciiTheme="minorEastAsia" w:eastAsiaTheme="minorEastAsia" w:hAnsiTheme="minorEastAsia" w:hint="eastAsia"/>
          <w:bCs/>
        </w:rPr>
        <w:t>（</w:t>
      </w:r>
      <w:r w:rsidR="008B3426" w:rsidRPr="00456512">
        <w:rPr>
          <w:rFonts w:asciiTheme="minorEastAsia" w:eastAsiaTheme="minorEastAsia" w:hAnsiTheme="minorEastAsia" w:hint="eastAsia"/>
          <w:bCs/>
        </w:rPr>
        <w:t>五</w:t>
      </w:r>
      <w:r w:rsidRPr="00456512">
        <w:rPr>
          <w:rFonts w:asciiTheme="minorEastAsia" w:eastAsiaTheme="minorEastAsia" w:hAnsiTheme="minorEastAsia" w:hint="eastAsia"/>
          <w:bCs/>
        </w:rPr>
        <w:t>）管理风险</w:t>
      </w:r>
      <w:bookmarkEnd w:id="1068"/>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在基金管理运作过程中，基金管理人的知识、经验、判断、决策、技能等，会影响其对信息的占有以及对经济形势、证券价格走势的判断，从而影响基金收益水平；</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基金管理人和基金托管人的管理手段和管理技术等因素的变化也会影响基金收益水平。</w:t>
      </w:r>
    </w:p>
    <w:p w:rsidR="001D2E2F" w:rsidRPr="00456512" w:rsidRDefault="001D2E2F" w:rsidP="00084917">
      <w:pPr>
        <w:pStyle w:val="23"/>
        <w:adjustRightInd w:val="0"/>
        <w:snapToGrid w:val="0"/>
        <w:spacing w:beforeLines="0" w:afterLines="0" w:line="360" w:lineRule="auto"/>
        <w:ind w:firstLineChars="0" w:firstLine="0"/>
        <w:rPr>
          <w:rFonts w:asciiTheme="minorEastAsia" w:eastAsiaTheme="minorEastAsia" w:hAnsiTheme="minorEastAsia"/>
          <w:bCs/>
        </w:rPr>
      </w:pPr>
      <w:bookmarkStart w:id="1069" w:name="_Toc30161826"/>
      <w:r w:rsidRPr="00456512">
        <w:rPr>
          <w:rFonts w:asciiTheme="minorEastAsia" w:eastAsiaTheme="minorEastAsia" w:hAnsiTheme="minorEastAsia" w:hint="eastAsia"/>
          <w:bCs/>
        </w:rPr>
        <w:t>（</w:t>
      </w:r>
      <w:r w:rsidR="008B3426" w:rsidRPr="00456512">
        <w:rPr>
          <w:rFonts w:asciiTheme="minorEastAsia" w:eastAsiaTheme="minorEastAsia" w:hAnsiTheme="minorEastAsia" w:hint="eastAsia"/>
          <w:bCs/>
        </w:rPr>
        <w:t>六</w:t>
      </w:r>
      <w:r w:rsidRPr="00456512">
        <w:rPr>
          <w:rFonts w:asciiTheme="minorEastAsia" w:eastAsiaTheme="minorEastAsia" w:hAnsiTheme="minorEastAsia" w:hint="eastAsia"/>
          <w:bCs/>
        </w:rPr>
        <w:t>）其他风险</w:t>
      </w:r>
      <w:bookmarkEnd w:id="1069"/>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因技术因素而产生的风险，如电脑系统不可靠产生的风险；</w:t>
      </w:r>
    </w:p>
    <w:p w:rsidR="00FE139B"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2、</w:t>
      </w:r>
      <w:r w:rsidR="00FE139B" w:rsidRPr="00456512">
        <w:rPr>
          <w:rFonts w:asciiTheme="minorEastAsia" w:eastAsiaTheme="minorEastAsia" w:hAnsiTheme="minorEastAsia" w:hint="eastAsia"/>
          <w:szCs w:val="21"/>
        </w:rPr>
        <w:t>因战争、自然灾害等不可抗力导致的基金管理人、基金托管人、基金</w:t>
      </w:r>
      <w:r w:rsidR="0004048E" w:rsidRPr="00456512">
        <w:rPr>
          <w:rFonts w:asciiTheme="minorEastAsia" w:eastAsiaTheme="minorEastAsia" w:hAnsiTheme="minorEastAsia" w:hint="eastAsia"/>
          <w:szCs w:val="21"/>
        </w:rPr>
        <w:t>销售</w:t>
      </w:r>
      <w:r w:rsidR="00FE139B" w:rsidRPr="00456512">
        <w:rPr>
          <w:rFonts w:asciiTheme="minorEastAsia" w:eastAsiaTheme="minorEastAsia" w:hAnsiTheme="minorEastAsia" w:hint="eastAsia"/>
          <w:szCs w:val="21"/>
        </w:rPr>
        <w:t>机构等机构无法正常工作，从而影响基金运作的风险；</w:t>
      </w:r>
    </w:p>
    <w:p w:rsidR="00FE139B"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3、</w:t>
      </w:r>
      <w:r w:rsidR="00FE139B" w:rsidRPr="00456512">
        <w:rPr>
          <w:rFonts w:asciiTheme="minorEastAsia" w:eastAsiaTheme="minorEastAsia" w:hAnsiTheme="minorEastAsia" w:hint="eastAsia"/>
          <w:szCs w:val="21"/>
        </w:rPr>
        <w:t>因金融市场危机、代理商违约、基金托管人违约等超出基金管理人自身控制能力的因素出现，可能导致基金或者基金份额持有人利益受损的风险。</w:t>
      </w:r>
    </w:p>
    <w:p w:rsidR="00A8776C" w:rsidRPr="00456512" w:rsidRDefault="00A8776C">
      <w:pPr>
        <w:widowControl/>
        <w:jc w:val="left"/>
        <w:rPr>
          <w:rFonts w:asciiTheme="minorEastAsia" w:eastAsiaTheme="minorEastAsia" w:hAnsiTheme="minorEastAsia"/>
          <w:szCs w:val="21"/>
        </w:rPr>
      </w:pPr>
      <w:r w:rsidRPr="00456512">
        <w:rPr>
          <w:rFonts w:asciiTheme="minorEastAsia" w:eastAsiaTheme="minorEastAsia" w:hAnsiTheme="minorEastAsia"/>
          <w:szCs w:val="21"/>
        </w:rPr>
        <w:br w:type="page"/>
      </w: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bCs/>
        </w:rPr>
      </w:pPr>
      <w:bookmarkStart w:id="1070" w:name="_Toc38438275"/>
      <w:bookmarkStart w:id="1071" w:name="_Toc38438612"/>
      <w:bookmarkStart w:id="1072" w:name="_Toc38438949"/>
      <w:bookmarkStart w:id="1073" w:name="_Toc38439286"/>
      <w:bookmarkStart w:id="1074" w:name="_Toc38439623"/>
      <w:bookmarkStart w:id="1075" w:name="_Toc38439960"/>
      <w:bookmarkStart w:id="1076" w:name="_Toc38440297"/>
      <w:bookmarkStart w:id="1077" w:name="_Toc38440630"/>
      <w:bookmarkStart w:id="1078" w:name="_Toc38440829"/>
      <w:bookmarkStart w:id="1079" w:name="_Toc38441161"/>
      <w:bookmarkStart w:id="1080" w:name="_Toc38441493"/>
      <w:bookmarkStart w:id="1081" w:name="_Toc38441821"/>
      <w:bookmarkStart w:id="1082" w:name="_Toc38442153"/>
      <w:bookmarkStart w:id="1083" w:name="_Toc38442485"/>
      <w:bookmarkStart w:id="1084" w:name="_Toc38442816"/>
      <w:bookmarkStart w:id="1085" w:name="_Toc38443147"/>
      <w:bookmarkStart w:id="1086" w:name="_Toc38443478"/>
      <w:bookmarkStart w:id="1087" w:name="_Toc38443809"/>
      <w:bookmarkStart w:id="1088" w:name="_Toc38438277"/>
      <w:bookmarkStart w:id="1089" w:name="_Toc38438614"/>
      <w:bookmarkStart w:id="1090" w:name="_Toc38438951"/>
      <w:bookmarkStart w:id="1091" w:name="_Toc38439288"/>
      <w:bookmarkStart w:id="1092" w:name="_Toc38439625"/>
      <w:bookmarkStart w:id="1093" w:name="_Toc38439962"/>
      <w:bookmarkStart w:id="1094" w:name="_Toc38440299"/>
      <w:bookmarkStart w:id="1095" w:name="_Toc38440632"/>
      <w:bookmarkStart w:id="1096" w:name="_Toc38440831"/>
      <w:bookmarkStart w:id="1097" w:name="_Toc38441163"/>
      <w:bookmarkStart w:id="1098" w:name="_Toc38441495"/>
      <w:bookmarkStart w:id="1099" w:name="_Toc38441823"/>
      <w:bookmarkStart w:id="1100" w:name="_Toc38442155"/>
      <w:bookmarkStart w:id="1101" w:name="_Toc38442487"/>
      <w:bookmarkStart w:id="1102" w:name="_Toc38442818"/>
      <w:bookmarkStart w:id="1103" w:name="_Toc38443149"/>
      <w:bookmarkStart w:id="1104" w:name="_Toc38443480"/>
      <w:bookmarkStart w:id="1105" w:name="_Toc38443811"/>
      <w:bookmarkStart w:id="1106" w:name="_Toc38438278"/>
      <w:bookmarkStart w:id="1107" w:name="_Toc38438615"/>
      <w:bookmarkStart w:id="1108" w:name="_Toc38438952"/>
      <w:bookmarkStart w:id="1109" w:name="_Toc38439289"/>
      <w:bookmarkStart w:id="1110" w:name="_Toc38439626"/>
      <w:bookmarkStart w:id="1111" w:name="_Toc38439963"/>
      <w:bookmarkStart w:id="1112" w:name="_Toc38440300"/>
      <w:bookmarkStart w:id="1113" w:name="_Toc38440633"/>
      <w:bookmarkStart w:id="1114" w:name="_Toc38440832"/>
      <w:bookmarkStart w:id="1115" w:name="_Toc38441164"/>
      <w:bookmarkStart w:id="1116" w:name="_Toc38441496"/>
      <w:bookmarkStart w:id="1117" w:name="_Toc38441824"/>
      <w:bookmarkStart w:id="1118" w:name="_Toc38442156"/>
      <w:bookmarkStart w:id="1119" w:name="_Toc38442488"/>
      <w:bookmarkStart w:id="1120" w:name="_Toc38442819"/>
      <w:bookmarkStart w:id="1121" w:name="_Toc38443150"/>
      <w:bookmarkStart w:id="1122" w:name="_Toc38443481"/>
      <w:bookmarkStart w:id="1123" w:name="_Toc38443812"/>
      <w:bookmarkStart w:id="1124" w:name="_Toc38438279"/>
      <w:bookmarkStart w:id="1125" w:name="_Toc38438616"/>
      <w:bookmarkStart w:id="1126" w:name="_Toc38438953"/>
      <w:bookmarkStart w:id="1127" w:name="_Toc38439290"/>
      <w:bookmarkStart w:id="1128" w:name="_Toc38439627"/>
      <w:bookmarkStart w:id="1129" w:name="_Toc38439964"/>
      <w:bookmarkStart w:id="1130" w:name="_Toc38440301"/>
      <w:bookmarkStart w:id="1131" w:name="_Toc38440634"/>
      <w:bookmarkStart w:id="1132" w:name="_Toc38440833"/>
      <w:bookmarkStart w:id="1133" w:name="_Toc38441165"/>
      <w:bookmarkStart w:id="1134" w:name="_Toc38441497"/>
      <w:bookmarkStart w:id="1135" w:name="_Toc38441825"/>
      <w:bookmarkStart w:id="1136" w:name="_Toc38442157"/>
      <w:bookmarkStart w:id="1137" w:name="_Toc38442489"/>
      <w:bookmarkStart w:id="1138" w:name="_Toc38442820"/>
      <w:bookmarkStart w:id="1139" w:name="_Toc38443151"/>
      <w:bookmarkStart w:id="1140" w:name="_Toc38443482"/>
      <w:bookmarkStart w:id="1141" w:name="_Toc38443813"/>
      <w:bookmarkStart w:id="1142" w:name="_Toc38438280"/>
      <w:bookmarkStart w:id="1143" w:name="_Toc38438617"/>
      <w:bookmarkStart w:id="1144" w:name="_Toc38438954"/>
      <w:bookmarkStart w:id="1145" w:name="_Toc38439291"/>
      <w:bookmarkStart w:id="1146" w:name="_Toc38439628"/>
      <w:bookmarkStart w:id="1147" w:name="_Toc38439965"/>
      <w:bookmarkStart w:id="1148" w:name="_Toc38440302"/>
      <w:bookmarkStart w:id="1149" w:name="_Toc38440635"/>
      <w:bookmarkStart w:id="1150" w:name="_Toc38440834"/>
      <w:bookmarkStart w:id="1151" w:name="_Toc38441166"/>
      <w:bookmarkStart w:id="1152" w:name="_Toc38441498"/>
      <w:bookmarkStart w:id="1153" w:name="_Toc38441826"/>
      <w:bookmarkStart w:id="1154" w:name="_Toc38442158"/>
      <w:bookmarkStart w:id="1155" w:name="_Toc38442490"/>
      <w:bookmarkStart w:id="1156" w:name="_Toc38442821"/>
      <w:bookmarkStart w:id="1157" w:name="_Toc38443152"/>
      <w:bookmarkStart w:id="1158" w:name="_Toc38443483"/>
      <w:bookmarkStart w:id="1159" w:name="_Toc38443814"/>
      <w:bookmarkStart w:id="1160" w:name="_Toc38438281"/>
      <w:bookmarkStart w:id="1161" w:name="_Toc38438618"/>
      <w:bookmarkStart w:id="1162" w:name="_Toc38438955"/>
      <w:bookmarkStart w:id="1163" w:name="_Toc38439292"/>
      <w:bookmarkStart w:id="1164" w:name="_Toc38439629"/>
      <w:bookmarkStart w:id="1165" w:name="_Toc38439966"/>
      <w:bookmarkStart w:id="1166" w:name="_Toc38440303"/>
      <w:bookmarkStart w:id="1167" w:name="_Toc38440636"/>
      <w:bookmarkStart w:id="1168" w:name="_Toc38440835"/>
      <w:bookmarkStart w:id="1169" w:name="_Toc38441167"/>
      <w:bookmarkStart w:id="1170" w:name="_Toc38441499"/>
      <w:bookmarkStart w:id="1171" w:name="_Toc38441827"/>
      <w:bookmarkStart w:id="1172" w:name="_Toc38442159"/>
      <w:bookmarkStart w:id="1173" w:name="_Toc38442491"/>
      <w:bookmarkStart w:id="1174" w:name="_Toc38442822"/>
      <w:bookmarkStart w:id="1175" w:name="_Toc38443153"/>
      <w:bookmarkStart w:id="1176" w:name="_Toc38443484"/>
      <w:bookmarkStart w:id="1177" w:name="_Toc38443815"/>
      <w:bookmarkStart w:id="1178" w:name="_Toc38438282"/>
      <w:bookmarkStart w:id="1179" w:name="_Toc38438619"/>
      <w:bookmarkStart w:id="1180" w:name="_Toc38438956"/>
      <w:bookmarkStart w:id="1181" w:name="_Toc38439293"/>
      <w:bookmarkStart w:id="1182" w:name="_Toc38439630"/>
      <w:bookmarkStart w:id="1183" w:name="_Toc38439967"/>
      <w:bookmarkStart w:id="1184" w:name="_Toc38440304"/>
      <w:bookmarkStart w:id="1185" w:name="_Toc38440637"/>
      <w:bookmarkStart w:id="1186" w:name="_Toc38440836"/>
      <w:bookmarkStart w:id="1187" w:name="_Toc38441168"/>
      <w:bookmarkStart w:id="1188" w:name="_Toc38441500"/>
      <w:bookmarkStart w:id="1189" w:name="_Toc38441828"/>
      <w:bookmarkStart w:id="1190" w:name="_Toc38442160"/>
      <w:bookmarkStart w:id="1191" w:name="_Toc38442492"/>
      <w:bookmarkStart w:id="1192" w:name="_Toc38442823"/>
      <w:bookmarkStart w:id="1193" w:name="_Toc38443154"/>
      <w:bookmarkStart w:id="1194" w:name="_Toc38443485"/>
      <w:bookmarkStart w:id="1195" w:name="_Toc38443816"/>
      <w:bookmarkStart w:id="1196" w:name="_Toc38438283"/>
      <w:bookmarkStart w:id="1197" w:name="_Toc38438620"/>
      <w:bookmarkStart w:id="1198" w:name="_Toc38438957"/>
      <w:bookmarkStart w:id="1199" w:name="_Toc38439294"/>
      <w:bookmarkStart w:id="1200" w:name="_Toc38439631"/>
      <w:bookmarkStart w:id="1201" w:name="_Toc38439968"/>
      <w:bookmarkStart w:id="1202" w:name="_Toc38440305"/>
      <w:bookmarkStart w:id="1203" w:name="_Toc38440638"/>
      <w:bookmarkStart w:id="1204" w:name="_Toc38440837"/>
      <w:bookmarkStart w:id="1205" w:name="_Toc38441169"/>
      <w:bookmarkStart w:id="1206" w:name="_Toc38441501"/>
      <w:bookmarkStart w:id="1207" w:name="_Toc38441829"/>
      <w:bookmarkStart w:id="1208" w:name="_Toc38442161"/>
      <w:bookmarkStart w:id="1209" w:name="_Toc38442493"/>
      <w:bookmarkStart w:id="1210" w:name="_Toc38442824"/>
      <w:bookmarkStart w:id="1211" w:name="_Toc38443155"/>
      <w:bookmarkStart w:id="1212" w:name="_Toc38443486"/>
      <w:bookmarkStart w:id="1213" w:name="_Toc38443817"/>
      <w:bookmarkStart w:id="1214" w:name="_Toc38438284"/>
      <w:bookmarkStart w:id="1215" w:name="_Toc38438621"/>
      <w:bookmarkStart w:id="1216" w:name="_Toc38438958"/>
      <w:bookmarkStart w:id="1217" w:name="_Toc38439295"/>
      <w:bookmarkStart w:id="1218" w:name="_Toc38439632"/>
      <w:bookmarkStart w:id="1219" w:name="_Toc38439969"/>
      <w:bookmarkStart w:id="1220" w:name="_Toc38440306"/>
      <w:bookmarkStart w:id="1221" w:name="_Toc38440639"/>
      <w:bookmarkStart w:id="1222" w:name="_Toc38440838"/>
      <w:bookmarkStart w:id="1223" w:name="_Toc38441170"/>
      <w:bookmarkStart w:id="1224" w:name="_Toc38441502"/>
      <w:bookmarkStart w:id="1225" w:name="_Toc38441830"/>
      <w:bookmarkStart w:id="1226" w:name="_Toc38442162"/>
      <w:bookmarkStart w:id="1227" w:name="_Toc38442494"/>
      <w:bookmarkStart w:id="1228" w:name="_Toc38442825"/>
      <w:bookmarkStart w:id="1229" w:name="_Toc38443156"/>
      <w:bookmarkStart w:id="1230" w:name="_Toc38443487"/>
      <w:bookmarkStart w:id="1231" w:name="_Toc38443818"/>
      <w:bookmarkStart w:id="1232" w:name="_Toc38438285"/>
      <w:bookmarkStart w:id="1233" w:name="_Toc38438622"/>
      <w:bookmarkStart w:id="1234" w:name="_Toc38438959"/>
      <w:bookmarkStart w:id="1235" w:name="_Toc38439296"/>
      <w:bookmarkStart w:id="1236" w:name="_Toc38439633"/>
      <w:bookmarkStart w:id="1237" w:name="_Toc38439970"/>
      <w:bookmarkStart w:id="1238" w:name="_Toc38440307"/>
      <w:bookmarkStart w:id="1239" w:name="_Toc38440640"/>
      <w:bookmarkStart w:id="1240" w:name="_Toc38440839"/>
      <w:bookmarkStart w:id="1241" w:name="_Toc38441171"/>
      <w:bookmarkStart w:id="1242" w:name="_Toc38441503"/>
      <w:bookmarkStart w:id="1243" w:name="_Toc38441831"/>
      <w:bookmarkStart w:id="1244" w:name="_Toc38442163"/>
      <w:bookmarkStart w:id="1245" w:name="_Toc38442495"/>
      <w:bookmarkStart w:id="1246" w:name="_Toc38442826"/>
      <w:bookmarkStart w:id="1247" w:name="_Toc38443157"/>
      <w:bookmarkStart w:id="1248" w:name="_Toc38443488"/>
      <w:bookmarkStart w:id="1249" w:name="_Toc38443819"/>
      <w:bookmarkStart w:id="1250" w:name="_Toc38438286"/>
      <w:bookmarkStart w:id="1251" w:name="_Toc38438623"/>
      <w:bookmarkStart w:id="1252" w:name="_Toc38438960"/>
      <w:bookmarkStart w:id="1253" w:name="_Toc38439297"/>
      <w:bookmarkStart w:id="1254" w:name="_Toc38439634"/>
      <w:bookmarkStart w:id="1255" w:name="_Toc38439971"/>
      <w:bookmarkStart w:id="1256" w:name="_Toc38440308"/>
      <w:bookmarkStart w:id="1257" w:name="_Toc38440641"/>
      <w:bookmarkStart w:id="1258" w:name="_Toc38440840"/>
      <w:bookmarkStart w:id="1259" w:name="_Toc38441172"/>
      <w:bookmarkStart w:id="1260" w:name="_Toc38441504"/>
      <w:bookmarkStart w:id="1261" w:name="_Toc38441832"/>
      <w:bookmarkStart w:id="1262" w:name="_Toc38442164"/>
      <w:bookmarkStart w:id="1263" w:name="_Toc38442496"/>
      <w:bookmarkStart w:id="1264" w:name="_Toc38442827"/>
      <w:bookmarkStart w:id="1265" w:name="_Toc38443158"/>
      <w:bookmarkStart w:id="1266" w:name="_Toc38443489"/>
      <w:bookmarkStart w:id="1267" w:name="_Toc38443820"/>
      <w:bookmarkStart w:id="1268" w:name="_Toc38438287"/>
      <w:bookmarkStart w:id="1269" w:name="_Toc38438624"/>
      <w:bookmarkStart w:id="1270" w:name="_Toc38438961"/>
      <w:bookmarkStart w:id="1271" w:name="_Toc38439298"/>
      <w:bookmarkStart w:id="1272" w:name="_Toc38439635"/>
      <w:bookmarkStart w:id="1273" w:name="_Toc38439972"/>
      <w:bookmarkStart w:id="1274" w:name="_Toc38440309"/>
      <w:bookmarkStart w:id="1275" w:name="_Toc38440642"/>
      <w:bookmarkStart w:id="1276" w:name="_Toc38440841"/>
      <w:bookmarkStart w:id="1277" w:name="_Toc38441173"/>
      <w:bookmarkStart w:id="1278" w:name="_Toc38441505"/>
      <w:bookmarkStart w:id="1279" w:name="_Toc38441833"/>
      <w:bookmarkStart w:id="1280" w:name="_Toc38442165"/>
      <w:bookmarkStart w:id="1281" w:name="_Toc38442497"/>
      <w:bookmarkStart w:id="1282" w:name="_Toc38442828"/>
      <w:bookmarkStart w:id="1283" w:name="_Toc38443159"/>
      <w:bookmarkStart w:id="1284" w:name="_Toc38443490"/>
      <w:bookmarkStart w:id="1285" w:name="_Toc38443821"/>
      <w:bookmarkStart w:id="1286" w:name="_Toc38438288"/>
      <w:bookmarkStart w:id="1287" w:name="_Toc38438625"/>
      <w:bookmarkStart w:id="1288" w:name="_Toc38438962"/>
      <w:bookmarkStart w:id="1289" w:name="_Toc38439299"/>
      <w:bookmarkStart w:id="1290" w:name="_Toc38439636"/>
      <w:bookmarkStart w:id="1291" w:name="_Toc38439973"/>
      <w:bookmarkStart w:id="1292" w:name="_Toc38440310"/>
      <w:bookmarkStart w:id="1293" w:name="_Toc38440643"/>
      <w:bookmarkStart w:id="1294" w:name="_Toc38440842"/>
      <w:bookmarkStart w:id="1295" w:name="_Toc38441174"/>
      <w:bookmarkStart w:id="1296" w:name="_Toc38441506"/>
      <w:bookmarkStart w:id="1297" w:name="_Toc38441834"/>
      <w:bookmarkStart w:id="1298" w:name="_Toc38442166"/>
      <w:bookmarkStart w:id="1299" w:name="_Toc38442498"/>
      <w:bookmarkStart w:id="1300" w:name="_Toc38442829"/>
      <w:bookmarkStart w:id="1301" w:name="_Toc38443160"/>
      <w:bookmarkStart w:id="1302" w:name="_Toc38443491"/>
      <w:bookmarkStart w:id="1303" w:name="_Toc38443822"/>
      <w:bookmarkStart w:id="1304" w:name="_Toc38438289"/>
      <w:bookmarkStart w:id="1305" w:name="_Toc38438626"/>
      <w:bookmarkStart w:id="1306" w:name="_Toc38438963"/>
      <w:bookmarkStart w:id="1307" w:name="_Toc38439300"/>
      <w:bookmarkStart w:id="1308" w:name="_Toc38439637"/>
      <w:bookmarkStart w:id="1309" w:name="_Toc38439974"/>
      <w:bookmarkStart w:id="1310" w:name="_Toc38440311"/>
      <w:bookmarkStart w:id="1311" w:name="_Toc38440644"/>
      <w:bookmarkStart w:id="1312" w:name="_Toc38440843"/>
      <w:bookmarkStart w:id="1313" w:name="_Toc38441175"/>
      <w:bookmarkStart w:id="1314" w:name="_Toc38441507"/>
      <w:bookmarkStart w:id="1315" w:name="_Toc38441835"/>
      <w:bookmarkStart w:id="1316" w:name="_Toc38442167"/>
      <w:bookmarkStart w:id="1317" w:name="_Toc38442499"/>
      <w:bookmarkStart w:id="1318" w:name="_Toc38442830"/>
      <w:bookmarkStart w:id="1319" w:name="_Toc38443161"/>
      <w:bookmarkStart w:id="1320" w:name="_Toc38443492"/>
      <w:bookmarkStart w:id="1321" w:name="_Toc38443823"/>
      <w:bookmarkStart w:id="1322" w:name="_Toc38438290"/>
      <w:bookmarkStart w:id="1323" w:name="_Toc38438627"/>
      <w:bookmarkStart w:id="1324" w:name="_Toc38438964"/>
      <w:bookmarkStart w:id="1325" w:name="_Toc38439301"/>
      <w:bookmarkStart w:id="1326" w:name="_Toc38439638"/>
      <w:bookmarkStart w:id="1327" w:name="_Toc38439975"/>
      <w:bookmarkStart w:id="1328" w:name="_Toc38440312"/>
      <w:bookmarkStart w:id="1329" w:name="_Toc38440645"/>
      <w:bookmarkStart w:id="1330" w:name="_Toc38440844"/>
      <w:bookmarkStart w:id="1331" w:name="_Toc38441176"/>
      <w:bookmarkStart w:id="1332" w:name="_Toc38441508"/>
      <w:bookmarkStart w:id="1333" w:name="_Toc38441836"/>
      <w:bookmarkStart w:id="1334" w:name="_Toc38442168"/>
      <w:bookmarkStart w:id="1335" w:name="_Toc38442500"/>
      <w:bookmarkStart w:id="1336" w:name="_Toc38442831"/>
      <w:bookmarkStart w:id="1337" w:name="_Toc38443162"/>
      <w:bookmarkStart w:id="1338" w:name="_Toc38443493"/>
      <w:bookmarkStart w:id="1339" w:name="_Toc38443824"/>
      <w:bookmarkStart w:id="1340" w:name="_Toc38438291"/>
      <w:bookmarkStart w:id="1341" w:name="_Toc38438628"/>
      <w:bookmarkStart w:id="1342" w:name="_Toc38438965"/>
      <w:bookmarkStart w:id="1343" w:name="_Toc38439302"/>
      <w:bookmarkStart w:id="1344" w:name="_Toc38439639"/>
      <w:bookmarkStart w:id="1345" w:name="_Toc38439976"/>
      <w:bookmarkStart w:id="1346" w:name="_Toc38440313"/>
      <w:bookmarkStart w:id="1347" w:name="_Toc38440646"/>
      <w:bookmarkStart w:id="1348" w:name="_Toc38440845"/>
      <w:bookmarkStart w:id="1349" w:name="_Toc38441177"/>
      <w:bookmarkStart w:id="1350" w:name="_Toc38441509"/>
      <w:bookmarkStart w:id="1351" w:name="_Toc38441837"/>
      <w:bookmarkStart w:id="1352" w:name="_Toc38442169"/>
      <w:bookmarkStart w:id="1353" w:name="_Toc38442501"/>
      <w:bookmarkStart w:id="1354" w:name="_Toc38442832"/>
      <w:bookmarkStart w:id="1355" w:name="_Toc38443163"/>
      <w:bookmarkStart w:id="1356" w:name="_Toc38443494"/>
      <w:bookmarkStart w:id="1357" w:name="_Toc38443825"/>
      <w:bookmarkStart w:id="1358" w:name="_Toc38438292"/>
      <w:bookmarkStart w:id="1359" w:name="_Toc38438629"/>
      <w:bookmarkStart w:id="1360" w:name="_Toc38438966"/>
      <w:bookmarkStart w:id="1361" w:name="_Toc38439303"/>
      <w:bookmarkStart w:id="1362" w:name="_Toc38439640"/>
      <w:bookmarkStart w:id="1363" w:name="_Toc38439977"/>
      <w:bookmarkStart w:id="1364" w:name="_Toc38440314"/>
      <w:bookmarkStart w:id="1365" w:name="_Toc38440647"/>
      <w:bookmarkStart w:id="1366" w:name="_Toc38440846"/>
      <w:bookmarkStart w:id="1367" w:name="_Toc38441178"/>
      <w:bookmarkStart w:id="1368" w:name="_Toc38441510"/>
      <w:bookmarkStart w:id="1369" w:name="_Toc38441838"/>
      <w:bookmarkStart w:id="1370" w:name="_Toc38442170"/>
      <w:bookmarkStart w:id="1371" w:name="_Toc38442502"/>
      <w:bookmarkStart w:id="1372" w:name="_Toc38442833"/>
      <w:bookmarkStart w:id="1373" w:name="_Toc38443164"/>
      <w:bookmarkStart w:id="1374" w:name="_Toc38443495"/>
      <w:bookmarkStart w:id="1375" w:name="_Toc38443826"/>
      <w:bookmarkStart w:id="1376" w:name="_Toc38438293"/>
      <w:bookmarkStart w:id="1377" w:name="_Toc38438630"/>
      <w:bookmarkStart w:id="1378" w:name="_Toc38438967"/>
      <w:bookmarkStart w:id="1379" w:name="_Toc38439304"/>
      <w:bookmarkStart w:id="1380" w:name="_Toc38439641"/>
      <w:bookmarkStart w:id="1381" w:name="_Toc38439978"/>
      <w:bookmarkStart w:id="1382" w:name="_Toc38440315"/>
      <w:bookmarkStart w:id="1383" w:name="_Toc38440648"/>
      <w:bookmarkStart w:id="1384" w:name="_Toc38440847"/>
      <w:bookmarkStart w:id="1385" w:name="_Toc38441179"/>
      <w:bookmarkStart w:id="1386" w:name="_Toc38441511"/>
      <w:bookmarkStart w:id="1387" w:name="_Toc38441839"/>
      <w:bookmarkStart w:id="1388" w:name="_Toc38442171"/>
      <w:bookmarkStart w:id="1389" w:name="_Toc38442503"/>
      <w:bookmarkStart w:id="1390" w:name="_Toc38442834"/>
      <w:bookmarkStart w:id="1391" w:name="_Toc38443165"/>
      <w:bookmarkStart w:id="1392" w:name="_Toc38443496"/>
      <w:bookmarkStart w:id="1393" w:name="_Toc38443827"/>
      <w:bookmarkStart w:id="1394" w:name="_Toc38438296"/>
      <w:bookmarkStart w:id="1395" w:name="_Toc38438633"/>
      <w:bookmarkStart w:id="1396" w:name="_Toc38438970"/>
      <w:bookmarkStart w:id="1397" w:name="_Toc38439307"/>
      <w:bookmarkStart w:id="1398" w:name="_Toc38439644"/>
      <w:bookmarkStart w:id="1399" w:name="_Toc38439981"/>
      <w:bookmarkStart w:id="1400" w:name="_Toc38440318"/>
      <w:bookmarkStart w:id="1401" w:name="_Toc38440651"/>
      <w:bookmarkStart w:id="1402" w:name="_Toc38440850"/>
      <w:bookmarkStart w:id="1403" w:name="_Toc38441182"/>
      <w:bookmarkStart w:id="1404" w:name="_Toc38441514"/>
      <w:bookmarkStart w:id="1405" w:name="_Toc38441842"/>
      <w:bookmarkStart w:id="1406" w:name="_Toc38442174"/>
      <w:bookmarkStart w:id="1407" w:name="_Toc38442506"/>
      <w:bookmarkStart w:id="1408" w:name="_Toc38442837"/>
      <w:bookmarkStart w:id="1409" w:name="_Toc38443168"/>
      <w:bookmarkStart w:id="1410" w:name="_Toc38443499"/>
      <w:bookmarkStart w:id="1411" w:name="_Toc38443830"/>
      <w:bookmarkStart w:id="1412" w:name="_Toc38438297"/>
      <w:bookmarkStart w:id="1413" w:name="_Toc38438634"/>
      <w:bookmarkStart w:id="1414" w:name="_Toc38438971"/>
      <w:bookmarkStart w:id="1415" w:name="_Toc38439308"/>
      <w:bookmarkStart w:id="1416" w:name="_Toc38439645"/>
      <w:bookmarkStart w:id="1417" w:name="_Toc38439982"/>
      <w:bookmarkStart w:id="1418" w:name="_Toc38440319"/>
      <w:bookmarkStart w:id="1419" w:name="_Toc38440652"/>
      <w:bookmarkStart w:id="1420" w:name="_Toc38440851"/>
      <w:bookmarkStart w:id="1421" w:name="_Toc38441183"/>
      <w:bookmarkStart w:id="1422" w:name="_Toc38441515"/>
      <w:bookmarkStart w:id="1423" w:name="_Toc38441843"/>
      <w:bookmarkStart w:id="1424" w:name="_Toc38442175"/>
      <w:bookmarkStart w:id="1425" w:name="_Toc38442507"/>
      <w:bookmarkStart w:id="1426" w:name="_Toc38442838"/>
      <w:bookmarkStart w:id="1427" w:name="_Toc38443169"/>
      <w:bookmarkStart w:id="1428" w:name="_Toc38443500"/>
      <w:bookmarkStart w:id="1429" w:name="_Toc38443831"/>
      <w:bookmarkStart w:id="1430" w:name="_Toc38438298"/>
      <w:bookmarkStart w:id="1431" w:name="_Toc38438635"/>
      <w:bookmarkStart w:id="1432" w:name="_Toc38438972"/>
      <w:bookmarkStart w:id="1433" w:name="_Toc38439309"/>
      <w:bookmarkStart w:id="1434" w:name="_Toc38439646"/>
      <w:bookmarkStart w:id="1435" w:name="_Toc38439983"/>
      <w:bookmarkStart w:id="1436" w:name="_Toc38440320"/>
      <w:bookmarkStart w:id="1437" w:name="_Toc38440653"/>
      <w:bookmarkStart w:id="1438" w:name="_Toc38440852"/>
      <w:bookmarkStart w:id="1439" w:name="_Toc38441184"/>
      <w:bookmarkStart w:id="1440" w:name="_Toc38441516"/>
      <w:bookmarkStart w:id="1441" w:name="_Toc38441844"/>
      <w:bookmarkStart w:id="1442" w:name="_Toc38442176"/>
      <w:bookmarkStart w:id="1443" w:name="_Toc38442508"/>
      <w:bookmarkStart w:id="1444" w:name="_Toc38442839"/>
      <w:bookmarkStart w:id="1445" w:name="_Toc38443170"/>
      <w:bookmarkStart w:id="1446" w:name="_Toc38443501"/>
      <w:bookmarkStart w:id="1447" w:name="_Toc38443832"/>
      <w:bookmarkStart w:id="1448" w:name="_Toc38438299"/>
      <w:bookmarkStart w:id="1449" w:name="_Toc38438636"/>
      <w:bookmarkStart w:id="1450" w:name="_Toc38438973"/>
      <w:bookmarkStart w:id="1451" w:name="_Toc38439310"/>
      <w:bookmarkStart w:id="1452" w:name="_Toc38439647"/>
      <w:bookmarkStart w:id="1453" w:name="_Toc38439984"/>
      <w:bookmarkStart w:id="1454" w:name="_Toc38440321"/>
      <w:bookmarkStart w:id="1455" w:name="_Toc38440654"/>
      <w:bookmarkStart w:id="1456" w:name="_Toc38440853"/>
      <w:bookmarkStart w:id="1457" w:name="_Toc38441185"/>
      <w:bookmarkStart w:id="1458" w:name="_Toc38441517"/>
      <w:bookmarkStart w:id="1459" w:name="_Toc38441845"/>
      <w:bookmarkStart w:id="1460" w:name="_Toc38442177"/>
      <w:bookmarkStart w:id="1461" w:name="_Toc38442509"/>
      <w:bookmarkStart w:id="1462" w:name="_Toc38442840"/>
      <w:bookmarkStart w:id="1463" w:name="_Toc38443171"/>
      <w:bookmarkStart w:id="1464" w:name="_Toc38443502"/>
      <w:bookmarkStart w:id="1465" w:name="_Toc38443833"/>
      <w:bookmarkStart w:id="1466" w:name="_Toc38438301"/>
      <w:bookmarkStart w:id="1467" w:name="_Toc38438638"/>
      <w:bookmarkStart w:id="1468" w:name="_Toc38438975"/>
      <w:bookmarkStart w:id="1469" w:name="_Toc38439312"/>
      <w:bookmarkStart w:id="1470" w:name="_Toc38439649"/>
      <w:bookmarkStart w:id="1471" w:name="_Toc38439986"/>
      <w:bookmarkStart w:id="1472" w:name="_Toc38440323"/>
      <w:bookmarkStart w:id="1473" w:name="_Toc38440656"/>
      <w:bookmarkStart w:id="1474" w:name="_Toc38440855"/>
      <w:bookmarkStart w:id="1475" w:name="_Toc38441187"/>
      <w:bookmarkStart w:id="1476" w:name="_Toc38441519"/>
      <w:bookmarkStart w:id="1477" w:name="_Toc38441847"/>
      <w:bookmarkStart w:id="1478" w:name="_Toc38442179"/>
      <w:bookmarkStart w:id="1479" w:name="_Toc38442511"/>
      <w:bookmarkStart w:id="1480" w:name="_Toc38442842"/>
      <w:bookmarkStart w:id="1481" w:name="_Toc38443173"/>
      <w:bookmarkStart w:id="1482" w:name="_Toc38443504"/>
      <w:bookmarkStart w:id="1483" w:name="_Toc38443835"/>
      <w:bookmarkStart w:id="1484" w:name="_Toc38438302"/>
      <w:bookmarkStart w:id="1485" w:name="_Toc38438639"/>
      <w:bookmarkStart w:id="1486" w:name="_Toc38438976"/>
      <w:bookmarkStart w:id="1487" w:name="_Toc38439313"/>
      <w:bookmarkStart w:id="1488" w:name="_Toc38439650"/>
      <w:bookmarkStart w:id="1489" w:name="_Toc38439987"/>
      <w:bookmarkStart w:id="1490" w:name="_Toc38440324"/>
      <w:bookmarkStart w:id="1491" w:name="_Toc38440657"/>
      <w:bookmarkStart w:id="1492" w:name="_Toc38440856"/>
      <w:bookmarkStart w:id="1493" w:name="_Toc38441188"/>
      <w:bookmarkStart w:id="1494" w:name="_Toc38441520"/>
      <w:bookmarkStart w:id="1495" w:name="_Toc38441848"/>
      <w:bookmarkStart w:id="1496" w:name="_Toc38442180"/>
      <w:bookmarkStart w:id="1497" w:name="_Toc38442512"/>
      <w:bookmarkStart w:id="1498" w:name="_Toc38442843"/>
      <w:bookmarkStart w:id="1499" w:name="_Toc38443174"/>
      <w:bookmarkStart w:id="1500" w:name="_Toc38443505"/>
      <w:bookmarkStart w:id="1501" w:name="_Toc38443836"/>
      <w:bookmarkStart w:id="1502" w:name="_Toc38438303"/>
      <w:bookmarkStart w:id="1503" w:name="_Toc38438640"/>
      <w:bookmarkStart w:id="1504" w:name="_Toc38438977"/>
      <w:bookmarkStart w:id="1505" w:name="_Toc38439314"/>
      <w:bookmarkStart w:id="1506" w:name="_Toc38439651"/>
      <w:bookmarkStart w:id="1507" w:name="_Toc38439988"/>
      <w:bookmarkStart w:id="1508" w:name="_Toc38440325"/>
      <w:bookmarkStart w:id="1509" w:name="_Toc38440658"/>
      <w:bookmarkStart w:id="1510" w:name="_Toc38440857"/>
      <w:bookmarkStart w:id="1511" w:name="_Toc38441189"/>
      <w:bookmarkStart w:id="1512" w:name="_Toc38441521"/>
      <w:bookmarkStart w:id="1513" w:name="_Toc38441849"/>
      <w:bookmarkStart w:id="1514" w:name="_Toc38442181"/>
      <w:bookmarkStart w:id="1515" w:name="_Toc38442513"/>
      <w:bookmarkStart w:id="1516" w:name="_Toc38442844"/>
      <w:bookmarkStart w:id="1517" w:name="_Toc38443175"/>
      <w:bookmarkStart w:id="1518" w:name="_Toc38443506"/>
      <w:bookmarkStart w:id="1519" w:name="_Toc38443837"/>
      <w:bookmarkStart w:id="1520" w:name="_Toc38438304"/>
      <w:bookmarkStart w:id="1521" w:name="_Toc38438641"/>
      <w:bookmarkStart w:id="1522" w:name="_Toc38438978"/>
      <w:bookmarkStart w:id="1523" w:name="_Toc38439315"/>
      <w:bookmarkStart w:id="1524" w:name="_Toc38439652"/>
      <w:bookmarkStart w:id="1525" w:name="_Toc38439989"/>
      <w:bookmarkStart w:id="1526" w:name="_Toc38440326"/>
      <w:bookmarkStart w:id="1527" w:name="_Toc38440659"/>
      <w:bookmarkStart w:id="1528" w:name="_Toc38440858"/>
      <w:bookmarkStart w:id="1529" w:name="_Toc38441190"/>
      <w:bookmarkStart w:id="1530" w:name="_Toc38441522"/>
      <w:bookmarkStart w:id="1531" w:name="_Toc38441850"/>
      <w:bookmarkStart w:id="1532" w:name="_Toc38442182"/>
      <w:bookmarkStart w:id="1533" w:name="_Toc38442514"/>
      <w:bookmarkStart w:id="1534" w:name="_Toc38442845"/>
      <w:bookmarkStart w:id="1535" w:name="_Toc38443176"/>
      <w:bookmarkStart w:id="1536" w:name="_Toc38443507"/>
      <w:bookmarkStart w:id="1537" w:name="_Toc38443838"/>
      <w:bookmarkStart w:id="1538" w:name="_Toc38438305"/>
      <w:bookmarkStart w:id="1539" w:name="_Toc38438642"/>
      <w:bookmarkStart w:id="1540" w:name="_Toc38438979"/>
      <w:bookmarkStart w:id="1541" w:name="_Toc38439316"/>
      <w:bookmarkStart w:id="1542" w:name="_Toc38439653"/>
      <w:bookmarkStart w:id="1543" w:name="_Toc38439990"/>
      <w:bookmarkStart w:id="1544" w:name="_Toc38440327"/>
      <w:bookmarkStart w:id="1545" w:name="_Toc38440660"/>
      <w:bookmarkStart w:id="1546" w:name="_Toc38440859"/>
      <w:bookmarkStart w:id="1547" w:name="_Toc38441191"/>
      <w:bookmarkStart w:id="1548" w:name="_Toc38441523"/>
      <w:bookmarkStart w:id="1549" w:name="_Toc38441851"/>
      <w:bookmarkStart w:id="1550" w:name="_Toc38442183"/>
      <w:bookmarkStart w:id="1551" w:name="_Toc38442515"/>
      <w:bookmarkStart w:id="1552" w:name="_Toc38442846"/>
      <w:bookmarkStart w:id="1553" w:name="_Toc38443177"/>
      <w:bookmarkStart w:id="1554" w:name="_Toc38443508"/>
      <w:bookmarkStart w:id="1555" w:name="_Toc38443839"/>
      <w:bookmarkStart w:id="1556" w:name="_Toc38438306"/>
      <w:bookmarkStart w:id="1557" w:name="_Toc38438643"/>
      <w:bookmarkStart w:id="1558" w:name="_Toc38438980"/>
      <w:bookmarkStart w:id="1559" w:name="_Toc38439317"/>
      <w:bookmarkStart w:id="1560" w:name="_Toc38439654"/>
      <w:bookmarkStart w:id="1561" w:name="_Toc38439991"/>
      <w:bookmarkStart w:id="1562" w:name="_Toc38440328"/>
      <w:bookmarkStart w:id="1563" w:name="_Toc38440661"/>
      <w:bookmarkStart w:id="1564" w:name="_Toc38440860"/>
      <w:bookmarkStart w:id="1565" w:name="_Toc38441192"/>
      <w:bookmarkStart w:id="1566" w:name="_Toc38441524"/>
      <w:bookmarkStart w:id="1567" w:name="_Toc38441852"/>
      <w:bookmarkStart w:id="1568" w:name="_Toc38442184"/>
      <w:bookmarkStart w:id="1569" w:name="_Toc38442516"/>
      <w:bookmarkStart w:id="1570" w:name="_Toc38442847"/>
      <w:bookmarkStart w:id="1571" w:name="_Toc38443178"/>
      <w:bookmarkStart w:id="1572" w:name="_Toc38443509"/>
      <w:bookmarkStart w:id="1573" w:name="_Toc38443840"/>
      <w:bookmarkStart w:id="1574" w:name="_Toc13148421"/>
      <w:bookmarkStart w:id="1575" w:name="_Toc30161827"/>
      <w:bookmarkEnd w:id="1063"/>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sidRPr="00456512">
        <w:rPr>
          <w:rFonts w:asciiTheme="minorEastAsia" w:eastAsiaTheme="minorEastAsia" w:hAnsiTheme="minorEastAsia" w:hint="eastAsia"/>
          <w:b/>
          <w:bCs/>
        </w:rPr>
        <w:lastRenderedPageBreak/>
        <w:t>十七、基金合同的终止与基金财产的清算</w:t>
      </w:r>
      <w:bookmarkEnd w:id="1574"/>
      <w:bookmarkEnd w:id="1575"/>
    </w:p>
    <w:p w:rsidR="001D2E2F" w:rsidRPr="00456512" w:rsidRDefault="001D2E2F" w:rsidP="00084917">
      <w:pPr>
        <w:pStyle w:val="23"/>
        <w:snapToGrid w:val="0"/>
        <w:spacing w:before="312" w:after="312" w:line="360" w:lineRule="auto"/>
        <w:ind w:firstLine="562"/>
        <w:rPr>
          <w:rFonts w:asciiTheme="minorEastAsia" w:eastAsiaTheme="minorEastAsia" w:hAnsiTheme="minorEastAsia"/>
          <w:bCs/>
        </w:rPr>
      </w:pPr>
      <w:bookmarkStart w:id="1576" w:name="_Toc30161828"/>
      <w:r w:rsidRPr="00456512">
        <w:rPr>
          <w:rFonts w:asciiTheme="minorEastAsia" w:eastAsiaTheme="minorEastAsia" w:hAnsiTheme="minorEastAsia" w:hint="eastAsia"/>
          <w:bCs/>
        </w:rPr>
        <w:t>（一）基金合同的终止</w:t>
      </w:r>
      <w:bookmarkEnd w:id="1576"/>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出现下列情形之一的，经中国证监会批准后基金合同终止：</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存续期间内，基金份额持有人数量连续60个工作日达不到200人，或连续60个工作日基金资产净值低于人民币5000万元，基金管理人将宣布本基金合同终止；</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经基金份额持有人大会表决终止的；</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因重大违法、违规行为，被中国证监会责令终止的；</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基金管理人因解散、破产、撤销、丧失基金管理资格、停止营业等事由，不能继续担任本基金管理人的职务，而无其它基金管理公司承受其原有权利及义务；</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基金托管人因解散、破产、撤销、丧失基金托管资格、停止营业等事由，不能继续担任本基金托管人的职务，而无其它托管机构承受其原有权利及义务；</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法律法规和中国证监会规定的其他事由。</w:t>
      </w:r>
    </w:p>
    <w:p w:rsidR="001D2E2F" w:rsidRPr="00456512" w:rsidRDefault="001D2E2F"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基金合同终止后，基金管理人和基金托管人依照《基金法》、《信托法》、《基金合同》及其他有关规定，行使请求给付报酬、从基金资产中获得补偿的权利时，可以留置基金财产或者对基金财产的权利归属人提出请求。</w:t>
      </w:r>
    </w:p>
    <w:p w:rsidR="001D2E2F" w:rsidRPr="00456512" w:rsidRDefault="001D2E2F" w:rsidP="00084917">
      <w:pPr>
        <w:pStyle w:val="23"/>
        <w:snapToGrid w:val="0"/>
        <w:spacing w:before="312" w:after="312" w:line="360" w:lineRule="auto"/>
        <w:ind w:firstLine="562"/>
        <w:rPr>
          <w:rFonts w:asciiTheme="minorEastAsia" w:eastAsiaTheme="minorEastAsia" w:hAnsiTheme="minorEastAsia"/>
          <w:bCs/>
        </w:rPr>
      </w:pPr>
      <w:bookmarkStart w:id="1577" w:name="_Toc30161829"/>
      <w:r w:rsidRPr="00456512">
        <w:rPr>
          <w:rFonts w:asciiTheme="minorEastAsia" w:eastAsiaTheme="minorEastAsia" w:hAnsiTheme="minorEastAsia" w:hint="eastAsia"/>
          <w:bCs/>
        </w:rPr>
        <w:t>（二）基金财产的清算</w:t>
      </w:r>
      <w:bookmarkEnd w:id="1577"/>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基金财产清算小组</w:t>
      </w:r>
    </w:p>
    <w:p w:rsidR="001D2E2F" w:rsidRPr="00456512" w:rsidRDefault="001D2E2F" w:rsidP="00084917">
      <w:pPr>
        <w:numPr>
          <w:ilvl w:val="0"/>
          <w:numId w:val="1"/>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自基金合同终止之日起30个工作日内成立清算小组，基金财产清算小组在中国证监会的监督下进行基金财产清算。</w:t>
      </w:r>
    </w:p>
    <w:p w:rsidR="001D2E2F" w:rsidRPr="00456512" w:rsidRDefault="001D2E2F" w:rsidP="00084917">
      <w:pPr>
        <w:numPr>
          <w:ilvl w:val="0"/>
          <w:numId w:val="1"/>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基金财产清算小组成员由基金发起人、基金管理人、基金托管人、具有从事证券相关业务资格的注册会计师、</w:t>
      </w:r>
      <w:r w:rsidRPr="00456512">
        <w:rPr>
          <w:rFonts w:asciiTheme="minorEastAsia" w:eastAsiaTheme="minorEastAsia" w:hAnsiTheme="minorEastAsia" w:hint="eastAsia"/>
        </w:rPr>
        <w:t>具有从事证券法律业务资格的</w:t>
      </w:r>
      <w:r w:rsidRPr="00456512">
        <w:rPr>
          <w:rFonts w:asciiTheme="minorEastAsia" w:eastAsiaTheme="minorEastAsia" w:hAnsiTheme="minorEastAsia" w:hint="eastAsia"/>
          <w:szCs w:val="21"/>
        </w:rPr>
        <w:t>律师以及中国证监会指定的人员组成。清算小组可以聘用必要的工作人员。清算小组在成立后五个工作日内应当公告。</w:t>
      </w:r>
    </w:p>
    <w:p w:rsidR="001D2E2F" w:rsidRPr="00456512" w:rsidRDefault="001D2E2F" w:rsidP="00084917">
      <w:pPr>
        <w:numPr>
          <w:ilvl w:val="0"/>
          <w:numId w:val="1"/>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基金财产清算小组负责基金资产的保管、清理、估价、变现和分配。基金财产清算小组可以依法以基金的名义进行必要的民事活动。</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清算程序</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基金合同终止后，由基金财产清算小组统一接管基金；</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对基金资产和债权债务进行清理和确认；</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对基金资产进行估值和变现；</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将基金财产清算结果报告中国证监会；</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公布基金财产清算公告；</w:t>
      </w:r>
    </w:p>
    <w:p w:rsidR="001D2E2F" w:rsidRPr="00456512" w:rsidRDefault="001D2E2F" w:rsidP="00084917">
      <w:pPr>
        <w:numPr>
          <w:ilvl w:val="0"/>
          <w:numId w:val="2"/>
        </w:numPr>
        <w:snapToGrid w:val="0"/>
        <w:spacing w:line="360" w:lineRule="auto"/>
        <w:ind w:left="0"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对基金</w:t>
      </w:r>
      <w:r w:rsidRPr="00456512">
        <w:rPr>
          <w:rFonts w:asciiTheme="minorEastAsia" w:eastAsiaTheme="minorEastAsia" w:hAnsiTheme="minorEastAsia" w:hint="eastAsia"/>
        </w:rPr>
        <w:t>财</w:t>
      </w:r>
      <w:r w:rsidRPr="00456512">
        <w:rPr>
          <w:rFonts w:asciiTheme="minorEastAsia" w:eastAsiaTheme="minorEastAsia" w:hAnsiTheme="minorEastAsia" w:hint="eastAsia"/>
          <w:szCs w:val="21"/>
        </w:rPr>
        <w:t>产进行分配。</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清算费用</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清算费用是指基金财产清算小组在进行基金财产清算过程中发生的所有合理费用，清算费用由基金财产清算小组优先从基金</w:t>
      </w:r>
      <w:r w:rsidRPr="00456512">
        <w:rPr>
          <w:rFonts w:asciiTheme="minorEastAsia" w:eastAsiaTheme="minorEastAsia" w:hAnsiTheme="minorEastAsia" w:hint="eastAsia"/>
        </w:rPr>
        <w:t>财</w:t>
      </w:r>
      <w:r w:rsidRPr="00456512">
        <w:rPr>
          <w:rFonts w:asciiTheme="minorEastAsia" w:eastAsiaTheme="minorEastAsia" w:hAnsiTheme="minorEastAsia" w:hint="eastAsia"/>
          <w:szCs w:val="21"/>
        </w:rPr>
        <w:t>产中支付。</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基金剩余财产的分配</w:t>
      </w:r>
    </w:p>
    <w:p w:rsidR="001D2E2F" w:rsidRPr="00456512" w:rsidRDefault="001D2E2F" w:rsidP="00084917">
      <w:pPr>
        <w:pStyle w:val="a6"/>
        <w:tabs>
          <w:tab w:val="left" w:pos="735"/>
        </w:tabs>
        <w:snapToGrid w:val="0"/>
        <w:spacing w:line="360" w:lineRule="auto"/>
        <w:ind w:firstLineChars="200"/>
        <w:rPr>
          <w:rFonts w:asciiTheme="minorEastAsia" w:eastAsiaTheme="minorEastAsia" w:hAnsiTheme="minorEastAsia"/>
          <w:kern w:val="0"/>
        </w:rPr>
      </w:pPr>
      <w:r w:rsidRPr="00456512">
        <w:rPr>
          <w:rFonts w:asciiTheme="minorEastAsia" w:eastAsiaTheme="minorEastAsia" w:hAnsiTheme="minorEastAsia" w:hint="eastAsia"/>
        </w:rPr>
        <w:t>基金财产按下列顺序清偿：</w:t>
      </w:r>
    </w:p>
    <w:p w:rsidR="001D2E2F" w:rsidRPr="00456512" w:rsidRDefault="001D2E2F" w:rsidP="00084917">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w:t>
      </w:r>
      <w:r w:rsidRPr="00456512">
        <w:rPr>
          <w:rFonts w:asciiTheme="minorEastAsia" w:eastAsiaTheme="minorEastAsia" w:hAnsiTheme="minorEastAsia"/>
          <w:kern w:val="0"/>
          <w:szCs w:val="21"/>
        </w:rPr>
        <w:t>1</w:t>
      </w:r>
      <w:r w:rsidRPr="00456512">
        <w:rPr>
          <w:rFonts w:asciiTheme="minorEastAsia" w:eastAsiaTheme="minorEastAsia" w:hAnsiTheme="minorEastAsia" w:hint="eastAsia"/>
          <w:kern w:val="0"/>
          <w:szCs w:val="21"/>
        </w:rPr>
        <w:t>）支付清算费用；</w:t>
      </w:r>
    </w:p>
    <w:p w:rsidR="001D2E2F" w:rsidRPr="00456512" w:rsidRDefault="001D2E2F" w:rsidP="00084917">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w:t>
      </w:r>
      <w:r w:rsidRPr="00456512">
        <w:rPr>
          <w:rFonts w:asciiTheme="minorEastAsia" w:eastAsiaTheme="minorEastAsia" w:hAnsiTheme="minorEastAsia"/>
          <w:kern w:val="0"/>
          <w:szCs w:val="21"/>
        </w:rPr>
        <w:t>2</w:t>
      </w:r>
      <w:r w:rsidRPr="00456512">
        <w:rPr>
          <w:rFonts w:asciiTheme="minorEastAsia" w:eastAsiaTheme="minorEastAsia" w:hAnsiTheme="minorEastAsia" w:hint="eastAsia"/>
          <w:kern w:val="0"/>
          <w:szCs w:val="21"/>
        </w:rPr>
        <w:t>）交纳所欠税款；</w:t>
      </w:r>
    </w:p>
    <w:p w:rsidR="001D2E2F" w:rsidRPr="00456512" w:rsidRDefault="001D2E2F" w:rsidP="00084917">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w:t>
      </w:r>
      <w:r w:rsidRPr="00456512">
        <w:rPr>
          <w:rFonts w:asciiTheme="minorEastAsia" w:eastAsiaTheme="minorEastAsia" w:hAnsiTheme="minorEastAsia"/>
          <w:kern w:val="0"/>
          <w:szCs w:val="21"/>
        </w:rPr>
        <w:t>3</w:t>
      </w:r>
      <w:r w:rsidRPr="00456512">
        <w:rPr>
          <w:rFonts w:asciiTheme="minorEastAsia" w:eastAsiaTheme="minorEastAsia" w:hAnsiTheme="minorEastAsia" w:hint="eastAsia"/>
          <w:kern w:val="0"/>
          <w:szCs w:val="21"/>
        </w:rPr>
        <w:t>）清偿基金债务；</w:t>
      </w:r>
    </w:p>
    <w:p w:rsidR="001D2E2F" w:rsidRPr="00456512" w:rsidRDefault="001D2E2F" w:rsidP="00084917">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w:t>
      </w:r>
      <w:r w:rsidRPr="00456512">
        <w:rPr>
          <w:rFonts w:asciiTheme="minorEastAsia" w:eastAsiaTheme="minorEastAsia" w:hAnsiTheme="minorEastAsia"/>
          <w:kern w:val="0"/>
          <w:szCs w:val="21"/>
        </w:rPr>
        <w:t>4</w:t>
      </w:r>
      <w:r w:rsidRPr="00456512">
        <w:rPr>
          <w:rFonts w:asciiTheme="minorEastAsia" w:eastAsiaTheme="minorEastAsia" w:hAnsiTheme="minorEastAsia" w:hint="eastAsia"/>
          <w:kern w:val="0"/>
          <w:szCs w:val="21"/>
        </w:rPr>
        <w:t>）按基金份额持有人持有的基金份额比例进行分配。</w:t>
      </w:r>
    </w:p>
    <w:p w:rsidR="001D2E2F" w:rsidRPr="00456512" w:rsidRDefault="001D2E2F" w:rsidP="00084917">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基金资产未按前款（</w:t>
      </w:r>
      <w:r w:rsidRPr="00456512">
        <w:rPr>
          <w:rFonts w:asciiTheme="minorEastAsia" w:eastAsiaTheme="minorEastAsia" w:hAnsiTheme="minorEastAsia"/>
          <w:kern w:val="0"/>
          <w:szCs w:val="21"/>
        </w:rPr>
        <w:t>1</w:t>
      </w:r>
      <w:r w:rsidRPr="00456512">
        <w:rPr>
          <w:rFonts w:asciiTheme="minorEastAsia" w:eastAsiaTheme="minorEastAsia" w:hAnsiTheme="minorEastAsia" w:hint="eastAsia"/>
          <w:kern w:val="0"/>
          <w:szCs w:val="21"/>
        </w:rPr>
        <w:t>）至（</w:t>
      </w:r>
      <w:r w:rsidRPr="00456512">
        <w:rPr>
          <w:rFonts w:asciiTheme="minorEastAsia" w:eastAsiaTheme="minorEastAsia" w:hAnsiTheme="minorEastAsia"/>
          <w:kern w:val="0"/>
          <w:szCs w:val="21"/>
        </w:rPr>
        <w:t>3</w:t>
      </w:r>
      <w:r w:rsidRPr="00456512">
        <w:rPr>
          <w:rFonts w:asciiTheme="minorEastAsia" w:eastAsiaTheme="minorEastAsia" w:hAnsiTheme="minorEastAsia" w:hint="eastAsia"/>
          <w:kern w:val="0"/>
          <w:szCs w:val="21"/>
        </w:rPr>
        <w:t>）项规定清偿前，不分配给基金份额持有人。</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基金财产清算的公告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基金合同终止并报中国证监会备案后</w:t>
      </w:r>
      <w:r w:rsidRPr="00456512">
        <w:rPr>
          <w:rFonts w:asciiTheme="minorEastAsia" w:eastAsiaTheme="minorEastAsia" w:hAnsiTheme="minorEastAsia"/>
          <w:szCs w:val="21"/>
        </w:rPr>
        <w:t>5</w:t>
      </w:r>
      <w:r w:rsidRPr="00456512">
        <w:rPr>
          <w:rFonts w:asciiTheme="minorEastAsia" w:eastAsiaTheme="minorEastAsia" w:hAnsiTheme="minorEastAsia" w:hint="eastAsia"/>
          <w:szCs w:val="21"/>
        </w:rPr>
        <w:t>个工作日内由基金财产清算小组公告；清算过程中的有关重大事项须及时公告；清算小组作出的清算报告经会计师事务所审计、律师事务所出具法律意见书后，报中国证监会备案并公告。</w:t>
      </w:r>
    </w:p>
    <w:p w:rsidR="001D2E2F" w:rsidRPr="00456512" w:rsidRDefault="00D759DD" w:rsidP="00D759DD">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清算帐册及文件的保存</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基金财产</w:t>
      </w:r>
      <w:r w:rsidRPr="00456512">
        <w:rPr>
          <w:rFonts w:asciiTheme="minorEastAsia" w:eastAsiaTheme="minorEastAsia" w:hAnsiTheme="minorEastAsia" w:hint="eastAsia"/>
          <w:szCs w:val="21"/>
        </w:rPr>
        <w:t>清算帐册及有关文件由基金托管人保存</w:t>
      </w:r>
      <w:r w:rsidRPr="00456512">
        <w:rPr>
          <w:rFonts w:asciiTheme="minorEastAsia" w:eastAsiaTheme="minorEastAsia" w:hAnsiTheme="minorEastAsia"/>
          <w:szCs w:val="21"/>
        </w:rPr>
        <w:t>15</w:t>
      </w:r>
      <w:r w:rsidRPr="00456512">
        <w:rPr>
          <w:rFonts w:asciiTheme="minorEastAsia" w:eastAsiaTheme="minorEastAsia" w:hAnsiTheme="minorEastAsia" w:hint="eastAsia"/>
          <w:szCs w:val="21"/>
        </w:rPr>
        <w:t>年以上。</w:t>
      </w:r>
    </w:p>
    <w:p w:rsidR="001D2E2F" w:rsidRPr="00456512" w:rsidRDefault="001D2E2F"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bCs/>
        </w:rPr>
      </w:pPr>
      <w:bookmarkStart w:id="1578" w:name="_Toc92774764"/>
      <w:bookmarkStart w:id="1579" w:name="_Toc30161830"/>
      <w:r w:rsidRPr="00456512">
        <w:rPr>
          <w:rFonts w:asciiTheme="minorEastAsia" w:eastAsiaTheme="minorEastAsia" w:hAnsiTheme="minorEastAsia" w:hint="eastAsia"/>
          <w:b/>
          <w:bCs/>
        </w:rPr>
        <w:lastRenderedPageBreak/>
        <w:t>十八、基金合同的内容摘要</w:t>
      </w:r>
      <w:bookmarkEnd w:id="1578"/>
      <w:bookmarkEnd w:id="1579"/>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基金管理人的权利和义务</w:t>
      </w:r>
    </w:p>
    <w:p w:rsidR="001D2E2F" w:rsidRPr="00456512" w:rsidRDefault="00D759DD" w:rsidP="00D759DD">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基金管理人的权利</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自本基金合同生效之日起，基金管理人根据《基金合同》的规定，独立运用并管理基金资产；</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根据《基金合同》的规定获得基金管理费；</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在符合有关法律法规和《基金合同》的前提下，制订和调整开放式基金业务规则，决定基金的相关费率结构和收费方式；</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根据《基金合同》规定销售基金份额，并收取基金认购费、赎回费及其他法律法规规定的费用；</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担任基金的注册登记人并获得《基金合同》规定的注册登记费用；选择和更换注册登记代理机构,并对其注册登记代理行为进行必要的监督；</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根据有关法律法规和基金合同的规定，决定开展认购、赎回、基金转换等业务；</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在基金存续期内，根据有关法律法规和基金合同的规定，决定拒绝和暂停受理基金份额的申购、赎回和转换申请</w:t>
      </w:r>
      <w:r w:rsidRPr="00456512">
        <w:rPr>
          <w:rFonts w:asciiTheme="minorEastAsia" w:eastAsiaTheme="minorEastAsia" w:hAnsiTheme="minorEastAsia" w:hint="eastAsia"/>
          <w:szCs w:val="21"/>
        </w:rPr>
        <w:t>；</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依据《基金合同》的规定，决定基金收益的分配方案；</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提议召开基金持有人大会；</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在基金托管人更换时，提名新的基金托管人；</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szCs w:val="21"/>
        </w:rPr>
        <w:t>依据</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基金合同</w:t>
      </w:r>
      <w:r w:rsidRPr="00456512">
        <w:rPr>
          <w:rFonts w:asciiTheme="minorEastAsia" w:eastAsiaTheme="minorEastAsia" w:hAnsiTheme="minorEastAsia" w:hint="eastAsia"/>
          <w:szCs w:val="21"/>
        </w:rPr>
        <w:t>》</w:t>
      </w:r>
      <w:r w:rsidRPr="00456512">
        <w:rPr>
          <w:rFonts w:asciiTheme="minorEastAsia" w:eastAsiaTheme="minorEastAsia" w:hAnsiTheme="minorEastAsia"/>
          <w:szCs w:val="21"/>
        </w:rPr>
        <w:t>及有关法律规定监督基金托管人，如认为基金托管人违反了本基金合同或国家有关法律规定对基金资产或基金持有人利益造成重大损失的，应呈报中国证监会和中国银监会，</w:t>
      </w:r>
      <w:r w:rsidRPr="00456512">
        <w:rPr>
          <w:rFonts w:asciiTheme="minorEastAsia" w:eastAsiaTheme="minorEastAsia" w:hAnsiTheme="minorEastAsia" w:hint="eastAsia"/>
          <w:szCs w:val="21"/>
        </w:rPr>
        <w:t>并有权提议召开基金持有人大会，由基金持有人大会表决更换基金托管人，或</w:t>
      </w:r>
      <w:r w:rsidRPr="00456512">
        <w:rPr>
          <w:rFonts w:asciiTheme="minorEastAsia" w:eastAsiaTheme="minorEastAsia" w:hAnsiTheme="minorEastAsia"/>
          <w:szCs w:val="21"/>
        </w:rPr>
        <w:t>采取</w:t>
      </w:r>
      <w:r w:rsidRPr="00456512">
        <w:rPr>
          <w:rFonts w:asciiTheme="minorEastAsia" w:eastAsiaTheme="minorEastAsia" w:hAnsiTheme="minorEastAsia" w:hint="eastAsia"/>
          <w:szCs w:val="21"/>
        </w:rPr>
        <w:t>其它</w:t>
      </w:r>
      <w:r w:rsidRPr="00456512">
        <w:rPr>
          <w:rFonts w:asciiTheme="minorEastAsia" w:eastAsiaTheme="minorEastAsia" w:hAnsiTheme="minorEastAsia"/>
          <w:szCs w:val="21"/>
        </w:rPr>
        <w:t>必要措施保护基金投资者的利益；</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选择、更换基金代销机构，对基金代销机构行为进行必要的监督和检查；如果基金管理人认为基金代销机构的作为或不作为违反了法律法规、《基金合同》或基金销售代理协议，基金管理人应行使法律法规、《基金合同》或基金销售代理协议赋予、给予、规定的基金管理人的任何及所有权利和救济措施，以保护基金资产的安全和基金投资者的利益；</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以基金资产负担因处理基金事务所支出的其他费用以及对第三人所负的债务，若基金管理人以其自有财产先行支付的，对基金资产有优先受偿的权利；</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按照《试点办法》，代表基金对其所投资的企业依法行使股东权利或行使因投资于其他证券产生的权利；</w:t>
      </w:r>
    </w:p>
    <w:p w:rsidR="001D2E2F" w:rsidRPr="00456512" w:rsidRDefault="001D2E2F" w:rsidP="00084917">
      <w:pPr>
        <w:numPr>
          <w:ilvl w:val="0"/>
          <w:numId w:val="7"/>
        </w:numPr>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szCs w:val="21"/>
        </w:rPr>
        <w:t>本基金合同终止时，组建或参加清算小组，参与基金资产的保管、清理、估价、变现和分配；</w:t>
      </w:r>
    </w:p>
    <w:p w:rsidR="001D2E2F" w:rsidRPr="00456512" w:rsidRDefault="001D2E2F" w:rsidP="00084917">
      <w:pPr>
        <w:numPr>
          <w:ilvl w:val="0"/>
          <w:numId w:val="7"/>
        </w:numPr>
        <w:snapToGrid w:val="0"/>
        <w:spacing w:line="360" w:lineRule="auto"/>
        <w:rPr>
          <w:rFonts w:asciiTheme="minorEastAsia" w:eastAsiaTheme="minorEastAsia" w:hAnsiTheme="minorEastAsia"/>
        </w:rPr>
      </w:pPr>
      <w:r w:rsidRPr="00456512">
        <w:rPr>
          <w:rFonts w:asciiTheme="minorEastAsia" w:eastAsiaTheme="minorEastAsia" w:hAnsiTheme="minorEastAsia" w:hint="eastAsia"/>
          <w:szCs w:val="21"/>
        </w:rPr>
        <w:lastRenderedPageBreak/>
        <w:t>法律、法规、本《基金合同》以及依据本《基金合同》制定的其他法律文件所规定的其他权利。</w:t>
      </w:r>
    </w:p>
    <w:p w:rsidR="001D2E2F" w:rsidRPr="00456512" w:rsidRDefault="00D759DD" w:rsidP="00D759DD">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t>2、</w:t>
      </w:r>
      <w:r w:rsidR="001D2E2F" w:rsidRPr="00456512">
        <w:rPr>
          <w:rFonts w:asciiTheme="minorEastAsia" w:eastAsiaTheme="minorEastAsia" w:hAnsiTheme="minorEastAsia" w:hint="eastAsia"/>
          <w:b/>
          <w:bCs/>
        </w:rPr>
        <w:t>基金管理人的义务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（1）基金管理人将遵守《信托法》、《试点办法》、《基金合同》及其他有关规定，为基金持有人的最大利益处理基金事务；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基金管理人保证恪尽职守，依照诚实信用、勤勉尽责的原则，谨慎、有效管理和运用基金资产；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w:t>
      </w:r>
      <w:r w:rsidRPr="00456512">
        <w:rPr>
          <w:rFonts w:asciiTheme="minorEastAsia" w:eastAsiaTheme="minorEastAsia" w:hAnsiTheme="minorEastAsia"/>
          <w:szCs w:val="21"/>
        </w:rPr>
        <w:t>设置相应的部门并</w:t>
      </w:r>
      <w:r w:rsidRPr="00456512">
        <w:rPr>
          <w:rFonts w:asciiTheme="minorEastAsia" w:eastAsiaTheme="minorEastAsia" w:hAnsiTheme="minorEastAsia" w:hint="eastAsia"/>
          <w:szCs w:val="21"/>
        </w:rPr>
        <w:t>配备足够的具有专业资格的人员进行基金投资分析、决策，以专业化的经营方式管理和运作基金资产；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Pr="00456512">
        <w:rPr>
          <w:rFonts w:asciiTheme="minorEastAsia" w:eastAsiaTheme="minorEastAsia" w:hAnsiTheme="minorEastAsia"/>
          <w:szCs w:val="21"/>
        </w:rPr>
        <w:t>设置相应的部门并配备足够的专业人员办理基金份额的认购、申购、赎回和其它业务或委托其它机构代理这些业务</w:t>
      </w:r>
      <w:r w:rsidRPr="00456512">
        <w:rPr>
          <w:rFonts w:asciiTheme="minorEastAsia" w:eastAsiaTheme="minorEastAsia" w:hAnsiTheme="minorEastAsia" w:hint="eastAsia"/>
          <w:szCs w:val="21"/>
        </w:rPr>
        <w:t>；</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Pr="00456512">
        <w:rPr>
          <w:rFonts w:asciiTheme="minorEastAsia" w:eastAsiaTheme="minorEastAsia" w:hAnsiTheme="minorEastAsia"/>
          <w:szCs w:val="21"/>
        </w:rPr>
        <w:t>设置相应的部门并配备足够的专业人员办理基金的注册与过户登记工作或委托其它机构代理该项业务</w:t>
      </w:r>
      <w:r w:rsidRPr="00456512">
        <w:rPr>
          <w:rFonts w:asciiTheme="minorEastAsia" w:eastAsiaTheme="minorEastAsia" w:hAnsiTheme="minorEastAsia" w:hint="eastAsia"/>
          <w:szCs w:val="21"/>
        </w:rPr>
        <w:t>；</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建立健全内部控制制度，保证所管理的基金资产和基金管理人的固有资产相互独立，确保分别管理、分别计帐；保证本基金与基金管理人管理的其他基金之间在资产运作、财务管理等方面相互独立，确保分别管理、分别计帐；</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除依据《信托法》、《试点办法》、《基金合同》及其他有关规定外,不为自己及任何第三方谋取利益，基金管理人违反此义务，利用基金资产为自己及任何第三方谋取利益，所得利益归于基金资产，造成基金资产损失的，承担赔偿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基金管理人不得将基金资产转为其自有财产，违背此款规定的，将承担相应的责任，包括但不限于恢复基金资产的原状、承担赔偿责任；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（7）除依据《信托法》、《试点办法》、《基金合同》及其他有关规定外，基金管理人不得委托第三人管理、运作基金资产；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（8）接受基金托管人依据法律法规、本《基金合同》和《托管协议》对基金管理人履行本《基金合同》和托管协议的情况进行的监督；</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（9）</w:t>
      </w:r>
      <w:r w:rsidR="008B3426" w:rsidRPr="00456512">
        <w:rPr>
          <w:rFonts w:asciiTheme="minorEastAsia" w:eastAsiaTheme="minorEastAsia" w:hAnsiTheme="minorEastAsia" w:hint="eastAsia"/>
          <w:szCs w:val="21"/>
        </w:rPr>
        <w:t>按规定计算并公告基金净值信息</w:t>
      </w:r>
      <w:r w:rsidRPr="00456512">
        <w:rPr>
          <w:rFonts w:asciiTheme="minorEastAsia" w:eastAsiaTheme="minorEastAsia" w:hAnsiTheme="minorEastAsia" w:hint="eastAsia"/>
          <w:szCs w:val="21"/>
        </w:rPr>
        <w:t>；</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（10）按照法律和本《基金合同》的规定受理认、申购和赎回申请，及时、足额支付赎回款项；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（11）严格按照《信托法》、《试点办法》、《基金合同》及其他有关规定履行信息披露及报告义务；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12）保守基金的商业秘密，不泄露基金投资计划等；除法律法规、《基金合同》、及其他有关规定另有规定外，在基金信息公开披露前应予保密，不向他人泄露，但因遵守和服从司法机构、中国证监会或其他监管机构的判决、裁决、决定、命令而作出的披露不应视为基金管理人违反本《基金合同》规定的保密义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（13）依据《基金合同》规定决定基金收益分配方案并及时向基金持有人分配基金收益；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（14）不谋求对基金资产所投资的公司的控股和直接管理；</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（15）依据《试点办法》、《基金合同》及其他有关规定召集基金持有人大会，执行基金持有人大会决议；</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（16）进行基金会计核算并编制基金</w:t>
      </w:r>
      <w:r w:rsidR="008B3426" w:rsidRPr="00456512">
        <w:rPr>
          <w:rFonts w:asciiTheme="minorEastAsia" w:eastAsiaTheme="minorEastAsia" w:hAnsiTheme="minorEastAsia" w:hint="eastAsia"/>
          <w:szCs w:val="21"/>
        </w:rPr>
        <w:t>季度报告、中期报告和年度报告</w:t>
      </w:r>
      <w:r w:rsidRPr="00456512">
        <w:rPr>
          <w:rFonts w:asciiTheme="minorEastAsia" w:eastAsiaTheme="minorEastAsia" w:hAnsiTheme="minorEastAsia" w:hint="eastAsia"/>
          <w:szCs w:val="21"/>
        </w:rPr>
        <w:t>；</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（17）保存基金财产管理业务活动的记录、帐册、报表和其他相关资料15年以上；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（18）参加基金财产清算小组，参与基金资产的保管、清理、估价、变现和分配；</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（19）当基金管理人将其义务委托第三方处理时，应当对第三方处理基金管理事务的行为承担责任；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（20）面临解散、依法被撤销、破产或者由接管人接管其资产时，及时报告中国证监会并通知基金托管人；</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（21）监督基金托管人按法律法规和合同规定履行自己的义务，基金托管人因过错造成基金资产损失时，基金管理人应为基金向基金托管人追偿，</w:t>
      </w:r>
      <w:r w:rsidRPr="00456512">
        <w:rPr>
          <w:rFonts w:asciiTheme="minorEastAsia" w:eastAsiaTheme="minorEastAsia" w:hAnsiTheme="minorEastAsia" w:hint="eastAsia"/>
        </w:rPr>
        <w:t>但除法律法规另有规定外不连带承担基金托管人的责任</w:t>
      </w:r>
      <w:r w:rsidRPr="00456512">
        <w:rPr>
          <w:rFonts w:asciiTheme="minorEastAsia" w:eastAsiaTheme="minorEastAsia" w:hAnsiTheme="minorEastAsia" w:hint="eastAsia"/>
          <w:szCs w:val="21"/>
        </w:rPr>
        <w:t>；</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22）基金管理人因违反《基金合同》规定的信托目的处分基金资产或者因违背《基金合同》规定的管理职责、处理基金事务不当而致使基金资产或基金持有人利益受到损失的，应当承担赔偿责任，其过错责任不因其退任而免除；</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（23）确保向基金投资人提供的各项文件或资料在规定时间内发出；保证投资人能够按照本《基金合同》规定的时间和方式，查阅到与基金有关的公开资料，并得到有关资料的复印件；</w:t>
      </w:r>
    </w:p>
    <w:p w:rsidR="001D2E2F" w:rsidRPr="00456512" w:rsidRDefault="001D2E2F" w:rsidP="00084917">
      <w:pPr>
        <w:snapToGrid w:val="0"/>
        <w:spacing w:line="360" w:lineRule="auto"/>
        <w:ind w:firstLine="420"/>
        <w:rPr>
          <w:rFonts w:asciiTheme="minorEastAsia" w:eastAsiaTheme="minorEastAsia" w:hAnsiTheme="minorEastAsia"/>
          <w:kern w:val="0"/>
          <w:szCs w:val="21"/>
        </w:rPr>
      </w:pPr>
      <w:r w:rsidRPr="00456512">
        <w:rPr>
          <w:rFonts w:asciiTheme="minorEastAsia" w:eastAsiaTheme="minorEastAsia" w:hAnsiTheme="minorEastAsia" w:hint="eastAsia"/>
          <w:szCs w:val="21"/>
        </w:rPr>
        <w:t>（24）</w:t>
      </w:r>
      <w:r w:rsidRPr="00456512">
        <w:rPr>
          <w:rFonts w:asciiTheme="minorEastAsia" w:eastAsiaTheme="minorEastAsia" w:hAnsiTheme="minorEastAsia" w:hint="eastAsia"/>
          <w:kern w:val="0"/>
          <w:szCs w:val="21"/>
        </w:rPr>
        <w:t>负责为基金聘请注册会计师和律师；</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kern w:val="0"/>
          <w:szCs w:val="21"/>
        </w:rPr>
        <w:t>（25）不从事任何有损基金及本基金其他当事人利益的活动；</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（26）根据有关法律法规的要求办理基金备案手续；</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（27）</w:t>
      </w:r>
      <w:r w:rsidRPr="00456512">
        <w:rPr>
          <w:rFonts w:asciiTheme="minorEastAsia" w:eastAsiaTheme="minorEastAsia" w:hAnsiTheme="minorEastAsia" w:hint="eastAsia"/>
        </w:rPr>
        <w:t>以基金管理人名义，代表基金持有人利益行使诉讼权利或者实施其他法律行为；</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（28）法律、法规、本《基金合同》以及依据本《基金合同》制定的其他法律文件所规定的其他义务。</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基金托管人的权利和义务</w:t>
      </w:r>
    </w:p>
    <w:p w:rsidR="001D2E2F" w:rsidRPr="00456512" w:rsidRDefault="001D2E2F" w:rsidP="00084917">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t>1</w:t>
      </w:r>
      <w:r w:rsidR="00D759DD" w:rsidRPr="00456512">
        <w:rPr>
          <w:rFonts w:asciiTheme="minorEastAsia" w:eastAsiaTheme="minorEastAsia" w:hAnsiTheme="minorEastAsia" w:hint="eastAsia"/>
          <w:b/>
          <w:bCs/>
        </w:rPr>
        <w:t>、</w:t>
      </w:r>
      <w:r w:rsidRPr="00456512">
        <w:rPr>
          <w:rFonts w:asciiTheme="minorEastAsia" w:eastAsiaTheme="minorEastAsia" w:hAnsiTheme="minorEastAsia" w:hint="eastAsia"/>
          <w:b/>
          <w:bCs/>
        </w:rPr>
        <w:t>基金托管人的权利</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（1）依法持有并保管基金的资产；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（2）依照《基金合同》的约定获得基金托管费；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（3）监督基金的投资运作</w:t>
      </w:r>
      <w:r w:rsidRPr="00456512">
        <w:rPr>
          <w:rFonts w:asciiTheme="minorEastAsia" w:eastAsiaTheme="minorEastAsia" w:hAnsiTheme="minorEastAsia" w:hint="eastAsia"/>
        </w:rPr>
        <w:t>；</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（4）在基金管理人更换时，提名新的基金管理人；</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（5）法律、法规、《基金合同》以及依据《基金合同》制定的其他法律文件所规定的其他权利。</w:t>
      </w:r>
    </w:p>
    <w:p w:rsidR="001D2E2F" w:rsidRPr="00456512" w:rsidRDefault="001D2E2F" w:rsidP="00084917">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lastRenderedPageBreak/>
        <w:t>2</w:t>
      </w:r>
      <w:r w:rsidR="00D759DD" w:rsidRPr="00456512">
        <w:rPr>
          <w:rFonts w:asciiTheme="minorEastAsia" w:eastAsiaTheme="minorEastAsia" w:hAnsiTheme="minorEastAsia" w:hint="eastAsia"/>
          <w:b/>
          <w:bCs/>
        </w:rPr>
        <w:t>、</w:t>
      </w:r>
      <w:r w:rsidRPr="00456512">
        <w:rPr>
          <w:rFonts w:asciiTheme="minorEastAsia" w:eastAsiaTheme="minorEastAsia" w:hAnsiTheme="minorEastAsia" w:hint="eastAsia"/>
          <w:b/>
          <w:bCs/>
        </w:rPr>
        <w:t>基金托管人的义务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（1）基金托管人将遵守《信托法》、《试点办法》、《基金合同》及其他有关规定，依法持有基金资产，为基金持有人的最大利益处理基金事务；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（2）基金托管人保证恪尽职守，依照诚实信用、勤勉尽责的原则，谨慎、有效地持有并保管基金资产；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（3）设立专门的基金托管部，具有符合要求的营业场所，配备足够的、合格的熟悉基金托管业务的专职人员，负责基金资产托管事宜；</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建立健全内部风险监控制度、监察与稽核、财务管理及人事管理制度，确保基金资产的安全与完整，保证其托管的基金资产与基金托管人自有资产相互独立，保证其托管的本基金与其托管的其他基金资产之间相互独立；对不同的基金分别设置帐户，独立核算，分帐管理，保证不同基金之间在名册登记、帐户设置、资金划拨、帐册记录等方面相互独立；</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除依据《信托法》、《试点办法》、《基金合同》及其他有关规定外，不为自己及任何第三人谋取利益，基金托管人违反此义务，利用基金资产为自己及任何第三方谋取利益，所得利益归于基金资产，造成基金资产损失的，承担赔偿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基金托管人不得将基金资产转为其自有财产，违背此款规定的，将承担相应的责任，包括但不限于恢复基金资产的原状、承担赔偿责任；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（6）除依据《信托法》、《试点办法》、《基金合同》及其他有关规定外，基金托管人不得委托第三人托管基金资产；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（7）保管由基金管理人代表基金签订的与基金有关的重大合同及有关凭证；</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（8）按法律法规、基金合同的规定为基金设立证券帐户、银行存款帐户等基金资产帐户；根据基金管理人的投资指令，负责及时办理基金投资于证券的清算交割及执行，并负责办理基金名下的资金往来；</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9）保守基金商业秘密。除《信托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（10）复核、审查基金管理人计算的基金资产净值</w:t>
      </w:r>
      <w:r w:rsidR="008B3426" w:rsidRPr="00456512">
        <w:rPr>
          <w:rFonts w:asciiTheme="minorEastAsia" w:eastAsiaTheme="minorEastAsia" w:hAnsiTheme="minorEastAsia" w:hint="eastAsia"/>
          <w:szCs w:val="21"/>
        </w:rPr>
        <w:t>、基金份额净值、</w:t>
      </w:r>
      <w:r w:rsidRPr="00456512">
        <w:rPr>
          <w:rFonts w:asciiTheme="minorEastAsia" w:eastAsiaTheme="minorEastAsia" w:hAnsiTheme="minorEastAsia" w:hint="eastAsia"/>
          <w:szCs w:val="21"/>
        </w:rPr>
        <w:t>基金份额申购、赎回价格；</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（11）按规定出具基金管理人履行基金合同情况和基金托管情况的报告，并报中国证监会和中国银监会；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（12）负责基金认购和赎回的资金保管和清算；</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（13）采取适当、合理的措施</w:t>
      </w:r>
      <w:r w:rsidRPr="00456512">
        <w:rPr>
          <w:rFonts w:asciiTheme="minorEastAsia" w:eastAsiaTheme="minorEastAsia" w:hAnsiTheme="minorEastAsia"/>
          <w:szCs w:val="21"/>
        </w:rPr>
        <w:t>,</w:t>
      </w:r>
      <w:r w:rsidRPr="00456512">
        <w:rPr>
          <w:rFonts w:asciiTheme="minorEastAsia" w:eastAsiaTheme="minorEastAsia" w:hAnsiTheme="minorEastAsia" w:hint="eastAsia"/>
          <w:szCs w:val="21"/>
        </w:rPr>
        <w:t>使开放式基金份额的认购、申购、赎回等事项符合基金合同等有关法律文件的规定；</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（14）采取适当、合理的措施</w:t>
      </w:r>
      <w:r w:rsidRPr="00456512">
        <w:rPr>
          <w:rFonts w:asciiTheme="minorEastAsia" w:eastAsiaTheme="minorEastAsia" w:hAnsiTheme="minorEastAsia"/>
          <w:szCs w:val="21"/>
        </w:rPr>
        <w:t>,</w:t>
      </w:r>
      <w:r w:rsidRPr="00456512">
        <w:rPr>
          <w:rFonts w:asciiTheme="minorEastAsia" w:eastAsiaTheme="minorEastAsia" w:hAnsiTheme="minorEastAsia" w:hint="eastAsia"/>
          <w:szCs w:val="21"/>
        </w:rPr>
        <w:t>使基金管理人用以计算开放式基金份额认购、申购、赎</w:t>
      </w:r>
      <w:r w:rsidRPr="00456512">
        <w:rPr>
          <w:rFonts w:asciiTheme="minorEastAsia" w:eastAsiaTheme="minorEastAsia" w:hAnsiTheme="minorEastAsia" w:hint="eastAsia"/>
          <w:szCs w:val="21"/>
        </w:rPr>
        <w:lastRenderedPageBreak/>
        <w:t>回和注销价格的方法符合基金合同等法律文件的规定；</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（15）</w:t>
      </w:r>
      <w:r w:rsidRPr="00456512">
        <w:rPr>
          <w:rFonts w:asciiTheme="minorEastAsia" w:eastAsiaTheme="minorEastAsia" w:hAnsiTheme="minorEastAsia"/>
        </w:rPr>
        <w:t>采取适当、合理的措施,使基金投资和融资的条件符合基金合同等法律文件的规定；</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（16）监督基金管理人的投资运作，发现基金管理人的投资指令违法、违规的，不予执行，向中国证监会报告；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（17）</w:t>
      </w:r>
      <w:r w:rsidR="008B3426" w:rsidRPr="00456512">
        <w:rPr>
          <w:rFonts w:asciiTheme="minorEastAsia" w:eastAsiaTheme="minorEastAsia" w:hAnsiTheme="minorEastAsia" w:hint="eastAsia"/>
          <w:szCs w:val="21"/>
        </w:rPr>
        <w:t>对基金财务会计报告、季度报告、中期报告和年度报告出具意见</w:t>
      </w:r>
      <w:r w:rsidRPr="00456512">
        <w:rPr>
          <w:rFonts w:asciiTheme="minorEastAsia" w:eastAsiaTheme="minorEastAsia" w:hAnsiTheme="minorEastAsia" w:hint="eastAsia"/>
          <w:szCs w:val="21"/>
        </w:rPr>
        <w:t>；</w:t>
      </w:r>
      <w:r w:rsidRPr="00456512">
        <w:rPr>
          <w:rFonts w:asciiTheme="minorEastAsia" w:eastAsiaTheme="minorEastAsia" w:hAnsiTheme="minorEastAsia" w:hint="eastAsia"/>
          <w:szCs w:val="21"/>
        </w:rPr>
        <w:tab/>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18）办理与基金托管业务活动有关的信息披露事项；在定期报告内出具基金托管人意见，说明基金管理人在各重要方面的运作是否严格按照本《基金合同》的规定进行，如果基金管理人有未执行本《基金合同》规定的行为，还应当说明基金托管人是否采取了适当的措施；</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（19）按有关规定，</w:t>
      </w:r>
      <w:r w:rsidRPr="00456512">
        <w:rPr>
          <w:rFonts w:asciiTheme="minorEastAsia" w:eastAsiaTheme="minorEastAsia" w:hAnsiTheme="minorEastAsia" w:hint="eastAsia"/>
        </w:rPr>
        <w:t>保存基金托管业务活动的记录、账册、报表和其他相关资料</w:t>
      </w:r>
      <w:r w:rsidRPr="00456512">
        <w:rPr>
          <w:rFonts w:asciiTheme="minorEastAsia" w:eastAsiaTheme="minorEastAsia" w:hAnsiTheme="minorEastAsia" w:hint="eastAsia"/>
          <w:szCs w:val="21"/>
        </w:rPr>
        <w:t>的完整记录等15年以上，建立并保存基金持有人名册；</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（20）按规定制作相关帐册并与基金管理人核对；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（21）依据基金管理人的指令或有关规定向基金持有人支付基金分红和赎回款项；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（22）参加基金财产清算小组，参与基金资产的保管、清理、估价、变现和分配；</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（23）面临解散、依法被撤销、破产或者由接管人接管其资产时，及时报告中国证监会和中国银监会，并通知基金管理人；</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（24）基金管理人因过错造成基金资产损失时，基金托管人应为基金向基金管理人追偿</w:t>
      </w:r>
      <w:r w:rsidRPr="00456512">
        <w:rPr>
          <w:rFonts w:asciiTheme="minorEastAsia" w:eastAsiaTheme="minorEastAsia" w:hAnsiTheme="minorEastAsia" w:hint="eastAsia"/>
        </w:rPr>
        <w:t>，但除法律法规另有规定外不连带承担基金管理人的责任；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（25）因过错导致基金资产的损失或因违背托管职责或者处理基金事务不当对第三人所负债务或者自己受到的损失，应以其自有财产承担，其责任不因其退任而免除；</w:t>
      </w:r>
    </w:p>
    <w:p w:rsidR="001D2E2F" w:rsidRPr="00456512" w:rsidRDefault="001D2E2F" w:rsidP="00084917">
      <w:pPr>
        <w:snapToGrid w:val="0"/>
        <w:spacing w:line="360" w:lineRule="auto"/>
        <w:ind w:firstLine="420"/>
        <w:rPr>
          <w:rFonts w:asciiTheme="minorEastAsia" w:eastAsiaTheme="minorEastAsia" w:hAnsiTheme="minorEastAsia"/>
          <w:kern w:val="0"/>
          <w:szCs w:val="21"/>
        </w:rPr>
      </w:pPr>
      <w:r w:rsidRPr="00456512">
        <w:rPr>
          <w:rFonts w:asciiTheme="minorEastAsia" w:eastAsiaTheme="minorEastAsia" w:hAnsiTheme="minorEastAsia" w:hint="eastAsia"/>
          <w:szCs w:val="21"/>
        </w:rPr>
        <w:t>（26）</w:t>
      </w:r>
      <w:r w:rsidRPr="00456512">
        <w:rPr>
          <w:rFonts w:asciiTheme="minorEastAsia" w:eastAsiaTheme="minorEastAsia" w:hAnsiTheme="minorEastAsia" w:hint="eastAsia"/>
          <w:kern w:val="0"/>
          <w:szCs w:val="21"/>
        </w:rPr>
        <w:t>不从事任何有损基金及本基金其他当事人利益的活动；</w:t>
      </w:r>
    </w:p>
    <w:p w:rsidR="001D2E2F" w:rsidRPr="00456512" w:rsidRDefault="001D2E2F" w:rsidP="00084917">
      <w:pPr>
        <w:snapToGrid w:val="0"/>
        <w:spacing w:line="360" w:lineRule="auto"/>
        <w:ind w:firstLineChars="200" w:firstLine="420"/>
        <w:rPr>
          <w:rFonts w:asciiTheme="minorEastAsia" w:eastAsiaTheme="minorEastAsia" w:hAnsiTheme="minorEastAsia"/>
          <w:kern w:val="0"/>
          <w:szCs w:val="21"/>
        </w:rPr>
      </w:pPr>
      <w:r w:rsidRPr="00456512">
        <w:rPr>
          <w:rFonts w:asciiTheme="minorEastAsia" w:eastAsiaTheme="minorEastAsia" w:hAnsiTheme="minorEastAsia" w:hint="eastAsia"/>
          <w:kern w:val="0"/>
          <w:szCs w:val="21"/>
        </w:rPr>
        <w:t>（27）</w:t>
      </w:r>
      <w:r w:rsidRPr="00456512">
        <w:rPr>
          <w:rFonts w:asciiTheme="minorEastAsia" w:eastAsiaTheme="minorEastAsia" w:hAnsiTheme="minorEastAsia" w:hint="eastAsia"/>
          <w:szCs w:val="21"/>
        </w:rPr>
        <w:t>依据《试点办法》、《基金合同》及其他有关规定召集基金持有人大会，执行基金持有人大会决议；</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（28）法律、法规、本《基金合同》和依据本《基金合同》制定的其他法律文件所规定的其他义务。</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基金份额持有人的权利和义务</w:t>
      </w:r>
    </w:p>
    <w:p w:rsidR="001D2E2F" w:rsidRPr="00456512" w:rsidRDefault="00D759DD" w:rsidP="00D759DD">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基金份额持有人权利</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基金持有人有权按法律法规、本《基金合同》以及依据本《基金合同》制定的其他法律文件的规定：</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（1）出席或者委派代表出席基金持有人大会，并行使表决权；</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（2）取得基金收益；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（3）监督基金经营情况，查阅或者复制公开披露的基金信息资料；</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（4）按规定申购或赎回基金份额</w:t>
      </w:r>
      <w:r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并在规定的时间内取得有效申请的基金份额或款项</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（5）取得基金财产清算后的剩余资产；</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（6）要求基金管理人或基金托管人按法律法规、本《基金合同》以及依据本《基金合同》制定的其他法律文件的规定履行其义务；</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（7）按照有关法律法规和基金合同的规定召集基金持有人大会；</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（8）对基金管理人、基金托管人、基金代销机构损害其合法权益的行为依法提起诉讼；</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（9）法律、法规、本《基金合同》以及依据本《基金合同》制定的其他法律文件规定的其他权利。</w:t>
      </w:r>
    </w:p>
    <w:p w:rsidR="001D2E2F" w:rsidRPr="00456512" w:rsidRDefault="00D759DD" w:rsidP="00D759DD">
      <w:pPr>
        <w:pStyle w:val="a6"/>
        <w:snapToGrid w:val="0"/>
        <w:spacing w:line="360" w:lineRule="auto"/>
        <w:ind w:left="422" w:firstLine="0"/>
        <w:rPr>
          <w:rFonts w:asciiTheme="minorEastAsia" w:eastAsiaTheme="minorEastAsia" w:hAnsiTheme="minorEastAsia"/>
          <w:b/>
          <w:bCs/>
        </w:rPr>
      </w:pPr>
      <w:r w:rsidRPr="00456512">
        <w:rPr>
          <w:rFonts w:asciiTheme="minorEastAsia" w:eastAsiaTheme="minorEastAsia" w:hAnsiTheme="minorEastAsia" w:hint="eastAsia"/>
          <w:b/>
          <w:bCs/>
        </w:rPr>
        <w:t>2、</w:t>
      </w:r>
      <w:r w:rsidR="001D2E2F" w:rsidRPr="00456512">
        <w:rPr>
          <w:rFonts w:asciiTheme="minorEastAsia" w:eastAsiaTheme="minorEastAsia" w:hAnsiTheme="minorEastAsia" w:hint="eastAsia"/>
          <w:b/>
          <w:bCs/>
        </w:rPr>
        <w:t>基金份额持有人义务</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（1）遵守本《基金合同》及根据本《基金合同》制订的相关业务规则；</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（2）缴纳基金认购、申购款项及规定的费用；</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（3）以其投资额为限承担基金亏损或者基金合同终止的有限责任；</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Pr="00456512">
        <w:rPr>
          <w:rFonts w:asciiTheme="minorEastAsia" w:eastAsiaTheme="minorEastAsia" w:hAnsiTheme="minorEastAsia" w:hint="eastAsia"/>
        </w:rPr>
        <w:t>返还持有基金过程中获得的不当得利；</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（5）不从事任何有损基金及其他基金持有人利益的活动；</w:t>
      </w:r>
    </w:p>
    <w:p w:rsidR="001D2E2F" w:rsidRPr="00456512" w:rsidRDefault="001D2E2F" w:rsidP="00084917">
      <w:pPr>
        <w:pStyle w:val="a6"/>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szCs w:val="21"/>
        </w:rPr>
        <w:t>（6）法律、法规、本《基金合同》以及依据本《基金合同》制定的其他法律文件所规定的其他义务。</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基金份额持有人大会</w:t>
      </w:r>
    </w:p>
    <w:p w:rsidR="001D2E2F" w:rsidRPr="00456512" w:rsidRDefault="00D759DD"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szCs w:val="21"/>
        </w:rPr>
        <w:t>基金持有人大会由基金持有人共同组成。基金持有人持有的每一基金份额拥有平等的投票权。</w:t>
      </w:r>
    </w:p>
    <w:p w:rsidR="001D2E2F" w:rsidRPr="00456512" w:rsidRDefault="00D759DD"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szCs w:val="21"/>
        </w:rPr>
        <w:t>召开事由</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（1）有以下事由情形之一的，应当召开基金持有人大会：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1）提前终止基金合同；</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2）更换基金托管人；</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3）更换基金管理人；</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4）提高基金管理人、基金托管人的报酬标准；</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5）转换基金运作方式；</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6）基金管理人或基金托管人要求召开基金持有人大会；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7）单独或合计持有本基金总份额10％以上（含10％）基金份额的基金持有人（以基金管理人收到提议当日的基金份额计算，下同）就涉及本基金的同一事项书面要求召开基金持有人大会；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8）法律法规和本基金合同规定的其他情形。</w:t>
      </w:r>
    </w:p>
    <w:p w:rsidR="001D2E2F" w:rsidRPr="00456512" w:rsidRDefault="001D2E2F" w:rsidP="00084917">
      <w:pPr>
        <w:pStyle w:val="a6"/>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（2）需要决定下列事项之一时，不需召开基金持有人大会：</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1）调低基金管理费、基金托管费；</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2）在本基金合同规定的范围内变更本基金的申购费率、赎回费率或收费方式；</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3）因相应的法律、法规发生变动必须对基金合同进行修改；</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lastRenderedPageBreak/>
        <w:t>4）基金合同的修改对基金持有人利益无实质性不利影响；</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5）按照法律法规或本基金合同规定不需召开基金持有人大会的其它情形。</w:t>
      </w:r>
    </w:p>
    <w:p w:rsidR="001D2E2F" w:rsidRPr="00456512" w:rsidRDefault="00D759DD" w:rsidP="00084917">
      <w:pPr>
        <w:pStyle w:val="a6"/>
        <w:snapToGrid w:val="0"/>
        <w:spacing w:line="360" w:lineRule="auto"/>
        <w:rPr>
          <w:rFonts w:asciiTheme="minorEastAsia" w:eastAsiaTheme="minorEastAsia" w:hAnsiTheme="minorEastAsia"/>
          <w:szCs w:val="21"/>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szCs w:val="21"/>
        </w:rPr>
        <w:t>召集</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（1）在正常情况下，基金持有人大会由基金管理人召集，开会时间及地点由基金管理人选择确定。</w:t>
      </w:r>
    </w:p>
    <w:p w:rsidR="001D2E2F" w:rsidRPr="00456512" w:rsidRDefault="001D2E2F" w:rsidP="00084917">
      <w:pPr>
        <w:snapToGrid w:val="0"/>
        <w:spacing w:line="360" w:lineRule="auto"/>
        <w:ind w:firstLineChars="200" w:firstLine="420"/>
        <w:rPr>
          <w:rFonts w:asciiTheme="minorEastAsia" w:eastAsiaTheme="minorEastAsia" w:hAnsiTheme="minorEastAsia"/>
          <w:szCs w:val="18"/>
        </w:rPr>
      </w:pPr>
      <w:r w:rsidRPr="00456512">
        <w:rPr>
          <w:rFonts w:asciiTheme="minorEastAsia" w:eastAsiaTheme="minorEastAsia" w:hAnsiTheme="minorEastAsia" w:hint="eastAsia"/>
          <w:szCs w:val="21"/>
        </w:rPr>
        <w:t>（2）</w:t>
      </w:r>
      <w:r w:rsidRPr="00456512">
        <w:rPr>
          <w:rFonts w:asciiTheme="minorEastAsia" w:eastAsiaTheme="minorEastAsia" w:hAnsiTheme="minorEastAsia"/>
          <w:szCs w:val="18"/>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在更换基金管理人、审议与基金管理人有利益冲突的事项或基金管理人无法行使召集权的情况下，基金托管人应当召集基金持有人大会，并选择确定开会时间及地点。</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w:t>
      </w:r>
      <w:r w:rsidRPr="00456512">
        <w:rPr>
          <w:rFonts w:asciiTheme="minorEastAsia" w:eastAsiaTheme="minorEastAsia" w:hAnsiTheme="minorEastAsia"/>
          <w:szCs w:val="21"/>
        </w:rPr>
        <w:t>代表基金份额</w:t>
      </w:r>
      <w:r w:rsidRPr="00456512">
        <w:rPr>
          <w:rFonts w:asciiTheme="minorEastAsia" w:eastAsiaTheme="minorEastAsia" w:hAnsiTheme="minorEastAsia" w:hint="eastAsia"/>
          <w:szCs w:val="21"/>
        </w:rPr>
        <w:t>10％（含10％）</w:t>
      </w:r>
      <w:r w:rsidRPr="00456512">
        <w:rPr>
          <w:rFonts w:asciiTheme="minorEastAsia" w:eastAsiaTheme="minorEastAsia" w:hAnsiTheme="minorEastAsia"/>
          <w:szCs w:val="21"/>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1D2E2F" w:rsidRPr="00456512" w:rsidRDefault="001D2E2F" w:rsidP="00084917">
      <w:pPr>
        <w:snapToGrid w:val="0"/>
        <w:spacing w:line="360" w:lineRule="auto"/>
        <w:ind w:firstLineChars="200" w:firstLine="420"/>
        <w:rPr>
          <w:rFonts w:asciiTheme="minorEastAsia" w:eastAsiaTheme="minorEastAsia" w:hAnsiTheme="minorEastAsia"/>
          <w:szCs w:val="18"/>
        </w:rPr>
      </w:pPr>
      <w:r w:rsidRPr="00456512">
        <w:rPr>
          <w:rFonts w:asciiTheme="minorEastAsia" w:eastAsiaTheme="minorEastAsia" w:hAnsiTheme="minorEastAsia"/>
          <w:szCs w:val="18"/>
        </w:rPr>
        <w:t>基金管理人决定召集的，应当自出具书面决定之日起六十日内召开；基金管理人决定不召集，代表基金份额</w:t>
      </w:r>
      <w:r w:rsidRPr="00456512">
        <w:rPr>
          <w:rFonts w:asciiTheme="minorEastAsia" w:eastAsiaTheme="minorEastAsia" w:hAnsiTheme="minorEastAsia" w:hint="eastAsia"/>
          <w:szCs w:val="21"/>
        </w:rPr>
        <w:t>10％（含10％）</w:t>
      </w:r>
      <w:r w:rsidRPr="00456512">
        <w:rPr>
          <w:rFonts w:asciiTheme="minorEastAsia" w:eastAsiaTheme="minorEastAsia" w:hAnsiTheme="minorEastAsia"/>
          <w:szCs w:val="18"/>
        </w:rPr>
        <w:t>以上的基金份额持有人仍认为有必要召开的，应当向基金托管人提出书面提议。</w:t>
      </w:r>
    </w:p>
    <w:p w:rsidR="001D2E2F" w:rsidRPr="00456512" w:rsidRDefault="001D2E2F" w:rsidP="00084917">
      <w:pPr>
        <w:snapToGrid w:val="0"/>
        <w:spacing w:line="360" w:lineRule="auto"/>
        <w:ind w:firstLineChars="200" w:firstLine="420"/>
        <w:rPr>
          <w:rFonts w:asciiTheme="minorEastAsia" w:eastAsiaTheme="minorEastAsia" w:hAnsiTheme="minorEastAsia"/>
          <w:szCs w:val="18"/>
        </w:rPr>
      </w:pPr>
      <w:r w:rsidRPr="00456512">
        <w:rPr>
          <w:rFonts w:asciiTheme="minorEastAsia" w:eastAsiaTheme="minorEastAsia" w:hAnsiTheme="minorEastAsia"/>
          <w:szCs w:val="18"/>
        </w:rPr>
        <w:t>基金托管人应当自收到书面提议之日起十日内决定是否召集，并书面告知提出提议的基金份额持有人代表和基金管理人；基金托管人决定召集的，应当自出具书面决定之日起六十日内召开。</w:t>
      </w:r>
    </w:p>
    <w:p w:rsidR="001D2E2F" w:rsidRPr="00456512" w:rsidRDefault="001D2E2F" w:rsidP="00084917">
      <w:pPr>
        <w:snapToGrid w:val="0"/>
        <w:spacing w:line="360" w:lineRule="auto"/>
        <w:ind w:firstLineChars="200" w:firstLine="420"/>
        <w:rPr>
          <w:rFonts w:asciiTheme="minorEastAsia" w:eastAsiaTheme="minorEastAsia" w:hAnsiTheme="minorEastAsia"/>
          <w:szCs w:val="18"/>
        </w:rPr>
      </w:pPr>
      <w:r w:rsidRPr="00456512">
        <w:rPr>
          <w:rFonts w:asciiTheme="minorEastAsia" w:eastAsiaTheme="minorEastAsia" w:hAnsiTheme="minorEastAsia" w:hint="eastAsia"/>
          <w:szCs w:val="21"/>
        </w:rPr>
        <w:t>代表基金总份额10％以上（含10％）的基金持有人就同一事项要求召开基金持有人大会，而基金管理人、基金托管人都不召集或均无法行使召集权的，代表基金总份额10％以上（含10％）的基金持有人有权自行召集。</w:t>
      </w:r>
      <w:r w:rsidRPr="00456512">
        <w:rPr>
          <w:rFonts w:asciiTheme="minorEastAsia" w:eastAsiaTheme="minorEastAsia" w:hAnsiTheme="minorEastAsia"/>
          <w:szCs w:val="18"/>
        </w:rPr>
        <w:t>基金份额持有人自行召集基金份额持有人大会的，应当至少提前三十日向中国证监会备案。基金份额持有人依法自行召集基金份额持有人大会的，基金管理人、基金托管人应当配合，不得阻碍、干扰。</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通知</w:t>
      </w:r>
    </w:p>
    <w:p w:rsidR="001D2E2F" w:rsidRPr="00456512" w:rsidRDefault="001D2E2F" w:rsidP="00084917">
      <w:pPr>
        <w:pStyle w:val="a6"/>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召开基金持有人大会，召集人应当至少提前三十日通过指定</w:t>
      </w:r>
      <w:r w:rsidR="008B3426" w:rsidRPr="00456512">
        <w:rPr>
          <w:rFonts w:asciiTheme="minorEastAsia" w:eastAsiaTheme="minorEastAsia" w:hAnsiTheme="minorEastAsia" w:hint="eastAsia"/>
        </w:rPr>
        <w:t>媒介</w:t>
      </w:r>
      <w:r w:rsidRPr="00456512">
        <w:rPr>
          <w:rFonts w:asciiTheme="minorEastAsia" w:eastAsiaTheme="minorEastAsia" w:hAnsiTheme="minorEastAsia" w:hint="eastAsia"/>
        </w:rPr>
        <w:t>公告会议通知。</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基金持有人大会通知将至少载明以下内容：</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（1）会议召开的时间、地点、方式；</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（2）会议拟审议的主要事项、议事程序、表决方式；</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（3）权益登记日；</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（4）投票委托书送达时间和地点；</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（5）会务常设联系人姓名、电话；</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（6）其他注意事项。</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lastRenderedPageBreak/>
        <w:t>如采用通讯方式开会并进行表决的情况下，</w:t>
      </w:r>
      <w:r w:rsidRPr="00456512">
        <w:rPr>
          <w:rFonts w:asciiTheme="minorEastAsia" w:eastAsiaTheme="minorEastAsia" w:hAnsiTheme="minorEastAsia"/>
        </w:rPr>
        <w:t>会议通知</w:t>
      </w:r>
      <w:r w:rsidRPr="00456512">
        <w:rPr>
          <w:rFonts w:asciiTheme="minorEastAsia" w:eastAsiaTheme="minorEastAsia" w:hAnsiTheme="minorEastAsia" w:hint="eastAsia"/>
        </w:rPr>
        <w:t>应</w:t>
      </w:r>
      <w:r w:rsidRPr="00456512">
        <w:rPr>
          <w:rFonts w:asciiTheme="minorEastAsia" w:eastAsiaTheme="minorEastAsia" w:hAnsiTheme="minorEastAsia"/>
        </w:rPr>
        <w:t>报中国证监会备案</w:t>
      </w:r>
      <w:r w:rsidRPr="00456512">
        <w:rPr>
          <w:rFonts w:asciiTheme="minorEastAsia" w:eastAsiaTheme="minorEastAsia" w:hAnsiTheme="minorEastAsia" w:hint="eastAsia"/>
        </w:rPr>
        <w:t>，且除上述内容外还要在会议通知中说明具体通讯方式、委托的公证机关及其联系方式和联系人、书面表决意见的寄交和收取的方式等。</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5</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召开方式</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基金持有人大会的召开方式包括现场开会和通讯方式开会，具体由召集人确定，但更换基金管理人和基金托管人必须采取现场开会方式。</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（1）</w:t>
      </w:r>
      <w:r w:rsidRPr="00456512">
        <w:rPr>
          <w:rFonts w:asciiTheme="minorEastAsia" w:eastAsiaTheme="minorEastAsia" w:hAnsiTheme="minorEastAsia" w:hint="eastAsia"/>
          <w:szCs w:val="21"/>
        </w:rPr>
        <w:t>现场开会</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1）本《基金合同》所指现场开会系指由基金持有人本人出席或出具授权委托书委派其代理人出席参加基金持有人大会</w:t>
      </w:r>
      <w:r w:rsidRPr="00456512">
        <w:rPr>
          <w:rFonts w:asciiTheme="minorEastAsia" w:eastAsiaTheme="minorEastAsia" w:hAnsiTheme="minorEastAsia" w:hint="eastAsia"/>
          <w:szCs w:val="21"/>
        </w:rPr>
        <w:t>。现场开会时基金管理人和基金托管人的授权代表应当出席。</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2）基金持有人本人在出席基金持有人大会时，应向召集人出具符合法律、法规和规章、本《基金合同》及会议通知规定的有关证明文件。</w:t>
      </w:r>
      <w:r w:rsidRPr="00456512">
        <w:rPr>
          <w:rFonts w:asciiTheme="minorEastAsia" w:eastAsiaTheme="minorEastAsia" w:hAnsiTheme="minorEastAsia" w:hint="eastAsia"/>
        </w:rPr>
        <w:t>基金持有人的代理人在出席基金持有人大会时，除应向召集人提交上述证明文件外，还应提交有关基金持有人出具的有效书面授权书。</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3）</w:t>
      </w:r>
      <w:r w:rsidRPr="00456512">
        <w:rPr>
          <w:rFonts w:asciiTheme="minorEastAsia" w:eastAsiaTheme="minorEastAsia" w:hAnsiTheme="minorEastAsia"/>
        </w:rPr>
        <w:t>现场开会</w:t>
      </w:r>
      <w:r w:rsidRPr="00456512">
        <w:rPr>
          <w:rFonts w:asciiTheme="minorEastAsia" w:eastAsiaTheme="minorEastAsia" w:hAnsiTheme="minorEastAsia" w:hint="eastAsia"/>
        </w:rPr>
        <w:t>须</w:t>
      </w:r>
      <w:r w:rsidRPr="00456512">
        <w:rPr>
          <w:rFonts w:asciiTheme="minorEastAsia" w:eastAsiaTheme="minorEastAsia" w:hAnsiTheme="minorEastAsia"/>
        </w:rPr>
        <w:t>符合以下条件时</w:t>
      </w:r>
      <w:r w:rsidRPr="00456512">
        <w:rPr>
          <w:rFonts w:asciiTheme="minorEastAsia" w:eastAsiaTheme="minorEastAsia" w:hAnsiTheme="minorEastAsia" w:hint="eastAsia"/>
        </w:rPr>
        <w:t>，方</w:t>
      </w:r>
      <w:r w:rsidRPr="00456512">
        <w:rPr>
          <w:rFonts w:asciiTheme="minorEastAsia" w:eastAsiaTheme="minorEastAsia" w:hAnsiTheme="minorEastAsia"/>
        </w:rPr>
        <w:t>可进行基金持有人大会议程</w:t>
      </w:r>
      <w:r w:rsidRPr="00456512">
        <w:rPr>
          <w:rFonts w:asciiTheme="minorEastAsia" w:eastAsiaTheme="minorEastAsia" w:hAnsiTheme="minorEastAsia" w:hint="eastAsia"/>
        </w:rPr>
        <w:t>：</w:t>
      </w:r>
      <w:r w:rsidRPr="00456512">
        <w:rPr>
          <w:rFonts w:asciiTheme="minorEastAsia" w:eastAsiaTheme="minorEastAsia" w:hAnsiTheme="minorEastAsia"/>
        </w:rPr>
        <w:t>经核对</w:t>
      </w:r>
      <w:r w:rsidRPr="00456512">
        <w:rPr>
          <w:rFonts w:asciiTheme="minorEastAsia" w:eastAsiaTheme="minorEastAsia" w:hAnsiTheme="minorEastAsia" w:hint="eastAsia"/>
        </w:rPr>
        <w:t>，</w:t>
      </w:r>
      <w:r w:rsidRPr="00456512">
        <w:rPr>
          <w:rFonts w:asciiTheme="minorEastAsia" w:eastAsiaTheme="minorEastAsia" w:hAnsiTheme="minorEastAsia"/>
        </w:rPr>
        <w:t>汇总到会者出示的在权</w:t>
      </w:r>
      <w:r w:rsidRPr="00456512">
        <w:rPr>
          <w:rFonts w:asciiTheme="minorEastAsia" w:eastAsiaTheme="minorEastAsia" w:hAnsiTheme="minorEastAsia" w:hint="eastAsia"/>
        </w:rPr>
        <w:t>益</w:t>
      </w:r>
      <w:r w:rsidRPr="00456512">
        <w:rPr>
          <w:rFonts w:asciiTheme="minorEastAsia" w:eastAsiaTheme="minorEastAsia" w:hAnsiTheme="minorEastAsia"/>
        </w:rPr>
        <w:t>登记日持有基金份额的凭证显示</w:t>
      </w:r>
      <w:r w:rsidRPr="00456512">
        <w:rPr>
          <w:rFonts w:asciiTheme="minorEastAsia" w:eastAsiaTheme="minorEastAsia" w:hAnsiTheme="minorEastAsia" w:hint="eastAsia"/>
        </w:rPr>
        <w:t>，到会的基金持有人代表</w:t>
      </w:r>
      <w:r w:rsidRPr="00456512">
        <w:rPr>
          <w:rFonts w:asciiTheme="minorEastAsia" w:eastAsiaTheme="minorEastAsia" w:hAnsiTheme="minorEastAsia"/>
        </w:rPr>
        <w:t>的基金份额不少于</w:t>
      </w:r>
      <w:r w:rsidRPr="00456512">
        <w:rPr>
          <w:rFonts w:asciiTheme="minorEastAsia" w:eastAsiaTheme="minorEastAsia" w:hAnsiTheme="minorEastAsia" w:hint="eastAsia"/>
        </w:rPr>
        <w:t>基金总份额50％。</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如上述条件未能满足，则召集人应当将会议至少推迟15个工作日后重新召集，并公告重新开会的时间和地点，</w:t>
      </w:r>
      <w:r w:rsidRPr="00456512">
        <w:rPr>
          <w:rFonts w:asciiTheme="minorEastAsia" w:eastAsiaTheme="minorEastAsia" w:hAnsiTheme="minorEastAsia"/>
        </w:rPr>
        <w:t>再次开会日期的提前通知期限为10天</w:t>
      </w:r>
      <w:r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但确定有权出席会议的基金持有人资格的权益登记日不变。重新以现场开会方式再次召集基金持有人大会的，仍应满足上述条件。</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（2）通讯方式开会</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1）本《基金合同》所指通讯方式开会系指基金持有人将其对表决事项的投票以书面形式在表决截至日以前送达至召集人指定的地址。</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2）召集人按本《基金合同》规定公布会议通知后，在2个工作日内连续公布相关提示性公告。</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3）基金持有人本人在以书面通讯方式进行表决时，应向召集人以书面方式提交符合法律、法规和规章、本《基金合同》及会议通知规定的有关证明文件。基金持有人的代理人在以书面通讯方式进行表决时，应向召集人以书面方式提交有关基金持有人出具的有效的书面授权委托书和基金持有人应当提交的上述有关证明文件。不能满足上述要求的基金持有人或基金持有人的代理人所提交的书面表决意见被视为无效，其代表的基金份额不计入参加表决的总份额。</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召集人在公证机关的监督下按照会议通知规定的方式收取基金持有人的书面表决意见；在表决截止日以前实际送达召集人指定的地址的投票视为有效投票，本条款不适用本《基金合同》第二十八章第三条有关“视为送达”的规定。</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4）以通讯方式</w:t>
      </w:r>
      <w:r w:rsidRPr="00456512">
        <w:rPr>
          <w:rFonts w:asciiTheme="minorEastAsia" w:eastAsiaTheme="minorEastAsia" w:hAnsiTheme="minorEastAsia" w:hint="eastAsia"/>
          <w:szCs w:val="21"/>
        </w:rPr>
        <w:t>开会须符合下列条件方视为有效：</w:t>
      </w:r>
      <w:r w:rsidRPr="00456512">
        <w:rPr>
          <w:rFonts w:asciiTheme="minorEastAsia" w:eastAsiaTheme="minorEastAsia" w:hAnsiTheme="minorEastAsia" w:hint="eastAsia"/>
        </w:rPr>
        <w:t>本人直接或委托授权代表出具有效书</w:t>
      </w:r>
      <w:r w:rsidRPr="00456512">
        <w:rPr>
          <w:rFonts w:asciiTheme="minorEastAsia" w:eastAsiaTheme="minorEastAsia" w:hAnsiTheme="minorEastAsia" w:hint="eastAsia"/>
        </w:rPr>
        <w:lastRenderedPageBreak/>
        <w:t>面意见的基金持有人</w:t>
      </w:r>
      <w:r w:rsidRPr="00456512">
        <w:rPr>
          <w:rFonts w:asciiTheme="minorEastAsia" w:eastAsiaTheme="minorEastAsia" w:hAnsiTheme="minorEastAsia"/>
        </w:rPr>
        <w:t>所持有的基金份额不少于</w:t>
      </w:r>
      <w:r w:rsidRPr="00456512">
        <w:rPr>
          <w:rFonts w:asciiTheme="minorEastAsia" w:eastAsiaTheme="minorEastAsia" w:hAnsiTheme="minorEastAsia" w:hint="eastAsia"/>
        </w:rPr>
        <w:t>基金份额总数的50％。</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如上述条件未能满足，则召集人应当将会议至少推迟15个工作日后重新召集，并公告重新开会的时间和地点，</w:t>
      </w:r>
      <w:r w:rsidRPr="00456512">
        <w:rPr>
          <w:rFonts w:asciiTheme="minorEastAsia" w:eastAsiaTheme="minorEastAsia" w:hAnsiTheme="minorEastAsia"/>
        </w:rPr>
        <w:t>再次开会日期的提前通知期限为10天</w:t>
      </w:r>
      <w:r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但确定有权出席会议的基金持有人资格的权益登记日不变。重新以通迅方式再次召集基金持有人大会的，仍应满足上述条件。</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6</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内容与程序</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（1）议事内容：</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1）</w:t>
      </w:r>
      <w:r w:rsidRPr="00456512">
        <w:rPr>
          <w:rFonts w:asciiTheme="minorEastAsia" w:eastAsiaTheme="minorEastAsia" w:hAnsiTheme="minorEastAsia"/>
        </w:rPr>
        <w:t>议事内容</w:t>
      </w:r>
      <w:r w:rsidRPr="00456512">
        <w:rPr>
          <w:rFonts w:asciiTheme="minorEastAsia" w:eastAsiaTheme="minorEastAsia" w:hAnsiTheme="minorEastAsia" w:hint="eastAsia"/>
        </w:rPr>
        <w:t>包括“召开事由”所规定的事项；</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2）基金管理人、基金托管人、单独或合计持有本基金</w:t>
      </w:r>
      <w:r w:rsidRPr="00456512">
        <w:rPr>
          <w:rFonts w:asciiTheme="minorEastAsia" w:eastAsiaTheme="minorEastAsia" w:hAnsiTheme="minorEastAsia"/>
        </w:rPr>
        <w:t>10%</w:t>
      </w:r>
      <w:r w:rsidRPr="00456512">
        <w:rPr>
          <w:rFonts w:asciiTheme="minorEastAsia" w:eastAsiaTheme="minorEastAsia" w:hAnsiTheme="minorEastAsia" w:hint="eastAsia"/>
        </w:rPr>
        <w:t>以上</w:t>
      </w:r>
      <w:r w:rsidRPr="00456512">
        <w:rPr>
          <w:rFonts w:asciiTheme="minorEastAsia" w:eastAsiaTheme="minorEastAsia" w:hAnsiTheme="minorEastAsia"/>
        </w:rPr>
        <w:t>(</w:t>
      </w:r>
      <w:r w:rsidRPr="00456512">
        <w:rPr>
          <w:rFonts w:asciiTheme="minorEastAsia" w:eastAsiaTheme="minorEastAsia" w:hAnsiTheme="minorEastAsia" w:hint="eastAsia"/>
        </w:rPr>
        <w:t>含</w:t>
      </w:r>
      <w:r w:rsidRPr="00456512">
        <w:rPr>
          <w:rFonts w:asciiTheme="minorEastAsia" w:eastAsiaTheme="minorEastAsia" w:hAnsiTheme="minorEastAsia"/>
        </w:rPr>
        <w:t>10%)</w:t>
      </w:r>
      <w:r w:rsidRPr="00456512">
        <w:rPr>
          <w:rFonts w:asciiTheme="minorEastAsia" w:eastAsiaTheme="minorEastAsia" w:hAnsiTheme="minorEastAsia" w:hint="eastAsia"/>
        </w:rPr>
        <w:t>基金总份额的基金持有人可以在基金持有人大会召集人发出会议通知前向大会召集人提交需审议表决的议案；也可以在会议通知发出后向大会召集人提交临时提案。临时提案最迟应当在大会召开日前</w:t>
      </w:r>
      <w:r w:rsidRPr="00456512">
        <w:rPr>
          <w:rFonts w:asciiTheme="minorEastAsia" w:eastAsiaTheme="minorEastAsia" w:hAnsiTheme="minorEastAsia"/>
        </w:rPr>
        <w:t>15</w:t>
      </w:r>
      <w:r w:rsidRPr="00456512">
        <w:rPr>
          <w:rFonts w:asciiTheme="minorEastAsia" w:eastAsiaTheme="minorEastAsia" w:hAnsiTheme="minorEastAsia" w:hint="eastAsia"/>
        </w:rPr>
        <w:t>日提交召集人；召集人对于临时提案应当最迟在大会召开日前</w:t>
      </w:r>
      <w:r w:rsidRPr="00456512">
        <w:rPr>
          <w:rFonts w:asciiTheme="minorEastAsia" w:eastAsiaTheme="minorEastAsia" w:hAnsiTheme="minorEastAsia"/>
        </w:rPr>
        <w:t>10</w:t>
      </w:r>
      <w:r w:rsidRPr="00456512">
        <w:rPr>
          <w:rFonts w:asciiTheme="minorEastAsia" w:eastAsiaTheme="minorEastAsia" w:hAnsiTheme="minorEastAsia" w:hint="eastAsia"/>
        </w:rPr>
        <w:t>日公告，</w:t>
      </w:r>
      <w:r w:rsidRPr="00456512">
        <w:rPr>
          <w:rFonts w:asciiTheme="minorEastAsia" w:eastAsiaTheme="minorEastAsia" w:hAnsiTheme="minorEastAsia"/>
        </w:rPr>
        <w:t>否则会议的召开日期应当顺延并保证至少有10天的间隔期。</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3）</w:t>
      </w:r>
      <w:r w:rsidRPr="00456512">
        <w:rPr>
          <w:rFonts w:asciiTheme="minorEastAsia" w:eastAsiaTheme="minorEastAsia" w:hAnsiTheme="minorEastAsia"/>
        </w:rPr>
        <w:t>基金持有人大会的召集人发出召集会议的通知后，对原有提案的修改应当在基金持有人大会召开日前10天公告，否则会议的召开日期应当顺延并保证至少有10天的间隔期。</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4）</w:t>
      </w:r>
      <w:r w:rsidRPr="00456512">
        <w:rPr>
          <w:rFonts w:asciiTheme="minorEastAsia" w:eastAsiaTheme="minorEastAsia" w:hAnsiTheme="minorEastAsia"/>
        </w:rPr>
        <w:t>基金持有人大会不得对未事先公告的议事内容进行表决。</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（2）议事程序</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1)</w:t>
      </w:r>
      <w:r w:rsidRPr="00456512">
        <w:rPr>
          <w:rFonts w:asciiTheme="minorEastAsia" w:eastAsiaTheme="minorEastAsia" w:hAnsiTheme="minorEastAsia" w:hint="eastAsia"/>
        </w:rPr>
        <w:t>现场开会</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在现场开会的方式下</w:t>
      </w:r>
      <w:r w:rsidRPr="00456512">
        <w:rPr>
          <w:rFonts w:asciiTheme="minorEastAsia" w:eastAsiaTheme="minorEastAsia" w:hAnsiTheme="minorEastAsia"/>
        </w:rPr>
        <w:t>,</w:t>
      </w:r>
      <w:r w:rsidRPr="00456512">
        <w:rPr>
          <w:rFonts w:asciiTheme="minorEastAsia" w:eastAsiaTheme="minorEastAsia" w:hAnsiTheme="minorEastAsia" w:hint="eastAsia"/>
        </w:rPr>
        <w:t>首先由大会主持人按照规定程序宣布会议议事程序及注意事项</w:t>
      </w:r>
      <w:r w:rsidRPr="00456512">
        <w:rPr>
          <w:rFonts w:asciiTheme="minorEastAsia" w:eastAsiaTheme="minorEastAsia" w:hAnsiTheme="minorEastAsia"/>
        </w:rPr>
        <w:t>,</w:t>
      </w:r>
      <w:r w:rsidRPr="00456512">
        <w:rPr>
          <w:rFonts w:asciiTheme="minorEastAsia" w:eastAsiaTheme="minorEastAsia" w:hAnsiTheme="minorEastAsia" w:hint="eastAsia"/>
        </w:rPr>
        <w:t>确定和公布监票人</w:t>
      </w:r>
      <w:r w:rsidRPr="00456512">
        <w:rPr>
          <w:rFonts w:asciiTheme="minorEastAsia" w:eastAsiaTheme="minorEastAsia" w:hAnsiTheme="minorEastAsia"/>
        </w:rPr>
        <w:t>,</w:t>
      </w:r>
      <w:r w:rsidRPr="00456512">
        <w:rPr>
          <w:rFonts w:asciiTheme="minorEastAsia" w:eastAsiaTheme="minorEastAsia" w:hAnsiTheme="minorEastAsia" w:hint="eastAsia"/>
        </w:rPr>
        <w:t>然后由大会主持人宣读提案</w:t>
      </w:r>
      <w:r w:rsidRPr="00456512">
        <w:rPr>
          <w:rFonts w:asciiTheme="minorEastAsia" w:eastAsiaTheme="minorEastAsia" w:hAnsiTheme="minorEastAsia"/>
        </w:rPr>
        <w:t>,</w:t>
      </w:r>
      <w:r w:rsidRPr="00456512">
        <w:rPr>
          <w:rFonts w:asciiTheme="minorEastAsia" w:eastAsiaTheme="minorEastAsia" w:hAnsiTheme="minorEastAsia" w:hint="eastAsia"/>
        </w:rPr>
        <w:t>经讨论后进行表决，经律师见证或公证员公证后形成大会决议。</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基金持有人大会由基金管理人授权代表主持。在基金管理人授权代表未能主持大会的情况下</w:t>
      </w:r>
      <w:r w:rsidRPr="00456512">
        <w:rPr>
          <w:rFonts w:asciiTheme="minorEastAsia" w:eastAsiaTheme="minorEastAsia" w:hAnsiTheme="minorEastAsia"/>
        </w:rPr>
        <w:t>,</w:t>
      </w:r>
      <w:r w:rsidRPr="00456512">
        <w:rPr>
          <w:rFonts w:asciiTheme="minorEastAsia" w:eastAsiaTheme="minorEastAsia" w:hAnsiTheme="minorEastAsia" w:hint="eastAsia"/>
        </w:rPr>
        <w:t>由基金托管人授权代表主持；如果基金管理人和基金托管人授权代表均未能主持大会，则由出席大会的基金持有人或其代理人以所代表的基金份额</w:t>
      </w:r>
      <w:r w:rsidRPr="00456512">
        <w:rPr>
          <w:rFonts w:asciiTheme="minorEastAsia" w:eastAsiaTheme="minorEastAsia" w:hAnsiTheme="minorEastAsia"/>
        </w:rPr>
        <w:t>50%</w:t>
      </w:r>
      <w:r w:rsidRPr="00456512">
        <w:rPr>
          <w:rFonts w:asciiTheme="minorEastAsia" w:eastAsiaTheme="minorEastAsia" w:hAnsiTheme="minorEastAsia" w:hint="eastAsia"/>
        </w:rPr>
        <w:t>以上多数</w:t>
      </w:r>
      <w:r w:rsidRPr="00456512">
        <w:rPr>
          <w:rFonts w:asciiTheme="minorEastAsia" w:eastAsiaTheme="minorEastAsia" w:hAnsiTheme="minorEastAsia"/>
        </w:rPr>
        <w:t>(</w:t>
      </w:r>
      <w:r w:rsidRPr="00456512">
        <w:rPr>
          <w:rFonts w:asciiTheme="minorEastAsia" w:eastAsiaTheme="minorEastAsia" w:hAnsiTheme="minorEastAsia" w:hint="eastAsia"/>
        </w:rPr>
        <w:t>不含</w:t>
      </w:r>
      <w:r w:rsidRPr="00456512">
        <w:rPr>
          <w:rFonts w:asciiTheme="minorEastAsia" w:eastAsiaTheme="minorEastAsia" w:hAnsiTheme="minorEastAsia"/>
        </w:rPr>
        <w:t>50%)</w:t>
      </w:r>
      <w:r w:rsidRPr="00456512">
        <w:rPr>
          <w:rFonts w:asciiTheme="minorEastAsia" w:eastAsiaTheme="minorEastAsia" w:hAnsiTheme="minorEastAsia" w:hint="eastAsia"/>
        </w:rPr>
        <w:t>选举产生一名代表作为该次基金持有人大会的主持人。</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rPr>
        <w:t>召集人应当制作出席会议人员的签名册。签名册载明参加会议人员姓名</w:t>
      </w:r>
      <w:r w:rsidRPr="00456512">
        <w:rPr>
          <w:rFonts w:asciiTheme="minorEastAsia" w:eastAsiaTheme="minorEastAsia" w:hAnsiTheme="minorEastAsia"/>
        </w:rPr>
        <w:t>(</w:t>
      </w:r>
      <w:r w:rsidRPr="00456512">
        <w:rPr>
          <w:rFonts w:asciiTheme="minorEastAsia" w:eastAsiaTheme="minorEastAsia" w:hAnsiTheme="minorEastAsia" w:hint="eastAsia"/>
        </w:rPr>
        <w:t>或单位名称</w:t>
      </w:r>
      <w:r w:rsidRPr="00456512">
        <w:rPr>
          <w:rFonts w:asciiTheme="minorEastAsia" w:eastAsiaTheme="minorEastAsia" w:hAnsiTheme="minorEastAsia"/>
        </w:rPr>
        <w:t>)</w:t>
      </w:r>
      <w:r w:rsidRPr="00456512">
        <w:rPr>
          <w:rFonts w:asciiTheme="minorEastAsia" w:eastAsiaTheme="minorEastAsia" w:hAnsiTheme="minorEastAsia" w:hint="eastAsia"/>
        </w:rPr>
        <w:t>、身份证号码、住所地址、持有或者代表有表决权的基金份额、委托人姓名</w:t>
      </w:r>
      <w:r w:rsidRPr="00456512">
        <w:rPr>
          <w:rFonts w:asciiTheme="minorEastAsia" w:eastAsiaTheme="minorEastAsia" w:hAnsiTheme="minorEastAsia"/>
        </w:rPr>
        <w:t>(</w:t>
      </w:r>
      <w:r w:rsidRPr="00456512">
        <w:rPr>
          <w:rFonts w:asciiTheme="minorEastAsia" w:eastAsiaTheme="minorEastAsia" w:hAnsiTheme="minorEastAsia" w:hint="eastAsia"/>
        </w:rPr>
        <w:t>或单位名称</w:t>
      </w:r>
      <w:r w:rsidRPr="00456512">
        <w:rPr>
          <w:rFonts w:asciiTheme="minorEastAsia" w:eastAsiaTheme="minorEastAsia" w:hAnsiTheme="minorEastAsia"/>
        </w:rPr>
        <w:t>)</w:t>
      </w:r>
      <w:r w:rsidRPr="00456512">
        <w:rPr>
          <w:rFonts w:asciiTheme="minorEastAsia" w:eastAsiaTheme="minorEastAsia" w:hAnsiTheme="minorEastAsia" w:hint="eastAsia"/>
        </w:rPr>
        <w:t>等事项。</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2）通讯方式开会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rPr>
        <w:t>在通讯方式开会的情况下，</w:t>
      </w:r>
      <w:r w:rsidRPr="00456512">
        <w:rPr>
          <w:rFonts w:asciiTheme="minorEastAsia" w:eastAsiaTheme="minorEastAsia" w:hAnsiTheme="minorEastAsia"/>
        </w:rPr>
        <w:t>公告会议通知时应当同时公布提案</w:t>
      </w:r>
      <w:r w:rsidRPr="00456512">
        <w:rPr>
          <w:rFonts w:asciiTheme="minorEastAsia" w:eastAsiaTheme="minorEastAsia" w:hAnsiTheme="minorEastAsia" w:hint="eastAsia"/>
        </w:rPr>
        <w:t>；在通知载明的表决截止日期后第二天在公证机构监督下统计全部有效表决，形成决议，报中国证监会备案。</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7</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表决</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（1）基金持有人所持每一份基金份额具有一票表决权，基金持有人可以委托代理人出席基金持有人大会并行使表决权；</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（2）基金持有人大会决议分为一般决议和特别决议。</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1）一般决议</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一般决议须经参加会议的基金持有人或其代理人所持表决权的50％以上通过方为有效。</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除下列2）所规定的须以特别决议通过的事项以外的其他事项均应以一般决议的方式通过。法律法规另有规定时从其规定。</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2）特别决议</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须经基金持有人大会通过的特别决议应当经参加会议的基金持有人或其代理人所持表决权的三分之二以上通过方为有效。涉及转换本基金运作方式、本基金合同终止、更换基金管理人、更换基金托管人等事由必须以特别决议通过方为有效。</w:t>
      </w:r>
    </w:p>
    <w:p w:rsidR="001D2E2F" w:rsidRPr="00456512" w:rsidRDefault="001D2E2F" w:rsidP="00084917">
      <w:pPr>
        <w:snapToGrid w:val="0"/>
        <w:spacing w:line="360" w:lineRule="auto"/>
        <w:ind w:firstLineChars="200" w:firstLine="420"/>
        <w:rPr>
          <w:rFonts w:asciiTheme="minorEastAsia" w:eastAsiaTheme="minorEastAsia" w:hAnsiTheme="minorEastAsia"/>
          <w:b/>
        </w:rPr>
      </w:pPr>
      <w:r w:rsidRPr="00456512">
        <w:rPr>
          <w:rFonts w:asciiTheme="minorEastAsia" w:eastAsiaTheme="minorEastAsia" w:hAnsiTheme="minorEastAsia" w:hint="eastAsia"/>
        </w:rPr>
        <w:t>（3）与某一表决事项有利害关系的基金持有人不得就该事项行使表决权；该基金持有人持有的基金份额所代表的表决权份额不计入有效的表决权总额；但是，上述有利害关系的基金持有人所代表的基金份额仍应计算入出席基金份额持有人大会之基金持有人及代理人所代表的基金份额总数。</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（4）基金持有人大会采取记名方式进行投票表决。</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（5）采取书面通讯方式进行表决时，除非在计票时有充分的相反证据证明，否则表面符合法律、法规和会议通知规定的书面表决意见即视为有效的表决；表决意见模糊不清或相互矛盾的视为无效表决。</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rPr>
        <w:t>（6）基金持有人大会的各项提案或同一项提案内并列的各项议题应当分开审议、逐项表决。</w:t>
      </w:r>
    </w:p>
    <w:p w:rsidR="001D2E2F" w:rsidRPr="00456512" w:rsidRDefault="00D759DD"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8、</w:t>
      </w:r>
      <w:r w:rsidR="001D2E2F" w:rsidRPr="00456512">
        <w:rPr>
          <w:rFonts w:asciiTheme="minorEastAsia" w:eastAsiaTheme="minorEastAsia" w:hAnsiTheme="minorEastAsia" w:hint="eastAsia"/>
        </w:rPr>
        <w:t>计票</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szCs w:val="21"/>
        </w:rPr>
        <w:t>（1）</w:t>
      </w:r>
      <w:r w:rsidRPr="00456512">
        <w:rPr>
          <w:rFonts w:asciiTheme="minorEastAsia" w:eastAsiaTheme="minorEastAsia" w:hAnsiTheme="minorEastAsia" w:hint="eastAsia"/>
        </w:rPr>
        <w:t>现场开会</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1)</w:t>
      </w:r>
      <w:r w:rsidRPr="00456512">
        <w:rPr>
          <w:rFonts w:asciiTheme="minorEastAsia" w:eastAsiaTheme="minorEastAsia" w:hAnsiTheme="minorEastAsia" w:hint="eastAsia"/>
        </w:rPr>
        <w:t>如基金持有人大会由基金管理人或基金托管人召集</w:t>
      </w:r>
      <w:r w:rsidRPr="00456512">
        <w:rPr>
          <w:rFonts w:asciiTheme="minorEastAsia" w:eastAsiaTheme="minorEastAsia" w:hAnsiTheme="minorEastAsia"/>
        </w:rPr>
        <w:t>,</w:t>
      </w:r>
      <w:r w:rsidRPr="00456512">
        <w:rPr>
          <w:rFonts w:asciiTheme="minorEastAsia" w:eastAsiaTheme="minorEastAsia" w:hAnsiTheme="minorEastAsia" w:hint="eastAsia"/>
        </w:rPr>
        <w:t>则基金持有人大会的主持人应当在会议开始后宣布在出席会议的基金持有人和代理人中选举两名代表与大会召集人授权的一名监督员共同担任监票人；如大会由基金持有人自行召集</w:t>
      </w:r>
      <w:r w:rsidRPr="00456512">
        <w:rPr>
          <w:rFonts w:asciiTheme="minorEastAsia" w:eastAsiaTheme="minorEastAsia" w:hAnsiTheme="minorEastAsia"/>
        </w:rPr>
        <w:t>,</w:t>
      </w:r>
      <w:r w:rsidRPr="00456512">
        <w:rPr>
          <w:rFonts w:asciiTheme="minorEastAsia" w:eastAsiaTheme="minorEastAsia" w:hAnsiTheme="minorEastAsia" w:hint="eastAsia"/>
        </w:rPr>
        <w:t>基金持有人大会的主持人应当在会议开始后宣布在出席会议的基金持有人和代理人中选举三名代表担任监票人。</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2)</w:t>
      </w:r>
      <w:r w:rsidRPr="00456512">
        <w:rPr>
          <w:rFonts w:asciiTheme="minorEastAsia" w:eastAsiaTheme="minorEastAsia" w:hAnsiTheme="minorEastAsia" w:hint="eastAsia"/>
        </w:rPr>
        <w:t>监票人应当在基金持有人表决后立即进行清点并由大会主持人当场公布计票结果。</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rPr>
        <w:t>3)</w:t>
      </w:r>
      <w:r w:rsidRPr="00456512">
        <w:rPr>
          <w:rFonts w:asciiTheme="minorEastAsia" w:eastAsiaTheme="minorEastAsia" w:hAnsiTheme="minorEastAsia" w:hint="eastAsia"/>
        </w:rPr>
        <w:t>如果大会主持人对于提交的表决结果有怀疑</w:t>
      </w:r>
      <w:r w:rsidRPr="00456512">
        <w:rPr>
          <w:rFonts w:asciiTheme="minorEastAsia" w:eastAsiaTheme="minorEastAsia" w:hAnsiTheme="minorEastAsia"/>
        </w:rPr>
        <w:t>,</w:t>
      </w:r>
      <w:r w:rsidRPr="00456512">
        <w:rPr>
          <w:rFonts w:asciiTheme="minorEastAsia" w:eastAsiaTheme="minorEastAsia" w:hAnsiTheme="minorEastAsia" w:hint="eastAsia"/>
        </w:rPr>
        <w:t>可以对所投票数进行重新清点；如果大会主持人未进行重新清点</w:t>
      </w:r>
      <w:r w:rsidRPr="00456512">
        <w:rPr>
          <w:rFonts w:asciiTheme="minorEastAsia" w:eastAsiaTheme="minorEastAsia" w:hAnsiTheme="minorEastAsia"/>
        </w:rPr>
        <w:t>,</w:t>
      </w:r>
      <w:r w:rsidRPr="00456512">
        <w:rPr>
          <w:rFonts w:asciiTheme="minorEastAsia" w:eastAsiaTheme="minorEastAsia" w:hAnsiTheme="minorEastAsia" w:hint="eastAsia"/>
        </w:rPr>
        <w:t>而出席会议的基金持有人或者代理人对大会主持人宣布的表决结果有异议</w:t>
      </w:r>
      <w:r w:rsidRPr="00456512">
        <w:rPr>
          <w:rFonts w:asciiTheme="minorEastAsia" w:eastAsiaTheme="minorEastAsia" w:hAnsiTheme="minorEastAsia"/>
        </w:rPr>
        <w:t>,</w:t>
      </w:r>
      <w:r w:rsidRPr="00456512">
        <w:rPr>
          <w:rFonts w:asciiTheme="minorEastAsia" w:eastAsiaTheme="minorEastAsia" w:hAnsiTheme="minorEastAsia" w:hint="eastAsia"/>
        </w:rPr>
        <w:t>有权在宣布表决结果后立即要求重新清点</w:t>
      </w:r>
      <w:r w:rsidRPr="00456512">
        <w:rPr>
          <w:rFonts w:asciiTheme="minorEastAsia" w:eastAsiaTheme="minorEastAsia" w:hAnsiTheme="minorEastAsia"/>
        </w:rPr>
        <w:t>,</w:t>
      </w:r>
      <w:r w:rsidRPr="00456512">
        <w:rPr>
          <w:rFonts w:asciiTheme="minorEastAsia" w:eastAsiaTheme="minorEastAsia" w:hAnsiTheme="minorEastAsia" w:hint="eastAsia"/>
        </w:rPr>
        <w:t>大会主持人应当立即重新清点并公布重新清点结果。</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szCs w:val="21"/>
        </w:rPr>
        <w:t>（2）</w:t>
      </w:r>
      <w:r w:rsidRPr="00456512">
        <w:rPr>
          <w:rFonts w:asciiTheme="minorEastAsia" w:eastAsiaTheme="minorEastAsia" w:hAnsiTheme="minorEastAsia" w:hint="eastAsia"/>
        </w:rPr>
        <w:t>通讯方式开会</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在通讯方式开会的情况下</w:t>
      </w:r>
      <w:r w:rsidRPr="00456512">
        <w:rPr>
          <w:rFonts w:asciiTheme="minorEastAsia" w:eastAsiaTheme="minorEastAsia" w:hAnsiTheme="minorEastAsia"/>
        </w:rPr>
        <w:t>,</w:t>
      </w:r>
      <w:r w:rsidRPr="00456512">
        <w:rPr>
          <w:rFonts w:asciiTheme="minorEastAsia" w:eastAsiaTheme="minorEastAsia" w:hAnsiTheme="minorEastAsia" w:hint="eastAsia"/>
        </w:rPr>
        <w:t>计票方式为：由大会召集人授权的两名监督员在基金托管人授权代表的监督下进行计票</w:t>
      </w:r>
      <w:r w:rsidRPr="00456512">
        <w:rPr>
          <w:rFonts w:asciiTheme="minorEastAsia" w:eastAsiaTheme="minorEastAsia" w:hAnsiTheme="minorEastAsia"/>
        </w:rPr>
        <w:t>,</w:t>
      </w:r>
      <w:r w:rsidRPr="00456512">
        <w:rPr>
          <w:rFonts w:asciiTheme="minorEastAsia" w:eastAsiaTheme="minorEastAsia" w:hAnsiTheme="minorEastAsia" w:hint="eastAsia"/>
        </w:rPr>
        <w:t>并由公证机关对其计票过程予以公证。</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szCs w:val="21"/>
        </w:rPr>
        <w:t>9</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szCs w:val="21"/>
        </w:rPr>
        <w:t>生效与公告</w:t>
      </w:r>
    </w:p>
    <w:p w:rsidR="001D2E2F" w:rsidRPr="00456512" w:rsidRDefault="001D2E2F" w:rsidP="00084917">
      <w:pPr>
        <w:snapToGrid w:val="0"/>
        <w:spacing w:line="360" w:lineRule="auto"/>
        <w:ind w:firstLineChars="200" w:firstLine="420"/>
        <w:rPr>
          <w:rFonts w:asciiTheme="minorEastAsia" w:eastAsiaTheme="minorEastAsia" w:hAnsiTheme="minorEastAsia"/>
          <w:szCs w:val="18"/>
        </w:rPr>
      </w:pPr>
      <w:r w:rsidRPr="00456512">
        <w:rPr>
          <w:rFonts w:asciiTheme="minorEastAsia" w:eastAsiaTheme="minorEastAsia" w:hAnsiTheme="minorEastAsia" w:hint="eastAsia"/>
          <w:szCs w:val="18"/>
        </w:rPr>
        <w:lastRenderedPageBreak/>
        <w:t>基金持有人大会决议事项自通过之日起五日内报中国证监会核准或备案，经中国证监会依法核准或者出具无异议意见之日起生效。</w:t>
      </w:r>
    </w:p>
    <w:p w:rsidR="001D2E2F" w:rsidRPr="00456512" w:rsidRDefault="001D2E2F" w:rsidP="00084917">
      <w:pPr>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szCs w:val="18"/>
        </w:rPr>
        <w:t>基金管理人、基金托管人和基金份额持有人应当执行生效的基金份额持有人大会的决定。</w:t>
      </w:r>
      <w:r w:rsidRPr="00456512">
        <w:rPr>
          <w:rFonts w:asciiTheme="minorEastAsia" w:eastAsiaTheme="minorEastAsia" w:hAnsiTheme="minorEastAsia" w:hint="eastAsia"/>
        </w:rPr>
        <w:t>生效的基金持有人大会决议应</w:t>
      </w:r>
      <w:r w:rsidRPr="00456512">
        <w:rPr>
          <w:rFonts w:asciiTheme="minorEastAsia" w:eastAsiaTheme="minorEastAsia" w:hAnsiTheme="minorEastAsia"/>
        </w:rPr>
        <w:t>在</w:t>
      </w:r>
      <w:r w:rsidR="008B3426" w:rsidRPr="00456512">
        <w:rPr>
          <w:rFonts w:asciiTheme="minorEastAsia" w:eastAsiaTheme="minorEastAsia" w:hAnsiTheme="minorEastAsia" w:hint="eastAsia"/>
        </w:rPr>
        <w:t>指定媒介</w:t>
      </w:r>
      <w:r w:rsidRPr="00456512">
        <w:rPr>
          <w:rFonts w:asciiTheme="minorEastAsia" w:eastAsiaTheme="minorEastAsia" w:hAnsiTheme="minorEastAsia" w:hint="eastAsia"/>
        </w:rPr>
        <w:t>上公告。</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基金合同的终止</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出现下列情形之一的，经中国证监会批准后基金合同终止：</w:t>
      </w:r>
    </w:p>
    <w:p w:rsidR="001D2E2F" w:rsidRPr="00456512"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1、</w:t>
      </w:r>
      <w:r w:rsidR="001D2E2F" w:rsidRPr="00456512">
        <w:rPr>
          <w:rFonts w:asciiTheme="minorEastAsia" w:eastAsiaTheme="minorEastAsia" w:hAnsiTheme="minorEastAsia" w:hint="eastAsia"/>
          <w:szCs w:val="21"/>
        </w:rPr>
        <w:t>存续期间内，基金持有人数量连续60个工作日达不到200人，或连续60个工作日基金资产净值低于人民币5000万元，基金管理人将宣布本基金合同终止；</w:t>
      </w:r>
    </w:p>
    <w:p w:rsidR="001D2E2F" w:rsidRPr="00456512"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2、</w:t>
      </w:r>
      <w:r w:rsidR="001D2E2F" w:rsidRPr="00456512">
        <w:rPr>
          <w:rFonts w:asciiTheme="minorEastAsia" w:eastAsiaTheme="minorEastAsia" w:hAnsiTheme="minorEastAsia" w:hint="eastAsia"/>
          <w:szCs w:val="21"/>
        </w:rPr>
        <w:t>经基金持有人大会表决终止的；</w:t>
      </w:r>
    </w:p>
    <w:p w:rsidR="001D2E2F" w:rsidRPr="00456512" w:rsidRDefault="00D759DD" w:rsidP="000849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3、</w:t>
      </w:r>
      <w:r w:rsidR="001D2E2F" w:rsidRPr="00456512">
        <w:rPr>
          <w:rFonts w:asciiTheme="minorEastAsia" w:eastAsiaTheme="minorEastAsia" w:hAnsiTheme="minorEastAsia" w:hint="eastAsia"/>
          <w:szCs w:val="21"/>
        </w:rPr>
        <w:t>因重大违法、违规行为，被中国证监会责令终止的；</w:t>
      </w:r>
    </w:p>
    <w:p w:rsidR="001D2E2F" w:rsidRPr="00456512"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4、</w:t>
      </w:r>
      <w:r w:rsidR="001D2E2F" w:rsidRPr="00456512">
        <w:rPr>
          <w:rFonts w:asciiTheme="minorEastAsia" w:eastAsiaTheme="minorEastAsia" w:hAnsiTheme="minorEastAsia" w:hint="eastAsia"/>
          <w:szCs w:val="21"/>
        </w:rPr>
        <w:t>基金管理人因解散、破产、撤销、丧失基金管理资格、停止营业等事由，不能继续担任本基金管理人的职务，而无其它基金管理公司承受其原有权利及义务；</w:t>
      </w:r>
    </w:p>
    <w:p w:rsidR="001D2E2F" w:rsidRPr="00456512"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5、</w:t>
      </w:r>
      <w:r w:rsidR="001D2E2F" w:rsidRPr="00456512">
        <w:rPr>
          <w:rFonts w:asciiTheme="minorEastAsia" w:eastAsiaTheme="minorEastAsia" w:hAnsiTheme="minorEastAsia" w:hint="eastAsia"/>
          <w:szCs w:val="21"/>
        </w:rPr>
        <w:t>基金托管人因解散、破产、撤销、丧失基金托管资格、停止营业等事由，不能继续担任本基金托管人的职务，而无其它托管机构承受其原有权利及义务；</w:t>
      </w:r>
    </w:p>
    <w:p w:rsidR="001D2E2F" w:rsidRPr="00456512" w:rsidRDefault="00D759DD" w:rsidP="00084917">
      <w:pPr>
        <w:autoSpaceDE w:val="0"/>
        <w:autoSpaceDN w:val="0"/>
        <w:snapToGrid w:val="0"/>
        <w:spacing w:line="360" w:lineRule="auto"/>
        <w:ind w:right="-332" w:firstLineChars="200" w:firstLine="420"/>
        <w:textAlignment w:val="bottom"/>
        <w:rPr>
          <w:rFonts w:asciiTheme="minorEastAsia" w:eastAsiaTheme="minorEastAsia" w:hAnsiTheme="minorEastAsia"/>
          <w:szCs w:val="21"/>
        </w:rPr>
      </w:pPr>
      <w:r w:rsidRPr="00456512">
        <w:rPr>
          <w:rFonts w:asciiTheme="minorEastAsia" w:eastAsiaTheme="minorEastAsia" w:hAnsiTheme="minorEastAsia" w:hint="eastAsia"/>
          <w:szCs w:val="21"/>
        </w:rPr>
        <w:t>6、</w:t>
      </w:r>
      <w:r w:rsidR="001D2E2F" w:rsidRPr="00456512">
        <w:rPr>
          <w:rFonts w:asciiTheme="minorEastAsia" w:eastAsiaTheme="minorEastAsia" w:hAnsiTheme="minorEastAsia" w:hint="eastAsia"/>
          <w:szCs w:val="21"/>
        </w:rPr>
        <w:t>法律法规和中国证监会规定的其他事由。</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基金合同终止后，基金管理人和基金托管人依照《信托法》、《试点办法》、《基金合同》及其他有关规定，行使请求给付报酬、从基金资产中获得补偿的权利时，可以留置基金资产或者对基金资产的权利归属人提出请求。</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争议的处理</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基金发起人、基金管理人、基金托管人之间因本《基金合同》产生的或与本《基金合同》有关的争议可首先通过友好协商解决，自一方书面要求协商解决争议之日起60日内如果争议未能以协商方式解决，则任何一方有权将争议提交中国国际经济贸易仲裁委员会根据提交仲裁时该会的仲裁规则进行仲裁。仲裁裁决是终局的，对仲裁各方当事人均具有约束力。除提交仲裁的争议之外，各方当事人仍应履行本《基金合同》的其他规定。</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szCs w:val="21"/>
        </w:rPr>
        <w:t>基金持有人或基金投资者作为一方当事人与基金发起人、基金管理人、基金托管人的一方或数方作为另一方当事人之间发生争议，首先通过友好协商解决，自一方书面要求协商解决争议之日起60日内如果争议未能以协商方式解决，则任何一方有权向有管辖权的人民法院起诉，也可将事后达成的仲裁协议向仲裁机构申请仲裁。</w:t>
      </w:r>
    </w:p>
    <w:p w:rsidR="001D2E2F" w:rsidRPr="00456512" w:rsidRDefault="001D2E2F" w:rsidP="007F114F">
      <w:pPr>
        <w:numPr>
          <w:ilvl w:val="0"/>
          <w:numId w:val="30"/>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基金合同存放地和投资者取得基金合同的方式</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szCs w:val="21"/>
        </w:rPr>
        <w:t>本《基金合同》可印制成册，供投资者在基金管理人、基金托管人、代销机构办公场所查阅；投资者也可在支付一定工本费后获得本《基金合同》复印件或复制件，但应以《基金合同》正本为准。</w:t>
      </w:r>
    </w:p>
    <w:p w:rsidR="001D2E2F" w:rsidRPr="00456512" w:rsidRDefault="001D2E2F" w:rsidP="00084917">
      <w:pPr>
        <w:snapToGrid w:val="0"/>
        <w:spacing w:line="360" w:lineRule="auto"/>
        <w:ind w:firstLine="420"/>
        <w:rPr>
          <w:rFonts w:asciiTheme="minorEastAsia" w:eastAsiaTheme="minorEastAsia" w:hAnsiTheme="minorEastAsia"/>
          <w:szCs w:val="21"/>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bCs/>
        </w:rPr>
      </w:pPr>
      <w:bookmarkStart w:id="1580" w:name="_Toc92774765"/>
      <w:bookmarkStart w:id="1581" w:name="_Toc30161831"/>
      <w:r w:rsidRPr="00456512">
        <w:rPr>
          <w:rFonts w:asciiTheme="minorEastAsia" w:eastAsiaTheme="minorEastAsia" w:hAnsiTheme="minorEastAsia" w:hint="eastAsia"/>
          <w:b/>
          <w:bCs/>
        </w:rPr>
        <w:lastRenderedPageBreak/>
        <w:t>十九、基金托管协议的内容摘要</w:t>
      </w:r>
      <w:bookmarkEnd w:id="1580"/>
      <w:bookmarkEnd w:id="1581"/>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托管协议当事人</w:t>
      </w:r>
    </w:p>
    <w:p w:rsidR="001D2E2F" w:rsidRPr="00456512" w:rsidRDefault="00D759DD" w:rsidP="00D759DD">
      <w:pPr>
        <w:snapToGrid w:val="0"/>
        <w:spacing w:line="360" w:lineRule="auto"/>
        <w:ind w:left="422" w:right="26"/>
        <w:rPr>
          <w:rFonts w:asciiTheme="minorEastAsia" w:eastAsiaTheme="minorEastAsia" w:hAnsiTheme="minorEastAsia"/>
          <w:b/>
          <w:bCs/>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基金管理人（或简称“管理人”）</w:t>
      </w:r>
    </w:p>
    <w:p w:rsidR="001D2E2F" w:rsidRPr="00456512" w:rsidRDefault="001D2E2F" w:rsidP="00084917">
      <w:pPr>
        <w:snapToGrid w:val="0"/>
        <w:spacing w:line="360" w:lineRule="auto"/>
        <w:ind w:right="26" w:firstLineChars="192" w:firstLine="403"/>
        <w:rPr>
          <w:rFonts w:asciiTheme="minorEastAsia" w:eastAsiaTheme="minorEastAsia" w:hAnsiTheme="minorEastAsia"/>
        </w:rPr>
      </w:pPr>
      <w:r w:rsidRPr="00456512">
        <w:rPr>
          <w:rFonts w:asciiTheme="minorEastAsia" w:eastAsiaTheme="minorEastAsia" w:hAnsiTheme="minorEastAsia" w:hint="eastAsia"/>
        </w:rPr>
        <w:t>名称：易方达基金管理有限公司</w:t>
      </w:r>
    </w:p>
    <w:p w:rsidR="001D2E2F" w:rsidRPr="00456512" w:rsidRDefault="001D2E2F" w:rsidP="00084917">
      <w:pPr>
        <w:snapToGrid w:val="0"/>
        <w:spacing w:line="360" w:lineRule="auto"/>
        <w:ind w:right="26" w:firstLineChars="192" w:firstLine="403"/>
        <w:rPr>
          <w:rFonts w:asciiTheme="minorEastAsia" w:eastAsiaTheme="minorEastAsia" w:hAnsiTheme="minorEastAsia"/>
        </w:rPr>
      </w:pPr>
      <w:r w:rsidRPr="00456512">
        <w:rPr>
          <w:rFonts w:asciiTheme="minorEastAsia" w:eastAsiaTheme="minorEastAsia" w:hAnsiTheme="minorEastAsia" w:hint="eastAsia"/>
        </w:rPr>
        <w:t>地址：广州市</w:t>
      </w:r>
      <w:r w:rsidR="00D37056" w:rsidRPr="00456512">
        <w:rPr>
          <w:rFonts w:asciiTheme="minorEastAsia" w:eastAsiaTheme="minorEastAsia" w:hAnsiTheme="minorEastAsia" w:hint="eastAsia"/>
        </w:rPr>
        <w:t>天河区珠江新城珠江东路30号广州银行大厦40-43楼</w:t>
      </w:r>
    </w:p>
    <w:p w:rsidR="001D2E2F" w:rsidRPr="00456512" w:rsidRDefault="001D2E2F" w:rsidP="00084917">
      <w:pPr>
        <w:snapToGrid w:val="0"/>
        <w:spacing w:line="360" w:lineRule="auto"/>
        <w:ind w:right="26" w:firstLineChars="192" w:firstLine="403"/>
        <w:rPr>
          <w:rFonts w:asciiTheme="minorEastAsia" w:eastAsiaTheme="minorEastAsia" w:hAnsiTheme="minorEastAsia"/>
        </w:rPr>
      </w:pPr>
      <w:r w:rsidRPr="00456512">
        <w:rPr>
          <w:rFonts w:asciiTheme="minorEastAsia" w:eastAsiaTheme="minorEastAsia" w:hAnsiTheme="minorEastAsia" w:hint="eastAsia"/>
        </w:rPr>
        <w:t>法定代表人:</w:t>
      </w:r>
      <w:r w:rsidR="00AC7228" w:rsidRPr="00456512">
        <w:rPr>
          <w:rFonts w:asciiTheme="minorEastAsia" w:eastAsiaTheme="minorEastAsia" w:hAnsiTheme="minorEastAsia" w:hint="eastAsia"/>
        </w:rPr>
        <w:t>刘晓艳</w:t>
      </w:r>
    </w:p>
    <w:p w:rsidR="001D2E2F" w:rsidRPr="00456512" w:rsidRDefault="001D2E2F" w:rsidP="00084917">
      <w:pPr>
        <w:snapToGrid w:val="0"/>
        <w:spacing w:line="360" w:lineRule="auto"/>
        <w:ind w:right="26" w:firstLineChars="192" w:firstLine="403"/>
        <w:rPr>
          <w:rFonts w:asciiTheme="minorEastAsia" w:eastAsiaTheme="minorEastAsia" w:hAnsiTheme="minorEastAsia"/>
        </w:rPr>
      </w:pPr>
      <w:r w:rsidRPr="00456512">
        <w:rPr>
          <w:rFonts w:asciiTheme="minorEastAsia" w:eastAsiaTheme="minorEastAsia" w:hAnsiTheme="minorEastAsia" w:hint="eastAsia"/>
        </w:rPr>
        <w:t>注册资本：</w:t>
      </w:r>
      <w:r w:rsidR="000D1C2C" w:rsidRPr="00456512">
        <w:rPr>
          <w:rFonts w:asciiTheme="minorEastAsia" w:eastAsiaTheme="minorEastAsia" w:hAnsiTheme="minorEastAsia" w:hint="eastAsia"/>
        </w:rPr>
        <w:t>13,244.2万元人民币</w:t>
      </w:r>
    </w:p>
    <w:p w:rsidR="001D2E2F" w:rsidRPr="00456512" w:rsidRDefault="001D2E2F" w:rsidP="00084917">
      <w:pPr>
        <w:snapToGrid w:val="0"/>
        <w:spacing w:line="360" w:lineRule="auto"/>
        <w:ind w:right="26" w:firstLineChars="200" w:firstLine="420"/>
        <w:rPr>
          <w:rFonts w:asciiTheme="minorEastAsia" w:eastAsiaTheme="minorEastAsia" w:hAnsiTheme="minorEastAsia"/>
        </w:rPr>
      </w:pPr>
      <w:r w:rsidRPr="00456512">
        <w:rPr>
          <w:rFonts w:asciiTheme="minorEastAsia" w:eastAsiaTheme="minorEastAsia" w:hAnsiTheme="minorEastAsia" w:hint="eastAsia"/>
        </w:rPr>
        <w:t>经营范围：</w:t>
      </w:r>
      <w:r w:rsidR="001232E8" w:rsidRPr="00456512">
        <w:rPr>
          <w:rFonts w:asciiTheme="minorEastAsia" w:eastAsiaTheme="minorEastAsia" w:hAnsiTheme="minorEastAsia" w:hint="eastAsia"/>
        </w:rPr>
        <w:t>公开募集证券投资基金管理、基金销售、特定客户资产管理</w:t>
      </w:r>
    </w:p>
    <w:p w:rsidR="001D2E2F" w:rsidRPr="00456512" w:rsidRDefault="001D2E2F" w:rsidP="00084917">
      <w:pPr>
        <w:snapToGrid w:val="0"/>
        <w:spacing w:line="360" w:lineRule="auto"/>
        <w:ind w:right="26" w:firstLineChars="192" w:firstLine="403"/>
        <w:rPr>
          <w:rFonts w:asciiTheme="minorEastAsia" w:eastAsiaTheme="minorEastAsia" w:hAnsiTheme="minorEastAsia"/>
        </w:rPr>
      </w:pPr>
      <w:r w:rsidRPr="00456512">
        <w:rPr>
          <w:rFonts w:asciiTheme="minorEastAsia" w:eastAsiaTheme="minorEastAsia" w:hAnsiTheme="minorEastAsia" w:hint="eastAsia"/>
        </w:rPr>
        <w:t>组织形式</w:t>
      </w:r>
      <w:r w:rsidR="00D37056" w:rsidRPr="00456512">
        <w:rPr>
          <w:rFonts w:asciiTheme="minorEastAsia" w:eastAsiaTheme="minorEastAsia" w:hAnsiTheme="minorEastAsia" w:hint="eastAsia"/>
        </w:rPr>
        <w:t>：</w:t>
      </w:r>
      <w:r w:rsidRPr="00456512">
        <w:rPr>
          <w:rFonts w:asciiTheme="minorEastAsia" w:eastAsiaTheme="minorEastAsia" w:hAnsiTheme="minorEastAsia" w:hint="eastAsia"/>
        </w:rPr>
        <w:t>有限责任公司</w:t>
      </w:r>
    </w:p>
    <w:p w:rsidR="001D2E2F" w:rsidRPr="00456512" w:rsidRDefault="001D2E2F" w:rsidP="00084917">
      <w:pPr>
        <w:snapToGrid w:val="0"/>
        <w:spacing w:line="360" w:lineRule="auto"/>
        <w:ind w:right="26" w:firstLine="420"/>
        <w:rPr>
          <w:rFonts w:asciiTheme="minorEastAsia" w:eastAsiaTheme="minorEastAsia" w:hAnsiTheme="minorEastAsia"/>
        </w:rPr>
      </w:pPr>
      <w:r w:rsidRPr="00456512">
        <w:rPr>
          <w:rFonts w:asciiTheme="minorEastAsia" w:eastAsiaTheme="minorEastAsia" w:hAnsiTheme="minorEastAsia" w:hint="eastAsia"/>
        </w:rPr>
        <w:t>营业期限：持续经营</w:t>
      </w:r>
    </w:p>
    <w:p w:rsidR="001D2E2F" w:rsidRPr="00456512" w:rsidRDefault="00D759DD" w:rsidP="00D759DD">
      <w:pPr>
        <w:snapToGrid w:val="0"/>
        <w:spacing w:line="360" w:lineRule="auto"/>
        <w:ind w:left="422" w:right="26"/>
        <w:rPr>
          <w:rFonts w:asciiTheme="minorEastAsia" w:eastAsiaTheme="minorEastAsia" w:hAnsiTheme="minorEastAsia"/>
          <w:b/>
          <w:bCs/>
        </w:rPr>
      </w:pPr>
      <w:r w:rsidRPr="00456512">
        <w:rPr>
          <w:rFonts w:asciiTheme="minorEastAsia" w:eastAsiaTheme="minorEastAsia" w:hAnsiTheme="minorEastAsia" w:hint="eastAsia"/>
          <w:b/>
        </w:rPr>
        <w:t>2、</w:t>
      </w:r>
      <w:r w:rsidR="001D2E2F" w:rsidRPr="00456512">
        <w:rPr>
          <w:rFonts w:asciiTheme="minorEastAsia" w:eastAsiaTheme="minorEastAsia" w:hAnsiTheme="minorEastAsia" w:hint="eastAsia"/>
          <w:b/>
          <w:bCs/>
        </w:rPr>
        <w:t>基金托管人（或简称“托管人”）</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名称：中国银行股份有限公司</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住所：北京市西城区复兴门内大街1号</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法定代表人:</w:t>
      </w:r>
      <w:r w:rsidR="00E93563" w:rsidRPr="00456512">
        <w:rPr>
          <w:rFonts w:asciiTheme="minorEastAsia" w:eastAsiaTheme="minorEastAsia" w:hAnsiTheme="minorEastAsia" w:hint="eastAsia"/>
        </w:rPr>
        <w:t>刘连舸</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成立时间：1983年10月31日</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批准设立机关：中华人民共和国国家工商行政管理总局</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批准设立文号：1000001000134（营业执照号码）</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kern w:val="0"/>
        </w:rPr>
        <w:t>基金托管业务批准文号：中国证监会证监基字【1998】24号</w:t>
      </w:r>
    </w:p>
    <w:p w:rsidR="001D2E2F" w:rsidRPr="00456512" w:rsidRDefault="001D2E2F" w:rsidP="00084917">
      <w:pPr>
        <w:tabs>
          <w:tab w:val="left" w:pos="1110"/>
        </w:tabs>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组织形式：股份有限公司</w:t>
      </w:r>
    </w:p>
    <w:p w:rsidR="001D2E2F" w:rsidRPr="00456512" w:rsidRDefault="001D2E2F" w:rsidP="00084917">
      <w:pPr>
        <w:snapToGrid w:val="0"/>
        <w:spacing w:line="360" w:lineRule="auto"/>
        <w:ind w:right="26" w:firstLine="403"/>
        <w:rPr>
          <w:rFonts w:asciiTheme="minorEastAsia" w:eastAsiaTheme="minorEastAsia" w:hAnsiTheme="minorEastAsia"/>
        </w:rPr>
      </w:pPr>
      <w:r w:rsidRPr="00456512">
        <w:rPr>
          <w:rFonts w:asciiTheme="minorEastAsia" w:eastAsiaTheme="minorEastAsia" w:hAnsiTheme="minorEastAsia" w:hint="eastAsia"/>
        </w:rPr>
        <w:t>注册资本：</w:t>
      </w:r>
      <w:r w:rsidR="0064101A" w:rsidRPr="00456512">
        <w:rPr>
          <w:rFonts w:asciiTheme="minorEastAsia" w:eastAsiaTheme="minorEastAsia" w:hAnsiTheme="minorEastAsia" w:hint="eastAsia"/>
          <w:szCs w:val="21"/>
        </w:rPr>
        <w:t>人民币贰仟玖佰肆拾叁亿捌仟柒佰柒拾玖万壹仟贰佰肆拾壹元整</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营业期限：持续经营</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基金托管人与基金管理人之间的业务监督、核查</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w:t>
      </w:r>
      <w:r w:rsidR="00D759DD" w:rsidRPr="00456512">
        <w:rPr>
          <w:rFonts w:asciiTheme="minorEastAsia" w:eastAsiaTheme="minorEastAsia" w:hAnsiTheme="minorEastAsia" w:hint="eastAsia"/>
          <w:sz w:val="21"/>
        </w:rPr>
        <w:t>、</w:t>
      </w:r>
      <w:r w:rsidRPr="00456512">
        <w:rPr>
          <w:rFonts w:asciiTheme="minorEastAsia" w:eastAsiaTheme="minorEastAsia" w:hAnsiTheme="minorEastAsia" w:hint="eastAsia"/>
          <w:sz w:val="21"/>
        </w:rPr>
        <w:t>基金托管人对基金管理人的业务监督、核查</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根据《基金法》、《试点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基金托管人发现基金管理人有违反《基金法》、《试点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（2）如基金托管人认为基金管理人的作为或不作为违反了法律法规、《基金合同》或本</w:t>
      </w:r>
      <w:r w:rsidRPr="00456512">
        <w:rPr>
          <w:rFonts w:asciiTheme="minorEastAsia" w:eastAsiaTheme="minorEastAsia" w:hAnsiTheme="minorEastAsia" w:hint="eastAsia"/>
          <w:sz w:val="21"/>
        </w:rPr>
        <w:lastRenderedPageBreak/>
        <w:t>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持有人大会、代表基金对因基金管理人的过错造成的基金资产的损失向基金管理人索赔。</w:t>
      </w:r>
    </w:p>
    <w:p w:rsidR="001D2E2F" w:rsidRPr="00456512" w:rsidRDefault="00D759DD"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w:t>
      </w:r>
      <w:r w:rsidR="001D2E2F" w:rsidRPr="00456512">
        <w:rPr>
          <w:rFonts w:asciiTheme="minorEastAsia" w:eastAsiaTheme="minorEastAsia" w:hAnsiTheme="minorEastAsia" w:hint="eastAsia"/>
          <w:sz w:val="21"/>
        </w:rPr>
        <w:t>基金管理人对基金托管人的业务监督、核查</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根据《基金法》、《试点办法》、《基金合同》及其他有关规定，基金管理人就基金托管人是否及时执行基金管理人的投资指令、是否将基金资产和自有资产分账管理、是否擅自动用基金资产、是否按时将分配给基金持有人的收益划入分红派息账户等事项，对基金托管人进行监督和核查。</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基金管理人发现基金托管人的行为违反《基金法》、《试点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持有人大会、代表基金对因基金托管人的过错造成的基金资产的损失向基金托管人索赔。</w:t>
      </w:r>
    </w:p>
    <w:p w:rsidR="001D2E2F" w:rsidRPr="00456512" w:rsidRDefault="00D759DD"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3、</w:t>
      </w:r>
      <w:r w:rsidR="001D2E2F" w:rsidRPr="00456512">
        <w:rPr>
          <w:rFonts w:asciiTheme="minorEastAsia" w:eastAsiaTheme="minorEastAsia" w:hAnsiTheme="minorEastAsia" w:hint="eastAsia"/>
          <w:sz w:val="21"/>
        </w:rPr>
        <w:t>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基金财产的保管</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基金资产保管的原则</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本基金所有资产的保管责任，由基金托管人承担。基金托管人将遵守《信托法》、《基金法》、《试点办法》、《基金合同》及其他有关规定，为基金持有人的最大利益处理基金事务。基金托管人保证恪尽职守，依照诚实信用、勤勉尽责的原则，谨慎、有效的持有并保管基金资产。</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（2）基金托管人应当设立专门的基金托管部门，具有符合要求的营业场所，配备足够</w:t>
      </w:r>
      <w:r w:rsidRPr="00456512">
        <w:rPr>
          <w:rFonts w:asciiTheme="minorEastAsia" w:eastAsiaTheme="minorEastAsia" w:hAnsiTheme="minorEastAsia" w:hint="eastAsia"/>
          <w:sz w:val="21"/>
        </w:rPr>
        <w:lastRenderedPageBreak/>
        <w:t>的、合格的熟悉基金托管业务的专职人员，负责基金资产托管事宜；建立健全内部风险监控制度，对负责基金资产托管的部门和人员的行为进行事先控制和事后监督，防范和减少风险。</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（3）基金托管人应当购置并保持对于基金资产的托管所必要的设备和设施（包括硬件和软件），并对设备和设施进行维修、维护和更换，以保持设备和设施的正常运行。</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4）除依据《信托法》、《基金法》、《试点办法》、本《基金合同》及其他有关规定外，不为自己及任何第三人谋取利益，基金托管人违反此义务，利用基金资产为自己及任何第三方谋取利益，所得利益归于基金资产；基金托管人不得将基金资产转为其固有财产，不得将固有资产与基金资产进行交易，或将不同基金资产进行相互交易；违背此款规定的，将承担相应的责任，包括但不限于恢复基金资产的原状、承担赔偿责任。</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5）基金托管人必须将基金资产与自有资产严格分开，将本基金资产与其托管的其他基金资产严格分开；基金托管人应当为基金设立独立的账户，建立独立的账簿，与基金托管人的其他业务和其他基金的托管业务实行严格的分账管理，保证不同基金之间在名册登记、账户设置、资金划拨、账册记录等方面具有实质的独立性。</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（6）除依据《信托法》、《基金法》、《试点办法》、本《基金合同》及其他有关规定外，基金托管人不得委托第三人托管基金资产；</w:t>
      </w:r>
    </w:p>
    <w:p w:rsidR="001D2E2F" w:rsidRPr="00456512"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（7）基金托管人应安全、完整地保管基金资产；未经基金管理人的正当指令，不得自行运用、处分、分配基金的任何资产。</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rPr>
        <w:t>2、</w:t>
      </w:r>
      <w:r w:rsidR="001D2E2F" w:rsidRPr="00456512">
        <w:rPr>
          <w:rFonts w:asciiTheme="minorEastAsia" w:eastAsiaTheme="minorEastAsia" w:hAnsiTheme="minorEastAsia" w:hint="eastAsia"/>
          <w:b/>
          <w:bCs/>
        </w:rPr>
        <w:t>基金成立时募集资金的验证</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基金设立募集期满或基金发起人宣布停止募集时，基金发起人应将设立募集的全部资金存入其指定的验资专户；由基金发起人聘请具有从事相关业务资格的会计师事务所进行验资，出具验资报告，出具的验资报告应由参加验资的</w:t>
      </w:r>
      <w:r w:rsidRPr="00456512">
        <w:rPr>
          <w:rFonts w:asciiTheme="minorEastAsia" w:eastAsiaTheme="minorEastAsia" w:hAnsiTheme="minorEastAsia"/>
          <w:sz w:val="21"/>
        </w:rPr>
        <w:t>2</w:t>
      </w:r>
      <w:r w:rsidRPr="00456512">
        <w:rPr>
          <w:rFonts w:asciiTheme="minorEastAsia" w:eastAsiaTheme="minorEastAsia" w:hAnsiTheme="minorEastAsia" w:hint="eastAsia"/>
          <w:sz w:val="21"/>
        </w:rPr>
        <w:t>名以上（含</w:t>
      </w:r>
      <w:r w:rsidRPr="00456512">
        <w:rPr>
          <w:rFonts w:asciiTheme="minorEastAsia" w:eastAsiaTheme="minorEastAsia" w:hAnsiTheme="minorEastAsia"/>
          <w:sz w:val="21"/>
        </w:rPr>
        <w:t>2</w:t>
      </w:r>
      <w:r w:rsidRPr="00456512">
        <w:rPr>
          <w:rFonts w:asciiTheme="minorEastAsia" w:eastAsiaTheme="minorEastAsia" w:hAnsiTheme="minorEastAsia" w:hint="eastAsia"/>
          <w:sz w:val="21"/>
        </w:rPr>
        <w:t>名）中国注册会计师签字有效。</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bCs/>
        </w:rPr>
        <w:t>3、</w:t>
      </w:r>
      <w:r w:rsidR="001D2E2F" w:rsidRPr="00456512">
        <w:rPr>
          <w:rFonts w:asciiTheme="minorEastAsia" w:eastAsiaTheme="minorEastAsia" w:hAnsiTheme="minorEastAsia" w:hint="eastAsia"/>
          <w:b/>
          <w:bCs/>
        </w:rPr>
        <w:t>基金的银行账户的开设和管理</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（1）基金托管人应负责本基金的银行账户的开设和管理。</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基金托管人以本基金的名义在其营业机构开设本基金的银行账户。本基金的银行预留印鉴，由基金托管人保管和使用。本基金的一切货币收支活动，包括但不限于投资、支付赎回金额、支付基金收益、收取申购款，均需通过本基金的银行账户进行。</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（3）本基金银行账户的开立和使用，限于满足开展本基金业务的需要。基金托管人和基金管理人不得假借本基金的名义开立其他任何银行账户；亦不得使用基金的任何银行账户进行本基金业务以外的活动。</w:t>
      </w:r>
    </w:p>
    <w:p w:rsidR="001D2E2F" w:rsidRPr="00456512"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4）基金银行账户的管理应符合《中华人民共和国票据法》、《银行账户管理办法》、《现金管理条例》、《中国人民银行利率管理的有关规定》、《关于大额现金支付管理的通知》、《支付结算办法》以及其他有关规定。</w:t>
      </w:r>
    </w:p>
    <w:p w:rsidR="001D2E2F" w:rsidRPr="00456512" w:rsidRDefault="001D2E2F" w:rsidP="00084917">
      <w:pPr>
        <w:snapToGrid w:val="0"/>
        <w:spacing w:line="360" w:lineRule="auto"/>
        <w:ind w:firstLine="422"/>
        <w:rPr>
          <w:rFonts w:asciiTheme="minorEastAsia" w:eastAsiaTheme="minorEastAsia" w:hAnsiTheme="minorEastAsia"/>
          <w:b/>
          <w:bCs/>
        </w:rPr>
      </w:pP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bCs/>
        </w:rPr>
        <w:lastRenderedPageBreak/>
        <w:t>4、</w:t>
      </w:r>
      <w:r w:rsidR="001D2E2F" w:rsidRPr="00456512">
        <w:rPr>
          <w:rFonts w:asciiTheme="minorEastAsia" w:eastAsiaTheme="minorEastAsia" w:hAnsiTheme="minorEastAsia" w:hint="eastAsia"/>
          <w:b/>
          <w:bCs/>
        </w:rPr>
        <w:t>基金证券账户和资金账户的开设和管理</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（1）基金托管人应当代表本基金，以托管人和本基金联名的方式在中国证券登记结算有限责任公司开设证券账户。</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1D2E2F" w:rsidRPr="00456512" w:rsidRDefault="001D2E2F" w:rsidP="00084917">
      <w:pPr>
        <w:pStyle w:val="a8"/>
        <w:snapToGrid w:val="0"/>
        <w:spacing w:line="360" w:lineRule="auto"/>
        <w:ind w:firstLine="420"/>
        <w:rPr>
          <w:rFonts w:asciiTheme="minorEastAsia" w:eastAsiaTheme="minorEastAsia" w:hAnsiTheme="minorEastAsia"/>
          <w:sz w:val="21"/>
          <w:szCs w:val="27"/>
        </w:rPr>
      </w:pPr>
      <w:r w:rsidRPr="00456512">
        <w:rPr>
          <w:rFonts w:asciiTheme="minorEastAsia" w:eastAsiaTheme="minorEastAsia" w:hAnsiTheme="minorEastAsia" w:hint="eastAsia"/>
          <w:sz w:val="21"/>
        </w:rPr>
        <w:t>（3）</w:t>
      </w:r>
      <w:r w:rsidRPr="00456512">
        <w:rPr>
          <w:rFonts w:asciiTheme="minorEastAsia" w:eastAsiaTheme="minorEastAsia" w:hAnsiTheme="minorEastAsia"/>
          <w:sz w:val="21"/>
          <w:szCs w:val="27"/>
        </w:rPr>
        <w:t>基金托管人以自身法人名义在中国证券登记结算</w:t>
      </w:r>
      <w:r w:rsidRPr="00456512">
        <w:rPr>
          <w:rFonts w:asciiTheme="minorEastAsia" w:eastAsiaTheme="minorEastAsia" w:hAnsiTheme="minorEastAsia" w:hint="eastAsia"/>
          <w:sz w:val="21"/>
          <w:szCs w:val="27"/>
        </w:rPr>
        <w:t>有限责任</w:t>
      </w:r>
      <w:r w:rsidRPr="00456512">
        <w:rPr>
          <w:rFonts w:asciiTheme="minorEastAsia" w:eastAsiaTheme="minorEastAsia" w:hAnsiTheme="minorEastAsia"/>
          <w:sz w:val="21"/>
          <w:szCs w:val="27"/>
        </w:rPr>
        <w:t>公司开立结算</w:t>
      </w:r>
      <w:r w:rsidRPr="00456512">
        <w:rPr>
          <w:rFonts w:asciiTheme="minorEastAsia" w:eastAsiaTheme="minorEastAsia" w:hAnsiTheme="minorEastAsia" w:hint="eastAsia"/>
          <w:sz w:val="21"/>
          <w:szCs w:val="27"/>
        </w:rPr>
        <w:t>资</w:t>
      </w:r>
      <w:r w:rsidRPr="00456512">
        <w:rPr>
          <w:rFonts w:asciiTheme="minorEastAsia" w:eastAsiaTheme="minorEastAsia" w:hAnsiTheme="minorEastAsia"/>
          <w:sz w:val="21"/>
          <w:szCs w:val="27"/>
        </w:rPr>
        <w:t>金账户，用于办理基金托管人所托管的</w:t>
      </w:r>
      <w:r w:rsidRPr="00456512">
        <w:rPr>
          <w:rFonts w:asciiTheme="minorEastAsia" w:eastAsiaTheme="minorEastAsia" w:hAnsiTheme="minorEastAsia" w:hint="eastAsia"/>
          <w:sz w:val="21"/>
          <w:szCs w:val="27"/>
        </w:rPr>
        <w:t>包括本基金在内的</w:t>
      </w:r>
      <w:r w:rsidRPr="00456512">
        <w:rPr>
          <w:rFonts w:asciiTheme="minorEastAsia" w:eastAsiaTheme="minorEastAsia" w:hAnsiTheme="minorEastAsia"/>
          <w:sz w:val="21"/>
          <w:szCs w:val="27"/>
        </w:rPr>
        <w:t>全部基金在证券交易所进行证券投资所涉及的资金结算业务。</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（4）基金证券账户和资金账户的开设和管理可以根据当时市场的通行做法办理，而不限于上述关于账户开设、使用的规定。</w:t>
      </w:r>
    </w:p>
    <w:p w:rsidR="001D2E2F" w:rsidRPr="00456512" w:rsidRDefault="001D2E2F" w:rsidP="00084917">
      <w:pPr>
        <w:overflowPunct w:val="0"/>
        <w:autoSpaceDE w:val="0"/>
        <w:autoSpaceDN w:val="0"/>
        <w:adjustRightInd w:val="0"/>
        <w:snapToGrid w:val="0"/>
        <w:spacing w:line="360" w:lineRule="auto"/>
        <w:ind w:firstLineChars="200" w:firstLine="420"/>
        <w:rPr>
          <w:rFonts w:asciiTheme="minorEastAsia" w:eastAsiaTheme="minorEastAsia" w:hAnsiTheme="minorEastAsia"/>
        </w:rPr>
      </w:pPr>
      <w:r w:rsidRPr="00456512">
        <w:rPr>
          <w:rFonts w:asciiTheme="minorEastAsia" w:eastAsiaTheme="minorEastAsia" w:hAnsiTheme="minorEastAsia" w:hint="eastAsia"/>
        </w:rPr>
        <w:t>（5）在本托管协议订立日之后，本基金被允许从事其他投资品种的投资业务的，涉及相关账户的开设、使用的，若无相关规定，则基金托管人应当比照并遵守上述关于账户开设、使用的规定。</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shd w:val="pct15" w:color="auto" w:fill="FFFFFF"/>
        </w:rPr>
        <w:t>5、</w:t>
      </w:r>
      <w:r w:rsidR="001D2E2F" w:rsidRPr="00456512">
        <w:rPr>
          <w:rFonts w:asciiTheme="minorEastAsia" w:eastAsiaTheme="minorEastAsia" w:hAnsiTheme="minorEastAsia" w:hint="eastAsia"/>
          <w:b/>
          <w:bCs/>
        </w:rPr>
        <w:t>国债托管专户的开设和管理</w:t>
      </w:r>
    </w:p>
    <w:p w:rsidR="001D2E2F" w:rsidRPr="00456512" w:rsidRDefault="001D2E2F"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基金成立后，基金管理人负责以基金的名义申请并取得进入全国银行间同业拆借市场的交易资格，并代表基金进行交易；基金托管人负责以基金的名义在中央国债登记结算有限责任公司开设债券托管（乙类）账户，并代表基金进行债券和资金的清算。在上述手续办理完毕之后，由基金托管人负责向银行监管部门进行报备。</w:t>
      </w:r>
    </w:p>
    <w:p w:rsidR="001D2E2F" w:rsidRPr="00456512" w:rsidRDefault="001D2E2F" w:rsidP="00084917">
      <w:pPr>
        <w:pStyle w:val="a6"/>
        <w:overflowPunct w:val="0"/>
        <w:autoSpaceDE w:val="0"/>
        <w:autoSpaceDN w:val="0"/>
        <w:adjustRightInd w:val="0"/>
        <w:snapToGrid w:val="0"/>
        <w:spacing w:line="360" w:lineRule="auto"/>
        <w:ind w:firstLineChars="200"/>
        <w:rPr>
          <w:rFonts w:asciiTheme="minorEastAsia" w:eastAsiaTheme="minorEastAsia" w:hAnsiTheme="minorEastAsia"/>
          <w:szCs w:val="24"/>
        </w:rPr>
      </w:pPr>
      <w:r w:rsidRPr="00456512">
        <w:rPr>
          <w:rFonts w:asciiTheme="minorEastAsia" w:eastAsiaTheme="minorEastAsia" w:hAnsiTheme="minorEastAsia" w:hint="eastAsia"/>
        </w:rPr>
        <w:t>（2）基金管理人和基金托管人同时代表基金签订全国银行间债券市场债券回购主协议，协议正本由基金托管人保管，协议副本由基金管理人保存。</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bCs/>
        </w:rPr>
        <w:t>6、</w:t>
      </w:r>
      <w:r w:rsidR="001D2E2F" w:rsidRPr="00456512">
        <w:rPr>
          <w:rFonts w:asciiTheme="minorEastAsia" w:eastAsiaTheme="minorEastAsia" w:hAnsiTheme="minorEastAsia" w:hint="eastAsia"/>
          <w:b/>
          <w:bCs/>
        </w:rPr>
        <w:t>基金资产投资的有关实物证券的保管</w:t>
      </w:r>
    </w:p>
    <w:p w:rsidR="001D2E2F" w:rsidRPr="00456512" w:rsidRDefault="001D2E2F" w:rsidP="00084917">
      <w:pPr>
        <w:pStyle w:val="32"/>
        <w:snapToGrid w:val="0"/>
        <w:spacing w:line="360" w:lineRule="auto"/>
        <w:ind w:firstLine="420"/>
        <w:rPr>
          <w:rFonts w:asciiTheme="minorEastAsia" w:eastAsiaTheme="minorEastAsia" w:hAnsiTheme="minorEastAsia"/>
          <w:color w:val="auto"/>
          <w:sz w:val="21"/>
        </w:rPr>
      </w:pPr>
      <w:r w:rsidRPr="00456512">
        <w:rPr>
          <w:rFonts w:asciiTheme="minorEastAsia" w:eastAsiaTheme="minorEastAsia" w:hAnsiTheme="minorEastAsia" w:hint="eastAsia"/>
          <w:color w:val="auto"/>
          <w:sz w:val="21"/>
        </w:rPr>
        <w:t>实物证券由基金托管人存放于托管银行的保管库，但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rsidR="001D2E2F" w:rsidRPr="00456512" w:rsidRDefault="00D759DD" w:rsidP="00D759DD">
      <w:pPr>
        <w:snapToGrid w:val="0"/>
        <w:spacing w:line="360" w:lineRule="auto"/>
        <w:ind w:left="422"/>
        <w:rPr>
          <w:rFonts w:asciiTheme="minorEastAsia" w:eastAsiaTheme="minorEastAsia" w:hAnsiTheme="minorEastAsia"/>
          <w:b/>
          <w:bCs/>
        </w:rPr>
      </w:pPr>
      <w:r w:rsidRPr="00456512">
        <w:rPr>
          <w:rFonts w:asciiTheme="minorEastAsia" w:eastAsiaTheme="minorEastAsia" w:hAnsiTheme="minorEastAsia" w:hint="eastAsia"/>
          <w:b/>
          <w:bCs/>
        </w:rPr>
        <w:t>7、</w:t>
      </w:r>
      <w:r w:rsidR="001D2E2F" w:rsidRPr="00456512">
        <w:rPr>
          <w:rFonts w:asciiTheme="minorEastAsia" w:eastAsiaTheme="minorEastAsia" w:hAnsiTheme="minorEastAsia" w:hint="eastAsia"/>
          <w:b/>
          <w:bCs/>
        </w:rPr>
        <w:t>与基金资产有关的重大合同的保管</w:t>
      </w:r>
    </w:p>
    <w:p w:rsidR="001D2E2F" w:rsidRPr="00456512" w:rsidRDefault="001D2E2F" w:rsidP="00084917">
      <w:pPr>
        <w:pStyle w:val="32"/>
        <w:snapToGrid w:val="0"/>
        <w:spacing w:line="360" w:lineRule="auto"/>
        <w:ind w:firstLine="420"/>
        <w:rPr>
          <w:rFonts w:asciiTheme="minorEastAsia" w:eastAsiaTheme="minorEastAsia" w:hAnsiTheme="minorEastAsia"/>
          <w:color w:val="auto"/>
          <w:sz w:val="21"/>
        </w:rPr>
      </w:pPr>
      <w:r w:rsidRPr="00456512">
        <w:rPr>
          <w:rFonts w:asciiTheme="minorEastAsia" w:eastAsiaTheme="minorEastAsia" w:hAnsiTheme="minorEastAsia" w:hint="eastAsia"/>
          <w:color w:val="auto"/>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基金资产净值计算与复核</w:t>
      </w:r>
    </w:p>
    <w:p w:rsidR="001D2E2F" w:rsidRPr="00456512" w:rsidRDefault="001D2E2F" w:rsidP="00084917">
      <w:pPr>
        <w:pStyle w:val="32"/>
        <w:snapToGrid w:val="0"/>
        <w:spacing w:line="360" w:lineRule="auto"/>
        <w:ind w:right="26" w:firstLineChars="192" w:firstLine="403"/>
        <w:rPr>
          <w:rFonts w:asciiTheme="minorEastAsia" w:eastAsiaTheme="minorEastAsia" w:hAnsiTheme="minorEastAsia"/>
          <w:color w:val="auto"/>
          <w:sz w:val="21"/>
        </w:rPr>
      </w:pPr>
      <w:r w:rsidRPr="00456512">
        <w:rPr>
          <w:rFonts w:asciiTheme="minorEastAsia" w:eastAsiaTheme="minorEastAsia" w:hAnsiTheme="minorEastAsia" w:hint="eastAsia"/>
          <w:color w:val="auto"/>
          <w:sz w:val="21"/>
        </w:rPr>
        <w:t>基金资产净值是指基金资产总值减去负债后的价值。基金单位资产净值是指计算日基金资产净值除以计算日基金单位总数后的价值。</w:t>
      </w:r>
    </w:p>
    <w:p w:rsidR="001D2E2F" w:rsidRPr="00456512" w:rsidRDefault="001D2E2F" w:rsidP="00084917">
      <w:pPr>
        <w:pStyle w:val="32"/>
        <w:snapToGrid w:val="0"/>
        <w:spacing w:line="360" w:lineRule="auto"/>
        <w:ind w:firstLine="420"/>
        <w:rPr>
          <w:rFonts w:asciiTheme="minorEastAsia" w:eastAsiaTheme="minorEastAsia" w:hAnsiTheme="minorEastAsia"/>
          <w:color w:val="auto"/>
          <w:sz w:val="21"/>
        </w:rPr>
      </w:pPr>
      <w:r w:rsidRPr="00456512">
        <w:rPr>
          <w:rFonts w:asciiTheme="minorEastAsia" w:eastAsiaTheme="minorEastAsia" w:hAnsiTheme="minorEastAsia" w:hint="eastAsia"/>
          <w:color w:val="auto"/>
          <w:sz w:val="21"/>
        </w:rPr>
        <w:t>基金管理人应每工作日对基金资产估值。估值原则应符合《基金合同》、《证券投资基金</w:t>
      </w:r>
      <w:r w:rsidRPr="00456512">
        <w:rPr>
          <w:rFonts w:asciiTheme="minorEastAsia" w:eastAsiaTheme="minorEastAsia" w:hAnsiTheme="minorEastAsia" w:hint="eastAsia"/>
          <w:color w:val="auto"/>
          <w:sz w:val="21"/>
        </w:rPr>
        <w:lastRenderedPageBreak/>
        <w:t>会计核算办法》及其他法律、法规的规定。用于基金信息披露的基金资产净值和基金单位资产净值由基金管理人负责计算，基金托管人复核。基金管理人应于每个工作日结束后计算得出当日的基金单位资产净值，并在盖章后以加密传真方式发送给基金托管人。基金托管人应在收到上述传真后马上对净值计算结果进行复核，并在盖章后以加密传真方式将复核结果传送给基金管理人；如果基金托管人的复核结果与基金管理人的计算结果存在差异，且双方经协商未能达成一致，基金管理人有权按照其对基金净值的计算结果对外予以公布，基金托管人有权将相关情况报中国证监会备案。</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基金份额持有人名册的登记与保管</w:t>
      </w:r>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b/>
          <w:bCs/>
        </w:rPr>
      </w:pPr>
      <w:r w:rsidRPr="00456512">
        <w:rPr>
          <w:rFonts w:asciiTheme="minorEastAsia" w:eastAsiaTheme="minorEastAsia" w:hAnsiTheme="minorEastAsia" w:hint="eastAsia"/>
        </w:rPr>
        <w:t>基金持有人名册，包括基金设立募集期结束时的基金持有人名册、基金权益登记日的基金持有人名册、基金持有人大会登记日的基金持有人名册、每月最后一个交易日的基金持有人名册，应当根据有关法律法规的规定妥善保管之。为基金托管人履行有关法律法规、基金合同规定的职责之目的，基金管理人（注册登记人）应当提供任何必要的协助。</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争议解决方式</w:t>
      </w:r>
    </w:p>
    <w:p w:rsidR="001D2E2F" w:rsidRPr="00456512" w:rsidRDefault="001D2E2F" w:rsidP="00084917">
      <w:pPr>
        <w:autoSpaceDE w:val="0"/>
        <w:autoSpaceDN w:val="0"/>
        <w:adjustRightInd w:val="0"/>
        <w:snapToGrid w:val="0"/>
        <w:spacing w:line="360" w:lineRule="auto"/>
        <w:ind w:firstLine="420"/>
        <w:rPr>
          <w:rFonts w:asciiTheme="minorEastAsia" w:eastAsiaTheme="minorEastAsia" w:hAnsiTheme="minorEastAsia"/>
          <w:b/>
          <w:bCs/>
        </w:rPr>
      </w:pPr>
      <w:r w:rsidRPr="00456512">
        <w:rPr>
          <w:rFonts w:asciiTheme="minorEastAsia" w:eastAsiaTheme="minorEastAsia" w:hAnsiTheme="minorEastAsia" w:hint="eastAsia"/>
        </w:rPr>
        <w:t>基金管理人、基金托管人之间因本协议产生的或与本协议有关的争议可通过友好协商解决，但若自一方书面提出协商解决争议之日起60日内争议未能以协商方式解决的，则任何一方有权将争议提交中国国际经济贸易仲裁委员会北京分会，根据提交仲裁时该会的仲裁规则进行仲裁。仲裁裁决是终局的，对仲裁各方当事人均具有约束力。除提交仲裁的争议之外，各方当事人仍应履行本协议的其他规定。争议处理期间，双方当事人应恪守基金管理人和基金托管人职责，各自继续忠实、勤勉、尽责地履行《基金合同》和托管协议规定的义务，维护基金持有人的合法权益。</w:t>
      </w:r>
    </w:p>
    <w:p w:rsidR="001D2E2F" w:rsidRPr="00456512" w:rsidRDefault="001D2E2F" w:rsidP="007F114F">
      <w:pPr>
        <w:numPr>
          <w:ilvl w:val="0"/>
          <w:numId w:val="31"/>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托管协议的修改与终止</w:t>
      </w:r>
    </w:p>
    <w:p w:rsidR="001D2E2F" w:rsidRPr="00456512" w:rsidRDefault="00D759DD"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1、</w:t>
      </w:r>
      <w:r w:rsidR="001D2E2F" w:rsidRPr="00456512">
        <w:rPr>
          <w:rFonts w:asciiTheme="minorEastAsia" w:eastAsiaTheme="minorEastAsia" w:hAnsiTheme="minorEastAsia" w:hint="eastAsia"/>
          <w:sz w:val="21"/>
        </w:rPr>
        <w:t>本协议双方当事人经协商一致，可以对协议进行修改。修改后的新协议，其内容不得与《基金合同》的规定有任何冲突。修改后的新协议，报中国证监会批准后生效。因法律、法规及国家有权机关颁布之规定的变更和调整而导致本协议的部分条款与之不符的，则本协议自行适用法律、法规及国家有权机关颁布之新规定。</w:t>
      </w:r>
    </w:p>
    <w:p w:rsidR="001D2E2F" w:rsidRPr="00456512" w:rsidRDefault="00D759DD" w:rsidP="00084917">
      <w:pPr>
        <w:pStyle w:val="a8"/>
        <w:snapToGrid w:val="0"/>
        <w:spacing w:line="360" w:lineRule="auto"/>
        <w:ind w:firstLine="420"/>
        <w:rPr>
          <w:rFonts w:asciiTheme="minorEastAsia" w:eastAsiaTheme="minorEastAsia" w:hAnsiTheme="minorEastAsia"/>
          <w:sz w:val="21"/>
        </w:rPr>
      </w:pPr>
      <w:r w:rsidRPr="00456512">
        <w:rPr>
          <w:rFonts w:asciiTheme="minorEastAsia" w:eastAsiaTheme="minorEastAsia" w:hAnsiTheme="minorEastAsia" w:hint="eastAsia"/>
          <w:sz w:val="21"/>
        </w:rPr>
        <w:t>2、</w:t>
      </w:r>
      <w:r w:rsidR="001D2E2F" w:rsidRPr="00456512">
        <w:rPr>
          <w:rFonts w:asciiTheme="minorEastAsia" w:eastAsiaTheme="minorEastAsia" w:hAnsiTheme="minorEastAsia" w:hint="eastAsia"/>
          <w:sz w:val="21"/>
        </w:rPr>
        <w:t>发生以下情况，本托管协议终止：</w:t>
      </w:r>
    </w:p>
    <w:p w:rsidR="001D2E2F" w:rsidRPr="00456512"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sz w:val="21"/>
        </w:rPr>
      </w:pPr>
      <w:r w:rsidRPr="00456512">
        <w:rPr>
          <w:rFonts w:asciiTheme="minorEastAsia" w:eastAsiaTheme="minorEastAsia" w:hAnsiTheme="minorEastAsia" w:hint="eastAsia"/>
          <w:sz w:val="21"/>
        </w:rPr>
        <w:t>基金或《基金合同》终止；</w:t>
      </w:r>
    </w:p>
    <w:p w:rsidR="001D2E2F" w:rsidRPr="00456512"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sz w:val="21"/>
        </w:rPr>
      </w:pPr>
      <w:r w:rsidRPr="00456512">
        <w:rPr>
          <w:rFonts w:asciiTheme="minorEastAsia" w:eastAsiaTheme="minorEastAsia" w:hAnsiTheme="minorEastAsia" w:hint="eastAsia"/>
          <w:sz w:val="21"/>
        </w:rPr>
        <w:t>本基金更换基金托管人；</w:t>
      </w:r>
    </w:p>
    <w:p w:rsidR="001D2E2F" w:rsidRPr="00456512"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sz w:val="21"/>
        </w:rPr>
      </w:pPr>
      <w:r w:rsidRPr="00456512">
        <w:rPr>
          <w:rFonts w:asciiTheme="minorEastAsia" w:eastAsiaTheme="minorEastAsia" w:hAnsiTheme="minorEastAsia" w:hint="eastAsia"/>
          <w:sz w:val="21"/>
        </w:rPr>
        <w:t>本基金更换基金管理人；</w:t>
      </w:r>
    </w:p>
    <w:p w:rsidR="001D2E2F" w:rsidRPr="00456512" w:rsidRDefault="001D2E2F" w:rsidP="007F114F">
      <w:pPr>
        <w:pStyle w:val="a8"/>
        <w:numPr>
          <w:ilvl w:val="1"/>
          <w:numId w:val="32"/>
        </w:numPr>
        <w:tabs>
          <w:tab w:val="clear" w:pos="1620"/>
          <w:tab w:val="num" w:pos="1260"/>
        </w:tabs>
        <w:snapToGrid w:val="0"/>
        <w:spacing w:line="360" w:lineRule="auto"/>
        <w:ind w:firstLineChars="0" w:firstLine="150"/>
        <w:rPr>
          <w:rFonts w:asciiTheme="minorEastAsia" w:eastAsiaTheme="minorEastAsia" w:hAnsiTheme="minorEastAsia"/>
          <w:sz w:val="21"/>
        </w:rPr>
      </w:pPr>
      <w:r w:rsidRPr="00456512">
        <w:rPr>
          <w:rFonts w:asciiTheme="minorEastAsia" w:eastAsiaTheme="minorEastAsia" w:hAnsiTheme="minorEastAsia" w:hint="eastAsia"/>
          <w:sz w:val="21"/>
        </w:rPr>
        <w:t>发生《试点办法》或其他法律法规规定的终止事项。</w:t>
      </w:r>
    </w:p>
    <w:p w:rsidR="001D2E2F" w:rsidRPr="00456512" w:rsidRDefault="001D2E2F" w:rsidP="00084917">
      <w:pPr>
        <w:snapToGrid w:val="0"/>
        <w:spacing w:line="360" w:lineRule="auto"/>
        <w:ind w:firstLine="420"/>
        <w:rPr>
          <w:rFonts w:asciiTheme="minorEastAsia" w:eastAsiaTheme="minorEastAsia" w:hAnsiTheme="minorEastAsia"/>
          <w:szCs w:val="21"/>
        </w:rPr>
      </w:pPr>
    </w:p>
    <w:p w:rsidR="001D2E2F" w:rsidRPr="00456512" w:rsidRDefault="001D2E2F" w:rsidP="00084917">
      <w:pPr>
        <w:pStyle w:val="10"/>
        <w:snapToGrid w:val="0"/>
        <w:spacing w:before="312" w:after="312" w:line="360" w:lineRule="auto"/>
        <w:ind w:firstLine="643"/>
        <w:rPr>
          <w:rFonts w:asciiTheme="minorEastAsia" w:eastAsiaTheme="minorEastAsia" w:hAnsiTheme="minorEastAsia"/>
          <w:b/>
          <w:bCs/>
        </w:rPr>
      </w:pPr>
      <w:bookmarkStart w:id="1582" w:name="_Toc92774766"/>
      <w:bookmarkStart w:id="1583" w:name="_Toc30161832"/>
      <w:r w:rsidRPr="00456512">
        <w:rPr>
          <w:rFonts w:asciiTheme="minorEastAsia" w:eastAsiaTheme="minorEastAsia" w:hAnsiTheme="minorEastAsia" w:hint="eastAsia"/>
          <w:b/>
          <w:bCs/>
        </w:rPr>
        <w:lastRenderedPageBreak/>
        <w:t>二十、对基金份额持有人的服务</w:t>
      </w:r>
      <w:bookmarkEnd w:id="1582"/>
      <w:bookmarkEnd w:id="1583"/>
    </w:p>
    <w:p w:rsidR="001D2E2F" w:rsidRPr="00456512" w:rsidRDefault="001D2E2F" w:rsidP="00084917">
      <w:pPr>
        <w:pStyle w:val="affd"/>
        <w:snapToGrid w:val="0"/>
        <w:spacing w:line="360" w:lineRule="auto"/>
        <w:ind w:firstLineChars="200"/>
        <w:rPr>
          <w:rFonts w:asciiTheme="minorEastAsia" w:eastAsiaTheme="minorEastAsia" w:hAnsiTheme="minorEastAsia"/>
          <w:b/>
        </w:rPr>
      </w:pPr>
      <w:r w:rsidRPr="00456512">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1D2E2F" w:rsidRPr="00456512"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基金份额持有人投资交易确认服务</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注册登记机构保留基金份额持有人名册上列明的所有基金份额持有人的基金交易记录。</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基金管理人直销</w:t>
      </w:r>
      <w:r w:rsidR="006B6B03" w:rsidRPr="00456512">
        <w:rPr>
          <w:rFonts w:asciiTheme="minorEastAsia" w:eastAsiaTheme="minorEastAsia" w:hAnsiTheme="minorEastAsia" w:hint="eastAsia"/>
        </w:rPr>
        <w:t>网点</w:t>
      </w:r>
      <w:r w:rsidRPr="00456512">
        <w:rPr>
          <w:rFonts w:asciiTheme="minorEastAsia" w:eastAsiaTheme="minorEastAsia" w:hAnsiTheme="minorEastAsia" w:hint="eastAsia"/>
        </w:rPr>
        <w:t>应根据在基金管理人直销</w:t>
      </w:r>
      <w:r w:rsidR="006B6B03" w:rsidRPr="00456512">
        <w:rPr>
          <w:rFonts w:asciiTheme="minorEastAsia" w:eastAsiaTheme="minorEastAsia" w:hAnsiTheme="minorEastAsia" w:hint="eastAsia"/>
        </w:rPr>
        <w:t>网点</w:t>
      </w:r>
      <w:r w:rsidRPr="00456512">
        <w:rPr>
          <w:rFonts w:asciiTheme="minorEastAsia" w:eastAsiaTheme="minorEastAsia" w:hAnsiTheme="minorEastAsia" w:hint="eastAsia"/>
        </w:rPr>
        <w:t>进行交易的投资者的要求提</w:t>
      </w:r>
      <w:r w:rsidR="006B6B03" w:rsidRPr="00456512">
        <w:rPr>
          <w:rFonts w:asciiTheme="minorEastAsia" w:eastAsiaTheme="minorEastAsia" w:hAnsiTheme="minorEastAsia" w:hint="eastAsia"/>
        </w:rPr>
        <w:t>供</w:t>
      </w:r>
      <w:r w:rsidRPr="00456512">
        <w:rPr>
          <w:rFonts w:asciiTheme="minorEastAsia" w:eastAsiaTheme="minorEastAsia" w:hAnsiTheme="minorEastAsia" w:hint="eastAsia"/>
        </w:rPr>
        <w:t>成交确认单。</w:t>
      </w:r>
      <w:r w:rsidR="006A5737" w:rsidRPr="00456512">
        <w:rPr>
          <w:rFonts w:asciiTheme="minorEastAsia" w:eastAsiaTheme="minorEastAsia" w:hAnsiTheme="minorEastAsia" w:hint="eastAsia"/>
        </w:rPr>
        <w:t>基金非直销销售机构应根据在销售网点进行交易的投资者的要求提供成交确认单</w:t>
      </w:r>
      <w:r w:rsidR="0001554E" w:rsidRPr="00456512">
        <w:rPr>
          <w:rFonts w:asciiTheme="minorEastAsia" w:eastAsiaTheme="minorEastAsia" w:hAnsiTheme="minorEastAsia" w:hint="eastAsia"/>
        </w:rPr>
        <w:t>。</w:t>
      </w:r>
    </w:p>
    <w:p w:rsidR="001D2E2F" w:rsidRPr="00456512"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基金份额持有人交易记录查询服务</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本基金份额持有人可通过基金管理人的客户服务中心查询历史交易记录。</w:t>
      </w:r>
    </w:p>
    <w:p w:rsidR="001D2E2F" w:rsidRPr="00456512" w:rsidRDefault="001D2E2F" w:rsidP="007F114F">
      <w:pPr>
        <w:numPr>
          <w:ilvl w:val="0"/>
          <w:numId w:val="34"/>
        </w:numPr>
        <w:autoSpaceDE w:val="0"/>
        <w:autoSpaceDN w:val="0"/>
        <w:adjustRightInd w:val="0"/>
        <w:snapToGrid w:val="0"/>
        <w:spacing w:line="360" w:lineRule="auto"/>
        <w:ind w:firstLine="422"/>
        <w:rPr>
          <w:rFonts w:asciiTheme="minorEastAsia" w:eastAsiaTheme="minorEastAsia" w:hAnsiTheme="minorEastAsia"/>
        </w:rPr>
      </w:pPr>
      <w:r w:rsidRPr="00456512">
        <w:rPr>
          <w:rFonts w:asciiTheme="minorEastAsia" w:eastAsiaTheme="minorEastAsia" w:hAnsiTheme="minorEastAsia" w:hint="eastAsia"/>
          <w:b/>
        </w:rPr>
        <w:t>基金份额持有人的对账单服务</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1</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rPr>
        <w:t>基金份额持有人可登录本公司网站（http://www.efunds.com.cn）查阅对账单。</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2</w:t>
      </w:r>
      <w:r w:rsidR="00D759DD" w:rsidRPr="00456512">
        <w:rPr>
          <w:rFonts w:asciiTheme="minorEastAsia" w:eastAsiaTheme="minorEastAsia" w:hAnsiTheme="minorEastAsia" w:hint="eastAsia"/>
        </w:rPr>
        <w:t>、</w:t>
      </w:r>
      <w:r w:rsidRPr="00456512">
        <w:rPr>
          <w:rFonts w:asciiTheme="minorEastAsia" w:eastAsiaTheme="minorEastAsia" w:hAnsiTheme="minorEastAsia" w:hint="eastAsia"/>
        </w:rPr>
        <w:t>基金份额持有人也可向本公司定制纸质、电子或短信形式的定期或不定期对账单。</w:t>
      </w:r>
    </w:p>
    <w:p w:rsidR="00147190" w:rsidRPr="00456512" w:rsidRDefault="00147190" w:rsidP="00084917">
      <w:pPr>
        <w:snapToGrid w:val="0"/>
        <w:spacing w:line="360" w:lineRule="auto"/>
        <w:ind w:left="420"/>
        <w:rPr>
          <w:rFonts w:asciiTheme="minorEastAsia" w:eastAsiaTheme="minorEastAsia" w:hAnsiTheme="minorEastAsia"/>
          <w:szCs w:val="21"/>
        </w:rPr>
      </w:pPr>
      <w:r w:rsidRPr="00456512">
        <w:rPr>
          <w:rFonts w:asciiTheme="minorEastAsia" w:eastAsiaTheme="minorEastAsia" w:hAnsiTheme="minorEastAsia" w:hint="eastAsia"/>
          <w:szCs w:val="21"/>
        </w:rPr>
        <w:t>具体查阅和定制账单的方法可参见本公司网站或拨打客服热线咨询。</w:t>
      </w:r>
    </w:p>
    <w:p w:rsidR="001D2E2F" w:rsidRPr="00456512"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定期定额投资计划</w:t>
      </w:r>
    </w:p>
    <w:p w:rsidR="001D2E2F" w:rsidRPr="00456512" w:rsidRDefault="00BF0AC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kern w:val="0"/>
        </w:rPr>
        <w:t>基金管理人可利用</w:t>
      </w:r>
      <w:r w:rsidR="006A5737" w:rsidRPr="00456512">
        <w:rPr>
          <w:rFonts w:asciiTheme="minorEastAsia" w:eastAsiaTheme="minorEastAsia" w:hAnsiTheme="minorEastAsia" w:hint="eastAsia"/>
        </w:rPr>
        <w:t>非直销销售</w:t>
      </w:r>
      <w:r w:rsidRPr="00456512">
        <w:rPr>
          <w:rFonts w:asciiTheme="minorEastAsia" w:eastAsiaTheme="minorEastAsia" w:hAnsiTheme="minorEastAsia" w:hint="eastAsia"/>
          <w:kern w:val="0"/>
        </w:rPr>
        <w:t>机构网点和本公司网上交易系统为投资者提供定期定额投资的</w:t>
      </w:r>
      <w:r w:rsidRPr="00456512">
        <w:rPr>
          <w:rFonts w:asciiTheme="minorEastAsia" w:eastAsiaTheme="minorEastAsia" w:hAnsiTheme="minorEastAsia" w:hint="eastAsia"/>
          <w:kern w:val="0"/>
          <w:szCs w:val="21"/>
        </w:rPr>
        <w:t>服务（本公司网上交易系统的定期定额投资服务目前仅对个人投资者开通）。</w:t>
      </w:r>
      <w:r w:rsidR="001D2E2F" w:rsidRPr="00456512">
        <w:rPr>
          <w:rFonts w:asciiTheme="minorEastAsia" w:eastAsiaTheme="minorEastAsia" w:hAnsiTheme="minorEastAsia" w:hint="eastAsia"/>
        </w:rPr>
        <w:t>通过定期定额投资计划，投资者可以通过固定的渠道，定期定额申购基金份额，具体实施方法见相关公告。</w:t>
      </w:r>
    </w:p>
    <w:p w:rsidR="001D2E2F" w:rsidRPr="00456512" w:rsidRDefault="001D2E2F" w:rsidP="007F114F">
      <w:pPr>
        <w:numPr>
          <w:ilvl w:val="0"/>
          <w:numId w:val="34"/>
        </w:numPr>
        <w:autoSpaceDE w:val="0"/>
        <w:autoSpaceDN w:val="0"/>
        <w:adjustRightInd w:val="0"/>
        <w:snapToGrid w:val="0"/>
        <w:spacing w:line="360" w:lineRule="auto"/>
        <w:ind w:firstLine="482"/>
        <w:rPr>
          <w:rFonts w:asciiTheme="minorEastAsia" w:eastAsiaTheme="minorEastAsia" w:hAnsiTheme="minorEastAsia"/>
          <w:b/>
          <w:bCs/>
        </w:rPr>
      </w:pPr>
      <w:r w:rsidRPr="00456512">
        <w:rPr>
          <w:rFonts w:asciiTheme="minorEastAsia" w:eastAsiaTheme="minorEastAsia" w:hAnsiTheme="minorEastAsia" w:hint="eastAsia"/>
          <w:b/>
          <w:bCs/>
        </w:rPr>
        <w:t>资讯服务</w:t>
      </w:r>
    </w:p>
    <w:p w:rsidR="001D2E2F" w:rsidRPr="00456512" w:rsidRDefault="00D759DD" w:rsidP="00D759DD">
      <w:pPr>
        <w:pStyle w:val="a6"/>
        <w:tabs>
          <w:tab w:val="left" w:pos="735"/>
        </w:tabs>
        <w:snapToGrid w:val="0"/>
        <w:spacing w:line="360" w:lineRule="auto"/>
        <w:ind w:left="420" w:firstLine="0"/>
        <w:rPr>
          <w:rFonts w:asciiTheme="minorEastAsia" w:eastAsiaTheme="minorEastAsia" w:hAnsiTheme="minorEastAsia"/>
          <w:b/>
          <w:bCs/>
        </w:rPr>
      </w:pPr>
      <w:r w:rsidRPr="00456512">
        <w:rPr>
          <w:rFonts w:asciiTheme="minorEastAsia" w:eastAsiaTheme="minorEastAsia" w:hAnsiTheme="minorEastAsia" w:hint="eastAsia"/>
          <w:b/>
          <w:bCs/>
        </w:rPr>
        <w:t>1、</w:t>
      </w:r>
      <w:r w:rsidR="001D2E2F" w:rsidRPr="00456512">
        <w:rPr>
          <w:rFonts w:asciiTheme="minorEastAsia" w:eastAsiaTheme="minorEastAsia" w:hAnsiTheme="minorEastAsia" w:hint="eastAsia"/>
          <w:b/>
          <w:bCs/>
        </w:rPr>
        <w:t>客户服务电话</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投资者如果想了解申购与赎回的交易情况、基金账户余额、基金产品与服务等信息，</w:t>
      </w:r>
      <w:r w:rsidR="00F416CB" w:rsidRPr="00456512">
        <w:rPr>
          <w:rFonts w:asciiTheme="minorEastAsia" w:eastAsiaTheme="minorEastAsia" w:hAnsiTheme="minorEastAsia" w:hint="eastAsia"/>
          <w:kern w:val="0"/>
        </w:rPr>
        <w:t>或反馈投资过程中需要投诉与建议的情况，</w:t>
      </w:r>
      <w:r w:rsidRPr="00456512">
        <w:rPr>
          <w:rFonts w:asciiTheme="minorEastAsia" w:eastAsiaTheme="minorEastAsia" w:hAnsiTheme="minorEastAsia" w:hint="eastAsia"/>
        </w:rPr>
        <w:t>可拨打如下电话：4008818088</w:t>
      </w:r>
      <w:r w:rsidRPr="00456512">
        <w:rPr>
          <w:rFonts w:asciiTheme="minorEastAsia" w:eastAsiaTheme="minorEastAsia" w:hAnsiTheme="minorEastAsia"/>
        </w:rPr>
        <w:t>（免长途话费）</w:t>
      </w:r>
      <w:r w:rsidRPr="00456512">
        <w:rPr>
          <w:rFonts w:asciiTheme="minorEastAsia" w:eastAsiaTheme="minorEastAsia" w:hAnsiTheme="minorEastAsia" w:hint="eastAsia"/>
        </w:rPr>
        <w:t>。</w:t>
      </w:r>
      <w:r w:rsidR="00F416CB" w:rsidRPr="00456512">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1D2E2F" w:rsidRPr="00456512" w:rsidRDefault="00D759DD" w:rsidP="00D759DD">
      <w:pPr>
        <w:pStyle w:val="a6"/>
        <w:tabs>
          <w:tab w:val="left" w:pos="735"/>
        </w:tabs>
        <w:snapToGrid w:val="0"/>
        <w:spacing w:line="360" w:lineRule="auto"/>
        <w:ind w:left="420" w:firstLine="0"/>
        <w:rPr>
          <w:rFonts w:asciiTheme="minorEastAsia" w:eastAsiaTheme="minorEastAsia" w:hAnsiTheme="minorEastAsia"/>
          <w:b/>
          <w:bCs/>
        </w:rPr>
      </w:pPr>
      <w:r w:rsidRPr="00456512">
        <w:rPr>
          <w:rFonts w:asciiTheme="minorEastAsia" w:eastAsiaTheme="minorEastAsia" w:hAnsiTheme="minorEastAsia" w:hint="eastAsia"/>
          <w:b/>
          <w:bCs/>
        </w:rPr>
        <w:t>2、</w:t>
      </w:r>
      <w:r w:rsidR="001D2E2F" w:rsidRPr="00456512">
        <w:rPr>
          <w:rFonts w:asciiTheme="minorEastAsia" w:eastAsiaTheme="minorEastAsia" w:hAnsiTheme="minorEastAsia" w:hint="eastAsia"/>
          <w:b/>
          <w:bCs/>
        </w:rPr>
        <w:t>互联网站及电子信箱</w:t>
      </w:r>
    </w:p>
    <w:p w:rsidR="001D2E2F" w:rsidRPr="00456512" w:rsidRDefault="001D2E2F" w:rsidP="00084917">
      <w:pPr>
        <w:pStyle w:val="affd"/>
        <w:snapToGrid w:val="0"/>
        <w:spacing w:line="360" w:lineRule="auto"/>
        <w:ind w:firstLineChars="200"/>
        <w:rPr>
          <w:rFonts w:asciiTheme="minorEastAsia" w:eastAsiaTheme="minorEastAsia" w:hAnsiTheme="minorEastAsia"/>
        </w:rPr>
      </w:pPr>
      <w:r w:rsidRPr="00456512">
        <w:rPr>
          <w:rFonts w:asciiTheme="minorEastAsia" w:eastAsiaTheme="minorEastAsia" w:hAnsiTheme="minorEastAsia" w:hint="eastAsia"/>
        </w:rPr>
        <w:t>网址：</w:t>
      </w:r>
      <w:r w:rsidRPr="00456512">
        <w:rPr>
          <w:rFonts w:asciiTheme="minorEastAsia" w:eastAsiaTheme="minorEastAsia" w:hAnsiTheme="minorEastAsia"/>
        </w:rPr>
        <w:t>http://www.efunds.com.cn</w:t>
      </w:r>
    </w:p>
    <w:p w:rsidR="001D2E2F" w:rsidRPr="00456512" w:rsidRDefault="001D2E2F" w:rsidP="00084917">
      <w:pPr>
        <w:snapToGrid w:val="0"/>
        <w:spacing w:line="360" w:lineRule="auto"/>
        <w:ind w:firstLine="420"/>
        <w:rPr>
          <w:rFonts w:asciiTheme="minorEastAsia" w:eastAsiaTheme="minorEastAsia" w:hAnsiTheme="minorEastAsia"/>
          <w:szCs w:val="21"/>
        </w:rPr>
      </w:pPr>
      <w:r w:rsidRPr="00456512">
        <w:rPr>
          <w:rFonts w:asciiTheme="minorEastAsia" w:eastAsiaTheme="minorEastAsia" w:hAnsiTheme="minorEastAsia" w:hint="eastAsia"/>
        </w:rPr>
        <w:t>电子信箱：</w:t>
      </w:r>
      <w:r w:rsidRPr="00456512">
        <w:rPr>
          <w:rFonts w:asciiTheme="minorEastAsia" w:eastAsiaTheme="minorEastAsia" w:hAnsiTheme="minorEastAsia"/>
        </w:rPr>
        <w:t>service@efunds.com.cn</w:t>
      </w:r>
    </w:p>
    <w:p w:rsidR="001D2E2F" w:rsidRPr="00456512" w:rsidRDefault="001D2E2F"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D759DD" w:rsidRPr="00456512" w:rsidRDefault="00D759DD" w:rsidP="00084917">
      <w:pPr>
        <w:snapToGrid w:val="0"/>
        <w:spacing w:line="360" w:lineRule="auto"/>
        <w:ind w:firstLine="420"/>
        <w:rPr>
          <w:rFonts w:asciiTheme="minorEastAsia" w:eastAsiaTheme="minorEastAsia" w:hAnsiTheme="minorEastAsia"/>
          <w:szCs w:val="21"/>
        </w:rPr>
      </w:pPr>
    </w:p>
    <w:p w:rsidR="0072486B" w:rsidRPr="00456512" w:rsidRDefault="001D2E2F" w:rsidP="00084917">
      <w:pPr>
        <w:pStyle w:val="10"/>
        <w:snapToGrid w:val="0"/>
        <w:spacing w:before="312" w:after="312" w:line="360" w:lineRule="auto"/>
        <w:ind w:firstLineChars="0" w:firstLine="643"/>
        <w:rPr>
          <w:rFonts w:asciiTheme="minorEastAsia" w:eastAsiaTheme="minorEastAsia" w:hAnsiTheme="minorEastAsia"/>
          <w:b/>
          <w:bCs/>
        </w:rPr>
      </w:pPr>
      <w:bookmarkStart w:id="1584" w:name="_Toc92774767"/>
      <w:bookmarkStart w:id="1585" w:name="_Toc30161833"/>
      <w:r w:rsidRPr="00456512">
        <w:rPr>
          <w:rFonts w:asciiTheme="minorEastAsia" w:eastAsiaTheme="minorEastAsia" w:hAnsiTheme="minorEastAsia" w:hint="eastAsia"/>
          <w:b/>
          <w:bCs/>
        </w:rPr>
        <w:lastRenderedPageBreak/>
        <w:t>二十一、其他应披露事项</w:t>
      </w:r>
      <w:bookmarkEnd w:id="1584"/>
      <w:bookmarkEnd w:id="1585"/>
    </w:p>
    <w:tbl>
      <w:tblPr>
        <w:tblW w:w="5000" w:type="pct"/>
        <w:tblLayout w:type="fixed"/>
        <w:tblLook w:val="04A0" w:firstRow="1" w:lastRow="0" w:firstColumn="1" w:lastColumn="0" w:noHBand="0" w:noVBand="1"/>
      </w:tblPr>
      <w:tblGrid>
        <w:gridCol w:w="7055"/>
        <w:gridCol w:w="1467"/>
      </w:tblGrid>
      <w:tr w:rsidR="00456512" w:rsidRPr="00456512" w:rsidTr="007F114F">
        <w:trPr>
          <w:trHeight w:val="285"/>
        </w:trPr>
        <w:tc>
          <w:tcPr>
            <w:tcW w:w="41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0B90" w:rsidRPr="00456512" w:rsidRDefault="00083CDE" w:rsidP="00A40B90">
            <w:pPr>
              <w:widowControl/>
              <w:jc w:val="center"/>
              <w:rPr>
                <w:rFonts w:asciiTheme="minorEastAsia" w:eastAsiaTheme="minorEastAsia" w:hAnsiTheme="minorEastAsia" w:cs="宋体"/>
                <w:kern w:val="0"/>
                <w:szCs w:val="21"/>
              </w:rPr>
            </w:pPr>
            <w:r w:rsidRPr="00456512">
              <w:rPr>
                <w:rFonts w:asciiTheme="minorEastAsia" w:eastAsiaTheme="minorEastAsia" w:hAnsiTheme="minorEastAsia" w:cs="宋体" w:hint="eastAsia"/>
                <w:kern w:val="0"/>
                <w:szCs w:val="21"/>
              </w:rPr>
              <w:t>公告事项</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A40B90" w:rsidRPr="00456512" w:rsidRDefault="00083CDE" w:rsidP="00A40B90">
            <w:pPr>
              <w:widowControl/>
              <w:jc w:val="center"/>
              <w:rPr>
                <w:rFonts w:asciiTheme="minorEastAsia" w:eastAsiaTheme="minorEastAsia" w:hAnsiTheme="minorEastAsia" w:cs="宋体"/>
                <w:kern w:val="0"/>
                <w:szCs w:val="21"/>
              </w:rPr>
            </w:pPr>
            <w:r w:rsidRPr="00456512">
              <w:rPr>
                <w:rFonts w:asciiTheme="minorEastAsia" w:eastAsiaTheme="minorEastAsia" w:hAnsiTheme="minorEastAsia" w:cs="宋体" w:hint="eastAsia"/>
                <w:kern w:val="0"/>
                <w:szCs w:val="21"/>
              </w:rPr>
              <w:t>披露日期</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易方达基金管理有限公司关于成都分公司营业场所变更的公告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2019-03-13</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易方达基金管理有限公司关于旗下部分开放式基金参加利得基金费率优惠活动的公告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2019-03-13</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tabs>
                <w:tab w:val="left" w:pos="1365"/>
              </w:tabs>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易方达基金管理有限公司关于提醒投资者及时提供或更新身份信息资料的公告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2019-03-19</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易方达基金管理有限公司关于旗下部分开放式基金参加昆仑银行费率优惠活动的公告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2019-03-29</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2019-03-30</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易方达基金管理有限公司关于旗下部分开放式基金参加泉州银行费率优惠活动的公告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2019-04-01</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易方达基金管理有限公司关于旗下部分开放式基金参加中国工商银行申购费率优惠活动的公告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2019-04-01</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易方达基金管理有限公司关于旗下部分开放式基金增加青岛银行为销售机构的公告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2019-04-08</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易方达基金管理有限公司关于旗下部分开放式基金参加国盛证券费率优惠活动的公告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2019-04-12</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易方达基金管理有限公司关于旗下部分开放式基金参加齐商银行费率优惠活动的公告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2019-05-07</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易方达基金管理有限公司关于旗下部分开放式基金参加中国民生银行费率优惠活动的公告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2019-05-16</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易方达基金管理有限公司关于民族证券并入方正证券期间基金业务安排的提示性公告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2019-05-22</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2019-05-28</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易方达基金管理有限公司关于调整转换业务货币市场基金未付收益支付规则的公告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2019-06-20</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易方达基金管理有限公司关于旗下部分开放式基金参加佛山农商银行费率优惠活动的公告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2019-06-21</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易方达基金管理有限公司关于旗下部分公开募集证券投资基金可投资于科创板股票的公告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2019-06-22</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易方达基金管理有限公司关于旗下部分开放式基金参加德邦证券费率优惠活动的公告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2019-06-24</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center"/>
            <w:hideMark/>
          </w:tcPr>
          <w:p w:rsidR="00083CDE" w:rsidRPr="00456512" w:rsidRDefault="00083CDE" w:rsidP="00083CDE">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cs="宋体" w:hint="eastAsia"/>
                <w:kern w:val="0"/>
                <w:szCs w:val="21"/>
              </w:rPr>
              <w:t>易方达基金管理有限公司关于旗下部分开放式基金参加长城国瑞证券费率优惠活动的公告</w:t>
            </w:r>
          </w:p>
          <w:p w:rsidR="00083CDE" w:rsidRPr="00456512" w:rsidRDefault="00083CDE" w:rsidP="00083CDE">
            <w:pPr>
              <w:widowControl/>
              <w:jc w:val="left"/>
              <w:rPr>
                <w:rFonts w:asciiTheme="minorEastAsia" w:eastAsiaTheme="minorEastAsia" w:hAnsiTheme="minorEastAsia" w:cs="宋体"/>
                <w:kern w:val="0"/>
                <w:szCs w:val="21"/>
              </w:rPr>
            </w:pP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2019-06-28</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易方达基金管理有限公司关于旗下部分开放式基金参加云南红塔银行费率优惠活动的公告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2019-07-05</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center"/>
            <w:hideMark/>
          </w:tcPr>
          <w:p w:rsidR="00083CDE" w:rsidRPr="00456512" w:rsidRDefault="00083CDE" w:rsidP="00083CDE">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cs="宋体" w:hint="eastAsia"/>
                <w:kern w:val="0"/>
                <w:szCs w:val="21"/>
              </w:rPr>
              <w:t>易方达基金管理有限公司关于旗下部分开放式基金参加安信证券定期定额</w:t>
            </w:r>
            <w:r w:rsidRPr="00456512">
              <w:rPr>
                <w:rFonts w:asciiTheme="minorEastAsia" w:eastAsiaTheme="minorEastAsia" w:hAnsiTheme="minorEastAsia" w:cs="宋体" w:hint="eastAsia"/>
                <w:kern w:val="0"/>
                <w:szCs w:val="21"/>
              </w:rPr>
              <w:lastRenderedPageBreak/>
              <w:t>投资费率优惠活动的公告</w:t>
            </w:r>
          </w:p>
          <w:p w:rsidR="00083CDE" w:rsidRPr="00456512" w:rsidRDefault="00083CDE" w:rsidP="00083CDE">
            <w:pPr>
              <w:widowControl/>
              <w:jc w:val="left"/>
              <w:rPr>
                <w:rFonts w:asciiTheme="minorEastAsia" w:eastAsiaTheme="minorEastAsia" w:hAnsiTheme="minorEastAsia" w:cs="宋体"/>
                <w:kern w:val="0"/>
                <w:szCs w:val="21"/>
              </w:rPr>
            </w:pP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lastRenderedPageBreak/>
              <w:t>2019-07-15</w:t>
            </w:r>
          </w:p>
        </w:tc>
      </w:tr>
      <w:tr w:rsidR="00456512" w:rsidRPr="00456512" w:rsidTr="00960F82">
        <w:trPr>
          <w:trHeight w:val="285"/>
        </w:trPr>
        <w:tc>
          <w:tcPr>
            <w:tcW w:w="4139" w:type="pct"/>
            <w:tcBorders>
              <w:top w:val="nil"/>
              <w:left w:val="single" w:sz="8" w:space="0" w:color="auto"/>
              <w:bottom w:val="single" w:sz="8"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易方达基金管理有限公司关于旗下部分开放式基金参加红塔证券费率优惠活动的公告</w:t>
            </w:r>
          </w:p>
        </w:tc>
        <w:tc>
          <w:tcPr>
            <w:tcW w:w="861" w:type="pct"/>
            <w:tcBorders>
              <w:top w:val="nil"/>
              <w:left w:val="nil"/>
              <w:bottom w:val="single" w:sz="8"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2019-07-15</w:t>
            </w:r>
          </w:p>
        </w:tc>
      </w:tr>
      <w:tr w:rsidR="00456512" w:rsidRPr="00456512" w:rsidTr="00960F82">
        <w:trPr>
          <w:trHeight w:val="285"/>
        </w:trPr>
        <w:tc>
          <w:tcPr>
            <w:tcW w:w="4139" w:type="pct"/>
            <w:tcBorders>
              <w:top w:val="nil"/>
              <w:left w:val="single" w:sz="8" w:space="0" w:color="auto"/>
              <w:bottom w:val="single" w:sz="4" w:space="0" w:color="auto"/>
              <w:right w:val="single" w:sz="8"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易方达基金管理有限公司关于旗下部分开放式基金参加海通证券费率优惠活动的公告</w:t>
            </w:r>
          </w:p>
        </w:tc>
        <w:tc>
          <w:tcPr>
            <w:tcW w:w="861" w:type="pct"/>
            <w:tcBorders>
              <w:top w:val="nil"/>
              <w:left w:val="nil"/>
              <w:bottom w:val="single" w:sz="4" w:space="0" w:color="auto"/>
              <w:right w:val="single" w:sz="8"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2019-08-12</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易方达基金管理有限公司关于旗下部分开放式基金参加销售机构申购费率优惠活动的公告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2019-08-13</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autoSpaceDE w:val="0"/>
              <w:autoSpaceDN w:val="0"/>
              <w:adjustRightInd w:val="0"/>
              <w:jc w:val="center"/>
              <w:rPr>
                <w:rFonts w:asciiTheme="minorEastAsia" w:eastAsiaTheme="minorEastAsia" w:hAnsiTheme="minorEastAsia"/>
                <w:szCs w:val="21"/>
              </w:rPr>
            </w:pPr>
            <w:r w:rsidRPr="00456512">
              <w:rPr>
                <w:rFonts w:asciiTheme="minorEastAsia" w:eastAsiaTheme="minorEastAsia" w:hAnsiTheme="minorEastAsia" w:cs="宋体"/>
                <w:kern w:val="0"/>
                <w:szCs w:val="21"/>
              </w:rPr>
              <w:t>2019-08-13</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autoSpaceDE w:val="0"/>
              <w:autoSpaceDN w:val="0"/>
              <w:adjustRightInd w:val="0"/>
              <w:jc w:val="center"/>
              <w:rPr>
                <w:rFonts w:asciiTheme="minorEastAsia" w:eastAsiaTheme="minorEastAsia" w:hAnsiTheme="minorEastAsia"/>
                <w:szCs w:val="21"/>
              </w:rPr>
            </w:pPr>
            <w:r w:rsidRPr="00456512">
              <w:rPr>
                <w:rFonts w:asciiTheme="minorEastAsia" w:eastAsiaTheme="minorEastAsia" w:hAnsiTheme="minorEastAsia" w:cs="宋体"/>
                <w:kern w:val="0"/>
                <w:szCs w:val="21"/>
              </w:rPr>
              <w:t>2019-08-14</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2019-08-14</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2019-08-14</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2019-08-14</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易方达基金管理有限公司关于旗下部分开放式基金参加潍坊银行费率优惠活动的公告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2019-08-26</w:t>
            </w:r>
          </w:p>
        </w:tc>
      </w:tr>
      <w:tr w:rsidR="00456512" w:rsidRPr="00456512" w:rsidTr="003C0187">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3C0187" w:rsidRPr="00456512" w:rsidRDefault="003C0187" w:rsidP="003C0187">
            <w:pPr>
              <w:widowControl/>
              <w:jc w:val="left"/>
              <w:rPr>
                <w:rFonts w:asciiTheme="minorEastAsia" w:eastAsiaTheme="minorEastAsia" w:hAnsiTheme="minorEastAsia"/>
                <w:szCs w:val="21"/>
              </w:rPr>
            </w:pPr>
            <w:r w:rsidRPr="00456512">
              <w:rPr>
                <w:rFonts w:asciiTheme="minorEastAsia" w:eastAsiaTheme="minorEastAsia" w:hAnsiTheme="minorEastAsia" w:hint="eastAsia"/>
                <w:szCs w:val="21"/>
              </w:rPr>
              <w:t>易方达基金管理有限公司旗下基金季度报告提示性公告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3C0187" w:rsidRPr="00456512" w:rsidRDefault="003C0187" w:rsidP="003C0187">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2019-10-24</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bottom"/>
          </w:tcPr>
          <w:p w:rsidR="00083CDE" w:rsidRPr="00456512" w:rsidRDefault="00083CDE" w:rsidP="00083CDE">
            <w:pPr>
              <w:widowControl/>
              <w:jc w:val="left"/>
              <w:rPr>
                <w:rFonts w:asciiTheme="minorEastAsia" w:eastAsiaTheme="minorEastAsia" w:hAnsiTheme="minorEastAsia" w:cs="宋体"/>
                <w:kern w:val="0"/>
                <w:szCs w:val="21"/>
              </w:rPr>
            </w:pPr>
            <w:r w:rsidRPr="00456512">
              <w:rPr>
                <w:rFonts w:asciiTheme="minorEastAsia" w:eastAsiaTheme="minorEastAsia" w:hAnsiTheme="minorEastAsia" w:hint="eastAsia"/>
                <w:szCs w:val="21"/>
              </w:rPr>
              <w:t>易方达基金管理有限公司旗下部分开放式基金参加方正证券费率优惠活动的公告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2019-11-08</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cs="宋体" w:hint="eastAsia"/>
                <w:kern w:val="0"/>
                <w:szCs w:val="21"/>
              </w:rPr>
              <w:t>易方达基金管理有限公司旗下部分开放式基金增加中邮证券为销售机构的公告</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083CDE" w:rsidRPr="00456512" w:rsidRDefault="00083CDE"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szCs w:val="21"/>
              </w:rPr>
              <w:t>2019-12-16</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易方达基金管理有限公司旗下部分开放式基金参加中国邮政储蓄银行个人网上银行和手机银行申购费率优惠活动的公告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2019-12-30</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易方达基金管理有限公司关于公司股权变更的公告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易方达基金管理有限公司旗下部分开放式基金参加烟台银行定期定额投资费率优惠活动的公告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易方达基金管理有限公司旗下部分开放式基金参加交通银行手机银行费率优惠活动的公告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易方达基金管理有限公司旗下部分开放式基金参加中国工商银行“2020倾心回馈”基金定期定额投资费率优惠活动的公告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易方达基金管理有限公司旗下部分开放式基金参加中国工商银行个人电子银行渠道申购费率优惠活动的公告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易方达基金管理有限公司旗下部分开放式基金参加昆仑银行费率优惠活动的公告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易方达基金管理有限公司旗下部分开放式基金参加苏州银行费率优惠活动的公告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r w:rsidR="00456512" w:rsidRPr="00456512" w:rsidTr="00960F82">
        <w:trPr>
          <w:trHeight w:val="285"/>
        </w:trPr>
        <w:tc>
          <w:tcPr>
            <w:tcW w:w="4139"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autoSpaceDE w:val="0"/>
              <w:autoSpaceDN w:val="0"/>
              <w:adjustRightInd w:val="0"/>
              <w:jc w:val="left"/>
              <w:rPr>
                <w:rFonts w:asciiTheme="minorEastAsia" w:eastAsiaTheme="minorEastAsia" w:hAnsiTheme="minorEastAsia" w:cs="宋体"/>
                <w:kern w:val="0"/>
                <w:szCs w:val="21"/>
              </w:rPr>
            </w:pPr>
            <w:r w:rsidRPr="00456512">
              <w:rPr>
                <w:rFonts w:asciiTheme="minorEastAsia" w:eastAsiaTheme="minorEastAsia" w:hAnsiTheme="minorEastAsia" w:hint="eastAsia"/>
              </w:rPr>
              <w:t>易方达基金管理有限公司关于易方达积极成长证券投资基金根据《公开募集证券投资基金信息披露管理办法》修订基金合同、托管协议部分条款的公告</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60F82" w:rsidRPr="00456512" w:rsidRDefault="00960F82" w:rsidP="00960F82">
            <w:pPr>
              <w:widowControl/>
              <w:jc w:val="center"/>
              <w:rPr>
                <w:rFonts w:asciiTheme="minorEastAsia" w:eastAsiaTheme="minorEastAsia" w:hAnsiTheme="minorEastAsia"/>
                <w:szCs w:val="21"/>
              </w:rPr>
            </w:pPr>
            <w:r w:rsidRPr="00456512">
              <w:rPr>
                <w:rFonts w:asciiTheme="minorEastAsia" w:eastAsiaTheme="minorEastAsia" w:hAnsiTheme="minorEastAsia" w:hint="eastAsia"/>
              </w:rPr>
              <w:t>2019-12-31</w:t>
            </w:r>
          </w:p>
        </w:tc>
      </w:tr>
    </w:tbl>
    <w:p w:rsidR="00D759DD" w:rsidRPr="00456512" w:rsidRDefault="006A69EA" w:rsidP="00572F48">
      <w:pPr>
        <w:pStyle w:val="a6"/>
        <w:snapToGrid w:val="0"/>
        <w:spacing w:line="360" w:lineRule="auto"/>
        <w:ind w:firstLine="0"/>
        <w:rPr>
          <w:rFonts w:asciiTheme="minorEastAsia" w:eastAsiaTheme="minorEastAsia" w:hAnsiTheme="minorEastAsia"/>
          <w:szCs w:val="21"/>
        </w:rPr>
      </w:pPr>
      <w:r w:rsidRPr="00456512">
        <w:rPr>
          <w:rFonts w:asciiTheme="minorEastAsia" w:eastAsiaTheme="minorEastAsia" w:hAnsiTheme="minorEastAsia" w:hint="eastAsia"/>
          <w:szCs w:val="21"/>
        </w:rPr>
        <w:t>注：</w:t>
      </w:r>
      <w:r w:rsidR="00D675F5" w:rsidRPr="00456512">
        <w:rPr>
          <w:rFonts w:asciiTheme="minorEastAsia" w:eastAsiaTheme="minorEastAsia" w:hAnsiTheme="minorEastAsia" w:hint="eastAsia"/>
          <w:szCs w:val="21"/>
        </w:rPr>
        <w:t>以上公告事项披露在指定媒介及基金管理人网站上。</w:t>
      </w:r>
      <w:bookmarkStart w:id="1586" w:name="_GoBack"/>
      <w:bookmarkEnd w:id="1586"/>
    </w:p>
    <w:p w:rsidR="00FD63D6" w:rsidRPr="00456512" w:rsidRDefault="00FD63D6" w:rsidP="0037562B">
      <w:pPr>
        <w:widowControl/>
        <w:jc w:val="left"/>
        <w:rPr>
          <w:rFonts w:asciiTheme="minorEastAsia" w:eastAsiaTheme="minorEastAsia" w:hAnsiTheme="minorEastAsia"/>
          <w:szCs w:val="21"/>
        </w:rPr>
        <w:sectPr w:rsidR="00FD63D6" w:rsidRPr="00456512" w:rsidSect="005E306A">
          <w:pgSz w:w="11906" w:h="16838" w:code="9"/>
          <w:pgMar w:top="1440" w:right="1800" w:bottom="1440" w:left="1800" w:header="851" w:footer="992" w:gutter="0"/>
          <w:cols w:space="425"/>
          <w:titlePg/>
          <w:docGrid w:type="lines" w:linePitch="312"/>
        </w:sectPr>
      </w:pPr>
    </w:p>
    <w:p w:rsidR="001D2E2F" w:rsidRPr="00456512" w:rsidRDefault="001D2E2F" w:rsidP="00084917">
      <w:pPr>
        <w:pStyle w:val="10"/>
        <w:snapToGrid w:val="0"/>
        <w:spacing w:before="312" w:after="312" w:line="360" w:lineRule="auto"/>
        <w:ind w:firstLineChars="0" w:firstLine="0"/>
        <w:rPr>
          <w:rFonts w:asciiTheme="minorEastAsia" w:eastAsiaTheme="minorEastAsia" w:hAnsiTheme="minorEastAsia"/>
          <w:b/>
          <w:bCs/>
        </w:rPr>
      </w:pPr>
      <w:bookmarkStart w:id="1587" w:name="_Toc92774768"/>
      <w:bookmarkStart w:id="1588" w:name="_Toc30161834"/>
      <w:r w:rsidRPr="00456512">
        <w:rPr>
          <w:rFonts w:asciiTheme="minorEastAsia" w:eastAsiaTheme="minorEastAsia" w:hAnsiTheme="minorEastAsia" w:hint="eastAsia"/>
          <w:b/>
          <w:bCs/>
        </w:rPr>
        <w:lastRenderedPageBreak/>
        <w:t>二十二、招募说明书的存放及查阅方式</w:t>
      </w:r>
      <w:bookmarkEnd w:id="1587"/>
      <w:bookmarkEnd w:id="1588"/>
    </w:p>
    <w:p w:rsidR="001D2E2F" w:rsidRPr="00456512" w:rsidRDefault="001D2E2F" w:rsidP="00084917">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本招募说明书存放在基金管理人、基金托管人及基金</w:t>
      </w:r>
      <w:r w:rsidR="0004048E" w:rsidRPr="00456512">
        <w:rPr>
          <w:rFonts w:asciiTheme="minorEastAsia" w:eastAsiaTheme="minorEastAsia" w:hAnsiTheme="minorEastAsia" w:hint="eastAsia"/>
        </w:rPr>
        <w:t>销售</w:t>
      </w:r>
      <w:r w:rsidRPr="00456512">
        <w:rPr>
          <w:rFonts w:asciiTheme="minorEastAsia" w:eastAsiaTheme="minorEastAsia" w:hAnsiTheme="minorEastAsia" w:hint="eastAsia"/>
        </w:rPr>
        <w:t>机构住所，投资者可在营业时间免费查阅，也可按工本费购买复印件。</w:t>
      </w:r>
      <w:r w:rsidRPr="00456512">
        <w:rPr>
          <w:rFonts w:asciiTheme="minorEastAsia" w:eastAsiaTheme="minorEastAsia" w:hAnsiTheme="minorEastAsia"/>
        </w:rPr>
        <w:t>基金管理人和基金托管人保证</w:t>
      </w:r>
      <w:r w:rsidRPr="00456512">
        <w:rPr>
          <w:rFonts w:asciiTheme="minorEastAsia" w:eastAsiaTheme="minorEastAsia" w:hAnsiTheme="minorEastAsia" w:hint="eastAsia"/>
        </w:rPr>
        <w:t>其所提供的</w:t>
      </w:r>
      <w:r w:rsidRPr="00456512">
        <w:rPr>
          <w:rFonts w:asciiTheme="minorEastAsia" w:eastAsiaTheme="minorEastAsia" w:hAnsiTheme="minorEastAsia"/>
        </w:rPr>
        <w:t>文本的内容与所公告的内容完全一致。</w:t>
      </w:r>
    </w:p>
    <w:p w:rsidR="001D2E2F" w:rsidRPr="00456512" w:rsidRDefault="001D2E2F"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D759DD" w:rsidRPr="00456512" w:rsidRDefault="00D759DD" w:rsidP="00084917">
      <w:pPr>
        <w:snapToGrid w:val="0"/>
        <w:spacing w:line="360" w:lineRule="auto"/>
        <w:ind w:firstLine="480"/>
        <w:rPr>
          <w:rFonts w:asciiTheme="minorEastAsia" w:eastAsiaTheme="minorEastAsia" w:hAnsiTheme="minorEastAsia"/>
          <w:szCs w:val="21"/>
        </w:rPr>
      </w:pPr>
    </w:p>
    <w:p w:rsidR="001D2E2F" w:rsidRPr="00456512" w:rsidRDefault="001D2E2F" w:rsidP="00084917">
      <w:pPr>
        <w:pStyle w:val="10"/>
        <w:snapToGrid w:val="0"/>
        <w:spacing w:before="312" w:after="312" w:line="360" w:lineRule="auto"/>
        <w:ind w:firstLineChars="0" w:firstLine="0"/>
        <w:rPr>
          <w:rFonts w:asciiTheme="minorEastAsia" w:eastAsiaTheme="minorEastAsia" w:hAnsiTheme="minorEastAsia"/>
          <w:b/>
          <w:bCs/>
        </w:rPr>
      </w:pPr>
      <w:bookmarkStart w:id="1589" w:name="_Toc38438310"/>
      <w:bookmarkStart w:id="1590" w:name="_Toc38438647"/>
      <w:bookmarkStart w:id="1591" w:name="_Toc38438984"/>
      <w:bookmarkStart w:id="1592" w:name="_Toc38439321"/>
      <w:bookmarkStart w:id="1593" w:name="_Toc38439658"/>
      <w:bookmarkStart w:id="1594" w:name="_Toc38439995"/>
      <w:bookmarkStart w:id="1595" w:name="_Toc38440332"/>
      <w:bookmarkStart w:id="1596" w:name="_Toc38440665"/>
      <w:bookmarkStart w:id="1597" w:name="_Toc38440864"/>
      <w:bookmarkStart w:id="1598" w:name="_Toc38441196"/>
      <w:bookmarkStart w:id="1599" w:name="_Toc38441528"/>
      <w:bookmarkStart w:id="1600" w:name="_Toc38441856"/>
      <w:bookmarkStart w:id="1601" w:name="_Toc38442188"/>
      <w:bookmarkStart w:id="1602" w:name="_Toc38442520"/>
      <w:bookmarkStart w:id="1603" w:name="_Toc38442851"/>
      <w:bookmarkStart w:id="1604" w:name="_Toc38443182"/>
      <w:bookmarkStart w:id="1605" w:name="_Toc38443513"/>
      <w:bookmarkStart w:id="1606" w:name="_Toc38443844"/>
      <w:bookmarkStart w:id="1607" w:name="_Toc38438311"/>
      <w:bookmarkStart w:id="1608" w:name="_Toc38438648"/>
      <w:bookmarkStart w:id="1609" w:name="_Toc38438985"/>
      <w:bookmarkStart w:id="1610" w:name="_Toc38439322"/>
      <w:bookmarkStart w:id="1611" w:name="_Toc38439659"/>
      <w:bookmarkStart w:id="1612" w:name="_Toc38439996"/>
      <w:bookmarkStart w:id="1613" w:name="_Toc38440333"/>
      <w:bookmarkStart w:id="1614" w:name="_Toc38440666"/>
      <w:bookmarkStart w:id="1615" w:name="_Toc38440865"/>
      <w:bookmarkStart w:id="1616" w:name="_Toc38441197"/>
      <w:bookmarkStart w:id="1617" w:name="_Toc38441529"/>
      <w:bookmarkStart w:id="1618" w:name="_Toc38441857"/>
      <w:bookmarkStart w:id="1619" w:name="_Toc38442189"/>
      <w:bookmarkStart w:id="1620" w:name="_Toc38442521"/>
      <w:bookmarkStart w:id="1621" w:name="_Toc38442852"/>
      <w:bookmarkStart w:id="1622" w:name="_Toc38443183"/>
      <w:bookmarkStart w:id="1623" w:name="_Toc38443514"/>
      <w:bookmarkStart w:id="1624" w:name="_Toc38443845"/>
      <w:bookmarkStart w:id="1625" w:name="_Toc38438312"/>
      <w:bookmarkStart w:id="1626" w:name="_Toc38438649"/>
      <w:bookmarkStart w:id="1627" w:name="_Toc38438986"/>
      <w:bookmarkStart w:id="1628" w:name="_Toc38439323"/>
      <w:bookmarkStart w:id="1629" w:name="_Toc38439660"/>
      <w:bookmarkStart w:id="1630" w:name="_Toc38439997"/>
      <w:bookmarkStart w:id="1631" w:name="_Toc38440334"/>
      <w:bookmarkStart w:id="1632" w:name="_Toc38440667"/>
      <w:bookmarkStart w:id="1633" w:name="_Toc38440866"/>
      <w:bookmarkStart w:id="1634" w:name="_Toc38441198"/>
      <w:bookmarkStart w:id="1635" w:name="_Toc38441530"/>
      <w:bookmarkStart w:id="1636" w:name="_Toc38441858"/>
      <w:bookmarkStart w:id="1637" w:name="_Toc38442190"/>
      <w:bookmarkStart w:id="1638" w:name="_Toc38442522"/>
      <w:bookmarkStart w:id="1639" w:name="_Toc38442853"/>
      <w:bookmarkStart w:id="1640" w:name="_Toc38443184"/>
      <w:bookmarkStart w:id="1641" w:name="_Toc38443515"/>
      <w:bookmarkStart w:id="1642" w:name="_Toc38443846"/>
      <w:bookmarkStart w:id="1643" w:name="_Toc38438313"/>
      <w:bookmarkStart w:id="1644" w:name="_Toc38438650"/>
      <w:bookmarkStart w:id="1645" w:name="_Toc38438987"/>
      <w:bookmarkStart w:id="1646" w:name="_Toc38439324"/>
      <w:bookmarkStart w:id="1647" w:name="_Toc38439661"/>
      <w:bookmarkStart w:id="1648" w:name="_Toc38439998"/>
      <w:bookmarkStart w:id="1649" w:name="_Toc38440335"/>
      <w:bookmarkStart w:id="1650" w:name="_Toc38440668"/>
      <w:bookmarkStart w:id="1651" w:name="_Toc38440867"/>
      <w:bookmarkStart w:id="1652" w:name="_Toc38441199"/>
      <w:bookmarkStart w:id="1653" w:name="_Toc38441531"/>
      <w:bookmarkStart w:id="1654" w:name="_Toc38441859"/>
      <w:bookmarkStart w:id="1655" w:name="_Toc38442191"/>
      <w:bookmarkStart w:id="1656" w:name="_Toc38442523"/>
      <w:bookmarkStart w:id="1657" w:name="_Toc38442854"/>
      <w:bookmarkStart w:id="1658" w:name="_Toc38443185"/>
      <w:bookmarkStart w:id="1659" w:name="_Toc38443516"/>
      <w:bookmarkStart w:id="1660" w:name="_Toc38443847"/>
      <w:bookmarkStart w:id="1661" w:name="_Toc38438314"/>
      <w:bookmarkStart w:id="1662" w:name="_Toc38438651"/>
      <w:bookmarkStart w:id="1663" w:name="_Toc38438988"/>
      <w:bookmarkStart w:id="1664" w:name="_Toc38439325"/>
      <w:bookmarkStart w:id="1665" w:name="_Toc38439662"/>
      <w:bookmarkStart w:id="1666" w:name="_Toc38439999"/>
      <w:bookmarkStart w:id="1667" w:name="_Toc38440336"/>
      <w:bookmarkStart w:id="1668" w:name="_Toc38440669"/>
      <w:bookmarkStart w:id="1669" w:name="_Toc38440868"/>
      <w:bookmarkStart w:id="1670" w:name="_Toc38441200"/>
      <w:bookmarkStart w:id="1671" w:name="_Toc38441532"/>
      <w:bookmarkStart w:id="1672" w:name="_Toc38441860"/>
      <w:bookmarkStart w:id="1673" w:name="_Toc38442192"/>
      <w:bookmarkStart w:id="1674" w:name="_Toc38442524"/>
      <w:bookmarkStart w:id="1675" w:name="_Toc38442855"/>
      <w:bookmarkStart w:id="1676" w:name="_Toc38443186"/>
      <w:bookmarkStart w:id="1677" w:name="_Toc38443517"/>
      <w:bookmarkStart w:id="1678" w:name="_Toc38443848"/>
      <w:bookmarkStart w:id="1679" w:name="_Toc38438315"/>
      <w:bookmarkStart w:id="1680" w:name="_Toc38438652"/>
      <w:bookmarkStart w:id="1681" w:name="_Toc38438989"/>
      <w:bookmarkStart w:id="1682" w:name="_Toc38439326"/>
      <w:bookmarkStart w:id="1683" w:name="_Toc38439663"/>
      <w:bookmarkStart w:id="1684" w:name="_Toc38440000"/>
      <w:bookmarkStart w:id="1685" w:name="_Toc38440337"/>
      <w:bookmarkStart w:id="1686" w:name="_Toc38440670"/>
      <w:bookmarkStart w:id="1687" w:name="_Toc38440869"/>
      <w:bookmarkStart w:id="1688" w:name="_Toc38441201"/>
      <w:bookmarkStart w:id="1689" w:name="_Toc38441533"/>
      <w:bookmarkStart w:id="1690" w:name="_Toc38441861"/>
      <w:bookmarkStart w:id="1691" w:name="_Toc38442193"/>
      <w:bookmarkStart w:id="1692" w:name="_Toc38442525"/>
      <w:bookmarkStart w:id="1693" w:name="_Toc38442856"/>
      <w:bookmarkStart w:id="1694" w:name="_Toc38443187"/>
      <w:bookmarkStart w:id="1695" w:name="_Toc38443518"/>
      <w:bookmarkStart w:id="1696" w:name="_Toc38443849"/>
      <w:bookmarkStart w:id="1697" w:name="_Toc38438316"/>
      <w:bookmarkStart w:id="1698" w:name="_Toc38438653"/>
      <w:bookmarkStart w:id="1699" w:name="_Toc38438990"/>
      <w:bookmarkStart w:id="1700" w:name="_Toc38439327"/>
      <w:bookmarkStart w:id="1701" w:name="_Toc38439664"/>
      <w:bookmarkStart w:id="1702" w:name="_Toc38440001"/>
      <w:bookmarkStart w:id="1703" w:name="_Toc38440338"/>
      <w:bookmarkStart w:id="1704" w:name="_Toc38440671"/>
      <w:bookmarkStart w:id="1705" w:name="_Toc38440870"/>
      <w:bookmarkStart w:id="1706" w:name="_Toc38441202"/>
      <w:bookmarkStart w:id="1707" w:name="_Toc38441534"/>
      <w:bookmarkStart w:id="1708" w:name="_Toc38441862"/>
      <w:bookmarkStart w:id="1709" w:name="_Toc38442194"/>
      <w:bookmarkStart w:id="1710" w:name="_Toc38442526"/>
      <w:bookmarkStart w:id="1711" w:name="_Toc38442857"/>
      <w:bookmarkStart w:id="1712" w:name="_Toc38443188"/>
      <w:bookmarkStart w:id="1713" w:name="_Toc38443519"/>
      <w:bookmarkStart w:id="1714" w:name="_Toc38443850"/>
      <w:bookmarkStart w:id="1715" w:name="_Toc38438317"/>
      <w:bookmarkStart w:id="1716" w:name="_Toc38438654"/>
      <w:bookmarkStart w:id="1717" w:name="_Toc38438991"/>
      <w:bookmarkStart w:id="1718" w:name="_Toc38439328"/>
      <w:bookmarkStart w:id="1719" w:name="_Toc38439665"/>
      <w:bookmarkStart w:id="1720" w:name="_Toc38440002"/>
      <w:bookmarkStart w:id="1721" w:name="_Toc38440339"/>
      <w:bookmarkStart w:id="1722" w:name="_Toc38440672"/>
      <w:bookmarkStart w:id="1723" w:name="_Toc38440871"/>
      <w:bookmarkStart w:id="1724" w:name="_Toc38441203"/>
      <w:bookmarkStart w:id="1725" w:name="_Toc38441535"/>
      <w:bookmarkStart w:id="1726" w:name="_Toc38441863"/>
      <w:bookmarkStart w:id="1727" w:name="_Toc38442195"/>
      <w:bookmarkStart w:id="1728" w:name="_Toc38442527"/>
      <w:bookmarkStart w:id="1729" w:name="_Toc38442858"/>
      <w:bookmarkStart w:id="1730" w:name="_Toc38443189"/>
      <w:bookmarkStart w:id="1731" w:name="_Toc38443520"/>
      <w:bookmarkStart w:id="1732" w:name="_Toc38443851"/>
      <w:bookmarkStart w:id="1733" w:name="_Toc38438318"/>
      <w:bookmarkStart w:id="1734" w:name="_Toc38438655"/>
      <w:bookmarkStart w:id="1735" w:name="_Toc38438992"/>
      <w:bookmarkStart w:id="1736" w:name="_Toc38439329"/>
      <w:bookmarkStart w:id="1737" w:name="_Toc38439666"/>
      <w:bookmarkStart w:id="1738" w:name="_Toc38440003"/>
      <w:bookmarkStart w:id="1739" w:name="_Toc38440340"/>
      <w:bookmarkStart w:id="1740" w:name="_Toc38440673"/>
      <w:bookmarkStart w:id="1741" w:name="_Toc38440872"/>
      <w:bookmarkStart w:id="1742" w:name="_Toc38441204"/>
      <w:bookmarkStart w:id="1743" w:name="_Toc38441536"/>
      <w:bookmarkStart w:id="1744" w:name="_Toc38441864"/>
      <w:bookmarkStart w:id="1745" w:name="_Toc38442196"/>
      <w:bookmarkStart w:id="1746" w:name="_Toc38442528"/>
      <w:bookmarkStart w:id="1747" w:name="_Toc38442859"/>
      <w:bookmarkStart w:id="1748" w:name="_Toc38443190"/>
      <w:bookmarkStart w:id="1749" w:name="_Toc38443521"/>
      <w:bookmarkStart w:id="1750" w:name="_Toc38443852"/>
      <w:bookmarkStart w:id="1751" w:name="_Toc38438319"/>
      <w:bookmarkStart w:id="1752" w:name="_Toc38438656"/>
      <w:bookmarkStart w:id="1753" w:name="_Toc38438993"/>
      <w:bookmarkStart w:id="1754" w:name="_Toc38439330"/>
      <w:bookmarkStart w:id="1755" w:name="_Toc38439667"/>
      <w:bookmarkStart w:id="1756" w:name="_Toc38440004"/>
      <w:bookmarkStart w:id="1757" w:name="_Toc38440341"/>
      <w:bookmarkStart w:id="1758" w:name="_Toc38440674"/>
      <w:bookmarkStart w:id="1759" w:name="_Toc38440873"/>
      <w:bookmarkStart w:id="1760" w:name="_Toc38441205"/>
      <w:bookmarkStart w:id="1761" w:name="_Toc38441537"/>
      <w:bookmarkStart w:id="1762" w:name="_Toc38441865"/>
      <w:bookmarkStart w:id="1763" w:name="_Toc38442197"/>
      <w:bookmarkStart w:id="1764" w:name="_Toc38442529"/>
      <w:bookmarkStart w:id="1765" w:name="_Toc38442860"/>
      <w:bookmarkStart w:id="1766" w:name="_Toc38443191"/>
      <w:bookmarkStart w:id="1767" w:name="_Toc38443522"/>
      <w:bookmarkStart w:id="1768" w:name="_Toc38443853"/>
      <w:bookmarkStart w:id="1769" w:name="_Toc38438320"/>
      <w:bookmarkStart w:id="1770" w:name="_Toc38438657"/>
      <w:bookmarkStart w:id="1771" w:name="_Toc38438994"/>
      <w:bookmarkStart w:id="1772" w:name="_Toc38439331"/>
      <w:bookmarkStart w:id="1773" w:name="_Toc38439668"/>
      <w:bookmarkStart w:id="1774" w:name="_Toc38440005"/>
      <w:bookmarkStart w:id="1775" w:name="_Toc38440342"/>
      <w:bookmarkStart w:id="1776" w:name="_Toc38440675"/>
      <w:bookmarkStart w:id="1777" w:name="_Toc38440874"/>
      <w:bookmarkStart w:id="1778" w:name="_Toc38441206"/>
      <w:bookmarkStart w:id="1779" w:name="_Toc38441538"/>
      <w:bookmarkStart w:id="1780" w:name="_Toc38441866"/>
      <w:bookmarkStart w:id="1781" w:name="_Toc38442198"/>
      <w:bookmarkStart w:id="1782" w:name="_Toc38442530"/>
      <w:bookmarkStart w:id="1783" w:name="_Toc38442861"/>
      <w:bookmarkStart w:id="1784" w:name="_Toc38443192"/>
      <w:bookmarkStart w:id="1785" w:name="_Toc38443523"/>
      <w:bookmarkStart w:id="1786" w:name="_Toc38443854"/>
      <w:bookmarkStart w:id="1787" w:name="_Toc38438321"/>
      <w:bookmarkStart w:id="1788" w:name="_Toc38438658"/>
      <w:bookmarkStart w:id="1789" w:name="_Toc38438995"/>
      <w:bookmarkStart w:id="1790" w:name="_Toc38439332"/>
      <w:bookmarkStart w:id="1791" w:name="_Toc38439669"/>
      <w:bookmarkStart w:id="1792" w:name="_Toc38440006"/>
      <w:bookmarkStart w:id="1793" w:name="_Toc38440343"/>
      <w:bookmarkStart w:id="1794" w:name="_Toc38440676"/>
      <w:bookmarkStart w:id="1795" w:name="_Toc38440875"/>
      <w:bookmarkStart w:id="1796" w:name="_Toc38441207"/>
      <w:bookmarkStart w:id="1797" w:name="_Toc38441539"/>
      <w:bookmarkStart w:id="1798" w:name="_Toc38441867"/>
      <w:bookmarkStart w:id="1799" w:name="_Toc38442199"/>
      <w:bookmarkStart w:id="1800" w:name="_Toc38442531"/>
      <w:bookmarkStart w:id="1801" w:name="_Toc38442862"/>
      <w:bookmarkStart w:id="1802" w:name="_Toc38443193"/>
      <w:bookmarkStart w:id="1803" w:name="_Toc38443524"/>
      <w:bookmarkStart w:id="1804" w:name="_Toc38443855"/>
      <w:bookmarkStart w:id="1805" w:name="_Toc38438322"/>
      <w:bookmarkStart w:id="1806" w:name="_Toc38438659"/>
      <w:bookmarkStart w:id="1807" w:name="_Toc38438996"/>
      <w:bookmarkStart w:id="1808" w:name="_Toc38439333"/>
      <w:bookmarkStart w:id="1809" w:name="_Toc38439670"/>
      <w:bookmarkStart w:id="1810" w:name="_Toc38440007"/>
      <w:bookmarkStart w:id="1811" w:name="_Toc38440344"/>
      <w:bookmarkStart w:id="1812" w:name="_Toc38440677"/>
      <w:bookmarkStart w:id="1813" w:name="_Toc38440876"/>
      <w:bookmarkStart w:id="1814" w:name="_Toc38441208"/>
      <w:bookmarkStart w:id="1815" w:name="_Toc38441540"/>
      <w:bookmarkStart w:id="1816" w:name="_Toc38441868"/>
      <w:bookmarkStart w:id="1817" w:name="_Toc38442200"/>
      <w:bookmarkStart w:id="1818" w:name="_Toc38442532"/>
      <w:bookmarkStart w:id="1819" w:name="_Toc38442863"/>
      <w:bookmarkStart w:id="1820" w:name="_Toc38443194"/>
      <w:bookmarkStart w:id="1821" w:name="_Toc38443525"/>
      <w:bookmarkStart w:id="1822" w:name="_Toc38443856"/>
      <w:bookmarkStart w:id="1823" w:name="_Toc38438323"/>
      <w:bookmarkStart w:id="1824" w:name="_Toc38438660"/>
      <w:bookmarkStart w:id="1825" w:name="_Toc38438997"/>
      <w:bookmarkStart w:id="1826" w:name="_Toc38439334"/>
      <w:bookmarkStart w:id="1827" w:name="_Toc38439671"/>
      <w:bookmarkStart w:id="1828" w:name="_Toc38440008"/>
      <w:bookmarkStart w:id="1829" w:name="_Toc38440345"/>
      <w:bookmarkStart w:id="1830" w:name="_Toc38440678"/>
      <w:bookmarkStart w:id="1831" w:name="_Toc38440877"/>
      <w:bookmarkStart w:id="1832" w:name="_Toc38441209"/>
      <w:bookmarkStart w:id="1833" w:name="_Toc38441541"/>
      <w:bookmarkStart w:id="1834" w:name="_Toc38441869"/>
      <w:bookmarkStart w:id="1835" w:name="_Toc38442201"/>
      <w:bookmarkStart w:id="1836" w:name="_Toc38442533"/>
      <w:bookmarkStart w:id="1837" w:name="_Toc38442864"/>
      <w:bookmarkStart w:id="1838" w:name="_Toc38443195"/>
      <w:bookmarkStart w:id="1839" w:name="_Toc38443526"/>
      <w:bookmarkStart w:id="1840" w:name="_Toc38443857"/>
      <w:bookmarkStart w:id="1841" w:name="_Toc38438324"/>
      <w:bookmarkStart w:id="1842" w:name="_Toc38438661"/>
      <w:bookmarkStart w:id="1843" w:name="_Toc38438998"/>
      <w:bookmarkStart w:id="1844" w:name="_Toc38439335"/>
      <w:bookmarkStart w:id="1845" w:name="_Toc38439672"/>
      <w:bookmarkStart w:id="1846" w:name="_Toc38440009"/>
      <w:bookmarkStart w:id="1847" w:name="_Toc38440346"/>
      <w:bookmarkStart w:id="1848" w:name="_Toc38440679"/>
      <w:bookmarkStart w:id="1849" w:name="_Toc38440878"/>
      <w:bookmarkStart w:id="1850" w:name="_Toc38441210"/>
      <w:bookmarkStart w:id="1851" w:name="_Toc38441542"/>
      <w:bookmarkStart w:id="1852" w:name="_Toc38441870"/>
      <w:bookmarkStart w:id="1853" w:name="_Toc38442202"/>
      <w:bookmarkStart w:id="1854" w:name="_Toc38442534"/>
      <w:bookmarkStart w:id="1855" w:name="_Toc38442865"/>
      <w:bookmarkStart w:id="1856" w:name="_Toc38443196"/>
      <w:bookmarkStart w:id="1857" w:name="_Toc38443527"/>
      <w:bookmarkStart w:id="1858" w:name="_Toc38443858"/>
      <w:bookmarkStart w:id="1859" w:name="_Toc38438325"/>
      <w:bookmarkStart w:id="1860" w:name="_Toc38438662"/>
      <w:bookmarkStart w:id="1861" w:name="_Toc38438999"/>
      <w:bookmarkStart w:id="1862" w:name="_Toc38439336"/>
      <w:bookmarkStart w:id="1863" w:name="_Toc38439673"/>
      <w:bookmarkStart w:id="1864" w:name="_Toc38440010"/>
      <w:bookmarkStart w:id="1865" w:name="_Toc38440347"/>
      <w:bookmarkStart w:id="1866" w:name="_Toc38440879"/>
      <w:bookmarkStart w:id="1867" w:name="_Toc38441211"/>
      <w:bookmarkStart w:id="1868" w:name="_Toc38441543"/>
      <w:bookmarkStart w:id="1869" w:name="_Toc38441871"/>
      <w:bookmarkStart w:id="1870" w:name="_Toc38442203"/>
      <w:bookmarkStart w:id="1871" w:name="_Toc38442535"/>
      <w:bookmarkStart w:id="1872" w:name="_Toc38442866"/>
      <w:bookmarkStart w:id="1873" w:name="_Toc38443197"/>
      <w:bookmarkStart w:id="1874" w:name="_Toc38443528"/>
      <w:bookmarkStart w:id="1875" w:name="_Toc38443859"/>
      <w:bookmarkStart w:id="1876" w:name="_Toc38438326"/>
      <w:bookmarkStart w:id="1877" w:name="_Toc38438663"/>
      <w:bookmarkStart w:id="1878" w:name="_Toc38439000"/>
      <w:bookmarkStart w:id="1879" w:name="_Toc38439337"/>
      <w:bookmarkStart w:id="1880" w:name="_Toc38439674"/>
      <w:bookmarkStart w:id="1881" w:name="_Toc38440011"/>
      <w:bookmarkStart w:id="1882" w:name="_Toc38440348"/>
      <w:bookmarkStart w:id="1883" w:name="_Toc38440880"/>
      <w:bookmarkStart w:id="1884" w:name="_Toc38441212"/>
      <w:bookmarkStart w:id="1885" w:name="_Toc38441544"/>
      <w:bookmarkStart w:id="1886" w:name="_Toc38441872"/>
      <w:bookmarkStart w:id="1887" w:name="_Toc38442204"/>
      <w:bookmarkStart w:id="1888" w:name="_Toc38442536"/>
      <w:bookmarkStart w:id="1889" w:name="_Toc38442867"/>
      <w:bookmarkStart w:id="1890" w:name="_Toc38443198"/>
      <w:bookmarkStart w:id="1891" w:name="_Toc38443529"/>
      <w:bookmarkStart w:id="1892" w:name="_Toc38443860"/>
      <w:bookmarkStart w:id="1893" w:name="_Toc38438327"/>
      <w:bookmarkStart w:id="1894" w:name="_Toc38438664"/>
      <w:bookmarkStart w:id="1895" w:name="_Toc38439001"/>
      <w:bookmarkStart w:id="1896" w:name="_Toc38439338"/>
      <w:bookmarkStart w:id="1897" w:name="_Toc38439675"/>
      <w:bookmarkStart w:id="1898" w:name="_Toc38440012"/>
      <w:bookmarkStart w:id="1899" w:name="_Toc38440349"/>
      <w:bookmarkStart w:id="1900" w:name="_Toc38440881"/>
      <w:bookmarkStart w:id="1901" w:name="_Toc38441213"/>
      <w:bookmarkStart w:id="1902" w:name="_Toc38441545"/>
      <w:bookmarkStart w:id="1903" w:name="_Toc38441873"/>
      <w:bookmarkStart w:id="1904" w:name="_Toc38442205"/>
      <w:bookmarkStart w:id="1905" w:name="_Toc38442537"/>
      <w:bookmarkStart w:id="1906" w:name="_Toc38442868"/>
      <w:bookmarkStart w:id="1907" w:name="_Toc38443199"/>
      <w:bookmarkStart w:id="1908" w:name="_Toc38443530"/>
      <w:bookmarkStart w:id="1909" w:name="_Toc38443861"/>
      <w:bookmarkStart w:id="1910" w:name="_Toc38438328"/>
      <w:bookmarkStart w:id="1911" w:name="_Toc38438665"/>
      <w:bookmarkStart w:id="1912" w:name="_Toc38439002"/>
      <w:bookmarkStart w:id="1913" w:name="_Toc38439339"/>
      <w:bookmarkStart w:id="1914" w:name="_Toc38439676"/>
      <w:bookmarkStart w:id="1915" w:name="_Toc38440013"/>
      <w:bookmarkStart w:id="1916" w:name="_Toc38440350"/>
      <w:bookmarkStart w:id="1917" w:name="_Toc38440882"/>
      <w:bookmarkStart w:id="1918" w:name="_Toc38441214"/>
      <w:bookmarkStart w:id="1919" w:name="_Toc38441546"/>
      <w:bookmarkStart w:id="1920" w:name="_Toc38441874"/>
      <w:bookmarkStart w:id="1921" w:name="_Toc38442206"/>
      <w:bookmarkStart w:id="1922" w:name="_Toc38442538"/>
      <w:bookmarkStart w:id="1923" w:name="_Toc38442869"/>
      <w:bookmarkStart w:id="1924" w:name="_Toc38443200"/>
      <w:bookmarkStart w:id="1925" w:name="_Toc38443531"/>
      <w:bookmarkStart w:id="1926" w:name="_Toc38443862"/>
      <w:bookmarkStart w:id="1927" w:name="_Toc38438329"/>
      <w:bookmarkStart w:id="1928" w:name="_Toc38438666"/>
      <w:bookmarkStart w:id="1929" w:name="_Toc38439003"/>
      <w:bookmarkStart w:id="1930" w:name="_Toc38439340"/>
      <w:bookmarkStart w:id="1931" w:name="_Toc38439677"/>
      <w:bookmarkStart w:id="1932" w:name="_Toc38440014"/>
      <w:bookmarkStart w:id="1933" w:name="_Toc38440351"/>
      <w:bookmarkStart w:id="1934" w:name="_Toc38440883"/>
      <w:bookmarkStart w:id="1935" w:name="_Toc38441215"/>
      <w:bookmarkStart w:id="1936" w:name="_Toc38441547"/>
      <w:bookmarkStart w:id="1937" w:name="_Toc38441875"/>
      <w:bookmarkStart w:id="1938" w:name="_Toc38442207"/>
      <w:bookmarkStart w:id="1939" w:name="_Toc38442539"/>
      <w:bookmarkStart w:id="1940" w:name="_Toc38442870"/>
      <w:bookmarkStart w:id="1941" w:name="_Toc38443201"/>
      <w:bookmarkStart w:id="1942" w:name="_Toc38443532"/>
      <w:bookmarkStart w:id="1943" w:name="_Toc38443863"/>
      <w:bookmarkStart w:id="1944" w:name="_Toc38438330"/>
      <w:bookmarkStart w:id="1945" w:name="_Toc38438667"/>
      <w:bookmarkStart w:id="1946" w:name="_Toc38439004"/>
      <w:bookmarkStart w:id="1947" w:name="_Toc38439341"/>
      <w:bookmarkStart w:id="1948" w:name="_Toc38439678"/>
      <w:bookmarkStart w:id="1949" w:name="_Toc38440015"/>
      <w:bookmarkStart w:id="1950" w:name="_Toc38440352"/>
      <w:bookmarkStart w:id="1951" w:name="_Toc38440884"/>
      <w:bookmarkStart w:id="1952" w:name="_Toc38441216"/>
      <w:bookmarkStart w:id="1953" w:name="_Toc38441548"/>
      <w:bookmarkStart w:id="1954" w:name="_Toc38441876"/>
      <w:bookmarkStart w:id="1955" w:name="_Toc38442208"/>
      <w:bookmarkStart w:id="1956" w:name="_Toc38442540"/>
      <w:bookmarkStart w:id="1957" w:name="_Toc38442871"/>
      <w:bookmarkStart w:id="1958" w:name="_Toc38443202"/>
      <w:bookmarkStart w:id="1959" w:name="_Toc38443533"/>
      <w:bookmarkStart w:id="1960" w:name="_Toc38443864"/>
      <w:bookmarkStart w:id="1961" w:name="_Toc38438331"/>
      <w:bookmarkStart w:id="1962" w:name="_Toc38438668"/>
      <w:bookmarkStart w:id="1963" w:name="_Toc38439005"/>
      <w:bookmarkStart w:id="1964" w:name="_Toc38439342"/>
      <w:bookmarkStart w:id="1965" w:name="_Toc38439679"/>
      <w:bookmarkStart w:id="1966" w:name="_Toc38440016"/>
      <w:bookmarkStart w:id="1967" w:name="_Toc38440353"/>
      <w:bookmarkStart w:id="1968" w:name="_Toc38440885"/>
      <w:bookmarkStart w:id="1969" w:name="_Toc38441217"/>
      <w:bookmarkStart w:id="1970" w:name="_Toc38441549"/>
      <w:bookmarkStart w:id="1971" w:name="_Toc38441877"/>
      <w:bookmarkStart w:id="1972" w:name="_Toc38442209"/>
      <w:bookmarkStart w:id="1973" w:name="_Toc38442541"/>
      <w:bookmarkStart w:id="1974" w:name="_Toc38442872"/>
      <w:bookmarkStart w:id="1975" w:name="_Toc38443203"/>
      <w:bookmarkStart w:id="1976" w:name="_Toc38443534"/>
      <w:bookmarkStart w:id="1977" w:name="_Toc38443865"/>
      <w:bookmarkStart w:id="1978" w:name="_Toc38438332"/>
      <w:bookmarkStart w:id="1979" w:name="_Toc38438669"/>
      <w:bookmarkStart w:id="1980" w:name="_Toc38439006"/>
      <w:bookmarkStart w:id="1981" w:name="_Toc38439343"/>
      <w:bookmarkStart w:id="1982" w:name="_Toc38439680"/>
      <w:bookmarkStart w:id="1983" w:name="_Toc38440017"/>
      <w:bookmarkStart w:id="1984" w:name="_Toc38440354"/>
      <w:bookmarkStart w:id="1985" w:name="_Toc38440886"/>
      <w:bookmarkStart w:id="1986" w:name="_Toc38441218"/>
      <w:bookmarkStart w:id="1987" w:name="_Toc38441550"/>
      <w:bookmarkStart w:id="1988" w:name="_Toc38441878"/>
      <w:bookmarkStart w:id="1989" w:name="_Toc38442210"/>
      <w:bookmarkStart w:id="1990" w:name="_Toc38442542"/>
      <w:bookmarkStart w:id="1991" w:name="_Toc38442873"/>
      <w:bookmarkStart w:id="1992" w:name="_Toc38443204"/>
      <w:bookmarkStart w:id="1993" w:name="_Toc38443535"/>
      <w:bookmarkStart w:id="1994" w:name="_Toc38443866"/>
      <w:bookmarkStart w:id="1995" w:name="_Toc38438333"/>
      <w:bookmarkStart w:id="1996" w:name="_Toc38438670"/>
      <w:bookmarkStart w:id="1997" w:name="_Toc38439007"/>
      <w:bookmarkStart w:id="1998" w:name="_Toc38439344"/>
      <w:bookmarkStart w:id="1999" w:name="_Toc38439681"/>
      <w:bookmarkStart w:id="2000" w:name="_Toc38440018"/>
      <w:bookmarkStart w:id="2001" w:name="_Toc38440355"/>
      <w:bookmarkStart w:id="2002" w:name="_Toc38440887"/>
      <w:bookmarkStart w:id="2003" w:name="_Toc38441219"/>
      <w:bookmarkStart w:id="2004" w:name="_Toc38441551"/>
      <w:bookmarkStart w:id="2005" w:name="_Toc38441879"/>
      <w:bookmarkStart w:id="2006" w:name="_Toc38442211"/>
      <w:bookmarkStart w:id="2007" w:name="_Toc38442543"/>
      <w:bookmarkStart w:id="2008" w:name="_Toc38442874"/>
      <w:bookmarkStart w:id="2009" w:name="_Toc38443205"/>
      <w:bookmarkStart w:id="2010" w:name="_Toc38443536"/>
      <w:bookmarkStart w:id="2011" w:name="_Toc38443867"/>
      <w:bookmarkStart w:id="2012" w:name="_Toc38438334"/>
      <w:bookmarkStart w:id="2013" w:name="_Toc38438671"/>
      <w:bookmarkStart w:id="2014" w:name="_Toc38439008"/>
      <w:bookmarkStart w:id="2015" w:name="_Toc38439345"/>
      <w:bookmarkStart w:id="2016" w:name="_Toc38439682"/>
      <w:bookmarkStart w:id="2017" w:name="_Toc38440019"/>
      <w:bookmarkStart w:id="2018" w:name="_Toc38440356"/>
      <w:bookmarkStart w:id="2019" w:name="_Toc38440888"/>
      <w:bookmarkStart w:id="2020" w:name="_Toc38441220"/>
      <w:bookmarkStart w:id="2021" w:name="_Toc38441552"/>
      <w:bookmarkStart w:id="2022" w:name="_Toc38441880"/>
      <w:bookmarkStart w:id="2023" w:name="_Toc38442212"/>
      <w:bookmarkStart w:id="2024" w:name="_Toc38442544"/>
      <w:bookmarkStart w:id="2025" w:name="_Toc38442875"/>
      <w:bookmarkStart w:id="2026" w:name="_Toc38443206"/>
      <w:bookmarkStart w:id="2027" w:name="_Toc38443537"/>
      <w:bookmarkStart w:id="2028" w:name="_Toc38443868"/>
      <w:bookmarkStart w:id="2029" w:name="_Toc38438335"/>
      <w:bookmarkStart w:id="2030" w:name="_Toc38438672"/>
      <w:bookmarkStart w:id="2031" w:name="_Toc38439009"/>
      <w:bookmarkStart w:id="2032" w:name="_Toc38439346"/>
      <w:bookmarkStart w:id="2033" w:name="_Toc38439683"/>
      <w:bookmarkStart w:id="2034" w:name="_Toc38440020"/>
      <w:bookmarkStart w:id="2035" w:name="_Toc38440357"/>
      <w:bookmarkStart w:id="2036" w:name="_Toc38440889"/>
      <w:bookmarkStart w:id="2037" w:name="_Toc38441221"/>
      <w:bookmarkStart w:id="2038" w:name="_Toc38441553"/>
      <w:bookmarkStart w:id="2039" w:name="_Toc38441881"/>
      <w:bookmarkStart w:id="2040" w:name="_Toc38442213"/>
      <w:bookmarkStart w:id="2041" w:name="_Toc38442545"/>
      <w:bookmarkStart w:id="2042" w:name="_Toc38442876"/>
      <w:bookmarkStart w:id="2043" w:name="_Toc38443207"/>
      <w:bookmarkStart w:id="2044" w:name="_Toc38443538"/>
      <w:bookmarkStart w:id="2045" w:name="_Toc38443869"/>
      <w:bookmarkStart w:id="2046" w:name="_Toc38438336"/>
      <w:bookmarkStart w:id="2047" w:name="_Toc38438673"/>
      <w:bookmarkStart w:id="2048" w:name="_Toc38439010"/>
      <w:bookmarkStart w:id="2049" w:name="_Toc38439347"/>
      <w:bookmarkStart w:id="2050" w:name="_Toc38439684"/>
      <w:bookmarkStart w:id="2051" w:name="_Toc38440021"/>
      <w:bookmarkStart w:id="2052" w:name="_Toc38440358"/>
      <w:bookmarkStart w:id="2053" w:name="_Toc38440890"/>
      <w:bookmarkStart w:id="2054" w:name="_Toc38441222"/>
      <w:bookmarkStart w:id="2055" w:name="_Toc38441554"/>
      <w:bookmarkStart w:id="2056" w:name="_Toc38441882"/>
      <w:bookmarkStart w:id="2057" w:name="_Toc38442214"/>
      <w:bookmarkStart w:id="2058" w:name="_Toc38442546"/>
      <w:bookmarkStart w:id="2059" w:name="_Toc38442877"/>
      <w:bookmarkStart w:id="2060" w:name="_Toc38443208"/>
      <w:bookmarkStart w:id="2061" w:name="_Toc38443539"/>
      <w:bookmarkStart w:id="2062" w:name="_Toc38443870"/>
      <w:bookmarkStart w:id="2063" w:name="_Toc38438337"/>
      <w:bookmarkStart w:id="2064" w:name="_Toc38438674"/>
      <w:bookmarkStart w:id="2065" w:name="_Toc38439011"/>
      <w:bookmarkStart w:id="2066" w:name="_Toc38439348"/>
      <w:bookmarkStart w:id="2067" w:name="_Toc38439685"/>
      <w:bookmarkStart w:id="2068" w:name="_Toc38440022"/>
      <w:bookmarkStart w:id="2069" w:name="_Toc38440359"/>
      <w:bookmarkStart w:id="2070" w:name="_Toc38440891"/>
      <w:bookmarkStart w:id="2071" w:name="_Toc38441223"/>
      <w:bookmarkStart w:id="2072" w:name="_Toc38441555"/>
      <w:bookmarkStart w:id="2073" w:name="_Toc38441883"/>
      <w:bookmarkStart w:id="2074" w:name="_Toc38442215"/>
      <w:bookmarkStart w:id="2075" w:name="_Toc38442547"/>
      <w:bookmarkStart w:id="2076" w:name="_Toc38442878"/>
      <w:bookmarkStart w:id="2077" w:name="_Toc38443209"/>
      <w:bookmarkStart w:id="2078" w:name="_Toc38443540"/>
      <w:bookmarkStart w:id="2079" w:name="_Toc38443871"/>
      <w:bookmarkStart w:id="2080" w:name="_Toc38438338"/>
      <w:bookmarkStart w:id="2081" w:name="_Toc38438675"/>
      <w:bookmarkStart w:id="2082" w:name="_Toc38439012"/>
      <w:bookmarkStart w:id="2083" w:name="_Toc38439349"/>
      <w:bookmarkStart w:id="2084" w:name="_Toc38439686"/>
      <w:bookmarkStart w:id="2085" w:name="_Toc38440023"/>
      <w:bookmarkStart w:id="2086" w:name="_Toc38440360"/>
      <w:bookmarkStart w:id="2087" w:name="_Toc38440892"/>
      <w:bookmarkStart w:id="2088" w:name="_Toc38441224"/>
      <w:bookmarkStart w:id="2089" w:name="_Toc38441556"/>
      <w:bookmarkStart w:id="2090" w:name="_Toc38441884"/>
      <w:bookmarkStart w:id="2091" w:name="_Toc38442216"/>
      <w:bookmarkStart w:id="2092" w:name="_Toc38442548"/>
      <w:bookmarkStart w:id="2093" w:name="_Toc38442879"/>
      <w:bookmarkStart w:id="2094" w:name="_Toc38443210"/>
      <w:bookmarkStart w:id="2095" w:name="_Toc38443541"/>
      <w:bookmarkStart w:id="2096" w:name="_Toc38443872"/>
      <w:bookmarkStart w:id="2097" w:name="_Toc38438339"/>
      <w:bookmarkStart w:id="2098" w:name="_Toc38438676"/>
      <w:bookmarkStart w:id="2099" w:name="_Toc38439013"/>
      <w:bookmarkStart w:id="2100" w:name="_Toc38439350"/>
      <w:bookmarkStart w:id="2101" w:name="_Toc38439687"/>
      <w:bookmarkStart w:id="2102" w:name="_Toc38440024"/>
      <w:bookmarkStart w:id="2103" w:name="_Toc38440361"/>
      <w:bookmarkStart w:id="2104" w:name="_Toc38440893"/>
      <w:bookmarkStart w:id="2105" w:name="_Toc38441225"/>
      <w:bookmarkStart w:id="2106" w:name="_Toc38441557"/>
      <w:bookmarkStart w:id="2107" w:name="_Toc38441885"/>
      <w:bookmarkStart w:id="2108" w:name="_Toc38442217"/>
      <w:bookmarkStart w:id="2109" w:name="_Toc38442549"/>
      <w:bookmarkStart w:id="2110" w:name="_Toc38442880"/>
      <w:bookmarkStart w:id="2111" w:name="_Toc38443211"/>
      <w:bookmarkStart w:id="2112" w:name="_Toc38443542"/>
      <w:bookmarkStart w:id="2113" w:name="_Toc38443873"/>
      <w:bookmarkStart w:id="2114" w:name="_Toc38438340"/>
      <w:bookmarkStart w:id="2115" w:name="_Toc38438677"/>
      <w:bookmarkStart w:id="2116" w:name="_Toc38439014"/>
      <w:bookmarkStart w:id="2117" w:name="_Toc38439351"/>
      <w:bookmarkStart w:id="2118" w:name="_Toc38439688"/>
      <w:bookmarkStart w:id="2119" w:name="_Toc38440025"/>
      <w:bookmarkStart w:id="2120" w:name="_Toc38440362"/>
      <w:bookmarkStart w:id="2121" w:name="_Toc38440894"/>
      <w:bookmarkStart w:id="2122" w:name="_Toc38441226"/>
      <w:bookmarkStart w:id="2123" w:name="_Toc38441558"/>
      <w:bookmarkStart w:id="2124" w:name="_Toc38441886"/>
      <w:bookmarkStart w:id="2125" w:name="_Toc38442218"/>
      <w:bookmarkStart w:id="2126" w:name="_Toc38442550"/>
      <w:bookmarkStart w:id="2127" w:name="_Toc38442881"/>
      <w:bookmarkStart w:id="2128" w:name="_Toc38443212"/>
      <w:bookmarkStart w:id="2129" w:name="_Toc38443543"/>
      <w:bookmarkStart w:id="2130" w:name="_Toc38443874"/>
      <w:bookmarkStart w:id="2131" w:name="_Toc38438341"/>
      <w:bookmarkStart w:id="2132" w:name="_Toc38438678"/>
      <w:bookmarkStart w:id="2133" w:name="_Toc38439015"/>
      <w:bookmarkStart w:id="2134" w:name="_Toc38439352"/>
      <w:bookmarkStart w:id="2135" w:name="_Toc38439689"/>
      <w:bookmarkStart w:id="2136" w:name="_Toc38440026"/>
      <w:bookmarkStart w:id="2137" w:name="_Toc38440363"/>
      <w:bookmarkStart w:id="2138" w:name="_Toc38440895"/>
      <w:bookmarkStart w:id="2139" w:name="_Toc38441227"/>
      <w:bookmarkStart w:id="2140" w:name="_Toc38441559"/>
      <w:bookmarkStart w:id="2141" w:name="_Toc38441887"/>
      <w:bookmarkStart w:id="2142" w:name="_Toc38442219"/>
      <w:bookmarkStart w:id="2143" w:name="_Toc38442551"/>
      <w:bookmarkStart w:id="2144" w:name="_Toc38442882"/>
      <w:bookmarkStart w:id="2145" w:name="_Toc38443213"/>
      <w:bookmarkStart w:id="2146" w:name="_Toc38443544"/>
      <w:bookmarkStart w:id="2147" w:name="_Toc38443875"/>
      <w:bookmarkStart w:id="2148" w:name="_Toc38438342"/>
      <w:bookmarkStart w:id="2149" w:name="_Toc38438679"/>
      <w:bookmarkStart w:id="2150" w:name="_Toc38439016"/>
      <w:bookmarkStart w:id="2151" w:name="_Toc38439353"/>
      <w:bookmarkStart w:id="2152" w:name="_Toc38439690"/>
      <w:bookmarkStart w:id="2153" w:name="_Toc38440027"/>
      <w:bookmarkStart w:id="2154" w:name="_Toc38440364"/>
      <w:bookmarkStart w:id="2155" w:name="_Toc38440896"/>
      <w:bookmarkStart w:id="2156" w:name="_Toc38441228"/>
      <w:bookmarkStart w:id="2157" w:name="_Toc38441560"/>
      <w:bookmarkStart w:id="2158" w:name="_Toc38441888"/>
      <w:bookmarkStart w:id="2159" w:name="_Toc38442220"/>
      <w:bookmarkStart w:id="2160" w:name="_Toc38442552"/>
      <w:bookmarkStart w:id="2161" w:name="_Toc38442883"/>
      <w:bookmarkStart w:id="2162" w:name="_Toc38443214"/>
      <w:bookmarkStart w:id="2163" w:name="_Toc38443545"/>
      <w:bookmarkStart w:id="2164" w:name="_Toc38443876"/>
      <w:bookmarkStart w:id="2165" w:name="_Toc38438343"/>
      <w:bookmarkStart w:id="2166" w:name="_Toc38438680"/>
      <w:bookmarkStart w:id="2167" w:name="_Toc38439017"/>
      <w:bookmarkStart w:id="2168" w:name="_Toc38439354"/>
      <w:bookmarkStart w:id="2169" w:name="_Toc38439691"/>
      <w:bookmarkStart w:id="2170" w:name="_Toc38440028"/>
      <w:bookmarkStart w:id="2171" w:name="_Toc38440365"/>
      <w:bookmarkStart w:id="2172" w:name="_Toc38440897"/>
      <w:bookmarkStart w:id="2173" w:name="_Toc38441229"/>
      <w:bookmarkStart w:id="2174" w:name="_Toc38441561"/>
      <w:bookmarkStart w:id="2175" w:name="_Toc38441889"/>
      <w:bookmarkStart w:id="2176" w:name="_Toc38442221"/>
      <w:bookmarkStart w:id="2177" w:name="_Toc38442553"/>
      <w:bookmarkStart w:id="2178" w:name="_Toc38442884"/>
      <w:bookmarkStart w:id="2179" w:name="_Toc38443215"/>
      <w:bookmarkStart w:id="2180" w:name="_Toc38443546"/>
      <w:bookmarkStart w:id="2181" w:name="_Toc38443877"/>
      <w:bookmarkStart w:id="2182" w:name="_Toc38438350"/>
      <w:bookmarkStart w:id="2183" w:name="_Toc38438687"/>
      <w:bookmarkStart w:id="2184" w:name="_Toc38439024"/>
      <w:bookmarkStart w:id="2185" w:name="_Toc38439361"/>
      <w:bookmarkStart w:id="2186" w:name="_Toc38439698"/>
      <w:bookmarkStart w:id="2187" w:name="_Toc38440035"/>
      <w:bookmarkStart w:id="2188" w:name="_Toc38440372"/>
      <w:bookmarkStart w:id="2189" w:name="_Toc38440904"/>
      <w:bookmarkStart w:id="2190" w:name="_Toc38441236"/>
      <w:bookmarkStart w:id="2191" w:name="_Toc38441568"/>
      <w:bookmarkStart w:id="2192" w:name="_Toc38441896"/>
      <w:bookmarkStart w:id="2193" w:name="_Toc38442228"/>
      <w:bookmarkStart w:id="2194" w:name="_Toc38442560"/>
      <w:bookmarkStart w:id="2195" w:name="_Toc38442891"/>
      <w:bookmarkStart w:id="2196" w:name="_Toc38443222"/>
      <w:bookmarkStart w:id="2197" w:name="_Toc38443553"/>
      <w:bookmarkStart w:id="2198" w:name="_Toc38443883"/>
      <w:bookmarkStart w:id="2199" w:name="_Toc38438351"/>
      <w:bookmarkStart w:id="2200" w:name="_Toc38438688"/>
      <w:bookmarkStart w:id="2201" w:name="_Toc38439025"/>
      <w:bookmarkStart w:id="2202" w:name="_Toc38439362"/>
      <w:bookmarkStart w:id="2203" w:name="_Toc38439699"/>
      <w:bookmarkStart w:id="2204" w:name="_Toc38440036"/>
      <w:bookmarkStart w:id="2205" w:name="_Toc38440373"/>
      <w:bookmarkStart w:id="2206" w:name="_Toc38440905"/>
      <w:bookmarkStart w:id="2207" w:name="_Toc38441237"/>
      <w:bookmarkStart w:id="2208" w:name="_Toc38441569"/>
      <w:bookmarkStart w:id="2209" w:name="_Toc38441897"/>
      <w:bookmarkStart w:id="2210" w:name="_Toc38442229"/>
      <w:bookmarkStart w:id="2211" w:name="_Toc38442561"/>
      <w:bookmarkStart w:id="2212" w:name="_Toc38442892"/>
      <w:bookmarkStart w:id="2213" w:name="_Toc38443223"/>
      <w:bookmarkStart w:id="2214" w:name="_Toc38443554"/>
      <w:bookmarkStart w:id="2215" w:name="_Toc38443884"/>
      <w:bookmarkStart w:id="2216" w:name="_Toc38438352"/>
      <w:bookmarkStart w:id="2217" w:name="_Toc38438689"/>
      <w:bookmarkStart w:id="2218" w:name="_Toc38439026"/>
      <w:bookmarkStart w:id="2219" w:name="_Toc38439363"/>
      <w:bookmarkStart w:id="2220" w:name="_Toc38439700"/>
      <w:bookmarkStart w:id="2221" w:name="_Toc38440037"/>
      <w:bookmarkStart w:id="2222" w:name="_Toc38440374"/>
      <w:bookmarkStart w:id="2223" w:name="_Toc38440906"/>
      <w:bookmarkStart w:id="2224" w:name="_Toc38441238"/>
      <w:bookmarkStart w:id="2225" w:name="_Toc38441570"/>
      <w:bookmarkStart w:id="2226" w:name="_Toc38441898"/>
      <w:bookmarkStart w:id="2227" w:name="_Toc38442230"/>
      <w:bookmarkStart w:id="2228" w:name="_Toc38442562"/>
      <w:bookmarkStart w:id="2229" w:name="_Toc38442893"/>
      <w:bookmarkStart w:id="2230" w:name="_Toc38443224"/>
      <w:bookmarkStart w:id="2231" w:name="_Toc38443555"/>
      <w:bookmarkStart w:id="2232" w:name="_Toc38443885"/>
      <w:bookmarkStart w:id="2233" w:name="_Toc38438353"/>
      <w:bookmarkStart w:id="2234" w:name="_Toc38438690"/>
      <w:bookmarkStart w:id="2235" w:name="_Toc38439027"/>
      <w:bookmarkStart w:id="2236" w:name="_Toc38439364"/>
      <w:bookmarkStart w:id="2237" w:name="_Toc38439701"/>
      <w:bookmarkStart w:id="2238" w:name="_Toc38440038"/>
      <w:bookmarkStart w:id="2239" w:name="_Toc38440375"/>
      <w:bookmarkStart w:id="2240" w:name="_Toc38440907"/>
      <w:bookmarkStart w:id="2241" w:name="_Toc38441239"/>
      <w:bookmarkStart w:id="2242" w:name="_Toc38441571"/>
      <w:bookmarkStart w:id="2243" w:name="_Toc38441899"/>
      <w:bookmarkStart w:id="2244" w:name="_Toc38442231"/>
      <w:bookmarkStart w:id="2245" w:name="_Toc38442563"/>
      <w:bookmarkStart w:id="2246" w:name="_Toc38442894"/>
      <w:bookmarkStart w:id="2247" w:name="_Toc38443225"/>
      <w:bookmarkStart w:id="2248" w:name="_Toc38443556"/>
      <w:bookmarkStart w:id="2249" w:name="_Toc38443886"/>
      <w:bookmarkStart w:id="2250" w:name="_Toc38438354"/>
      <w:bookmarkStart w:id="2251" w:name="_Toc38438691"/>
      <w:bookmarkStart w:id="2252" w:name="_Toc38439028"/>
      <w:bookmarkStart w:id="2253" w:name="_Toc38439365"/>
      <w:bookmarkStart w:id="2254" w:name="_Toc38439702"/>
      <w:bookmarkStart w:id="2255" w:name="_Toc38440039"/>
      <w:bookmarkStart w:id="2256" w:name="_Toc38440376"/>
      <w:bookmarkStart w:id="2257" w:name="_Toc38440908"/>
      <w:bookmarkStart w:id="2258" w:name="_Toc38441240"/>
      <w:bookmarkStart w:id="2259" w:name="_Toc38441572"/>
      <w:bookmarkStart w:id="2260" w:name="_Toc38441900"/>
      <w:bookmarkStart w:id="2261" w:name="_Toc38442232"/>
      <w:bookmarkStart w:id="2262" w:name="_Toc38442564"/>
      <w:bookmarkStart w:id="2263" w:name="_Toc38442895"/>
      <w:bookmarkStart w:id="2264" w:name="_Toc38443226"/>
      <w:bookmarkStart w:id="2265" w:name="_Toc38443557"/>
      <w:bookmarkStart w:id="2266" w:name="_Toc38443887"/>
      <w:bookmarkStart w:id="2267" w:name="_Toc38438355"/>
      <w:bookmarkStart w:id="2268" w:name="_Toc38438692"/>
      <w:bookmarkStart w:id="2269" w:name="_Toc38439029"/>
      <w:bookmarkStart w:id="2270" w:name="_Toc38439366"/>
      <w:bookmarkStart w:id="2271" w:name="_Toc38439703"/>
      <w:bookmarkStart w:id="2272" w:name="_Toc38440040"/>
      <w:bookmarkStart w:id="2273" w:name="_Toc38440377"/>
      <w:bookmarkStart w:id="2274" w:name="_Toc38440909"/>
      <w:bookmarkStart w:id="2275" w:name="_Toc38441241"/>
      <w:bookmarkStart w:id="2276" w:name="_Toc38441573"/>
      <w:bookmarkStart w:id="2277" w:name="_Toc38441901"/>
      <w:bookmarkStart w:id="2278" w:name="_Toc38442233"/>
      <w:bookmarkStart w:id="2279" w:name="_Toc38442565"/>
      <w:bookmarkStart w:id="2280" w:name="_Toc38442896"/>
      <w:bookmarkStart w:id="2281" w:name="_Toc38443227"/>
      <w:bookmarkStart w:id="2282" w:name="_Toc38443558"/>
      <w:bookmarkStart w:id="2283" w:name="_Toc38443888"/>
      <w:bookmarkStart w:id="2284" w:name="_Toc38438356"/>
      <w:bookmarkStart w:id="2285" w:name="_Toc38438693"/>
      <w:bookmarkStart w:id="2286" w:name="_Toc38439030"/>
      <w:bookmarkStart w:id="2287" w:name="_Toc38439367"/>
      <w:bookmarkStart w:id="2288" w:name="_Toc38439704"/>
      <w:bookmarkStart w:id="2289" w:name="_Toc38440041"/>
      <w:bookmarkStart w:id="2290" w:name="_Toc38440378"/>
      <w:bookmarkStart w:id="2291" w:name="_Toc38440910"/>
      <w:bookmarkStart w:id="2292" w:name="_Toc38441242"/>
      <w:bookmarkStart w:id="2293" w:name="_Toc38441574"/>
      <w:bookmarkStart w:id="2294" w:name="_Toc38441902"/>
      <w:bookmarkStart w:id="2295" w:name="_Toc38442234"/>
      <w:bookmarkStart w:id="2296" w:name="_Toc38442566"/>
      <w:bookmarkStart w:id="2297" w:name="_Toc38442897"/>
      <w:bookmarkStart w:id="2298" w:name="_Toc38443228"/>
      <w:bookmarkStart w:id="2299" w:name="_Toc38443559"/>
      <w:bookmarkStart w:id="2300" w:name="_Toc38443889"/>
      <w:bookmarkStart w:id="2301" w:name="_Toc38438357"/>
      <w:bookmarkStart w:id="2302" w:name="_Toc38438694"/>
      <w:bookmarkStart w:id="2303" w:name="_Toc38439031"/>
      <w:bookmarkStart w:id="2304" w:name="_Toc38439368"/>
      <w:bookmarkStart w:id="2305" w:name="_Toc38439705"/>
      <w:bookmarkStart w:id="2306" w:name="_Toc38440042"/>
      <w:bookmarkStart w:id="2307" w:name="_Toc38440379"/>
      <w:bookmarkStart w:id="2308" w:name="_Toc38440911"/>
      <w:bookmarkStart w:id="2309" w:name="_Toc38441243"/>
      <w:bookmarkStart w:id="2310" w:name="_Toc38441575"/>
      <w:bookmarkStart w:id="2311" w:name="_Toc38441903"/>
      <w:bookmarkStart w:id="2312" w:name="_Toc38442235"/>
      <w:bookmarkStart w:id="2313" w:name="_Toc38442567"/>
      <w:bookmarkStart w:id="2314" w:name="_Toc38442898"/>
      <w:bookmarkStart w:id="2315" w:name="_Toc38443229"/>
      <w:bookmarkStart w:id="2316" w:name="_Toc38443560"/>
      <w:bookmarkStart w:id="2317" w:name="_Toc38443890"/>
      <w:bookmarkStart w:id="2318" w:name="_Toc38438358"/>
      <w:bookmarkStart w:id="2319" w:name="_Toc38438695"/>
      <w:bookmarkStart w:id="2320" w:name="_Toc38439032"/>
      <w:bookmarkStart w:id="2321" w:name="_Toc38439369"/>
      <w:bookmarkStart w:id="2322" w:name="_Toc38439706"/>
      <w:bookmarkStart w:id="2323" w:name="_Toc38440043"/>
      <w:bookmarkStart w:id="2324" w:name="_Toc38440380"/>
      <w:bookmarkStart w:id="2325" w:name="_Toc38440912"/>
      <w:bookmarkStart w:id="2326" w:name="_Toc38441244"/>
      <w:bookmarkStart w:id="2327" w:name="_Toc38441576"/>
      <w:bookmarkStart w:id="2328" w:name="_Toc38441904"/>
      <w:bookmarkStart w:id="2329" w:name="_Toc38442236"/>
      <w:bookmarkStart w:id="2330" w:name="_Toc38442568"/>
      <w:bookmarkStart w:id="2331" w:name="_Toc38442899"/>
      <w:bookmarkStart w:id="2332" w:name="_Toc38443230"/>
      <w:bookmarkStart w:id="2333" w:name="_Toc38443561"/>
      <w:bookmarkStart w:id="2334" w:name="_Toc38443891"/>
      <w:bookmarkStart w:id="2335" w:name="_Toc38438359"/>
      <w:bookmarkStart w:id="2336" w:name="_Toc38438696"/>
      <w:bookmarkStart w:id="2337" w:name="_Toc38439033"/>
      <w:bookmarkStart w:id="2338" w:name="_Toc38439370"/>
      <w:bookmarkStart w:id="2339" w:name="_Toc38439707"/>
      <w:bookmarkStart w:id="2340" w:name="_Toc38440044"/>
      <w:bookmarkStart w:id="2341" w:name="_Toc38440381"/>
      <w:bookmarkStart w:id="2342" w:name="_Toc38440913"/>
      <w:bookmarkStart w:id="2343" w:name="_Toc38441245"/>
      <w:bookmarkStart w:id="2344" w:name="_Toc38441577"/>
      <w:bookmarkStart w:id="2345" w:name="_Toc38441905"/>
      <w:bookmarkStart w:id="2346" w:name="_Toc38442237"/>
      <w:bookmarkStart w:id="2347" w:name="_Toc38442569"/>
      <w:bookmarkStart w:id="2348" w:name="_Toc38442900"/>
      <w:bookmarkStart w:id="2349" w:name="_Toc38443231"/>
      <w:bookmarkStart w:id="2350" w:name="_Toc38443562"/>
      <w:bookmarkStart w:id="2351" w:name="_Toc38443892"/>
      <w:bookmarkStart w:id="2352" w:name="_Toc38438360"/>
      <w:bookmarkStart w:id="2353" w:name="_Toc38438697"/>
      <w:bookmarkStart w:id="2354" w:name="_Toc38439034"/>
      <w:bookmarkStart w:id="2355" w:name="_Toc38439371"/>
      <w:bookmarkStart w:id="2356" w:name="_Toc38439708"/>
      <w:bookmarkStart w:id="2357" w:name="_Toc38440045"/>
      <w:bookmarkStart w:id="2358" w:name="_Toc38440382"/>
      <w:bookmarkStart w:id="2359" w:name="_Toc38440914"/>
      <w:bookmarkStart w:id="2360" w:name="_Toc38441246"/>
      <w:bookmarkStart w:id="2361" w:name="_Toc38441578"/>
      <w:bookmarkStart w:id="2362" w:name="_Toc38441906"/>
      <w:bookmarkStart w:id="2363" w:name="_Toc38442238"/>
      <w:bookmarkStart w:id="2364" w:name="_Toc38442570"/>
      <w:bookmarkStart w:id="2365" w:name="_Toc38442901"/>
      <w:bookmarkStart w:id="2366" w:name="_Toc38443232"/>
      <w:bookmarkStart w:id="2367" w:name="_Toc38443563"/>
      <w:bookmarkStart w:id="2368" w:name="_Toc38443893"/>
      <w:bookmarkStart w:id="2369" w:name="_Toc38438361"/>
      <w:bookmarkStart w:id="2370" w:name="_Toc38438698"/>
      <w:bookmarkStart w:id="2371" w:name="_Toc38439035"/>
      <w:bookmarkStart w:id="2372" w:name="_Toc38439372"/>
      <w:bookmarkStart w:id="2373" w:name="_Toc38439709"/>
      <w:bookmarkStart w:id="2374" w:name="_Toc38440046"/>
      <w:bookmarkStart w:id="2375" w:name="_Toc38440383"/>
      <w:bookmarkStart w:id="2376" w:name="_Toc38440915"/>
      <w:bookmarkStart w:id="2377" w:name="_Toc38441247"/>
      <w:bookmarkStart w:id="2378" w:name="_Toc38441579"/>
      <w:bookmarkStart w:id="2379" w:name="_Toc38441907"/>
      <w:bookmarkStart w:id="2380" w:name="_Toc38442239"/>
      <w:bookmarkStart w:id="2381" w:name="_Toc38442571"/>
      <w:bookmarkStart w:id="2382" w:name="_Toc38442902"/>
      <w:bookmarkStart w:id="2383" w:name="_Toc38443233"/>
      <w:bookmarkStart w:id="2384" w:name="_Toc38443564"/>
      <w:bookmarkStart w:id="2385" w:name="_Toc38443894"/>
      <w:bookmarkStart w:id="2386" w:name="_Toc38438362"/>
      <w:bookmarkStart w:id="2387" w:name="_Toc38438699"/>
      <w:bookmarkStart w:id="2388" w:name="_Toc38439036"/>
      <w:bookmarkStart w:id="2389" w:name="_Toc38439373"/>
      <w:bookmarkStart w:id="2390" w:name="_Toc38439710"/>
      <w:bookmarkStart w:id="2391" w:name="_Toc38440047"/>
      <w:bookmarkStart w:id="2392" w:name="_Toc38440384"/>
      <w:bookmarkStart w:id="2393" w:name="_Toc38440916"/>
      <w:bookmarkStart w:id="2394" w:name="_Toc38441248"/>
      <w:bookmarkStart w:id="2395" w:name="_Toc38441580"/>
      <w:bookmarkStart w:id="2396" w:name="_Toc38441908"/>
      <w:bookmarkStart w:id="2397" w:name="_Toc38442240"/>
      <w:bookmarkStart w:id="2398" w:name="_Toc38442572"/>
      <w:bookmarkStart w:id="2399" w:name="_Toc38442903"/>
      <w:bookmarkStart w:id="2400" w:name="_Toc38443234"/>
      <w:bookmarkStart w:id="2401" w:name="_Toc38443565"/>
      <w:bookmarkStart w:id="2402" w:name="_Toc38443895"/>
      <w:bookmarkStart w:id="2403" w:name="_Toc38438363"/>
      <w:bookmarkStart w:id="2404" w:name="_Toc38438700"/>
      <w:bookmarkStart w:id="2405" w:name="_Toc38439037"/>
      <w:bookmarkStart w:id="2406" w:name="_Toc38439374"/>
      <w:bookmarkStart w:id="2407" w:name="_Toc38439711"/>
      <w:bookmarkStart w:id="2408" w:name="_Toc38440048"/>
      <w:bookmarkStart w:id="2409" w:name="_Toc38440385"/>
      <w:bookmarkStart w:id="2410" w:name="_Toc38440917"/>
      <w:bookmarkStart w:id="2411" w:name="_Toc38441249"/>
      <w:bookmarkStart w:id="2412" w:name="_Toc38441581"/>
      <w:bookmarkStart w:id="2413" w:name="_Toc38441909"/>
      <w:bookmarkStart w:id="2414" w:name="_Toc38442241"/>
      <w:bookmarkStart w:id="2415" w:name="_Toc38442573"/>
      <w:bookmarkStart w:id="2416" w:name="_Toc38442904"/>
      <w:bookmarkStart w:id="2417" w:name="_Toc38443235"/>
      <w:bookmarkStart w:id="2418" w:name="_Toc38443566"/>
      <w:bookmarkStart w:id="2419" w:name="_Toc38443896"/>
      <w:bookmarkStart w:id="2420" w:name="_Toc38438364"/>
      <w:bookmarkStart w:id="2421" w:name="_Toc38438701"/>
      <w:bookmarkStart w:id="2422" w:name="_Toc38439038"/>
      <w:bookmarkStart w:id="2423" w:name="_Toc38439375"/>
      <w:bookmarkStart w:id="2424" w:name="_Toc38439712"/>
      <w:bookmarkStart w:id="2425" w:name="_Toc38440049"/>
      <w:bookmarkStart w:id="2426" w:name="_Toc38440386"/>
      <w:bookmarkStart w:id="2427" w:name="_Toc38440918"/>
      <w:bookmarkStart w:id="2428" w:name="_Toc38441250"/>
      <w:bookmarkStart w:id="2429" w:name="_Toc38441582"/>
      <w:bookmarkStart w:id="2430" w:name="_Toc38441910"/>
      <w:bookmarkStart w:id="2431" w:name="_Toc38442242"/>
      <w:bookmarkStart w:id="2432" w:name="_Toc38442574"/>
      <w:bookmarkStart w:id="2433" w:name="_Toc38442905"/>
      <w:bookmarkStart w:id="2434" w:name="_Toc38443236"/>
      <w:bookmarkStart w:id="2435" w:name="_Toc38443567"/>
      <w:bookmarkStart w:id="2436" w:name="_Toc38443897"/>
      <w:bookmarkStart w:id="2437" w:name="_Toc38438365"/>
      <w:bookmarkStart w:id="2438" w:name="_Toc38438702"/>
      <w:bookmarkStart w:id="2439" w:name="_Toc38439039"/>
      <w:bookmarkStart w:id="2440" w:name="_Toc38439376"/>
      <w:bookmarkStart w:id="2441" w:name="_Toc38439713"/>
      <w:bookmarkStart w:id="2442" w:name="_Toc38440050"/>
      <w:bookmarkStart w:id="2443" w:name="_Toc38440387"/>
      <w:bookmarkStart w:id="2444" w:name="_Toc38440919"/>
      <w:bookmarkStart w:id="2445" w:name="_Toc38441251"/>
      <w:bookmarkStart w:id="2446" w:name="_Toc38441583"/>
      <w:bookmarkStart w:id="2447" w:name="_Toc38441911"/>
      <w:bookmarkStart w:id="2448" w:name="_Toc38442243"/>
      <w:bookmarkStart w:id="2449" w:name="_Toc38442575"/>
      <w:bookmarkStart w:id="2450" w:name="_Toc38442906"/>
      <w:bookmarkStart w:id="2451" w:name="_Toc38443237"/>
      <w:bookmarkStart w:id="2452" w:name="_Toc38443568"/>
      <w:bookmarkStart w:id="2453" w:name="_Toc38443898"/>
      <w:bookmarkStart w:id="2454" w:name="_Toc38438366"/>
      <w:bookmarkStart w:id="2455" w:name="_Toc38438703"/>
      <w:bookmarkStart w:id="2456" w:name="_Toc38439040"/>
      <w:bookmarkStart w:id="2457" w:name="_Toc38439377"/>
      <w:bookmarkStart w:id="2458" w:name="_Toc38439714"/>
      <w:bookmarkStart w:id="2459" w:name="_Toc38440051"/>
      <w:bookmarkStart w:id="2460" w:name="_Toc38440388"/>
      <w:bookmarkStart w:id="2461" w:name="_Toc38440920"/>
      <w:bookmarkStart w:id="2462" w:name="_Toc38441252"/>
      <w:bookmarkStart w:id="2463" w:name="_Toc38441584"/>
      <w:bookmarkStart w:id="2464" w:name="_Toc38441912"/>
      <w:bookmarkStart w:id="2465" w:name="_Toc38442244"/>
      <w:bookmarkStart w:id="2466" w:name="_Toc38442576"/>
      <w:bookmarkStart w:id="2467" w:name="_Toc38442907"/>
      <w:bookmarkStart w:id="2468" w:name="_Toc38443238"/>
      <w:bookmarkStart w:id="2469" w:name="_Toc38443569"/>
      <w:bookmarkStart w:id="2470" w:name="_Toc38443899"/>
      <w:bookmarkStart w:id="2471" w:name="_Toc38438367"/>
      <w:bookmarkStart w:id="2472" w:name="_Toc38438704"/>
      <w:bookmarkStart w:id="2473" w:name="_Toc38439041"/>
      <w:bookmarkStart w:id="2474" w:name="_Toc38439378"/>
      <w:bookmarkStart w:id="2475" w:name="_Toc38439715"/>
      <w:bookmarkStart w:id="2476" w:name="_Toc38440052"/>
      <w:bookmarkStart w:id="2477" w:name="_Toc38440389"/>
      <w:bookmarkStart w:id="2478" w:name="_Toc38440921"/>
      <w:bookmarkStart w:id="2479" w:name="_Toc38441253"/>
      <w:bookmarkStart w:id="2480" w:name="_Toc38441585"/>
      <w:bookmarkStart w:id="2481" w:name="_Toc38441913"/>
      <w:bookmarkStart w:id="2482" w:name="_Toc38442245"/>
      <w:bookmarkStart w:id="2483" w:name="_Toc38442577"/>
      <w:bookmarkStart w:id="2484" w:name="_Toc38442908"/>
      <w:bookmarkStart w:id="2485" w:name="_Toc38443239"/>
      <w:bookmarkStart w:id="2486" w:name="_Toc38443570"/>
      <w:bookmarkStart w:id="2487" w:name="_Toc38443900"/>
      <w:bookmarkStart w:id="2488" w:name="_Toc38438368"/>
      <w:bookmarkStart w:id="2489" w:name="_Toc38438705"/>
      <w:bookmarkStart w:id="2490" w:name="_Toc38439042"/>
      <w:bookmarkStart w:id="2491" w:name="_Toc38439379"/>
      <w:bookmarkStart w:id="2492" w:name="_Toc38439716"/>
      <w:bookmarkStart w:id="2493" w:name="_Toc38440053"/>
      <w:bookmarkStart w:id="2494" w:name="_Toc38440390"/>
      <w:bookmarkStart w:id="2495" w:name="_Toc38440922"/>
      <w:bookmarkStart w:id="2496" w:name="_Toc38441254"/>
      <w:bookmarkStart w:id="2497" w:name="_Toc38441586"/>
      <w:bookmarkStart w:id="2498" w:name="_Toc38441914"/>
      <w:bookmarkStart w:id="2499" w:name="_Toc38442246"/>
      <w:bookmarkStart w:id="2500" w:name="_Toc38442578"/>
      <w:bookmarkStart w:id="2501" w:name="_Toc38442909"/>
      <w:bookmarkStart w:id="2502" w:name="_Toc38443240"/>
      <w:bookmarkStart w:id="2503" w:name="_Toc38443571"/>
      <w:bookmarkStart w:id="2504" w:name="_Toc38443901"/>
      <w:bookmarkStart w:id="2505" w:name="_Toc38438369"/>
      <w:bookmarkStart w:id="2506" w:name="_Toc38438706"/>
      <w:bookmarkStart w:id="2507" w:name="_Toc38439043"/>
      <w:bookmarkStart w:id="2508" w:name="_Toc38439380"/>
      <w:bookmarkStart w:id="2509" w:name="_Toc38439717"/>
      <w:bookmarkStart w:id="2510" w:name="_Toc38440054"/>
      <w:bookmarkStart w:id="2511" w:name="_Toc38440391"/>
      <w:bookmarkStart w:id="2512" w:name="_Toc38440923"/>
      <w:bookmarkStart w:id="2513" w:name="_Toc38441255"/>
      <w:bookmarkStart w:id="2514" w:name="_Toc38441587"/>
      <w:bookmarkStart w:id="2515" w:name="_Toc38441915"/>
      <w:bookmarkStart w:id="2516" w:name="_Toc38442247"/>
      <w:bookmarkStart w:id="2517" w:name="_Toc38442579"/>
      <w:bookmarkStart w:id="2518" w:name="_Toc38442910"/>
      <w:bookmarkStart w:id="2519" w:name="_Toc38443241"/>
      <w:bookmarkStart w:id="2520" w:name="_Toc38443572"/>
      <w:bookmarkStart w:id="2521" w:name="_Toc38443902"/>
      <w:bookmarkStart w:id="2522" w:name="_Toc38438371"/>
      <w:bookmarkStart w:id="2523" w:name="_Toc38438708"/>
      <w:bookmarkStart w:id="2524" w:name="_Toc38439045"/>
      <w:bookmarkStart w:id="2525" w:name="_Toc38439382"/>
      <w:bookmarkStart w:id="2526" w:name="_Toc38439719"/>
      <w:bookmarkStart w:id="2527" w:name="_Toc38440056"/>
      <w:bookmarkStart w:id="2528" w:name="_Toc38440393"/>
      <w:bookmarkStart w:id="2529" w:name="_Toc38440925"/>
      <w:bookmarkStart w:id="2530" w:name="_Toc38441257"/>
      <w:bookmarkStart w:id="2531" w:name="_Toc38441589"/>
      <w:bookmarkStart w:id="2532" w:name="_Toc38441917"/>
      <w:bookmarkStart w:id="2533" w:name="_Toc38442249"/>
      <w:bookmarkStart w:id="2534" w:name="_Toc38442581"/>
      <w:bookmarkStart w:id="2535" w:name="_Toc38442912"/>
      <w:bookmarkStart w:id="2536" w:name="_Toc38443243"/>
      <w:bookmarkStart w:id="2537" w:name="_Toc38443574"/>
      <w:bookmarkStart w:id="2538" w:name="_Toc38443904"/>
      <w:bookmarkStart w:id="2539" w:name="_Toc38438372"/>
      <w:bookmarkStart w:id="2540" w:name="_Toc38438709"/>
      <w:bookmarkStart w:id="2541" w:name="_Toc38439046"/>
      <w:bookmarkStart w:id="2542" w:name="_Toc38439383"/>
      <w:bookmarkStart w:id="2543" w:name="_Toc38439720"/>
      <w:bookmarkStart w:id="2544" w:name="_Toc38440057"/>
      <w:bookmarkStart w:id="2545" w:name="_Toc38440394"/>
      <w:bookmarkStart w:id="2546" w:name="_Toc38440926"/>
      <w:bookmarkStart w:id="2547" w:name="_Toc38441258"/>
      <w:bookmarkStart w:id="2548" w:name="_Toc38441590"/>
      <w:bookmarkStart w:id="2549" w:name="_Toc38441918"/>
      <w:bookmarkStart w:id="2550" w:name="_Toc38442250"/>
      <w:bookmarkStart w:id="2551" w:name="_Toc38442582"/>
      <w:bookmarkStart w:id="2552" w:name="_Toc38442913"/>
      <w:bookmarkStart w:id="2553" w:name="_Toc38443244"/>
      <w:bookmarkStart w:id="2554" w:name="_Toc38443575"/>
      <w:bookmarkStart w:id="2555" w:name="_Toc38443905"/>
      <w:bookmarkStart w:id="2556" w:name="_Toc38438373"/>
      <w:bookmarkStart w:id="2557" w:name="_Toc38438710"/>
      <w:bookmarkStart w:id="2558" w:name="_Toc38439047"/>
      <w:bookmarkStart w:id="2559" w:name="_Toc38439384"/>
      <w:bookmarkStart w:id="2560" w:name="_Toc38439721"/>
      <w:bookmarkStart w:id="2561" w:name="_Toc38440058"/>
      <w:bookmarkStart w:id="2562" w:name="_Toc38440395"/>
      <w:bookmarkStart w:id="2563" w:name="_Toc38440927"/>
      <w:bookmarkStart w:id="2564" w:name="_Toc38441259"/>
      <w:bookmarkStart w:id="2565" w:name="_Toc38441591"/>
      <w:bookmarkStart w:id="2566" w:name="_Toc38441919"/>
      <w:bookmarkStart w:id="2567" w:name="_Toc38442251"/>
      <w:bookmarkStart w:id="2568" w:name="_Toc38442583"/>
      <w:bookmarkStart w:id="2569" w:name="_Toc38442914"/>
      <w:bookmarkStart w:id="2570" w:name="_Toc38443245"/>
      <w:bookmarkStart w:id="2571" w:name="_Toc38443576"/>
      <w:bookmarkStart w:id="2572" w:name="_Toc38443906"/>
      <w:bookmarkStart w:id="2573" w:name="_Toc38438374"/>
      <w:bookmarkStart w:id="2574" w:name="_Toc38438711"/>
      <w:bookmarkStart w:id="2575" w:name="_Toc38439048"/>
      <w:bookmarkStart w:id="2576" w:name="_Toc38439385"/>
      <w:bookmarkStart w:id="2577" w:name="_Toc38439722"/>
      <w:bookmarkStart w:id="2578" w:name="_Toc38440059"/>
      <w:bookmarkStart w:id="2579" w:name="_Toc38440396"/>
      <w:bookmarkStart w:id="2580" w:name="_Toc38440928"/>
      <w:bookmarkStart w:id="2581" w:name="_Toc38441260"/>
      <w:bookmarkStart w:id="2582" w:name="_Toc38441592"/>
      <w:bookmarkStart w:id="2583" w:name="_Toc38441920"/>
      <w:bookmarkStart w:id="2584" w:name="_Toc38442252"/>
      <w:bookmarkStart w:id="2585" w:name="_Toc38442584"/>
      <w:bookmarkStart w:id="2586" w:name="_Toc38442915"/>
      <w:bookmarkStart w:id="2587" w:name="_Toc38443246"/>
      <w:bookmarkStart w:id="2588" w:name="_Toc38443577"/>
      <w:bookmarkStart w:id="2589" w:name="_Toc38443907"/>
      <w:bookmarkStart w:id="2590" w:name="_Toc38438375"/>
      <w:bookmarkStart w:id="2591" w:name="_Toc38438712"/>
      <w:bookmarkStart w:id="2592" w:name="_Toc38439049"/>
      <w:bookmarkStart w:id="2593" w:name="_Toc38439386"/>
      <w:bookmarkStart w:id="2594" w:name="_Toc38439723"/>
      <w:bookmarkStart w:id="2595" w:name="_Toc38440060"/>
      <w:bookmarkStart w:id="2596" w:name="_Toc38440397"/>
      <w:bookmarkStart w:id="2597" w:name="_Toc38440929"/>
      <w:bookmarkStart w:id="2598" w:name="_Toc38441261"/>
      <w:bookmarkStart w:id="2599" w:name="_Toc38441593"/>
      <w:bookmarkStart w:id="2600" w:name="_Toc38441921"/>
      <w:bookmarkStart w:id="2601" w:name="_Toc38442253"/>
      <w:bookmarkStart w:id="2602" w:name="_Toc38442585"/>
      <w:bookmarkStart w:id="2603" w:name="_Toc38442916"/>
      <w:bookmarkStart w:id="2604" w:name="_Toc38443247"/>
      <w:bookmarkStart w:id="2605" w:name="_Toc38443578"/>
      <w:bookmarkStart w:id="2606" w:name="_Toc38443908"/>
      <w:bookmarkStart w:id="2607" w:name="_Toc38438376"/>
      <w:bookmarkStart w:id="2608" w:name="_Toc38438713"/>
      <w:bookmarkStart w:id="2609" w:name="_Toc38439050"/>
      <w:bookmarkStart w:id="2610" w:name="_Toc38439387"/>
      <w:bookmarkStart w:id="2611" w:name="_Toc38439724"/>
      <w:bookmarkStart w:id="2612" w:name="_Toc38440061"/>
      <w:bookmarkStart w:id="2613" w:name="_Toc38440398"/>
      <w:bookmarkStart w:id="2614" w:name="_Toc38440930"/>
      <w:bookmarkStart w:id="2615" w:name="_Toc38441262"/>
      <w:bookmarkStart w:id="2616" w:name="_Toc38441594"/>
      <w:bookmarkStart w:id="2617" w:name="_Toc38441922"/>
      <w:bookmarkStart w:id="2618" w:name="_Toc38442254"/>
      <w:bookmarkStart w:id="2619" w:name="_Toc38442586"/>
      <w:bookmarkStart w:id="2620" w:name="_Toc38442917"/>
      <w:bookmarkStart w:id="2621" w:name="_Toc38443248"/>
      <w:bookmarkStart w:id="2622" w:name="_Toc38443579"/>
      <w:bookmarkStart w:id="2623" w:name="_Toc38443909"/>
      <w:bookmarkStart w:id="2624" w:name="_Toc38438377"/>
      <w:bookmarkStart w:id="2625" w:name="_Toc38438714"/>
      <w:bookmarkStart w:id="2626" w:name="_Toc38439051"/>
      <w:bookmarkStart w:id="2627" w:name="_Toc38439388"/>
      <w:bookmarkStart w:id="2628" w:name="_Toc38439725"/>
      <w:bookmarkStart w:id="2629" w:name="_Toc38440062"/>
      <w:bookmarkStart w:id="2630" w:name="_Toc38440399"/>
      <w:bookmarkStart w:id="2631" w:name="_Toc38440931"/>
      <w:bookmarkStart w:id="2632" w:name="_Toc38441263"/>
      <w:bookmarkStart w:id="2633" w:name="_Toc38441595"/>
      <w:bookmarkStart w:id="2634" w:name="_Toc38441923"/>
      <w:bookmarkStart w:id="2635" w:name="_Toc38442255"/>
      <w:bookmarkStart w:id="2636" w:name="_Toc38442587"/>
      <w:bookmarkStart w:id="2637" w:name="_Toc38442918"/>
      <w:bookmarkStart w:id="2638" w:name="_Toc38443249"/>
      <w:bookmarkStart w:id="2639" w:name="_Toc38443580"/>
      <w:bookmarkStart w:id="2640" w:name="_Toc38443910"/>
      <w:bookmarkStart w:id="2641" w:name="_Toc38438378"/>
      <w:bookmarkStart w:id="2642" w:name="_Toc38438715"/>
      <w:bookmarkStart w:id="2643" w:name="_Toc38439052"/>
      <w:bookmarkStart w:id="2644" w:name="_Toc38439389"/>
      <w:bookmarkStart w:id="2645" w:name="_Toc38439726"/>
      <w:bookmarkStart w:id="2646" w:name="_Toc38440063"/>
      <w:bookmarkStart w:id="2647" w:name="_Toc38440400"/>
      <w:bookmarkStart w:id="2648" w:name="_Toc38440932"/>
      <w:bookmarkStart w:id="2649" w:name="_Toc38441264"/>
      <w:bookmarkStart w:id="2650" w:name="_Toc38441596"/>
      <w:bookmarkStart w:id="2651" w:name="_Toc38441924"/>
      <w:bookmarkStart w:id="2652" w:name="_Toc38442256"/>
      <w:bookmarkStart w:id="2653" w:name="_Toc38442588"/>
      <w:bookmarkStart w:id="2654" w:name="_Toc38442919"/>
      <w:bookmarkStart w:id="2655" w:name="_Toc38443250"/>
      <w:bookmarkStart w:id="2656" w:name="_Toc38443581"/>
      <w:bookmarkStart w:id="2657" w:name="_Toc38443911"/>
      <w:bookmarkStart w:id="2658" w:name="_Toc38438379"/>
      <w:bookmarkStart w:id="2659" w:name="_Toc38438716"/>
      <w:bookmarkStart w:id="2660" w:name="_Toc38439053"/>
      <w:bookmarkStart w:id="2661" w:name="_Toc38439390"/>
      <w:bookmarkStart w:id="2662" w:name="_Toc38439727"/>
      <w:bookmarkStart w:id="2663" w:name="_Toc38440064"/>
      <w:bookmarkStart w:id="2664" w:name="_Toc38440401"/>
      <w:bookmarkStart w:id="2665" w:name="_Toc38440933"/>
      <w:bookmarkStart w:id="2666" w:name="_Toc38441265"/>
      <w:bookmarkStart w:id="2667" w:name="_Toc38441597"/>
      <w:bookmarkStart w:id="2668" w:name="_Toc38441925"/>
      <w:bookmarkStart w:id="2669" w:name="_Toc38442257"/>
      <w:bookmarkStart w:id="2670" w:name="_Toc38442589"/>
      <w:bookmarkStart w:id="2671" w:name="_Toc38442920"/>
      <w:bookmarkStart w:id="2672" w:name="_Toc38443251"/>
      <w:bookmarkStart w:id="2673" w:name="_Toc38443582"/>
      <w:bookmarkStart w:id="2674" w:name="_Toc38443912"/>
      <w:bookmarkStart w:id="2675" w:name="_Toc38438380"/>
      <w:bookmarkStart w:id="2676" w:name="_Toc38438717"/>
      <w:bookmarkStart w:id="2677" w:name="_Toc38439054"/>
      <w:bookmarkStart w:id="2678" w:name="_Toc38439391"/>
      <w:bookmarkStart w:id="2679" w:name="_Toc38439728"/>
      <w:bookmarkStart w:id="2680" w:name="_Toc38440065"/>
      <w:bookmarkStart w:id="2681" w:name="_Toc38440402"/>
      <w:bookmarkStart w:id="2682" w:name="_Toc38440934"/>
      <w:bookmarkStart w:id="2683" w:name="_Toc38441266"/>
      <w:bookmarkStart w:id="2684" w:name="_Toc38441598"/>
      <w:bookmarkStart w:id="2685" w:name="_Toc38441926"/>
      <w:bookmarkStart w:id="2686" w:name="_Toc38442258"/>
      <w:bookmarkStart w:id="2687" w:name="_Toc38442590"/>
      <w:bookmarkStart w:id="2688" w:name="_Toc38442921"/>
      <w:bookmarkStart w:id="2689" w:name="_Toc38443252"/>
      <w:bookmarkStart w:id="2690" w:name="_Toc38443583"/>
      <w:bookmarkStart w:id="2691" w:name="_Toc38443913"/>
      <w:bookmarkStart w:id="2692" w:name="_Toc38438381"/>
      <w:bookmarkStart w:id="2693" w:name="_Toc38438718"/>
      <w:bookmarkStart w:id="2694" w:name="_Toc38439055"/>
      <w:bookmarkStart w:id="2695" w:name="_Toc38439392"/>
      <w:bookmarkStart w:id="2696" w:name="_Toc38439729"/>
      <w:bookmarkStart w:id="2697" w:name="_Toc38440066"/>
      <w:bookmarkStart w:id="2698" w:name="_Toc38440403"/>
      <w:bookmarkStart w:id="2699" w:name="_Toc38440935"/>
      <w:bookmarkStart w:id="2700" w:name="_Toc38441267"/>
      <w:bookmarkStart w:id="2701" w:name="_Toc38441599"/>
      <w:bookmarkStart w:id="2702" w:name="_Toc38441927"/>
      <w:bookmarkStart w:id="2703" w:name="_Toc38442259"/>
      <w:bookmarkStart w:id="2704" w:name="_Toc38442591"/>
      <w:bookmarkStart w:id="2705" w:name="_Toc38442922"/>
      <w:bookmarkStart w:id="2706" w:name="_Toc38443253"/>
      <w:bookmarkStart w:id="2707" w:name="_Toc38443584"/>
      <w:bookmarkStart w:id="2708" w:name="_Toc38443914"/>
      <w:bookmarkStart w:id="2709" w:name="_Toc38438382"/>
      <w:bookmarkStart w:id="2710" w:name="_Toc38438719"/>
      <w:bookmarkStart w:id="2711" w:name="_Toc38439056"/>
      <w:bookmarkStart w:id="2712" w:name="_Toc38439393"/>
      <w:bookmarkStart w:id="2713" w:name="_Toc38439730"/>
      <w:bookmarkStart w:id="2714" w:name="_Toc38440067"/>
      <w:bookmarkStart w:id="2715" w:name="_Toc38440404"/>
      <w:bookmarkStart w:id="2716" w:name="_Toc38440936"/>
      <w:bookmarkStart w:id="2717" w:name="_Toc38441268"/>
      <w:bookmarkStart w:id="2718" w:name="_Toc38441600"/>
      <w:bookmarkStart w:id="2719" w:name="_Toc38441928"/>
      <w:bookmarkStart w:id="2720" w:name="_Toc38442260"/>
      <w:bookmarkStart w:id="2721" w:name="_Toc38442592"/>
      <w:bookmarkStart w:id="2722" w:name="_Toc38442923"/>
      <w:bookmarkStart w:id="2723" w:name="_Toc38443254"/>
      <w:bookmarkStart w:id="2724" w:name="_Toc38443585"/>
      <w:bookmarkStart w:id="2725" w:name="_Toc38443915"/>
      <w:bookmarkStart w:id="2726" w:name="_Toc38438383"/>
      <w:bookmarkStart w:id="2727" w:name="_Toc38438720"/>
      <w:bookmarkStart w:id="2728" w:name="_Toc38439057"/>
      <w:bookmarkStart w:id="2729" w:name="_Toc38439394"/>
      <w:bookmarkStart w:id="2730" w:name="_Toc38439731"/>
      <w:bookmarkStart w:id="2731" w:name="_Toc38440068"/>
      <w:bookmarkStart w:id="2732" w:name="_Toc38440405"/>
      <w:bookmarkStart w:id="2733" w:name="_Toc38440937"/>
      <w:bookmarkStart w:id="2734" w:name="_Toc38441269"/>
      <w:bookmarkStart w:id="2735" w:name="_Toc38441601"/>
      <w:bookmarkStart w:id="2736" w:name="_Toc38441929"/>
      <w:bookmarkStart w:id="2737" w:name="_Toc38442261"/>
      <w:bookmarkStart w:id="2738" w:name="_Toc38442593"/>
      <w:bookmarkStart w:id="2739" w:name="_Toc38442924"/>
      <w:bookmarkStart w:id="2740" w:name="_Toc38443255"/>
      <w:bookmarkStart w:id="2741" w:name="_Toc38443586"/>
      <w:bookmarkStart w:id="2742" w:name="_Toc38443916"/>
      <w:bookmarkStart w:id="2743" w:name="_Toc38438384"/>
      <w:bookmarkStart w:id="2744" w:name="_Toc38438721"/>
      <w:bookmarkStart w:id="2745" w:name="_Toc38439058"/>
      <w:bookmarkStart w:id="2746" w:name="_Toc38439395"/>
      <w:bookmarkStart w:id="2747" w:name="_Toc38439732"/>
      <w:bookmarkStart w:id="2748" w:name="_Toc38440069"/>
      <w:bookmarkStart w:id="2749" w:name="_Toc38440406"/>
      <w:bookmarkStart w:id="2750" w:name="_Toc38440938"/>
      <w:bookmarkStart w:id="2751" w:name="_Toc38441270"/>
      <w:bookmarkStart w:id="2752" w:name="_Toc38441602"/>
      <w:bookmarkStart w:id="2753" w:name="_Toc38441930"/>
      <w:bookmarkStart w:id="2754" w:name="_Toc38442262"/>
      <w:bookmarkStart w:id="2755" w:name="_Toc38442594"/>
      <w:bookmarkStart w:id="2756" w:name="_Toc38442925"/>
      <w:bookmarkStart w:id="2757" w:name="_Toc38443256"/>
      <w:bookmarkStart w:id="2758" w:name="_Toc38443587"/>
      <w:bookmarkStart w:id="2759" w:name="_Toc38443917"/>
      <w:bookmarkStart w:id="2760" w:name="_Toc38438385"/>
      <w:bookmarkStart w:id="2761" w:name="_Toc38438722"/>
      <w:bookmarkStart w:id="2762" w:name="_Toc38439059"/>
      <w:bookmarkStart w:id="2763" w:name="_Toc38439396"/>
      <w:bookmarkStart w:id="2764" w:name="_Toc38439733"/>
      <w:bookmarkStart w:id="2765" w:name="_Toc38440070"/>
      <w:bookmarkStart w:id="2766" w:name="_Toc38440407"/>
      <w:bookmarkStart w:id="2767" w:name="_Toc38440939"/>
      <w:bookmarkStart w:id="2768" w:name="_Toc38441271"/>
      <w:bookmarkStart w:id="2769" w:name="_Toc38441603"/>
      <w:bookmarkStart w:id="2770" w:name="_Toc38441931"/>
      <w:bookmarkStart w:id="2771" w:name="_Toc38442263"/>
      <w:bookmarkStart w:id="2772" w:name="_Toc38442595"/>
      <w:bookmarkStart w:id="2773" w:name="_Toc38442926"/>
      <w:bookmarkStart w:id="2774" w:name="_Toc38443257"/>
      <w:bookmarkStart w:id="2775" w:name="_Toc38443588"/>
      <w:bookmarkStart w:id="2776" w:name="_Toc38443918"/>
      <w:bookmarkStart w:id="2777" w:name="_Toc38438386"/>
      <w:bookmarkStart w:id="2778" w:name="_Toc38438723"/>
      <w:bookmarkStart w:id="2779" w:name="_Toc38439060"/>
      <w:bookmarkStart w:id="2780" w:name="_Toc38439397"/>
      <w:bookmarkStart w:id="2781" w:name="_Toc38439734"/>
      <w:bookmarkStart w:id="2782" w:name="_Toc38440071"/>
      <w:bookmarkStart w:id="2783" w:name="_Toc38440408"/>
      <w:bookmarkStart w:id="2784" w:name="_Toc38440940"/>
      <w:bookmarkStart w:id="2785" w:name="_Toc38441272"/>
      <w:bookmarkStart w:id="2786" w:name="_Toc38441604"/>
      <w:bookmarkStart w:id="2787" w:name="_Toc38441932"/>
      <w:bookmarkStart w:id="2788" w:name="_Toc38442264"/>
      <w:bookmarkStart w:id="2789" w:name="_Toc38442596"/>
      <w:bookmarkStart w:id="2790" w:name="_Toc38442927"/>
      <w:bookmarkStart w:id="2791" w:name="_Toc38443258"/>
      <w:bookmarkStart w:id="2792" w:name="_Toc38443589"/>
      <w:bookmarkStart w:id="2793" w:name="_Toc38443919"/>
      <w:bookmarkStart w:id="2794" w:name="_Toc38438387"/>
      <w:bookmarkStart w:id="2795" w:name="_Toc38438724"/>
      <w:bookmarkStart w:id="2796" w:name="_Toc38439061"/>
      <w:bookmarkStart w:id="2797" w:name="_Toc38439398"/>
      <w:bookmarkStart w:id="2798" w:name="_Toc38439735"/>
      <w:bookmarkStart w:id="2799" w:name="_Toc38440072"/>
      <w:bookmarkStart w:id="2800" w:name="_Toc38440409"/>
      <w:bookmarkStart w:id="2801" w:name="_Toc38440941"/>
      <w:bookmarkStart w:id="2802" w:name="_Toc38441273"/>
      <w:bookmarkStart w:id="2803" w:name="_Toc38441605"/>
      <w:bookmarkStart w:id="2804" w:name="_Toc38441933"/>
      <w:bookmarkStart w:id="2805" w:name="_Toc38442265"/>
      <w:bookmarkStart w:id="2806" w:name="_Toc38442597"/>
      <w:bookmarkStart w:id="2807" w:name="_Toc38442928"/>
      <w:bookmarkStart w:id="2808" w:name="_Toc38443259"/>
      <w:bookmarkStart w:id="2809" w:name="_Toc38443590"/>
      <w:bookmarkStart w:id="2810" w:name="_Toc38443920"/>
      <w:bookmarkStart w:id="2811" w:name="_Toc38438388"/>
      <w:bookmarkStart w:id="2812" w:name="_Toc38438725"/>
      <w:bookmarkStart w:id="2813" w:name="_Toc38439062"/>
      <w:bookmarkStart w:id="2814" w:name="_Toc38439399"/>
      <w:bookmarkStart w:id="2815" w:name="_Toc38439736"/>
      <w:bookmarkStart w:id="2816" w:name="_Toc38440073"/>
      <w:bookmarkStart w:id="2817" w:name="_Toc38440410"/>
      <w:bookmarkStart w:id="2818" w:name="_Toc38440942"/>
      <w:bookmarkStart w:id="2819" w:name="_Toc38441274"/>
      <w:bookmarkStart w:id="2820" w:name="_Toc38441606"/>
      <w:bookmarkStart w:id="2821" w:name="_Toc38441934"/>
      <w:bookmarkStart w:id="2822" w:name="_Toc38442266"/>
      <w:bookmarkStart w:id="2823" w:name="_Toc38442598"/>
      <w:bookmarkStart w:id="2824" w:name="_Toc38442929"/>
      <w:bookmarkStart w:id="2825" w:name="_Toc38443260"/>
      <w:bookmarkStart w:id="2826" w:name="_Toc38443591"/>
      <w:bookmarkStart w:id="2827" w:name="_Toc38443921"/>
      <w:bookmarkStart w:id="2828" w:name="_Toc38438389"/>
      <w:bookmarkStart w:id="2829" w:name="_Toc38438726"/>
      <w:bookmarkStart w:id="2830" w:name="_Toc38439063"/>
      <w:bookmarkStart w:id="2831" w:name="_Toc38439400"/>
      <w:bookmarkStart w:id="2832" w:name="_Toc38439737"/>
      <w:bookmarkStart w:id="2833" w:name="_Toc38440074"/>
      <w:bookmarkStart w:id="2834" w:name="_Toc38440411"/>
      <w:bookmarkStart w:id="2835" w:name="_Toc38440943"/>
      <w:bookmarkStart w:id="2836" w:name="_Toc38441275"/>
      <w:bookmarkStart w:id="2837" w:name="_Toc38441607"/>
      <w:bookmarkStart w:id="2838" w:name="_Toc38441935"/>
      <w:bookmarkStart w:id="2839" w:name="_Toc38442267"/>
      <w:bookmarkStart w:id="2840" w:name="_Toc38442599"/>
      <w:bookmarkStart w:id="2841" w:name="_Toc38442930"/>
      <w:bookmarkStart w:id="2842" w:name="_Toc38443261"/>
      <w:bookmarkStart w:id="2843" w:name="_Toc38443592"/>
      <w:bookmarkStart w:id="2844" w:name="_Toc38443922"/>
      <w:bookmarkStart w:id="2845" w:name="_Toc38438390"/>
      <w:bookmarkStart w:id="2846" w:name="_Toc38438727"/>
      <w:bookmarkStart w:id="2847" w:name="_Toc38439064"/>
      <w:bookmarkStart w:id="2848" w:name="_Toc38439401"/>
      <w:bookmarkStart w:id="2849" w:name="_Toc38439738"/>
      <w:bookmarkStart w:id="2850" w:name="_Toc38440075"/>
      <w:bookmarkStart w:id="2851" w:name="_Toc38440412"/>
      <w:bookmarkStart w:id="2852" w:name="_Toc38440944"/>
      <w:bookmarkStart w:id="2853" w:name="_Toc38441276"/>
      <w:bookmarkStart w:id="2854" w:name="_Toc38441608"/>
      <w:bookmarkStart w:id="2855" w:name="_Toc38441936"/>
      <w:bookmarkStart w:id="2856" w:name="_Toc38442268"/>
      <w:bookmarkStart w:id="2857" w:name="_Toc38442600"/>
      <w:bookmarkStart w:id="2858" w:name="_Toc38442931"/>
      <w:bookmarkStart w:id="2859" w:name="_Toc38443262"/>
      <w:bookmarkStart w:id="2860" w:name="_Toc38443593"/>
      <w:bookmarkStart w:id="2861" w:name="_Toc38443923"/>
      <w:bookmarkStart w:id="2862" w:name="_Toc38438391"/>
      <w:bookmarkStart w:id="2863" w:name="_Toc38438728"/>
      <w:bookmarkStart w:id="2864" w:name="_Toc38439065"/>
      <w:bookmarkStart w:id="2865" w:name="_Toc38439402"/>
      <w:bookmarkStart w:id="2866" w:name="_Toc38439739"/>
      <w:bookmarkStart w:id="2867" w:name="_Toc38440076"/>
      <w:bookmarkStart w:id="2868" w:name="_Toc38440413"/>
      <w:bookmarkStart w:id="2869" w:name="_Toc38440945"/>
      <w:bookmarkStart w:id="2870" w:name="_Toc38441277"/>
      <w:bookmarkStart w:id="2871" w:name="_Toc38441609"/>
      <w:bookmarkStart w:id="2872" w:name="_Toc38441937"/>
      <w:bookmarkStart w:id="2873" w:name="_Toc38442269"/>
      <w:bookmarkStart w:id="2874" w:name="_Toc38442601"/>
      <w:bookmarkStart w:id="2875" w:name="_Toc38442932"/>
      <w:bookmarkStart w:id="2876" w:name="_Toc38443263"/>
      <w:bookmarkStart w:id="2877" w:name="_Toc38443594"/>
      <w:bookmarkStart w:id="2878" w:name="_Toc38443924"/>
      <w:bookmarkStart w:id="2879" w:name="_Toc38438392"/>
      <w:bookmarkStart w:id="2880" w:name="_Toc38438729"/>
      <w:bookmarkStart w:id="2881" w:name="_Toc38439066"/>
      <w:bookmarkStart w:id="2882" w:name="_Toc38439403"/>
      <w:bookmarkStart w:id="2883" w:name="_Toc38439740"/>
      <w:bookmarkStart w:id="2884" w:name="_Toc38440077"/>
      <w:bookmarkStart w:id="2885" w:name="_Toc38440414"/>
      <w:bookmarkStart w:id="2886" w:name="_Toc38440946"/>
      <w:bookmarkStart w:id="2887" w:name="_Toc38441278"/>
      <w:bookmarkStart w:id="2888" w:name="_Toc38441610"/>
      <w:bookmarkStart w:id="2889" w:name="_Toc38441938"/>
      <w:bookmarkStart w:id="2890" w:name="_Toc38442270"/>
      <w:bookmarkStart w:id="2891" w:name="_Toc38442602"/>
      <w:bookmarkStart w:id="2892" w:name="_Toc38442933"/>
      <w:bookmarkStart w:id="2893" w:name="_Toc38443264"/>
      <w:bookmarkStart w:id="2894" w:name="_Toc38443595"/>
      <w:bookmarkStart w:id="2895" w:name="_Toc38443925"/>
      <w:bookmarkStart w:id="2896" w:name="_Toc38438393"/>
      <w:bookmarkStart w:id="2897" w:name="_Toc38438730"/>
      <w:bookmarkStart w:id="2898" w:name="_Toc38439067"/>
      <w:bookmarkStart w:id="2899" w:name="_Toc38439404"/>
      <w:bookmarkStart w:id="2900" w:name="_Toc38439741"/>
      <w:bookmarkStart w:id="2901" w:name="_Toc38440078"/>
      <w:bookmarkStart w:id="2902" w:name="_Toc38440415"/>
      <w:bookmarkStart w:id="2903" w:name="_Toc38440947"/>
      <w:bookmarkStart w:id="2904" w:name="_Toc38441279"/>
      <w:bookmarkStart w:id="2905" w:name="_Toc38441611"/>
      <w:bookmarkStart w:id="2906" w:name="_Toc38441939"/>
      <w:bookmarkStart w:id="2907" w:name="_Toc38442271"/>
      <w:bookmarkStart w:id="2908" w:name="_Toc38442603"/>
      <w:bookmarkStart w:id="2909" w:name="_Toc38442934"/>
      <w:bookmarkStart w:id="2910" w:name="_Toc38443265"/>
      <w:bookmarkStart w:id="2911" w:name="_Toc38443596"/>
      <w:bookmarkStart w:id="2912" w:name="_Toc38443926"/>
      <w:bookmarkStart w:id="2913" w:name="_Toc38438394"/>
      <w:bookmarkStart w:id="2914" w:name="_Toc38438731"/>
      <w:bookmarkStart w:id="2915" w:name="_Toc38439068"/>
      <w:bookmarkStart w:id="2916" w:name="_Toc38439405"/>
      <w:bookmarkStart w:id="2917" w:name="_Toc38439742"/>
      <w:bookmarkStart w:id="2918" w:name="_Toc38440079"/>
      <w:bookmarkStart w:id="2919" w:name="_Toc38440416"/>
      <w:bookmarkStart w:id="2920" w:name="_Toc38440948"/>
      <w:bookmarkStart w:id="2921" w:name="_Toc38441280"/>
      <w:bookmarkStart w:id="2922" w:name="_Toc38441612"/>
      <w:bookmarkStart w:id="2923" w:name="_Toc38441940"/>
      <w:bookmarkStart w:id="2924" w:name="_Toc38442272"/>
      <w:bookmarkStart w:id="2925" w:name="_Toc38442604"/>
      <w:bookmarkStart w:id="2926" w:name="_Toc38442935"/>
      <w:bookmarkStart w:id="2927" w:name="_Toc38443266"/>
      <w:bookmarkStart w:id="2928" w:name="_Toc38443597"/>
      <w:bookmarkStart w:id="2929" w:name="_Toc38443927"/>
      <w:bookmarkStart w:id="2930" w:name="_Toc38438395"/>
      <w:bookmarkStart w:id="2931" w:name="_Toc38438732"/>
      <w:bookmarkStart w:id="2932" w:name="_Toc38439069"/>
      <w:bookmarkStart w:id="2933" w:name="_Toc38439406"/>
      <w:bookmarkStart w:id="2934" w:name="_Toc38439743"/>
      <w:bookmarkStart w:id="2935" w:name="_Toc38440080"/>
      <w:bookmarkStart w:id="2936" w:name="_Toc38440417"/>
      <w:bookmarkStart w:id="2937" w:name="_Toc38440949"/>
      <w:bookmarkStart w:id="2938" w:name="_Toc38441281"/>
      <w:bookmarkStart w:id="2939" w:name="_Toc38441613"/>
      <w:bookmarkStart w:id="2940" w:name="_Toc38441941"/>
      <w:bookmarkStart w:id="2941" w:name="_Toc38442273"/>
      <w:bookmarkStart w:id="2942" w:name="_Toc38442605"/>
      <w:bookmarkStart w:id="2943" w:name="_Toc38442936"/>
      <w:bookmarkStart w:id="2944" w:name="_Toc38443267"/>
      <w:bookmarkStart w:id="2945" w:name="_Toc38443598"/>
      <w:bookmarkStart w:id="2946" w:name="_Toc38443928"/>
      <w:bookmarkStart w:id="2947" w:name="_Toc38438396"/>
      <w:bookmarkStart w:id="2948" w:name="_Toc38438733"/>
      <w:bookmarkStart w:id="2949" w:name="_Toc38439070"/>
      <w:bookmarkStart w:id="2950" w:name="_Toc38439407"/>
      <w:bookmarkStart w:id="2951" w:name="_Toc38439744"/>
      <w:bookmarkStart w:id="2952" w:name="_Toc38440081"/>
      <w:bookmarkStart w:id="2953" w:name="_Toc38440418"/>
      <w:bookmarkStart w:id="2954" w:name="_Toc38440950"/>
      <w:bookmarkStart w:id="2955" w:name="_Toc38441282"/>
      <w:bookmarkStart w:id="2956" w:name="_Toc38441614"/>
      <w:bookmarkStart w:id="2957" w:name="_Toc38441942"/>
      <w:bookmarkStart w:id="2958" w:name="_Toc38442274"/>
      <w:bookmarkStart w:id="2959" w:name="_Toc38442606"/>
      <w:bookmarkStart w:id="2960" w:name="_Toc38442937"/>
      <w:bookmarkStart w:id="2961" w:name="_Toc38443268"/>
      <w:bookmarkStart w:id="2962" w:name="_Toc38443599"/>
      <w:bookmarkStart w:id="2963" w:name="_Toc38443929"/>
      <w:bookmarkStart w:id="2964" w:name="_Toc38438397"/>
      <w:bookmarkStart w:id="2965" w:name="_Toc38438734"/>
      <w:bookmarkStart w:id="2966" w:name="_Toc38439071"/>
      <w:bookmarkStart w:id="2967" w:name="_Toc38439408"/>
      <w:bookmarkStart w:id="2968" w:name="_Toc38439745"/>
      <w:bookmarkStart w:id="2969" w:name="_Toc38440082"/>
      <w:bookmarkStart w:id="2970" w:name="_Toc38440419"/>
      <w:bookmarkStart w:id="2971" w:name="_Toc38440951"/>
      <w:bookmarkStart w:id="2972" w:name="_Toc38441283"/>
      <w:bookmarkStart w:id="2973" w:name="_Toc38441615"/>
      <w:bookmarkStart w:id="2974" w:name="_Toc38441943"/>
      <w:bookmarkStart w:id="2975" w:name="_Toc38442275"/>
      <w:bookmarkStart w:id="2976" w:name="_Toc38442607"/>
      <w:bookmarkStart w:id="2977" w:name="_Toc38442938"/>
      <w:bookmarkStart w:id="2978" w:name="_Toc38443269"/>
      <w:bookmarkStart w:id="2979" w:name="_Toc38443600"/>
      <w:bookmarkStart w:id="2980" w:name="_Toc38443930"/>
      <w:bookmarkStart w:id="2981" w:name="_Toc38438398"/>
      <w:bookmarkStart w:id="2982" w:name="_Toc38438735"/>
      <w:bookmarkStart w:id="2983" w:name="_Toc38439072"/>
      <w:bookmarkStart w:id="2984" w:name="_Toc38439409"/>
      <w:bookmarkStart w:id="2985" w:name="_Toc38439746"/>
      <w:bookmarkStart w:id="2986" w:name="_Toc38440083"/>
      <w:bookmarkStart w:id="2987" w:name="_Toc38440420"/>
      <w:bookmarkStart w:id="2988" w:name="_Toc38440952"/>
      <w:bookmarkStart w:id="2989" w:name="_Toc38441284"/>
      <w:bookmarkStart w:id="2990" w:name="_Toc38441616"/>
      <w:bookmarkStart w:id="2991" w:name="_Toc38441944"/>
      <w:bookmarkStart w:id="2992" w:name="_Toc38442276"/>
      <w:bookmarkStart w:id="2993" w:name="_Toc38442608"/>
      <w:bookmarkStart w:id="2994" w:name="_Toc38442939"/>
      <w:bookmarkStart w:id="2995" w:name="_Toc38443270"/>
      <w:bookmarkStart w:id="2996" w:name="_Toc38443601"/>
      <w:bookmarkStart w:id="2997" w:name="_Toc38443931"/>
      <w:bookmarkStart w:id="2998" w:name="_Toc38438400"/>
      <w:bookmarkStart w:id="2999" w:name="_Toc38438737"/>
      <w:bookmarkStart w:id="3000" w:name="_Toc38439074"/>
      <w:bookmarkStart w:id="3001" w:name="_Toc38439411"/>
      <w:bookmarkStart w:id="3002" w:name="_Toc38439748"/>
      <w:bookmarkStart w:id="3003" w:name="_Toc38440085"/>
      <w:bookmarkStart w:id="3004" w:name="_Toc38440422"/>
      <w:bookmarkStart w:id="3005" w:name="_Toc38440954"/>
      <w:bookmarkStart w:id="3006" w:name="_Toc38441286"/>
      <w:bookmarkStart w:id="3007" w:name="_Toc38441618"/>
      <w:bookmarkStart w:id="3008" w:name="_Toc38441946"/>
      <w:bookmarkStart w:id="3009" w:name="_Toc38442278"/>
      <w:bookmarkStart w:id="3010" w:name="_Toc38442610"/>
      <w:bookmarkStart w:id="3011" w:name="_Toc38442941"/>
      <w:bookmarkStart w:id="3012" w:name="_Toc38443272"/>
      <w:bookmarkStart w:id="3013" w:name="_Toc38443603"/>
      <w:bookmarkStart w:id="3014" w:name="_Toc38443933"/>
      <w:bookmarkStart w:id="3015" w:name="_Toc38438401"/>
      <w:bookmarkStart w:id="3016" w:name="_Toc38438738"/>
      <w:bookmarkStart w:id="3017" w:name="_Toc38439075"/>
      <w:bookmarkStart w:id="3018" w:name="_Toc38439412"/>
      <w:bookmarkStart w:id="3019" w:name="_Toc38439749"/>
      <w:bookmarkStart w:id="3020" w:name="_Toc38440086"/>
      <w:bookmarkStart w:id="3021" w:name="_Toc38440423"/>
      <w:bookmarkStart w:id="3022" w:name="_Toc38440955"/>
      <w:bookmarkStart w:id="3023" w:name="_Toc38441287"/>
      <w:bookmarkStart w:id="3024" w:name="_Toc38441619"/>
      <w:bookmarkStart w:id="3025" w:name="_Toc38441947"/>
      <w:bookmarkStart w:id="3026" w:name="_Toc38442279"/>
      <w:bookmarkStart w:id="3027" w:name="_Toc38442611"/>
      <w:bookmarkStart w:id="3028" w:name="_Toc38442942"/>
      <w:bookmarkStart w:id="3029" w:name="_Toc38443273"/>
      <w:bookmarkStart w:id="3030" w:name="_Toc38443604"/>
      <w:bookmarkStart w:id="3031" w:name="_Toc38443934"/>
      <w:bookmarkStart w:id="3032" w:name="_Toc38438402"/>
      <w:bookmarkStart w:id="3033" w:name="_Toc38438739"/>
      <w:bookmarkStart w:id="3034" w:name="_Toc38439076"/>
      <w:bookmarkStart w:id="3035" w:name="_Toc38439413"/>
      <w:bookmarkStart w:id="3036" w:name="_Toc38439750"/>
      <w:bookmarkStart w:id="3037" w:name="_Toc38440087"/>
      <w:bookmarkStart w:id="3038" w:name="_Toc38440424"/>
      <w:bookmarkStart w:id="3039" w:name="_Toc38440956"/>
      <w:bookmarkStart w:id="3040" w:name="_Toc38441288"/>
      <w:bookmarkStart w:id="3041" w:name="_Toc38441620"/>
      <w:bookmarkStart w:id="3042" w:name="_Toc38441948"/>
      <w:bookmarkStart w:id="3043" w:name="_Toc38442280"/>
      <w:bookmarkStart w:id="3044" w:name="_Toc38442612"/>
      <w:bookmarkStart w:id="3045" w:name="_Toc38442943"/>
      <w:bookmarkStart w:id="3046" w:name="_Toc38443274"/>
      <w:bookmarkStart w:id="3047" w:name="_Toc38443605"/>
      <w:bookmarkStart w:id="3048" w:name="_Toc38443935"/>
      <w:bookmarkStart w:id="3049" w:name="_Toc38438404"/>
      <w:bookmarkStart w:id="3050" w:name="_Toc38438741"/>
      <w:bookmarkStart w:id="3051" w:name="_Toc38439078"/>
      <w:bookmarkStart w:id="3052" w:name="_Toc38439415"/>
      <w:bookmarkStart w:id="3053" w:name="_Toc38439752"/>
      <w:bookmarkStart w:id="3054" w:name="_Toc38440089"/>
      <w:bookmarkStart w:id="3055" w:name="_Toc38440426"/>
      <w:bookmarkStart w:id="3056" w:name="_Toc38440958"/>
      <w:bookmarkStart w:id="3057" w:name="_Toc38441290"/>
      <w:bookmarkStart w:id="3058" w:name="_Toc38441622"/>
      <w:bookmarkStart w:id="3059" w:name="_Toc38441950"/>
      <w:bookmarkStart w:id="3060" w:name="_Toc38442282"/>
      <w:bookmarkStart w:id="3061" w:name="_Toc38442614"/>
      <w:bookmarkStart w:id="3062" w:name="_Toc38442945"/>
      <w:bookmarkStart w:id="3063" w:name="_Toc38443276"/>
      <w:bookmarkStart w:id="3064" w:name="_Toc38443607"/>
      <w:bookmarkStart w:id="3065" w:name="_Toc38443937"/>
      <w:bookmarkStart w:id="3066" w:name="_Toc38438405"/>
      <w:bookmarkStart w:id="3067" w:name="_Toc38438742"/>
      <w:bookmarkStart w:id="3068" w:name="_Toc38439079"/>
      <w:bookmarkStart w:id="3069" w:name="_Toc38439416"/>
      <w:bookmarkStart w:id="3070" w:name="_Toc38439753"/>
      <w:bookmarkStart w:id="3071" w:name="_Toc38440090"/>
      <w:bookmarkStart w:id="3072" w:name="_Toc38440427"/>
      <w:bookmarkStart w:id="3073" w:name="_Toc38440959"/>
      <w:bookmarkStart w:id="3074" w:name="_Toc38441291"/>
      <w:bookmarkStart w:id="3075" w:name="_Toc38441623"/>
      <w:bookmarkStart w:id="3076" w:name="_Toc38441951"/>
      <w:bookmarkStart w:id="3077" w:name="_Toc38442283"/>
      <w:bookmarkStart w:id="3078" w:name="_Toc38442615"/>
      <w:bookmarkStart w:id="3079" w:name="_Toc38442946"/>
      <w:bookmarkStart w:id="3080" w:name="_Toc38443277"/>
      <w:bookmarkStart w:id="3081" w:name="_Toc38443608"/>
      <w:bookmarkStart w:id="3082" w:name="_Toc38443938"/>
      <w:bookmarkStart w:id="3083" w:name="_Toc38438406"/>
      <w:bookmarkStart w:id="3084" w:name="_Toc38438743"/>
      <w:bookmarkStart w:id="3085" w:name="_Toc38439080"/>
      <w:bookmarkStart w:id="3086" w:name="_Toc38439417"/>
      <w:bookmarkStart w:id="3087" w:name="_Toc38439754"/>
      <w:bookmarkStart w:id="3088" w:name="_Toc38440091"/>
      <w:bookmarkStart w:id="3089" w:name="_Toc38440428"/>
      <w:bookmarkStart w:id="3090" w:name="_Toc38440960"/>
      <w:bookmarkStart w:id="3091" w:name="_Toc38441292"/>
      <w:bookmarkStart w:id="3092" w:name="_Toc38441624"/>
      <w:bookmarkStart w:id="3093" w:name="_Toc38441952"/>
      <w:bookmarkStart w:id="3094" w:name="_Toc38442284"/>
      <w:bookmarkStart w:id="3095" w:name="_Toc38442616"/>
      <w:bookmarkStart w:id="3096" w:name="_Toc38442947"/>
      <w:bookmarkStart w:id="3097" w:name="_Toc38443278"/>
      <w:bookmarkStart w:id="3098" w:name="_Toc38443609"/>
      <w:bookmarkStart w:id="3099" w:name="_Toc38443939"/>
      <w:bookmarkStart w:id="3100" w:name="_Toc38438407"/>
      <w:bookmarkStart w:id="3101" w:name="_Toc38438744"/>
      <w:bookmarkStart w:id="3102" w:name="_Toc38439081"/>
      <w:bookmarkStart w:id="3103" w:name="_Toc38439418"/>
      <w:bookmarkStart w:id="3104" w:name="_Toc38439755"/>
      <w:bookmarkStart w:id="3105" w:name="_Toc38440092"/>
      <w:bookmarkStart w:id="3106" w:name="_Toc38440429"/>
      <w:bookmarkStart w:id="3107" w:name="_Toc38440961"/>
      <w:bookmarkStart w:id="3108" w:name="_Toc38441293"/>
      <w:bookmarkStart w:id="3109" w:name="_Toc38441625"/>
      <w:bookmarkStart w:id="3110" w:name="_Toc38441953"/>
      <w:bookmarkStart w:id="3111" w:name="_Toc38442285"/>
      <w:bookmarkStart w:id="3112" w:name="_Toc38442617"/>
      <w:bookmarkStart w:id="3113" w:name="_Toc38442948"/>
      <w:bookmarkStart w:id="3114" w:name="_Toc38443279"/>
      <w:bookmarkStart w:id="3115" w:name="_Toc38443610"/>
      <w:bookmarkStart w:id="3116" w:name="_Toc38443940"/>
      <w:bookmarkStart w:id="3117" w:name="_Toc38438408"/>
      <w:bookmarkStart w:id="3118" w:name="_Toc38438745"/>
      <w:bookmarkStart w:id="3119" w:name="_Toc38439082"/>
      <w:bookmarkStart w:id="3120" w:name="_Toc38439419"/>
      <w:bookmarkStart w:id="3121" w:name="_Toc38439756"/>
      <w:bookmarkStart w:id="3122" w:name="_Toc38440093"/>
      <w:bookmarkStart w:id="3123" w:name="_Toc38440430"/>
      <w:bookmarkStart w:id="3124" w:name="_Toc38440962"/>
      <w:bookmarkStart w:id="3125" w:name="_Toc38441294"/>
      <w:bookmarkStart w:id="3126" w:name="_Toc38441626"/>
      <w:bookmarkStart w:id="3127" w:name="_Toc38441954"/>
      <w:bookmarkStart w:id="3128" w:name="_Toc38442286"/>
      <w:bookmarkStart w:id="3129" w:name="_Toc38442618"/>
      <w:bookmarkStart w:id="3130" w:name="_Toc38442949"/>
      <w:bookmarkStart w:id="3131" w:name="_Toc38443280"/>
      <w:bookmarkStart w:id="3132" w:name="_Toc38443611"/>
      <w:bookmarkStart w:id="3133" w:name="_Toc38443941"/>
      <w:bookmarkStart w:id="3134" w:name="_Toc38438409"/>
      <w:bookmarkStart w:id="3135" w:name="_Toc38438746"/>
      <w:bookmarkStart w:id="3136" w:name="_Toc38439083"/>
      <w:bookmarkStart w:id="3137" w:name="_Toc38439420"/>
      <w:bookmarkStart w:id="3138" w:name="_Toc38439757"/>
      <w:bookmarkStart w:id="3139" w:name="_Toc38440094"/>
      <w:bookmarkStart w:id="3140" w:name="_Toc38440431"/>
      <w:bookmarkStart w:id="3141" w:name="_Toc38440963"/>
      <w:bookmarkStart w:id="3142" w:name="_Toc38441295"/>
      <w:bookmarkStart w:id="3143" w:name="_Toc38441627"/>
      <w:bookmarkStart w:id="3144" w:name="_Toc38441955"/>
      <w:bookmarkStart w:id="3145" w:name="_Toc38442287"/>
      <w:bookmarkStart w:id="3146" w:name="_Toc38442619"/>
      <w:bookmarkStart w:id="3147" w:name="_Toc38442950"/>
      <w:bookmarkStart w:id="3148" w:name="_Toc38443281"/>
      <w:bookmarkStart w:id="3149" w:name="_Toc38443612"/>
      <w:bookmarkStart w:id="3150" w:name="_Toc38443942"/>
      <w:bookmarkStart w:id="3151" w:name="_Toc38438410"/>
      <w:bookmarkStart w:id="3152" w:name="_Toc38438747"/>
      <w:bookmarkStart w:id="3153" w:name="_Toc38439084"/>
      <w:bookmarkStart w:id="3154" w:name="_Toc38439421"/>
      <w:bookmarkStart w:id="3155" w:name="_Toc38439758"/>
      <w:bookmarkStart w:id="3156" w:name="_Toc38440095"/>
      <w:bookmarkStart w:id="3157" w:name="_Toc38440432"/>
      <w:bookmarkStart w:id="3158" w:name="_Toc38440964"/>
      <w:bookmarkStart w:id="3159" w:name="_Toc38441296"/>
      <w:bookmarkStart w:id="3160" w:name="_Toc38441628"/>
      <w:bookmarkStart w:id="3161" w:name="_Toc38441956"/>
      <w:bookmarkStart w:id="3162" w:name="_Toc38442288"/>
      <w:bookmarkStart w:id="3163" w:name="_Toc38442620"/>
      <w:bookmarkStart w:id="3164" w:name="_Toc38442951"/>
      <w:bookmarkStart w:id="3165" w:name="_Toc38443282"/>
      <w:bookmarkStart w:id="3166" w:name="_Toc38443613"/>
      <w:bookmarkStart w:id="3167" w:name="_Toc38443943"/>
      <w:bookmarkStart w:id="3168" w:name="_Toc38438411"/>
      <w:bookmarkStart w:id="3169" w:name="_Toc38438748"/>
      <w:bookmarkStart w:id="3170" w:name="_Toc38439085"/>
      <w:bookmarkStart w:id="3171" w:name="_Toc38439422"/>
      <w:bookmarkStart w:id="3172" w:name="_Toc38439759"/>
      <w:bookmarkStart w:id="3173" w:name="_Toc38440096"/>
      <w:bookmarkStart w:id="3174" w:name="_Toc38440433"/>
      <w:bookmarkStart w:id="3175" w:name="_Toc38440965"/>
      <w:bookmarkStart w:id="3176" w:name="_Toc38441297"/>
      <w:bookmarkStart w:id="3177" w:name="_Toc38441629"/>
      <w:bookmarkStart w:id="3178" w:name="_Toc38441957"/>
      <w:bookmarkStart w:id="3179" w:name="_Toc38442289"/>
      <w:bookmarkStart w:id="3180" w:name="_Toc38442621"/>
      <w:bookmarkStart w:id="3181" w:name="_Toc38442952"/>
      <w:bookmarkStart w:id="3182" w:name="_Toc38443283"/>
      <w:bookmarkStart w:id="3183" w:name="_Toc38443614"/>
      <w:bookmarkStart w:id="3184" w:name="_Toc38443944"/>
      <w:bookmarkStart w:id="3185" w:name="_Toc38438412"/>
      <w:bookmarkStart w:id="3186" w:name="_Toc38438749"/>
      <w:bookmarkStart w:id="3187" w:name="_Toc38439086"/>
      <w:bookmarkStart w:id="3188" w:name="_Toc38439423"/>
      <w:bookmarkStart w:id="3189" w:name="_Toc38439760"/>
      <w:bookmarkStart w:id="3190" w:name="_Toc38440097"/>
      <w:bookmarkStart w:id="3191" w:name="_Toc38440434"/>
      <w:bookmarkStart w:id="3192" w:name="_Toc38440966"/>
      <w:bookmarkStart w:id="3193" w:name="_Toc38441298"/>
      <w:bookmarkStart w:id="3194" w:name="_Toc38441630"/>
      <w:bookmarkStart w:id="3195" w:name="_Toc38441958"/>
      <w:bookmarkStart w:id="3196" w:name="_Toc38442290"/>
      <w:bookmarkStart w:id="3197" w:name="_Toc38442622"/>
      <w:bookmarkStart w:id="3198" w:name="_Toc38442953"/>
      <w:bookmarkStart w:id="3199" w:name="_Toc38443284"/>
      <w:bookmarkStart w:id="3200" w:name="_Toc38443615"/>
      <w:bookmarkStart w:id="3201" w:name="_Toc38443945"/>
      <w:bookmarkStart w:id="3202" w:name="_Toc38438413"/>
      <w:bookmarkStart w:id="3203" w:name="_Toc38438750"/>
      <w:bookmarkStart w:id="3204" w:name="_Toc38439087"/>
      <w:bookmarkStart w:id="3205" w:name="_Toc38439424"/>
      <w:bookmarkStart w:id="3206" w:name="_Toc38439761"/>
      <w:bookmarkStart w:id="3207" w:name="_Toc38440098"/>
      <w:bookmarkStart w:id="3208" w:name="_Toc38440435"/>
      <w:bookmarkStart w:id="3209" w:name="_Toc38440967"/>
      <w:bookmarkStart w:id="3210" w:name="_Toc38441299"/>
      <w:bookmarkStart w:id="3211" w:name="_Toc38441631"/>
      <w:bookmarkStart w:id="3212" w:name="_Toc38441959"/>
      <w:bookmarkStart w:id="3213" w:name="_Toc38442291"/>
      <w:bookmarkStart w:id="3214" w:name="_Toc38442623"/>
      <w:bookmarkStart w:id="3215" w:name="_Toc38442954"/>
      <w:bookmarkStart w:id="3216" w:name="_Toc38443285"/>
      <w:bookmarkStart w:id="3217" w:name="_Toc38443616"/>
      <w:bookmarkStart w:id="3218" w:name="_Toc38443946"/>
      <w:bookmarkStart w:id="3219" w:name="_Toc38438414"/>
      <w:bookmarkStart w:id="3220" w:name="_Toc38438751"/>
      <w:bookmarkStart w:id="3221" w:name="_Toc38439088"/>
      <w:bookmarkStart w:id="3222" w:name="_Toc38439425"/>
      <w:bookmarkStart w:id="3223" w:name="_Toc38439762"/>
      <w:bookmarkStart w:id="3224" w:name="_Toc38440099"/>
      <w:bookmarkStart w:id="3225" w:name="_Toc38440436"/>
      <w:bookmarkStart w:id="3226" w:name="_Toc38440968"/>
      <w:bookmarkStart w:id="3227" w:name="_Toc38441300"/>
      <w:bookmarkStart w:id="3228" w:name="_Toc38441632"/>
      <w:bookmarkStart w:id="3229" w:name="_Toc38441960"/>
      <w:bookmarkStart w:id="3230" w:name="_Toc38442292"/>
      <w:bookmarkStart w:id="3231" w:name="_Toc38442624"/>
      <w:bookmarkStart w:id="3232" w:name="_Toc38442955"/>
      <w:bookmarkStart w:id="3233" w:name="_Toc38443286"/>
      <w:bookmarkStart w:id="3234" w:name="_Toc38443617"/>
      <w:bookmarkStart w:id="3235" w:name="_Toc38443947"/>
      <w:bookmarkStart w:id="3236" w:name="_Toc38438415"/>
      <w:bookmarkStart w:id="3237" w:name="_Toc38438752"/>
      <w:bookmarkStart w:id="3238" w:name="_Toc38439089"/>
      <w:bookmarkStart w:id="3239" w:name="_Toc38439426"/>
      <w:bookmarkStart w:id="3240" w:name="_Toc38439763"/>
      <w:bookmarkStart w:id="3241" w:name="_Toc38440100"/>
      <w:bookmarkStart w:id="3242" w:name="_Toc38440437"/>
      <w:bookmarkStart w:id="3243" w:name="_Toc38440969"/>
      <w:bookmarkStart w:id="3244" w:name="_Toc38441301"/>
      <w:bookmarkStart w:id="3245" w:name="_Toc38441633"/>
      <w:bookmarkStart w:id="3246" w:name="_Toc38441961"/>
      <w:bookmarkStart w:id="3247" w:name="_Toc38442293"/>
      <w:bookmarkStart w:id="3248" w:name="_Toc38442625"/>
      <w:bookmarkStart w:id="3249" w:name="_Toc38442956"/>
      <w:bookmarkStart w:id="3250" w:name="_Toc38443287"/>
      <w:bookmarkStart w:id="3251" w:name="_Toc38443618"/>
      <w:bookmarkStart w:id="3252" w:name="_Toc38443948"/>
      <w:bookmarkStart w:id="3253" w:name="_Toc38438416"/>
      <w:bookmarkStart w:id="3254" w:name="_Toc38438753"/>
      <w:bookmarkStart w:id="3255" w:name="_Toc38439090"/>
      <w:bookmarkStart w:id="3256" w:name="_Toc38439427"/>
      <w:bookmarkStart w:id="3257" w:name="_Toc38439764"/>
      <w:bookmarkStart w:id="3258" w:name="_Toc38440101"/>
      <w:bookmarkStart w:id="3259" w:name="_Toc38440438"/>
      <w:bookmarkStart w:id="3260" w:name="_Toc38440970"/>
      <w:bookmarkStart w:id="3261" w:name="_Toc38441302"/>
      <w:bookmarkStart w:id="3262" w:name="_Toc38441634"/>
      <w:bookmarkStart w:id="3263" w:name="_Toc38441962"/>
      <w:bookmarkStart w:id="3264" w:name="_Toc38442294"/>
      <w:bookmarkStart w:id="3265" w:name="_Toc38442626"/>
      <w:bookmarkStart w:id="3266" w:name="_Toc38442957"/>
      <w:bookmarkStart w:id="3267" w:name="_Toc38443288"/>
      <w:bookmarkStart w:id="3268" w:name="_Toc38443619"/>
      <w:bookmarkStart w:id="3269" w:name="_Toc38443949"/>
      <w:bookmarkStart w:id="3270" w:name="_Toc38438417"/>
      <w:bookmarkStart w:id="3271" w:name="_Toc38438754"/>
      <w:bookmarkStart w:id="3272" w:name="_Toc38439091"/>
      <w:bookmarkStart w:id="3273" w:name="_Toc38439428"/>
      <w:bookmarkStart w:id="3274" w:name="_Toc38439765"/>
      <w:bookmarkStart w:id="3275" w:name="_Toc38440102"/>
      <w:bookmarkStart w:id="3276" w:name="_Toc38440439"/>
      <w:bookmarkStart w:id="3277" w:name="_Toc38440971"/>
      <w:bookmarkStart w:id="3278" w:name="_Toc38441303"/>
      <w:bookmarkStart w:id="3279" w:name="_Toc38441635"/>
      <w:bookmarkStart w:id="3280" w:name="_Toc38441963"/>
      <w:bookmarkStart w:id="3281" w:name="_Toc38442295"/>
      <w:bookmarkStart w:id="3282" w:name="_Toc38442627"/>
      <w:bookmarkStart w:id="3283" w:name="_Toc38442958"/>
      <w:bookmarkStart w:id="3284" w:name="_Toc38443289"/>
      <w:bookmarkStart w:id="3285" w:name="_Toc38443620"/>
      <w:bookmarkStart w:id="3286" w:name="_Toc38443950"/>
      <w:bookmarkStart w:id="3287" w:name="_Toc38438418"/>
      <w:bookmarkStart w:id="3288" w:name="_Toc38438755"/>
      <w:bookmarkStart w:id="3289" w:name="_Toc38439092"/>
      <w:bookmarkStart w:id="3290" w:name="_Toc38439429"/>
      <w:bookmarkStart w:id="3291" w:name="_Toc38439766"/>
      <w:bookmarkStart w:id="3292" w:name="_Toc38440103"/>
      <w:bookmarkStart w:id="3293" w:name="_Toc38440440"/>
      <w:bookmarkStart w:id="3294" w:name="_Toc38440972"/>
      <w:bookmarkStart w:id="3295" w:name="_Toc38441304"/>
      <w:bookmarkStart w:id="3296" w:name="_Toc38441636"/>
      <w:bookmarkStart w:id="3297" w:name="_Toc38441964"/>
      <w:bookmarkStart w:id="3298" w:name="_Toc38442296"/>
      <w:bookmarkStart w:id="3299" w:name="_Toc38442628"/>
      <w:bookmarkStart w:id="3300" w:name="_Toc38442959"/>
      <w:bookmarkStart w:id="3301" w:name="_Toc38443290"/>
      <w:bookmarkStart w:id="3302" w:name="_Toc38443621"/>
      <w:bookmarkStart w:id="3303" w:name="_Toc38443951"/>
      <w:bookmarkStart w:id="3304" w:name="_Toc38438419"/>
      <w:bookmarkStart w:id="3305" w:name="_Toc38438756"/>
      <w:bookmarkStart w:id="3306" w:name="_Toc38439093"/>
      <w:bookmarkStart w:id="3307" w:name="_Toc38439430"/>
      <w:bookmarkStart w:id="3308" w:name="_Toc38439767"/>
      <w:bookmarkStart w:id="3309" w:name="_Toc38440104"/>
      <w:bookmarkStart w:id="3310" w:name="_Toc38440441"/>
      <w:bookmarkStart w:id="3311" w:name="_Toc38440973"/>
      <w:bookmarkStart w:id="3312" w:name="_Toc38441305"/>
      <w:bookmarkStart w:id="3313" w:name="_Toc38441637"/>
      <w:bookmarkStart w:id="3314" w:name="_Toc38441965"/>
      <w:bookmarkStart w:id="3315" w:name="_Toc38442297"/>
      <w:bookmarkStart w:id="3316" w:name="_Toc38442629"/>
      <w:bookmarkStart w:id="3317" w:name="_Toc38442960"/>
      <w:bookmarkStart w:id="3318" w:name="_Toc38443291"/>
      <w:bookmarkStart w:id="3319" w:name="_Toc38443622"/>
      <w:bookmarkStart w:id="3320" w:name="_Toc38443952"/>
      <w:bookmarkStart w:id="3321" w:name="_Toc38438420"/>
      <w:bookmarkStart w:id="3322" w:name="_Toc38438757"/>
      <w:bookmarkStart w:id="3323" w:name="_Toc38439094"/>
      <w:bookmarkStart w:id="3324" w:name="_Toc38439431"/>
      <w:bookmarkStart w:id="3325" w:name="_Toc38439768"/>
      <w:bookmarkStart w:id="3326" w:name="_Toc38440105"/>
      <w:bookmarkStart w:id="3327" w:name="_Toc38440442"/>
      <w:bookmarkStart w:id="3328" w:name="_Toc38440974"/>
      <w:bookmarkStart w:id="3329" w:name="_Toc38441306"/>
      <w:bookmarkStart w:id="3330" w:name="_Toc38441638"/>
      <w:bookmarkStart w:id="3331" w:name="_Toc38441966"/>
      <w:bookmarkStart w:id="3332" w:name="_Toc38442298"/>
      <w:bookmarkStart w:id="3333" w:name="_Toc38442630"/>
      <w:bookmarkStart w:id="3334" w:name="_Toc38442961"/>
      <w:bookmarkStart w:id="3335" w:name="_Toc38443292"/>
      <w:bookmarkStart w:id="3336" w:name="_Toc38443623"/>
      <w:bookmarkStart w:id="3337" w:name="_Toc38443953"/>
      <w:bookmarkStart w:id="3338" w:name="_Toc38438421"/>
      <w:bookmarkStart w:id="3339" w:name="_Toc38438758"/>
      <w:bookmarkStart w:id="3340" w:name="_Toc38439095"/>
      <w:bookmarkStart w:id="3341" w:name="_Toc38439432"/>
      <w:bookmarkStart w:id="3342" w:name="_Toc38439769"/>
      <w:bookmarkStart w:id="3343" w:name="_Toc38440106"/>
      <w:bookmarkStart w:id="3344" w:name="_Toc38440443"/>
      <w:bookmarkStart w:id="3345" w:name="_Toc38440975"/>
      <w:bookmarkStart w:id="3346" w:name="_Toc38441307"/>
      <w:bookmarkStart w:id="3347" w:name="_Toc38441639"/>
      <w:bookmarkStart w:id="3348" w:name="_Toc38441967"/>
      <w:bookmarkStart w:id="3349" w:name="_Toc38442299"/>
      <w:bookmarkStart w:id="3350" w:name="_Toc38442631"/>
      <w:bookmarkStart w:id="3351" w:name="_Toc38442962"/>
      <w:bookmarkStart w:id="3352" w:name="_Toc38443293"/>
      <w:bookmarkStart w:id="3353" w:name="_Toc38443624"/>
      <w:bookmarkStart w:id="3354" w:name="_Toc38443954"/>
      <w:bookmarkStart w:id="3355" w:name="_Toc38438422"/>
      <w:bookmarkStart w:id="3356" w:name="_Toc38438759"/>
      <w:bookmarkStart w:id="3357" w:name="_Toc38439096"/>
      <w:bookmarkStart w:id="3358" w:name="_Toc38439433"/>
      <w:bookmarkStart w:id="3359" w:name="_Toc38439770"/>
      <w:bookmarkStart w:id="3360" w:name="_Toc38440107"/>
      <w:bookmarkStart w:id="3361" w:name="_Toc38440444"/>
      <w:bookmarkStart w:id="3362" w:name="_Toc38440976"/>
      <w:bookmarkStart w:id="3363" w:name="_Toc38441308"/>
      <w:bookmarkStart w:id="3364" w:name="_Toc38441640"/>
      <w:bookmarkStart w:id="3365" w:name="_Toc38441968"/>
      <w:bookmarkStart w:id="3366" w:name="_Toc38442300"/>
      <w:bookmarkStart w:id="3367" w:name="_Toc38442632"/>
      <w:bookmarkStart w:id="3368" w:name="_Toc38442963"/>
      <w:bookmarkStart w:id="3369" w:name="_Toc38443294"/>
      <w:bookmarkStart w:id="3370" w:name="_Toc38443625"/>
      <w:bookmarkStart w:id="3371" w:name="_Toc38443955"/>
      <w:bookmarkStart w:id="3372" w:name="_Toc38438423"/>
      <w:bookmarkStart w:id="3373" w:name="_Toc38438760"/>
      <w:bookmarkStart w:id="3374" w:name="_Toc38439097"/>
      <w:bookmarkStart w:id="3375" w:name="_Toc38439434"/>
      <w:bookmarkStart w:id="3376" w:name="_Toc38439771"/>
      <w:bookmarkStart w:id="3377" w:name="_Toc38440108"/>
      <w:bookmarkStart w:id="3378" w:name="_Toc38440445"/>
      <w:bookmarkStart w:id="3379" w:name="_Toc38440977"/>
      <w:bookmarkStart w:id="3380" w:name="_Toc38441309"/>
      <w:bookmarkStart w:id="3381" w:name="_Toc38441641"/>
      <w:bookmarkStart w:id="3382" w:name="_Toc38441969"/>
      <w:bookmarkStart w:id="3383" w:name="_Toc38442301"/>
      <w:bookmarkStart w:id="3384" w:name="_Toc38442633"/>
      <w:bookmarkStart w:id="3385" w:name="_Toc38442964"/>
      <w:bookmarkStart w:id="3386" w:name="_Toc38443295"/>
      <w:bookmarkStart w:id="3387" w:name="_Toc38443626"/>
      <w:bookmarkStart w:id="3388" w:name="_Toc38443956"/>
      <w:bookmarkStart w:id="3389" w:name="_Toc38438424"/>
      <w:bookmarkStart w:id="3390" w:name="_Toc38438761"/>
      <w:bookmarkStart w:id="3391" w:name="_Toc38439098"/>
      <w:bookmarkStart w:id="3392" w:name="_Toc38439435"/>
      <w:bookmarkStart w:id="3393" w:name="_Toc38439772"/>
      <w:bookmarkStart w:id="3394" w:name="_Toc38440109"/>
      <w:bookmarkStart w:id="3395" w:name="_Toc38440446"/>
      <w:bookmarkStart w:id="3396" w:name="_Toc38440978"/>
      <w:bookmarkStart w:id="3397" w:name="_Toc38441310"/>
      <w:bookmarkStart w:id="3398" w:name="_Toc38441642"/>
      <w:bookmarkStart w:id="3399" w:name="_Toc38441970"/>
      <w:bookmarkStart w:id="3400" w:name="_Toc38442302"/>
      <w:bookmarkStart w:id="3401" w:name="_Toc38442634"/>
      <w:bookmarkStart w:id="3402" w:name="_Toc38442965"/>
      <w:bookmarkStart w:id="3403" w:name="_Toc38443296"/>
      <w:bookmarkStart w:id="3404" w:name="_Toc38443627"/>
      <w:bookmarkStart w:id="3405" w:name="_Toc38443957"/>
      <w:bookmarkStart w:id="3406" w:name="_Toc38438425"/>
      <w:bookmarkStart w:id="3407" w:name="_Toc38438762"/>
      <w:bookmarkStart w:id="3408" w:name="_Toc38439099"/>
      <w:bookmarkStart w:id="3409" w:name="_Toc38439436"/>
      <w:bookmarkStart w:id="3410" w:name="_Toc38439773"/>
      <w:bookmarkStart w:id="3411" w:name="_Toc38440110"/>
      <w:bookmarkStart w:id="3412" w:name="_Toc38440447"/>
      <w:bookmarkStart w:id="3413" w:name="_Toc38440979"/>
      <w:bookmarkStart w:id="3414" w:name="_Toc38441311"/>
      <w:bookmarkStart w:id="3415" w:name="_Toc38441643"/>
      <w:bookmarkStart w:id="3416" w:name="_Toc38441971"/>
      <w:bookmarkStart w:id="3417" w:name="_Toc38442303"/>
      <w:bookmarkStart w:id="3418" w:name="_Toc38442635"/>
      <w:bookmarkStart w:id="3419" w:name="_Toc38442966"/>
      <w:bookmarkStart w:id="3420" w:name="_Toc38443297"/>
      <w:bookmarkStart w:id="3421" w:name="_Toc38443628"/>
      <w:bookmarkStart w:id="3422" w:name="_Toc38443958"/>
      <w:bookmarkStart w:id="3423" w:name="_Toc38438426"/>
      <w:bookmarkStart w:id="3424" w:name="_Toc38438763"/>
      <w:bookmarkStart w:id="3425" w:name="_Toc38439100"/>
      <w:bookmarkStart w:id="3426" w:name="_Toc38439437"/>
      <w:bookmarkStart w:id="3427" w:name="_Toc38439774"/>
      <w:bookmarkStart w:id="3428" w:name="_Toc38440111"/>
      <w:bookmarkStart w:id="3429" w:name="_Toc38440448"/>
      <w:bookmarkStart w:id="3430" w:name="_Toc38440980"/>
      <w:bookmarkStart w:id="3431" w:name="_Toc38441312"/>
      <w:bookmarkStart w:id="3432" w:name="_Toc38441644"/>
      <w:bookmarkStart w:id="3433" w:name="_Toc38441972"/>
      <w:bookmarkStart w:id="3434" w:name="_Toc38442304"/>
      <w:bookmarkStart w:id="3435" w:name="_Toc38442636"/>
      <w:bookmarkStart w:id="3436" w:name="_Toc38442967"/>
      <w:bookmarkStart w:id="3437" w:name="_Toc38443298"/>
      <w:bookmarkStart w:id="3438" w:name="_Toc38443629"/>
      <w:bookmarkStart w:id="3439" w:name="_Toc38443959"/>
      <w:bookmarkStart w:id="3440" w:name="_Toc38438427"/>
      <w:bookmarkStart w:id="3441" w:name="_Toc38438764"/>
      <w:bookmarkStart w:id="3442" w:name="_Toc38439101"/>
      <w:bookmarkStart w:id="3443" w:name="_Toc38439438"/>
      <w:bookmarkStart w:id="3444" w:name="_Toc38439775"/>
      <w:bookmarkStart w:id="3445" w:name="_Toc38440112"/>
      <w:bookmarkStart w:id="3446" w:name="_Toc38440449"/>
      <w:bookmarkStart w:id="3447" w:name="_Toc38440981"/>
      <w:bookmarkStart w:id="3448" w:name="_Toc38441313"/>
      <w:bookmarkStart w:id="3449" w:name="_Toc38441645"/>
      <w:bookmarkStart w:id="3450" w:name="_Toc38441973"/>
      <w:bookmarkStart w:id="3451" w:name="_Toc38442305"/>
      <w:bookmarkStart w:id="3452" w:name="_Toc38442637"/>
      <w:bookmarkStart w:id="3453" w:name="_Toc38442968"/>
      <w:bookmarkStart w:id="3454" w:name="_Toc38443299"/>
      <w:bookmarkStart w:id="3455" w:name="_Toc38443630"/>
      <w:bookmarkStart w:id="3456" w:name="_Toc38443960"/>
      <w:bookmarkStart w:id="3457" w:name="_Toc38438428"/>
      <w:bookmarkStart w:id="3458" w:name="_Toc38438765"/>
      <w:bookmarkStart w:id="3459" w:name="_Toc38439102"/>
      <w:bookmarkStart w:id="3460" w:name="_Toc38439439"/>
      <w:bookmarkStart w:id="3461" w:name="_Toc38439776"/>
      <w:bookmarkStart w:id="3462" w:name="_Toc38440113"/>
      <w:bookmarkStart w:id="3463" w:name="_Toc38440450"/>
      <w:bookmarkStart w:id="3464" w:name="_Toc38440982"/>
      <w:bookmarkStart w:id="3465" w:name="_Toc38441314"/>
      <w:bookmarkStart w:id="3466" w:name="_Toc38441646"/>
      <w:bookmarkStart w:id="3467" w:name="_Toc38441974"/>
      <w:bookmarkStart w:id="3468" w:name="_Toc38442306"/>
      <w:bookmarkStart w:id="3469" w:name="_Toc38442638"/>
      <w:bookmarkStart w:id="3470" w:name="_Toc38442969"/>
      <w:bookmarkStart w:id="3471" w:name="_Toc38443300"/>
      <w:bookmarkStart w:id="3472" w:name="_Toc38443631"/>
      <w:bookmarkStart w:id="3473" w:name="_Toc38443961"/>
      <w:bookmarkStart w:id="3474" w:name="_Toc38438429"/>
      <w:bookmarkStart w:id="3475" w:name="_Toc38438766"/>
      <w:bookmarkStart w:id="3476" w:name="_Toc38439103"/>
      <w:bookmarkStart w:id="3477" w:name="_Toc38439440"/>
      <w:bookmarkStart w:id="3478" w:name="_Toc38439777"/>
      <w:bookmarkStart w:id="3479" w:name="_Toc38440114"/>
      <w:bookmarkStart w:id="3480" w:name="_Toc38440451"/>
      <w:bookmarkStart w:id="3481" w:name="_Toc38440983"/>
      <w:bookmarkStart w:id="3482" w:name="_Toc38441315"/>
      <w:bookmarkStart w:id="3483" w:name="_Toc38441647"/>
      <w:bookmarkStart w:id="3484" w:name="_Toc38441975"/>
      <w:bookmarkStart w:id="3485" w:name="_Toc38442307"/>
      <w:bookmarkStart w:id="3486" w:name="_Toc38442639"/>
      <w:bookmarkStart w:id="3487" w:name="_Toc38442970"/>
      <w:bookmarkStart w:id="3488" w:name="_Toc38443301"/>
      <w:bookmarkStart w:id="3489" w:name="_Toc38443632"/>
      <w:bookmarkStart w:id="3490" w:name="_Toc38443962"/>
      <w:bookmarkStart w:id="3491" w:name="_Toc38438430"/>
      <w:bookmarkStart w:id="3492" w:name="_Toc38438767"/>
      <w:bookmarkStart w:id="3493" w:name="_Toc38439104"/>
      <w:bookmarkStart w:id="3494" w:name="_Toc38439441"/>
      <w:bookmarkStart w:id="3495" w:name="_Toc38439778"/>
      <w:bookmarkStart w:id="3496" w:name="_Toc38440115"/>
      <w:bookmarkStart w:id="3497" w:name="_Toc38440452"/>
      <w:bookmarkStart w:id="3498" w:name="_Toc38440984"/>
      <w:bookmarkStart w:id="3499" w:name="_Toc38441316"/>
      <w:bookmarkStart w:id="3500" w:name="_Toc38441648"/>
      <w:bookmarkStart w:id="3501" w:name="_Toc38441976"/>
      <w:bookmarkStart w:id="3502" w:name="_Toc38442308"/>
      <w:bookmarkStart w:id="3503" w:name="_Toc38442640"/>
      <w:bookmarkStart w:id="3504" w:name="_Toc38442971"/>
      <w:bookmarkStart w:id="3505" w:name="_Toc38443302"/>
      <w:bookmarkStart w:id="3506" w:name="_Toc38443633"/>
      <w:bookmarkStart w:id="3507" w:name="_Toc38443963"/>
      <w:bookmarkStart w:id="3508" w:name="_Toc38438431"/>
      <w:bookmarkStart w:id="3509" w:name="_Toc38438768"/>
      <w:bookmarkStart w:id="3510" w:name="_Toc38439105"/>
      <w:bookmarkStart w:id="3511" w:name="_Toc38439442"/>
      <w:bookmarkStart w:id="3512" w:name="_Toc38439779"/>
      <w:bookmarkStart w:id="3513" w:name="_Toc38440116"/>
      <w:bookmarkStart w:id="3514" w:name="_Toc38440453"/>
      <w:bookmarkStart w:id="3515" w:name="_Toc38440985"/>
      <w:bookmarkStart w:id="3516" w:name="_Toc38441317"/>
      <w:bookmarkStart w:id="3517" w:name="_Toc38441649"/>
      <w:bookmarkStart w:id="3518" w:name="_Toc38441977"/>
      <w:bookmarkStart w:id="3519" w:name="_Toc38442309"/>
      <w:bookmarkStart w:id="3520" w:name="_Toc38442641"/>
      <w:bookmarkStart w:id="3521" w:name="_Toc38442972"/>
      <w:bookmarkStart w:id="3522" w:name="_Toc38443303"/>
      <w:bookmarkStart w:id="3523" w:name="_Toc38443634"/>
      <w:bookmarkStart w:id="3524" w:name="_Toc38443964"/>
      <w:bookmarkStart w:id="3525" w:name="_Toc38438432"/>
      <w:bookmarkStart w:id="3526" w:name="_Toc38438769"/>
      <w:bookmarkStart w:id="3527" w:name="_Toc38439106"/>
      <w:bookmarkStart w:id="3528" w:name="_Toc38439443"/>
      <w:bookmarkStart w:id="3529" w:name="_Toc38439780"/>
      <w:bookmarkStart w:id="3530" w:name="_Toc38440117"/>
      <w:bookmarkStart w:id="3531" w:name="_Toc38440454"/>
      <w:bookmarkStart w:id="3532" w:name="_Toc38440986"/>
      <w:bookmarkStart w:id="3533" w:name="_Toc38441318"/>
      <w:bookmarkStart w:id="3534" w:name="_Toc38441650"/>
      <w:bookmarkStart w:id="3535" w:name="_Toc38441978"/>
      <w:bookmarkStart w:id="3536" w:name="_Toc38442310"/>
      <w:bookmarkStart w:id="3537" w:name="_Toc38442642"/>
      <w:bookmarkStart w:id="3538" w:name="_Toc38442973"/>
      <w:bookmarkStart w:id="3539" w:name="_Toc38443304"/>
      <w:bookmarkStart w:id="3540" w:name="_Toc38443635"/>
      <w:bookmarkStart w:id="3541" w:name="_Toc38443965"/>
      <w:bookmarkStart w:id="3542" w:name="_Toc38438433"/>
      <w:bookmarkStart w:id="3543" w:name="_Toc38438770"/>
      <w:bookmarkStart w:id="3544" w:name="_Toc38439107"/>
      <w:bookmarkStart w:id="3545" w:name="_Toc38439444"/>
      <w:bookmarkStart w:id="3546" w:name="_Toc38439781"/>
      <w:bookmarkStart w:id="3547" w:name="_Toc38440118"/>
      <w:bookmarkStart w:id="3548" w:name="_Toc38440455"/>
      <w:bookmarkStart w:id="3549" w:name="_Toc38440987"/>
      <w:bookmarkStart w:id="3550" w:name="_Toc38441319"/>
      <w:bookmarkStart w:id="3551" w:name="_Toc38441651"/>
      <w:bookmarkStart w:id="3552" w:name="_Toc38441979"/>
      <w:bookmarkStart w:id="3553" w:name="_Toc38442311"/>
      <w:bookmarkStart w:id="3554" w:name="_Toc38442643"/>
      <w:bookmarkStart w:id="3555" w:name="_Toc38442974"/>
      <w:bookmarkStart w:id="3556" w:name="_Toc38443305"/>
      <w:bookmarkStart w:id="3557" w:name="_Toc38443636"/>
      <w:bookmarkStart w:id="3558" w:name="_Toc38443966"/>
      <w:bookmarkStart w:id="3559" w:name="_Toc38438434"/>
      <w:bookmarkStart w:id="3560" w:name="_Toc38438771"/>
      <w:bookmarkStart w:id="3561" w:name="_Toc38439108"/>
      <w:bookmarkStart w:id="3562" w:name="_Toc38439445"/>
      <w:bookmarkStart w:id="3563" w:name="_Toc38439782"/>
      <w:bookmarkStart w:id="3564" w:name="_Toc38440119"/>
      <w:bookmarkStart w:id="3565" w:name="_Toc38440456"/>
      <w:bookmarkStart w:id="3566" w:name="_Toc38440988"/>
      <w:bookmarkStart w:id="3567" w:name="_Toc38441320"/>
      <w:bookmarkStart w:id="3568" w:name="_Toc38441652"/>
      <w:bookmarkStart w:id="3569" w:name="_Toc38441980"/>
      <w:bookmarkStart w:id="3570" w:name="_Toc38442312"/>
      <w:bookmarkStart w:id="3571" w:name="_Toc38442644"/>
      <w:bookmarkStart w:id="3572" w:name="_Toc38442975"/>
      <w:bookmarkStart w:id="3573" w:name="_Toc38443306"/>
      <w:bookmarkStart w:id="3574" w:name="_Toc38443637"/>
      <w:bookmarkStart w:id="3575" w:name="_Toc38443967"/>
      <w:bookmarkStart w:id="3576" w:name="_Toc38438435"/>
      <w:bookmarkStart w:id="3577" w:name="_Toc38438772"/>
      <w:bookmarkStart w:id="3578" w:name="_Toc38439109"/>
      <w:bookmarkStart w:id="3579" w:name="_Toc38439446"/>
      <w:bookmarkStart w:id="3580" w:name="_Toc38439783"/>
      <w:bookmarkStart w:id="3581" w:name="_Toc38440120"/>
      <w:bookmarkStart w:id="3582" w:name="_Toc38440457"/>
      <w:bookmarkStart w:id="3583" w:name="_Toc38440989"/>
      <w:bookmarkStart w:id="3584" w:name="_Toc38441321"/>
      <w:bookmarkStart w:id="3585" w:name="_Toc38441653"/>
      <w:bookmarkStart w:id="3586" w:name="_Toc38441981"/>
      <w:bookmarkStart w:id="3587" w:name="_Toc38442313"/>
      <w:bookmarkStart w:id="3588" w:name="_Toc38442645"/>
      <w:bookmarkStart w:id="3589" w:name="_Toc38442976"/>
      <w:bookmarkStart w:id="3590" w:name="_Toc38443307"/>
      <w:bookmarkStart w:id="3591" w:name="_Toc38443638"/>
      <w:bookmarkStart w:id="3592" w:name="_Toc38443968"/>
      <w:bookmarkStart w:id="3593" w:name="_Toc38438436"/>
      <w:bookmarkStart w:id="3594" w:name="_Toc38438773"/>
      <w:bookmarkStart w:id="3595" w:name="_Toc38439110"/>
      <w:bookmarkStart w:id="3596" w:name="_Toc38439447"/>
      <w:bookmarkStart w:id="3597" w:name="_Toc38439784"/>
      <w:bookmarkStart w:id="3598" w:name="_Toc38440121"/>
      <w:bookmarkStart w:id="3599" w:name="_Toc38440458"/>
      <w:bookmarkStart w:id="3600" w:name="_Toc38440990"/>
      <w:bookmarkStart w:id="3601" w:name="_Toc38441322"/>
      <w:bookmarkStart w:id="3602" w:name="_Toc38441654"/>
      <w:bookmarkStart w:id="3603" w:name="_Toc38441982"/>
      <w:bookmarkStart w:id="3604" w:name="_Toc38442314"/>
      <w:bookmarkStart w:id="3605" w:name="_Toc38442646"/>
      <w:bookmarkStart w:id="3606" w:name="_Toc38442977"/>
      <w:bookmarkStart w:id="3607" w:name="_Toc38443308"/>
      <w:bookmarkStart w:id="3608" w:name="_Toc38443639"/>
      <w:bookmarkStart w:id="3609" w:name="_Toc38443969"/>
      <w:bookmarkStart w:id="3610" w:name="_Toc38438437"/>
      <w:bookmarkStart w:id="3611" w:name="_Toc38438774"/>
      <w:bookmarkStart w:id="3612" w:name="_Toc38439111"/>
      <w:bookmarkStart w:id="3613" w:name="_Toc38439448"/>
      <w:bookmarkStart w:id="3614" w:name="_Toc38439785"/>
      <w:bookmarkStart w:id="3615" w:name="_Toc38440122"/>
      <w:bookmarkStart w:id="3616" w:name="_Toc38440459"/>
      <w:bookmarkStart w:id="3617" w:name="_Toc38440991"/>
      <w:bookmarkStart w:id="3618" w:name="_Toc38441323"/>
      <w:bookmarkStart w:id="3619" w:name="_Toc38441655"/>
      <w:bookmarkStart w:id="3620" w:name="_Toc38441983"/>
      <w:bookmarkStart w:id="3621" w:name="_Toc38442315"/>
      <w:bookmarkStart w:id="3622" w:name="_Toc38442647"/>
      <w:bookmarkStart w:id="3623" w:name="_Toc38442978"/>
      <w:bookmarkStart w:id="3624" w:name="_Toc38443309"/>
      <w:bookmarkStart w:id="3625" w:name="_Toc38443640"/>
      <w:bookmarkStart w:id="3626" w:name="_Toc38443970"/>
      <w:bookmarkStart w:id="3627" w:name="_Toc38438438"/>
      <w:bookmarkStart w:id="3628" w:name="_Toc38438775"/>
      <w:bookmarkStart w:id="3629" w:name="_Toc38439112"/>
      <w:bookmarkStart w:id="3630" w:name="_Toc38439449"/>
      <w:bookmarkStart w:id="3631" w:name="_Toc38439786"/>
      <w:bookmarkStart w:id="3632" w:name="_Toc38440123"/>
      <w:bookmarkStart w:id="3633" w:name="_Toc38440460"/>
      <w:bookmarkStart w:id="3634" w:name="_Toc38440992"/>
      <w:bookmarkStart w:id="3635" w:name="_Toc38441324"/>
      <w:bookmarkStart w:id="3636" w:name="_Toc38441656"/>
      <w:bookmarkStart w:id="3637" w:name="_Toc38441984"/>
      <w:bookmarkStart w:id="3638" w:name="_Toc38442316"/>
      <w:bookmarkStart w:id="3639" w:name="_Toc38442648"/>
      <w:bookmarkStart w:id="3640" w:name="_Toc38442979"/>
      <w:bookmarkStart w:id="3641" w:name="_Toc38443310"/>
      <w:bookmarkStart w:id="3642" w:name="_Toc38443641"/>
      <w:bookmarkStart w:id="3643" w:name="_Toc38443971"/>
      <w:bookmarkStart w:id="3644" w:name="_Toc38438439"/>
      <w:bookmarkStart w:id="3645" w:name="_Toc38438776"/>
      <w:bookmarkStart w:id="3646" w:name="_Toc38439113"/>
      <w:bookmarkStart w:id="3647" w:name="_Toc38439450"/>
      <w:bookmarkStart w:id="3648" w:name="_Toc38439787"/>
      <w:bookmarkStart w:id="3649" w:name="_Toc38440124"/>
      <w:bookmarkStart w:id="3650" w:name="_Toc38440461"/>
      <w:bookmarkStart w:id="3651" w:name="_Toc38440993"/>
      <w:bookmarkStart w:id="3652" w:name="_Toc38441325"/>
      <w:bookmarkStart w:id="3653" w:name="_Toc38441657"/>
      <w:bookmarkStart w:id="3654" w:name="_Toc38441985"/>
      <w:bookmarkStart w:id="3655" w:name="_Toc38442317"/>
      <w:bookmarkStart w:id="3656" w:name="_Toc38442649"/>
      <w:bookmarkStart w:id="3657" w:name="_Toc38442980"/>
      <w:bookmarkStart w:id="3658" w:name="_Toc38443311"/>
      <w:bookmarkStart w:id="3659" w:name="_Toc38443642"/>
      <w:bookmarkStart w:id="3660" w:name="_Toc38443972"/>
      <w:bookmarkStart w:id="3661" w:name="_Toc38438440"/>
      <w:bookmarkStart w:id="3662" w:name="_Toc38438777"/>
      <w:bookmarkStart w:id="3663" w:name="_Toc38439114"/>
      <w:bookmarkStart w:id="3664" w:name="_Toc38439451"/>
      <w:bookmarkStart w:id="3665" w:name="_Toc38439788"/>
      <w:bookmarkStart w:id="3666" w:name="_Toc38440125"/>
      <w:bookmarkStart w:id="3667" w:name="_Toc38440462"/>
      <w:bookmarkStart w:id="3668" w:name="_Toc38440994"/>
      <w:bookmarkStart w:id="3669" w:name="_Toc38441326"/>
      <w:bookmarkStart w:id="3670" w:name="_Toc38441658"/>
      <w:bookmarkStart w:id="3671" w:name="_Toc38441986"/>
      <w:bookmarkStart w:id="3672" w:name="_Toc38442318"/>
      <w:bookmarkStart w:id="3673" w:name="_Toc38442650"/>
      <w:bookmarkStart w:id="3674" w:name="_Toc38442981"/>
      <w:bookmarkStart w:id="3675" w:name="_Toc38443312"/>
      <w:bookmarkStart w:id="3676" w:name="_Toc38443643"/>
      <w:bookmarkStart w:id="3677" w:name="_Toc38443973"/>
      <w:bookmarkStart w:id="3678" w:name="_Toc38438441"/>
      <w:bookmarkStart w:id="3679" w:name="_Toc38438778"/>
      <w:bookmarkStart w:id="3680" w:name="_Toc38439115"/>
      <w:bookmarkStart w:id="3681" w:name="_Toc38439452"/>
      <w:bookmarkStart w:id="3682" w:name="_Toc38439789"/>
      <w:bookmarkStart w:id="3683" w:name="_Toc38440126"/>
      <w:bookmarkStart w:id="3684" w:name="_Toc38440463"/>
      <w:bookmarkStart w:id="3685" w:name="_Toc38440995"/>
      <w:bookmarkStart w:id="3686" w:name="_Toc38441327"/>
      <w:bookmarkStart w:id="3687" w:name="_Toc38441659"/>
      <w:bookmarkStart w:id="3688" w:name="_Toc38441987"/>
      <w:bookmarkStart w:id="3689" w:name="_Toc38442319"/>
      <w:bookmarkStart w:id="3690" w:name="_Toc38442651"/>
      <w:bookmarkStart w:id="3691" w:name="_Toc38442982"/>
      <w:bookmarkStart w:id="3692" w:name="_Toc38443313"/>
      <w:bookmarkStart w:id="3693" w:name="_Toc38443644"/>
      <w:bookmarkStart w:id="3694" w:name="_Toc38443974"/>
      <w:bookmarkStart w:id="3695" w:name="_Toc38438442"/>
      <w:bookmarkStart w:id="3696" w:name="_Toc38438779"/>
      <w:bookmarkStart w:id="3697" w:name="_Toc38439116"/>
      <w:bookmarkStart w:id="3698" w:name="_Toc38439453"/>
      <w:bookmarkStart w:id="3699" w:name="_Toc38439790"/>
      <w:bookmarkStart w:id="3700" w:name="_Toc38440127"/>
      <w:bookmarkStart w:id="3701" w:name="_Toc38440464"/>
      <w:bookmarkStart w:id="3702" w:name="_Toc38440996"/>
      <w:bookmarkStart w:id="3703" w:name="_Toc38441328"/>
      <w:bookmarkStart w:id="3704" w:name="_Toc38441660"/>
      <w:bookmarkStart w:id="3705" w:name="_Toc38441988"/>
      <w:bookmarkStart w:id="3706" w:name="_Toc38442320"/>
      <w:bookmarkStart w:id="3707" w:name="_Toc38442652"/>
      <w:bookmarkStart w:id="3708" w:name="_Toc38442983"/>
      <w:bookmarkStart w:id="3709" w:name="_Toc38443314"/>
      <w:bookmarkStart w:id="3710" w:name="_Toc38443645"/>
      <w:bookmarkStart w:id="3711" w:name="_Toc38443975"/>
      <w:bookmarkStart w:id="3712" w:name="_Toc38438443"/>
      <w:bookmarkStart w:id="3713" w:name="_Toc38438780"/>
      <w:bookmarkStart w:id="3714" w:name="_Toc38439117"/>
      <w:bookmarkStart w:id="3715" w:name="_Toc38439454"/>
      <w:bookmarkStart w:id="3716" w:name="_Toc38439791"/>
      <w:bookmarkStart w:id="3717" w:name="_Toc38440128"/>
      <w:bookmarkStart w:id="3718" w:name="_Toc38440465"/>
      <w:bookmarkStart w:id="3719" w:name="_Toc38440997"/>
      <w:bookmarkStart w:id="3720" w:name="_Toc38441329"/>
      <w:bookmarkStart w:id="3721" w:name="_Toc38441661"/>
      <w:bookmarkStart w:id="3722" w:name="_Toc38441989"/>
      <w:bookmarkStart w:id="3723" w:name="_Toc38442321"/>
      <w:bookmarkStart w:id="3724" w:name="_Toc38442653"/>
      <w:bookmarkStart w:id="3725" w:name="_Toc38442984"/>
      <w:bookmarkStart w:id="3726" w:name="_Toc38443315"/>
      <w:bookmarkStart w:id="3727" w:name="_Toc38443646"/>
      <w:bookmarkStart w:id="3728" w:name="_Toc38443976"/>
      <w:bookmarkStart w:id="3729" w:name="_Toc38438444"/>
      <w:bookmarkStart w:id="3730" w:name="_Toc38438781"/>
      <w:bookmarkStart w:id="3731" w:name="_Toc38439118"/>
      <w:bookmarkStart w:id="3732" w:name="_Toc38439455"/>
      <w:bookmarkStart w:id="3733" w:name="_Toc38439792"/>
      <w:bookmarkStart w:id="3734" w:name="_Toc38440129"/>
      <w:bookmarkStart w:id="3735" w:name="_Toc38440466"/>
      <w:bookmarkStart w:id="3736" w:name="_Toc38440998"/>
      <w:bookmarkStart w:id="3737" w:name="_Toc38441330"/>
      <w:bookmarkStart w:id="3738" w:name="_Toc38441662"/>
      <w:bookmarkStart w:id="3739" w:name="_Toc38441990"/>
      <w:bookmarkStart w:id="3740" w:name="_Toc38442322"/>
      <w:bookmarkStart w:id="3741" w:name="_Toc38442654"/>
      <w:bookmarkStart w:id="3742" w:name="_Toc38442985"/>
      <w:bookmarkStart w:id="3743" w:name="_Toc38443316"/>
      <w:bookmarkStart w:id="3744" w:name="_Toc38443647"/>
      <w:bookmarkStart w:id="3745" w:name="_Toc38443977"/>
      <w:bookmarkStart w:id="3746" w:name="_Toc38438445"/>
      <w:bookmarkStart w:id="3747" w:name="_Toc38438782"/>
      <w:bookmarkStart w:id="3748" w:name="_Toc38439119"/>
      <w:bookmarkStart w:id="3749" w:name="_Toc38439456"/>
      <w:bookmarkStart w:id="3750" w:name="_Toc38439793"/>
      <w:bookmarkStart w:id="3751" w:name="_Toc38440130"/>
      <w:bookmarkStart w:id="3752" w:name="_Toc38440467"/>
      <w:bookmarkStart w:id="3753" w:name="_Toc38440999"/>
      <w:bookmarkStart w:id="3754" w:name="_Toc38441331"/>
      <w:bookmarkStart w:id="3755" w:name="_Toc38441663"/>
      <w:bookmarkStart w:id="3756" w:name="_Toc38441991"/>
      <w:bookmarkStart w:id="3757" w:name="_Toc38442323"/>
      <w:bookmarkStart w:id="3758" w:name="_Toc38442655"/>
      <w:bookmarkStart w:id="3759" w:name="_Toc38442986"/>
      <w:bookmarkStart w:id="3760" w:name="_Toc38443317"/>
      <w:bookmarkStart w:id="3761" w:name="_Toc38443648"/>
      <w:bookmarkStart w:id="3762" w:name="_Toc38443978"/>
      <w:bookmarkStart w:id="3763" w:name="_Toc38438446"/>
      <w:bookmarkStart w:id="3764" w:name="_Toc38438783"/>
      <w:bookmarkStart w:id="3765" w:name="_Toc38439120"/>
      <w:bookmarkStart w:id="3766" w:name="_Toc38439457"/>
      <w:bookmarkStart w:id="3767" w:name="_Toc38439794"/>
      <w:bookmarkStart w:id="3768" w:name="_Toc38440131"/>
      <w:bookmarkStart w:id="3769" w:name="_Toc38440468"/>
      <w:bookmarkStart w:id="3770" w:name="_Toc38441000"/>
      <w:bookmarkStart w:id="3771" w:name="_Toc38441332"/>
      <w:bookmarkStart w:id="3772" w:name="_Toc38441664"/>
      <w:bookmarkStart w:id="3773" w:name="_Toc38441992"/>
      <w:bookmarkStart w:id="3774" w:name="_Toc38442324"/>
      <w:bookmarkStart w:id="3775" w:name="_Toc38442656"/>
      <w:bookmarkStart w:id="3776" w:name="_Toc38442987"/>
      <w:bookmarkStart w:id="3777" w:name="_Toc38443318"/>
      <w:bookmarkStart w:id="3778" w:name="_Toc38443649"/>
      <w:bookmarkStart w:id="3779" w:name="_Toc38443979"/>
      <w:bookmarkStart w:id="3780" w:name="_Toc38438447"/>
      <w:bookmarkStart w:id="3781" w:name="_Toc38438784"/>
      <w:bookmarkStart w:id="3782" w:name="_Toc38439121"/>
      <w:bookmarkStart w:id="3783" w:name="_Toc38439458"/>
      <w:bookmarkStart w:id="3784" w:name="_Toc38439795"/>
      <w:bookmarkStart w:id="3785" w:name="_Toc38440132"/>
      <w:bookmarkStart w:id="3786" w:name="_Toc38440469"/>
      <w:bookmarkStart w:id="3787" w:name="_Toc38441001"/>
      <w:bookmarkStart w:id="3788" w:name="_Toc38441333"/>
      <w:bookmarkStart w:id="3789" w:name="_Toc38441665"/>
      <w:bookmarkStart w:id="3790" w:name="_Toc38441993"/>
      <w:bookmarkStart w:id="3791" w:name="_Toc38442325"/>
      <w:bookmarkStart w:id="3792" w:name="_Toc38442657"/>
      <w:bookmarkStart w:id="3793" w:name="_Toc38442988"/>
      <w:bookmarkStart w:id="3794" w:name="_Toc38443319"/>
      <w:bookmarkStart w:id="3795" w:name="_Toc38443650"/>
      <w:bookmarkStart w:id="3796" w:name="_Toc38443980"/>
      <w:bookmarkStart w:id="3797" w:name="_Toc38438448"/>
      <w:bookmarkStart w:id="3798" w:name="_Toc38438785"/>
      <w:bookmarkStart w:id="3799" w:name="_Toc38439122"/>
      <w:bookmarkStart w:id="3800" w:name="_Toc38439459"/>
      <w:bookmarkStart w:id="3801" w:name="_Toc38439796"/>
      <w:bookmarkStart w:id="3802" w:name="_Toc38440133"/>
      <w:bookmarkStart w:id="3803" w:name="_Toc38440470"/>
      <w:bookmarkStart w:id="3804" w:name="_Toc38441002"/>
      <w:bookmarkStart w:id="3805" w:name="_Toc38441334"/>
      <w:bookmarkStart w:id="3806" w:name="_Toc38441666"/>
      <w:bookmarkStart w:id="3807" w:name="_Toc38441994"/>
      <w:bookmarkStart w:id="3808" w:name="_Toc38442326"/>
      <w:bookmarkStart w:id="3809" w:name="_Toc38442658"/>
      <w:bookmarkStart w:id="3810" w:name="_Toc38442989"/>
      <w:bookmarkStart w:id="3811" w:name="_Toc38443320"/>
      <w:bookmarkStart w:id="3812" w:name="_Toc38443651"/>
      <w:bookmarkStart w:id="3813" w:name="_Toc38443981"/>
      <w:bookmarkStart w:id="3814" w:name="_Toc38438449"/>
      <w:bookmarkStart w:id="3815" w:name="_Toc38438786"/>
      <w:bookmarkStart w:id="3816" w:name="_Toc38439123"/>
      <w:bookmarkStart w:id="3817" w:name="_Toc38439460"/>
      <w:bookmarkStart w:id="3818" w:name="_Toc38439797"/>
      <w:bookmarkStart w:id="3819" w:name="_Toc38440134"/>
      <w:bookmarkStart w:id="3820" w:name="_Toc38440471"/>
      <w:bookmarkStart w:id="3821" w:name="_Toc38441003"/>
      <w:bookmarkStart w:id="3822" w:name="_Toc38441335"/>
      <w:bookmarkStart w:id="3823" w:name="_Toc38441667"/>
      <w:bookmarkStart w:id="3824" w:name="_Toc38441995"/>
      <w:bookmarkStart w:id="3825" w:name="_Toc38442327"/>
      <w:bookmarkStart w:id="3826" w:name="_Toc38442659"/>
      <w:bookmarkStart w:id="3827" w:name="_Toc38442990"/>
      <w:bookmarkStart w:id="3828" w:name="_Toc38443321"/>
      <w:bookmarkStart w:id="3829" w:name="_Toc38443652"/>
      <w:bookmarkStart w:id="3830" w:name="_Toc38443982"/>
      <w:bookmarkStart w:id="3831" w:name="_Toc38438450"/>
      <w:bookmarkStart w:id="3832" w:name="_Toc38438787"/>
      <w:bookmarkStart w:id="3833" w:name="_Toc38439124"/>
      <w:bookmarkStart w:id="3834" w:name="_Toc38439461"/>
      <w:bookmarkStart w:id="3835" w:name="_Toc38439798"/>
      <w:bookmarkStart w:id="3836" w:name="_Toc38440135"/>
      <w:bookmarkStart w:id="3837" w:name="_Toc38440472"/>
      <w:bookmarkStart w:id="3838" w:name="_Toc38441004"/>
      <w:bookmarkStart w:id="3839" w:name="_Toc38441336"/>
      <w:bookmarkStart w:id="3840" w:name="_Toc38441668"/>
      <w:bookmarkStart w:id="3841" w:name="_Toc38441996"/>
      <w:bookmarkStart w:id="3842" w:name="_Toc38442328"/>
      <w:bookmarkStart w:id="3843" w:name="_Toc38442660"/>
      <w:bookmarkStart w:id="3844" w:name="_Toc38442991"/>
      <w:bookmarkStart w:id="3845" w:name="_Toc38443322"/>
      <w:bookmarkStart w:id="3846" w:name="_Toc38443653"/>
      <w:bookmarkStart w:id="3847" w:name="_Toc38443983"/>
      <w:bookmarkStart w:id="3848" w:name="_Toc38438451"/>
      <w:bookmarkStart w:id="3849" w:name="_Toc38438788"/>
      <w:bookmarkStart w:id="3850" w:name="_Toc38439125"/>
      <w:bookmarkStart w:id="3851" w:name="_Toc38439462"/>
      <w:bookmarkStart w:id="3852" w:name="_Toc38439799"/>
      <w:bookmarkStart w:id="3853" w:name="_Toc38440136"/>
      <w:bookmarkStart w:id="3854" w:name="_Toc38440473"/>
      <w:bookmarkStart w:id="3855" w:name="_Toc38441005"/>
      <w:bookmarkStart w:id="3856" w:name="_Toc38441337"/>
      <w:bookmarkStart w:id="3857" w:name="_Toc38441669"/>
      <w:bookmarkStart w:id="3858" w:name="_Toc38441997"/>
      <w:bookmarkStart w:id="3859" w:name="_Toc38442329"/>
      <w:bookmarkStart w:id="3860" w:name="_Toc38442661"/>
      <w:bookmarkStart w:id="3861" w:name="_Toc38442992"/>
      <w:bookmarkStart w:id="3862" w:name="_Toc38443323"/>
      <w:bookmarkStart w:id="3863" w:name="_Toc38443654"/>
      <w:bookmarkStart w:id="3864" w:name="_Toc38443984"/>
      <w:bookmarkStart w:id="3865" w:name="_Toc38438452"/>
      <w:bookmarkStart w:id="3866" w:name="_Toc38438789"/>
      <w:bookmarkStart w:id="3867" w:name="_Toc38439126"/>
      <w:bookmarkStart w:id="3868" w:name="_Toc38439463"/>
      <w:bookmarkStart w:id="3869" w:name="_Toc38439800"/>
      <w:bookmarkStart w:id="3870" w:name="_Toc38440137"/>
      <w:bookmarkStart w:id="3871" w:name="_Toc38440474"/>
      <w:bookmarkStart w:id="3872" w:name="_Toc38441006"/>
      <w:bookmarkStart w:id="3873" w:name="_Toc38441338"/>
      <w:bookmarkStart w:id="3874" w:name="_Toc38441670"/>
      <w:bookmarkStart w:id="3875" w:name="_Toc38441998"/>
      <w:bookmarkStart w:id="3876" w:name="_Toc38442330"/>
      <w:bookmarkStart w:id="3877" w:name="_Toc38442662"/>
      <w:bookmarkStart w:id="3878" w:name="_Toc38442993"/>
      <w:bookmarkStart w:id="3879" w:name="_Toc38443324"/>
      <w:bookmarkStart w:id="3880" w:name="_Toc38443655"/>
      <w:bookmarkStart w:id="3881" w:name="_Toc38443985"/>
      <w:bookmarkStart w:id="3882" w:name="_Toc38438453"/>
      <w:bookmarkStart w:id="3883" w:name="_Toc38438790"/>
      <w:bookmarkStart w:id="3884" w:name="_Toc38439127"/>
      <w:bookmarkStart w:id="3885" w:name="_Toc38439464"/>
      <w:bookmarkStart w:id="3886" w:name="_Toc38439801"/>
      <w:bookmarkStart w:id="3887" w:name="_Toc38440138"/>
      <w:bookmarkStart w:id="3888" w:name="_Toc38440475"/>
      <w:bookmarkStart w:id="3889" w:name="_Toc38441007"/>
      <w:bookmarkStart w:id="3890" w:name="_Toc38441339"/>
      <w:bookmarkStart w:id="3891" w:name="_Toc38441671"/>
      <w:bookmarkStart w:id="3892" w:name="_Toc38441999"/>
      <w:bookmarkStart w:id="3893" w:name="_Toc38442331"/>
      <w:bookmarkStart w:id="3894" w:name="_Toc38442663"/>
      <w:bookmarkStart w:id="3895" w:name="_Toc38442994"/>
      <w:bookmarkStart w:id="3896" w:name="_Toc38443325"/>
      <w:bookmarkStart w:id="3897" w:name="_Toc38443656"/>
      <w:bookmarkStart w:id="3898" w:name="_Toc38443986"/>
      <w:bookmarkStart w:id="3899" w:name="_Toc38438454"/>
      <w:bookmarkStart w:id="3900" w:name="_Toc38438791"/>
      <w:bookmarkStart w:id="3901" w:name="_Toc38439128"/>
      <w:bookmarkStart w:id="3902" w:name="_Toc38439465"/>
      <w:bookmarkStart w:id="3903" w:name="_Toc38439802"/>
      <w:bookmarkStart w:id="3904" w:name="_Toc38440139"/>
      <w:bookmarkStart w:id="3905" w:name="_Toc38440476"/>
      <w:bookmarkStart w:id="3906" w:name="_Toc38441008"/>
      <w:bookmarkStart w:id="3907" w:name="_Toc38441340"/>
      <w:bookmarkStart w:id="3908" w:name="_Toc38441672"/>
      <w:bookmarkStart w:id="3909" w:name="_Toc38442000"/>
      <w:bookmarkStart w:id="3910" w:name="_Toc38442332"/>
      <w:bookmarkStart w:id="3911" w:name="_Toc38442664"/>
      <w:bookmarkStart w:id="3912" w:name="_Toc38442995"/>
      <w:bookmarkStart w:id="3913" w:name="_Toc38443326"/>
      <w:bookmarkStart w:id="3914" w:name="_Toc38443657"/>
      <w:bookmarkStart w:id="3915" w:name="_Toc38443987"/>
      <w:bookmarkStart w:id="3916" w:name="_Toc38438455"/>
      <w:bookmarkStart w:id="3917" w:name="_Toc38438792"/>
      <w:bookmarkStart w:id="3918" w:name="_Toc38439129"/>
      <w:bookmarkStart w:id="3919" w:name="_Toc38439466"/>
      <w:bookmarkStart w:id="3920" w:name="_Toc38439803"/>
      <w:bookmarkStart w:id="3921" w:name="_Toc38440140"/>
      <w:bookmarkStart w:id="3922" w:name="_Toc38440477"/>
      <w:bookmarkStart w:id="3923" w:name="_Toc38441009"/>
      <w:bookmarkStart w:id="3924" w:name="_Toc38441341"/>
      <w:bookmarkStart w:id="3925" w:name="_Toc38441673"/>
      <w:bookmarkStart w:id="3926" w:name="_Toc38442001"/>
      <w:bookmarkStart w:id="3927" w:name="_Toc38442333"/>
      <w:bookmarkStart w:id="3928" w:name="_Toc38442665"/>
      <w:bookmarkStart w:id="3929" w:name="_Toc38442996"/>
      <w:bookmarkStart w:id="3930" w:name="_Toc38443327"/>
      <w:bookmarkStart w:id="3931" w:name="_Toc38443658"/>
      <w:bookmarkStart w:id="3932" w:name="_Toc38443988"/>
      <w:bookmarkStart w:id="3933" w:name="_Toc38438456"/>
      <w:bookmarkStart w:id="3934" w:name="_Toc38438793"/>
      <w:bookmarkStart w:id="3935" w:name="_Toc38439130"/>
      <w:bookmarkStart w:id="3936" w:name="_Toc38439467"/>
      <w:bookmarkStart w:id="3937" w:name="_Toc38439804"/>
      <w:bookmarkStart w:id="3938" w:name="_Toc38440141"/>
      <w:bookmarkStart w:id="3939" w:name="_Toc38440478"/>
      <w:bookmarkStart w:id="3940" w:name="_Toc38441010"/>
      <w:bookmarkStart w:id="3941" w:name="_Toc38441342"/>
      <w:bookmarkStart w:id="3942" w:name="_Toc38441674"/>
      <w:bookmarkStart w:id="3943" w:name="_Toc38442002"/>
      <w:bookmarkStart w:id="3944" w:name="_Toc38442334"/>
      <w:bookmarkStart w:id="3945" w:name="_Toc38442666"/>
      <w:bookmarkStart w:id="3946" w:name="_Toc38442997"/>
      <w:bookmarkStart w:id="3947" w:name="_Toc38443328"/>
      <w:bookmarkStart w:id="3948" w:name="_Toc38443659"/>
      <w:bookmarkStart w:id="3949" w:name="_Toc38443989"/>
      <w:bookmarkStart w:id="3950" w:name="_Toc38438457"/>
      <w:bookmarkStart w:id="3951" w:name="_Toc38438794"/>
      <w:bookmarkStart w:id="3952" w:name="_Toc38439131"/>
      <w:bookmarkStart w:id="3953" w:name="_Toc38439468"/>
      <w:bookmarkStart w:id="3954" w:name="_Toc38439805"/>
      <w:bookmarkStart w:id="3955" w:name="_Toc38440142"/>
      <w:bookmarkStart w:id="3956" w:name="_Toc38440479"/>
      <w:bookmarkStart w:id="3957" w:name="_Toc38441011"/>
      <w:bookmarkStart w:id="3958" w:name="_Toc38441343"/>
      <w:bookmarkStart w:id="3959" w:name="_Toc38441675"/>
      <w:bookmarkStart w:id="3960" w:name="_Toc38442003"/>
      <w:bookmarkStart w:id="3961" w:name="_Toc38442335"/>
      <w:bookmarkStart w:id="3962" w:name="_Toc38442667"/>
      <w:bookmarkStart w:id="3963" w:name="_Toc38442998"/>
      <w:bookmarkStart w:id="3964" w:name="_Toc38443329"/>
      <w:bookmarkStart w:id="3965" w:name="_Toc38443660"/>
      <w:bookmarkStart w:id="3966" w:name="_Toc38443990"/>
      <w:bookmarkStart w:id="3967" w:name="_Toc38438458"/>
      <w:bookmarkStart w:id="3968" w:name="_Toc38438795"/>
      <w:bookmarkStart w:id="3969" w:name="_Toc38439132"/>
      <w:bookmarkStart w:id="3970" w:name="_Toc38439469"/>
      <w:bookmarkStart w:id="3971" w:name="_Toc38439806"/>
      <w:bookmarkStart w:id="3972" w:name="_Toc38440143"/>
      <w:bookmarkStart w:id="3973" w:name="_Toc38440480"/>
      <w:bookmarkStart w:id="3974" w:name="_Toc38441012"/>
      <w:bookmarkStart w:id="3975" w:name="_Toc38441344"/>
      <w:bookmarkStart w:id="3976" w:name="_Toc38441676"/>
      <w:bookmarkStart w:id="3977" w:name="_Toc38442004"/>
      <w:bookmarkStart w:id="3978" w:name="_Toc38442336"/>
      <w:bookmarkStart w:id="3979" w:name="_Toc38442668"/>
      <w:bookmarkStart w:id="3980" w:name="_Toc38442999"/>
      <w:bookmarkStart w:id="3981" w:name="_Toc38443330"/>
      <w:bookmarkStart w:id="3982" w:name="_Toc38443661"/>
      <w:bookmarkStart w:id="3983" w:name="_Toc38443991"/>
      <w:bookmarkStart w:id="3984" w:name="_Toc92774769"/>
      <w:bookmarkStart w:id="3985" w:name="_Toc30161835"/>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r w:rsidRPr="00456512">
        <w:rPr>
          <w:rFonts w:asciiTheme="minorEastAsia" w:eastAsiaTheme="minorEastAsia" w:hAnsiTheme="minorEastAsia" w:hint="eastAsia"/>
          <w:b/>
          <w:bCs/>
        </w:rPr>
        <w:lastRenderedPageBreak/>
        <w:t>二十三、备查文件</w:t>
      </w:r>
      <w:bookmarkEnd w:id="3984"/>
      <w:bookmarkEnd w:id="3985"/>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1、</w:t>
      </w:r>
      <w:r w:rsidR="001D2E2F" w:rsidRPr="00456512">
        <w:rPr>
          <w:rFonts w:asciiTheme="minorEastAsia" w:eastAsiaTheme="minorEastAsia" w:hAnsiTheme="minorEastAsia" w:hint="eastAsia"/>
        </w:rPr>
        <w:t>中国证监会批准易方达积极成长证券投资基金设立的文件；</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2、</w:t>
      </w:r>
      <w:r w:rsidR="001D2E2F" w:rsidRPr="00456512">
        <w:rPr>
          <w:rFonts w:asciiTheme="minorEastAsia" w:eastAsiaTheme="minorEastAsia" w:hAnsiTheme="minorEastAsia" w:hint="eastAsia"/>
        </w:rPr>
        <w:t>《易方达积极成长证券投资基金基金合同》；</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3、</w:t>
      </w:r>
      <w:r w:rsidR="001D2E2F" w:rsidRPr="00456512">
        <w:rPr>
          <w:rFonts w:asciiTheme="minorEastAsia" w:eastAsiaTheme="minorEastAsia" w:hAnsiTheme="minorEastAsia" w:hint="eastAsia"/>
        </w:rPr>
        <w:t>《易方达积极成长证券投资基金托管协议》；</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4、</w:t>
      </w:r>
      <w:r w:rsidR="001D2E2F" w:rsidRPr="00456512">
        <w:rPr>
          <w:rFonts w:asciiTheme="minorEastAsia" w:eastAsiaTheme="minorEastAsia" w:hAnsiTheme="minorEastAsia" w:hint="eastAsia"/>
        </w:rPr>
        <w:t>《易方达基金管理有限公司开放式基金业务规则》；</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5、</w:t>
      </w:r>
      <w:r w:rsidR="001D2E2F" w:rsidRPr="00456512">
        <w:rPr>
          <w:rFonts w:asciiTheme="minorEastAsia" w:eastAsiaTheme="minorEastAsia" w:hAnsiTheme="minorEastAsia" w:hint="eastAsia"/>
        </w:rPr>
        <w:t>法律意见书；</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6、</w:t>
      </w:r>
      <w:r w:rsidR="001D2E2F" w:rsidRPr="00456512">
        <w:rPr>
          <w:rFonts w:asciiTheme="minorEastAsia" w:eastAsiaTheme="minorEastAsia" w:hAnsiTheme="minorEastAsia" w:hint="eastAsia"/>
        </w:rPr>
        <w:t>基金管理人业务资格批件和营业执照；</w:t>
      </w:r>
    </w:p>
    <w:p w:rsidR="001D2E2F" w:rsidRPr="00456512" w:rsidRDefault="00D759DD" w:rsidP="00D759DD">
      <w:pPr>
        <w:snapToGrid w:val="0"/>
        <w:spacing w:line="360" w:lineRule="auto"/>
        <w:ind w:firstLine="480"/>
        <w:rPr>
          <w:rFonts w:asciiTheme="minorEastAsia" w:eastAsiaTheme="minorEastAsia" w:hAnsiTheme="minorEastAsia"/>
        </w:rPr>
      </w:pPr>
      <w:r w:rsidRPr="00456512">
        <w:rPr>
          <w:rFonts w:asciiTheme="minorEastAsia" w:eastAsiaTheme="minorEastAsia" w:hAnsiTheme="minorEastAsia" w:hint="eastAsia"/>
        </w:rPr>
        <w:t>7、</w:t>
      </w:r>
      <w:r w:rsidR="001D2E2F" w:rsidRPr="00456512">
        <w:rPr>
          <w:rFonts w:asciiTheme="minorEastAsia" w:eastAsiaTheme="minorEastAsia" w:hAnsiTheme="minorEastAsia" w:hint="eastAsia"/>
        </w:rPr>
        <w:t>基金托管人业务资格批件和营业执照。</w:t>
      </w:r>
    </w:p>
    <w:p w:rsidR="001D2E2F" w:rsidRPr="00456512" w:rsidRDefault="001D2E2F" w:rsidP="00084917">
      <w:pPr>
        <w:snapToGrid w:val="0"/>
        <w:spacing w:line="360" w:lineRule="auto"/>
        <w:ind w:firstLine="420"/>
        <w:rPr>
          <w:rFonts w:asciiTheme="minorEastAsia" w:eastAsiaTheme="minorEastAsia" w:hAnsiTheme="minorEastAsia"/>
        </w:rPr>
      </w:pPr>
      <w:r w:rsidRPr="00456512">
        <w:rPr>
          <w:rFonts w:asciiTheme="minorEastAsia" w:eastAsiaTheme="minorEastAsia" w:hAnsiTheme="minorEastAsia" w:hint="eastAsia"/>
        </w:rPr>
        <w:t>存放地点：基金管理人、基金托管人处</w:t>
      </w:r>
    </w:p>
    <w:p w:rsidR="001D2E2F" w:rsidRPr="00456512" w:rsidRDefault="001D2E2F" w:rsidP="00084917">
      <w:pPr>
        <w:snapToGrid w:val="0"/>
        <w:spacing w:line="360" w:lineRule="auto"/>
        <w:ind w:firstLineChars="200" w:firstLine="420"/>
        <w:rPr>
          <w:rFonts w:asciiTheme="minorEastAsia" w:eastAsiaTheme="minorEastAsia" w:hAnsiTheme="minorEastAsia"/>
          <w:szCs w:val="21"/>
        </w:rPr>
      </w:pPr>
      <w:r w:rsidRPr="00456512">
        <w:rPr>
          <w:rFonts w:asciiTheme="minorEastAsia" w:eastAsiaTheme="minorEastAsia" w:hAnsiTheme="minorEastAsia" w:hint="eastAsia"/>
        </w:rPr>
        <w:t>查阅方式：投资者可在营业时间免费查阅，也可按工本费购买复印件。</w:t>
      </w:r>
    </w:p>
    <w:p w:rsidR="001D2E2F" w:rsidRPr="00456512" w:rsidRDefault="001D2E2F" w:rsidP="00084917">
      <w:pPr>
        <w:snapToGrid w:val="0"/>
        <w:spacing w:line="360" w:lineRule="auto"/>
        <w:ind w:left="480"/>
        <w:rPr>
          <w:rFonts w:asciiTheme="minorEastAsia" w:eastAsiaTheme="minorEastAsia" w:hAnsiTheme="minorEastAsia"/>
          <w:szCs w:val="21"/>
        </w:rPr>
      </w:pPr>
    </w:p>
    <w:p w:rsidR="00DB03C6" w:rsidRPr="00456512" w:rsidRDefault="00DB03C6" w:rsidP="00084917">
      <w:pPr>
        <w:snapToGrid w:val="0"/>
        <w:spacing w:line="360" w:lineRule="auto"/>
        <w:ind w:left="480"/>
        <w:rPr>
          <w:rFonts w:asciiTheme="minorEastAsia" w:eastAsiaTheme="minorEastAsia" w:hAnsiTheme="minorEastAsia"/>
          <w:szCs w:val="21"/>
        </w:rPr>
      </w:pPr>
    </w:p>
    <w:p w:rsidR="001D2E2F" w:rsidRPr="00456512" w:rsidRDefault="004B076D" w:rsidP="00084917">
      <w:pPr>
        <w:snapToGrid w:val="0"/>
        <w:spacing w:line="360" w:lineRule="auto"/>
        <w:ind w:left="360"/>
        <w:jc w:val="right"/>
        <w:rPr>
          <w:rFonts w:asciiTheme="minorEastAsia" w:eastAsiaTheme="minorEastAsia" w:hAnsiTheme="minorEastAsia"/>
        </w:rPr>
      </w:pPr>
      <w:r w:rsidRPr="00456512">
        <w:rPr>
          <w:rFonts w:asciiTheme="minorEastAsia" w:eastAsiaTheme="minorEastAsia" w:hAnsiTheme="minorEastAsia" w:hint="eastAsia"/>
        </w:rPr>
        <w:t>易方达基金管理有限公司</w:t>
      </w:r>
    </w:p>
    <w:p w:rsidR="001619D4" w:rsidRPr="00456512" w:rsidRDefault="00083CDE" w:rsidP="00084917">
      <w:pPr>
        <w:snapToGrid w:val="0"/>
        <w:spacing w:line="360" w:lineRule="auto"/>
        <w:ind w:right="315"/>
        <w:jc w:val="right"/>
        <w:rPr>
          <w:rFonts w:asciiTheme="minorEastAsia" w:eastAsiaTheme="minorEastAsia" w:hAnsiTheme="minorEastAsia"/>
        </w:rPr>
      </w:pPr>
      <w:bookmarkStart w:id="3986" w:name="_PictureBullets"/>
      <w:bookmarkEnd w:id="3986"/>
      <w:r w:rsidRPr="00456512">
        <w:rPr>
          <w:rFonts w:asciiTheme="minorEastAsia" w:eastAsiaTheme="minorEastAsia" w:hAnsiTheme="minorEastAsia"/>
        </w:rPr>
        <w:t>2020年</w:t>
      </w:r>
      <w:r w:rsidR="00E26FDB" w:rsidRPr="00456512">
        <w:rPr>
          <w:rFonts w:asciiTheme="minorEastAsia" w:eastAsiaTheme="minorEastAsia" w:hAnsiTheme="minorEastAsia"/>
        </w:rPr>
        <w:t>7</w:t>
      </w:r>
      <w:r w:rsidRPr="00456512">
        <w:rPr>
          <w:rFonts w:asciiTheme="minorEastAsia" w:eastAsiaTheme="minorEastAsia" w:hAnsiTheme="minorEastAsia"/>
        </w:rPr>
        <w:t>月</w:t>
      </w:r>
      <w:r w:rsidR="00960F82" w:rsidRPr="00456512">
        <w:rPr>
          <w:rFonts w:asciiTheme="minorEastAsia" w:eastAsiaTheme="minorEastAsia" w:hAnsiTheme="minorEastAsia"/>
        </w:rPr>
        <w:t>1</w:t>
      </w:r>
      <w:r w:rsidR="00E26FDB" w:rsidRPr="00456512">
        <w:rPr>
          <w:rFonts w:asciiTheme="minorEastAsia" w:eastAsiaTheme="minorEastAsia" w:hAnsiTheme="minorEastAsia"/>
        </w:rPr>
        <w:t>5</w:t>
      </w:r>
      <w:r w:rsidRPr="00456512">
        <w:rPr>
          <w:rFonts w:asciiTheme="minorEastAsia" w:eastAsiaTheme="minorEastAsia" w:hAnsiTheme="minorEastAsia"/>
        </w:rPr>
        <w:t>日</w:t>
      </w:r>
    </w:p>
    <w:sectPr w:rsidR="001619D4" w:rsidRPr="00456512" w:rsidSect="005E306A">
      <w:pgSz w:w="11906" w:h="16838" w:code="9"/>
      <w:pgMar w:top="1440" w:right="1800" w:bottom="1440" w:left="1800" w:header="851" w:footer="992" w:gutter="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E8" w:rsidRDefault="00A37DE8" w:rsidP="00C72900">
      <w:r>
        <w:separator/>
      </w:r>
    </w:p>
  </w:endnote>
  <w:endnote w:type="continuationSeparator" w:id="0">
    <w:p w:rsidR="00A37DE8" w:rsidRDefault="00A37DE8" w:rsidP="00C7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framePr w:wrap="around" w:vAnchor="text" w:hAnchor="margin" w:xAlign="center" w:y="1"/>
      <w:ind w:firstLine="360"/>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FF100F" w:rsidRDefault="00FF100F">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ind w:firstLineChars="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framePr w:wrap="around" w:vAnchor="text" w:hAnchor="margin" w:xAlign="center" w:y="1"/>
      <w:ind w:firstLine="360"/>
      <w:rPr>
        <w:rStyle w:val="ab"/>
      </w:rPr>
    </w:pPr>
    <w:r>
      <w:rPr>
        <w:rStyle w:val="ab"/>
      </w:rPr>
      <w:fldChar w:fldCharType="begin"/>
    </w:r>
    <w:r>
      <w:rPr>
        <w:rStyle w:val="ab"/>
      </w:rPr>
      <w:instrText xml:space="preserve">PAGE  </w:instrText>
    </w:r>
    <w:r>
      <w:rPr>
        <w:rStyle w:val="ab"/>
      </w:rPr>
      <w:fldChar w:fldCharType="separate"/>
    </w:r>
    <w:r w:rsidR="00274C8B">
      <w:rPr>
        <w:rStyle w:val="ab"/>
        <w:noProof/>
      </w:rPr>
      <w:t>135</w:t>
    </w:r>
    <w:r>
      <w:rPr>
        <w:rStyle w:val="ab"/>
      </w:rPr>
      <w:fldChar w:fldCharType="end"/>
    </w:r>
  </w:p>
  <w:p w:rsidR="00FF100F" w:rsidRDefault="00FF100F">
    <w:pPr>
      <w:pStyle w:val="ac"/>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c"/>
      <w:ind w:firstLineChars="0" w:firstLine="0"/>
      <w:jc w:val="center"/>
    </w:pPr>
    <w:r>
      <w:rPr>
        <w:rStyle w:val="ab"/>
      </w:rPr>
      <w:fldChar w:fldCharType="begin"/>
    </w:r>
    <w:r>
      <w:rPr>
        <w:rStyle w:val="ab"/>
      </w:rPr>
      <w:instrText xml:space="preserve"> PAGE </w:instrText>
    </w:r>
    <w:r>
      <w:rPr>
        <w:rStyle w:val="ab"/>
      </w:rPr>
      <w:fldChar w:fldCharType="separate"/>
    </w:r>
    <w:r w:rsidR="00274C8B">
      <w:rPr>
        <w:rStyle w:val="ab"/>
        <w:noProof/>
      </w:rPr>
      <w:t>136</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E8" w:rsidRDefault="00A37DE8" w:rsidP="00C72900">
      <w:r>
        <w:separator/>
      </w:r>
    </w:p>
  </w:footnote>
  <w:footnote w:type="continuationSeparator" w:id="0">
    <w:p w:rsidR="00A37DE8" w:rsidRDefault="00A37DE8" w:rsidP="00C7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Default="00FF100F">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Pr="00626469" w:rsidRDefault="00FF100F" w:rsidP="001F7A85">
    <w:pPr>
      <w:pStyle w:val="aa"/>
      <w:pBdr>
        <w:bottom w:val="none" w:sz="0" w:space="0" w:color="auto"/>
      </w:pBdr>
      <w:ind w:firstLineChars="0" w:firstLine="0"/>
      <w:jc w:val="both"/>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0F" w:rsidRPr="00626469" w:rsidRDefault="00FF100F" w:rsidP="001F7A85">
    <w:pPr>
      <w:pStyle w:val="aa"/>
      <w:pBdr>
        <w:bottom w:val="none" w:sz="0" w:space="0" w:color="auto"/>
      </w:pBdr>
      <w:ind w:firstLineChars="0" w:firstLine="0"/>
      <w:jc w:val="both"/>
      <w:rPr>
        <w:rFonts w:ascii="宋体" w:eastAsia="宋体" w:hAnsi="宋体"/>
      </w:rPr>
    </w:pPr>
  </w:p>
  <w:p w:rsidR="00FF100F" w:rsidRPr="0037562B" w:rsidRDefault="00FF100F" w:rsidP="00796CD9">
    <w:pPr>
      <w:pStyle w:val="aa"/>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41B6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70587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342E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112C2A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FB20F7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AF2F03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040581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94857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DA0B2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9EEE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AD2D3E"/>
    <w:multiLevelType w:val="singleLevel"/>
    <w:tmpl w:val="3FC4C67E"/>
    <w:lvl w:ilvl="0">
      <w:start w:val="1"/>
      <w:numFmt w:val="decimal"/>
      <w:lvlText w:val="(%1)"/>
      <w:lvlJc w:val="left"/>
      <w:pPr>
        <w:ind w:left="420" w:hanging="420"/>
      </w:pPr>
      <w:rPr>
        <w:rFonts w:hint="default"/>
        <w:b w:val="0"/>
        <w:i w:val="0"/>
        <w:sz w:val="21"/>
      </w:rPr>
    </w:lvl>
  </w:abstractNum>
  <w:abstractNum w:abstractNumId="11" w15:restartNumberingAfterBreak="0">
    <w:nsid w:val="108C078C"/>
    <w:multiLevelType w:val="hybridMultilevel"/>
    <w:tmpl w:val="8FB0D388"/>
    <w:lvl w:ilvl="0" w:tplc="3FC4C67E">
      <w:start w:val="1"/>
      <w:numFmt w:val="decimal"/>
      <w:lvlText w:val="(%1)"/>
      <w:lvlJc w:val="left"/>
      <w:pPr>
        <w:tabs>
          <w:tab w:val="num" w:pos="900"/>
        </w:tabs>
        <w:ind w:left="900" w:hanging="420"/>
      </w:pPr>
      <w:rPr>
        <w:rFonts w:hint="default"/>
        <w:b w:val="0"/>
        <w:i w:val="0"/>
        <w:sz w:val="21"/>
      </w:rPr>
    </w:lvl>
    <w:lvl w:ilvl="1" w:tplc="3FC4C67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18A81F74"/>
    <w:multiLevelType w:val="hybridMultilevel"/>
    <w:tmpl w:val="C040CD3A"/>
    <w:lvl w:ilvl="0" w:tplc="CB66A624">
      <w:start w:val="1"/>
      <w:numFmt w:val="decimal"/>
      <w:lvlText w:val="(%1)"/>
      <w:lvlJc w:val="left"/>
      <w:pPr>
        <w:tabs>
          <w:tab w:val="num" w:pos="1380"/>
        </w:tabs>
        <w:ind w:left="1380" w:hanging="420"/>
      </w:pPr>
      <w:rPr>
        <w:rFonts w:hint="eastAsia"/>
      </w:rPr>
    </w:lvl>
    <w:lvl w:ilvl="1" w:tplc="39803D94">
      <w:start w:val="1"/>
      <w:numFmt w:val="decimal"/>
      <w:lvlText w:val="（%2）"/>
      <w:lvlJc w:val="left"/>
      <w:pPr>
        <w:tabs>
          <w:tab w:val="num" w:pos="1620"/>
        </w:tabs>
        <w:ind w:left="480" w:firstLine="4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19CF4CF9"/>
    <w:multiLevelType w:val="hybridMultilevel"/>
    <w:tmpl w:val="4C7EE49C"/>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BF11592"/>
    <w:multiLevelType w:val="hybridMultilevel"/>
    <w:tmpl w:val="E012977A"/>
    <w:lvl w:ilvl="0" w:tplc="91140FD0">
      <w:start w:val="1"/>
      <w:numFmt w:val="chineseCountingThousand"/>
      <w:lvlText w:val="(%1)"/>
      <w:lvlJc w:val="left"/>
      <w:pPr>
        <w:tabs>
          <w:tab w:val="num" w:pos="780"/>
        </w:tabs>
        <w:ind w:left="136" w:firstLine="284"/>
      </w:pPr>
      <w:rPr>
        <w:rFonts w:hint="eastAsia"/>
        <w:b/>
        <w:i w:val="0"/>
        <w:sz w:val="21"/>
        <w:szCs w:val="21"/>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6" w15:restartNumberingAfterBreak="0">
    <w:nsid w:val="23693406"/>
    <w:multiLevelType w:val="hybridMultilevel"/>
    <w:tmpl w:val="7470810C"/>
    <w:lvl w:ilvl="0" w:tplc="5CEADD54">
      <w:start w:val="1"/>
      <w:numFmt w:val="japaneseCounting"/>
      <w:lvlText w:val="%1、"/>
      <w:lvlJc w:val="left"/>
      <w:pPr>
        <w:tabs>
          <w:tab w:val="num" w:pos="12"/>
        </w:tabs>
        <w:ind w:left="12" w:hanging="720"/>
      </w:pPr>
      <w:rPr>
        <w:rFonts w:hint="default"/>
      </w:rPr>
    </w:lvl>
    <w:lvl w:ilvl="1" w:tplc="8FCC12C6">
      <w:start w:val="1"/>
      <w:numFmt w:val="japaneseCounting"/>
      <w:lvlText w:val="（%2）"/>
      <w:lvlJc w:val="left"/>
      <w:pPr>
        <w:tabs>
          <w:tab w:val="num" w:pos="567"/>
        </w:tabs>
        <w:ind w:left="567" w:hanging="855"/>
      </w:pPr>
      <w:rPr>
        <w:rFonts w:hint="default"/>
      </w:rPr>
    </w:lvl>
    <w:lvl w:ilvl="2" w:tplc="0409001B">
      <w:start w:val="1"/>
      <w:numFmt w:val="lowerRoman"/>
      <w:lvlText w:val="%3."/>
      <w:lvlJc w:val="right"/>
      <w:pPr>
        <w:tabs>
          <w:tab w:val="num" w:pos="552"/>
        </w:tabs>
        <w:ind w:left="552" w:hanging="420"/>
      </w:pPr>
    </w:lvl>
    <w:lvl w:ilvl="3" w:tplc="09A0A5DE">
      <w:start w:val="1"/>
      <w:numFmt w:val="decimalEnclosedCircle"/>
      <w:lvlText w:val="%4"/>
      <w:lvlJc w:val="left"/>
      <w:pPr>
        <w:tabs>
          <w:tab w:val="num" w:pos="912"/>
        </w:tabs>
        <w:ind w:left="912" w:hanging="360"/>
      </w:pPr>
      <w:rPr>
        <w:rFonts w:hint="eastAsia"/>
      </w:rPr>
    </w:lvl>
    <w:lvl w:ilvl="4" w:tplc="04090019" w:tentative="1">
      <w:start w:val="1"/>
      <w:numFmt w:val="lowerLetter"/>
      <w:lvlText w:val="%5)"/>
      <w:lvlJc w:val="left"/>
      <w:pPr>
        <w:tabs>
          <w:tab w:val="num" w:pos="1392"/>
        </w:tabs>
        <w:ind w:left="1392" w:hanging="420"/>
      </w:pPr>
    </w:lvl>
    <w:lvl w:ilvl="5" w:tplc="0409001B" w:tentative="1">
      <w:start w:val="1"/>
      <w:numFmt w:val="lowerRoman"/>
      <w:lvlText w:val="%6."/>
      <w:lvlJc w:val="right"/>
      <w:pPr>
        <w:tabs>
          <w:tab w:val="num" w:pos="1812"/>
        </w:tabs>
        <w:ind w:left="1812" w:hanging="420"/>
      </w:pPr>
    </w:lvl>
    <w:lvl w:ilvl="6" w:tplc="0409000F" w:tentative="1">
      <w:start w:val="1"/>
      <w:numFmt w:val="decimal"/>
      <w:lvlText w:val="%7."/>
      <w:lvlJc w:val="left"/>
      <w:pPr>
        <w:tabs>
          <w:tab w:val="num" w:pos="2232"/>
        </w:tabs>
        <w:ind w:left="2232" w:hanging="420"/>
      </w:pPr>
    </w:lvl>
    <w:lvl w:ilvl="7" w:tplc="04090019" w:tentative="1">
      <w:start w:val="1"/>
      <w:numFmt w:val="lowerLetter"/>
      <w:lvlText w:val="%8)"/>
      <w:lvlJc w:val="left"/>
      <w:pPr>
        <w:tabs>
          <w:tab w:val="num" w:pos="2652"/>
        </w:tabs>
        <w:ind w:left="2652" w:hanging="420"/>
      </w:pPr>
    </w:lvl>
    <w:lvl w:ilvl="8" w:tplc="0409001B" w:tentative="1">
      <w:start w:val="1"/>
      <w:numFmt w:val="lowerRoman"/>
      <w:lvlText w:val="%9."/>
      <w:lvlJc w:val="right"/>
      <w:pPr>
        <w:tabs>
          <w:tab w:val="num" w:pos="3072"/>
        </w:tabs>
        <w:ind w:left="3072" w:hanging="420"/>
      </w:pPr>
    </w:lvl>
  </w:abstractNum>
  <w:abstractNum w:abstractNumId="17"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8" w15:restartNumberingAfterBreak="0">
    <w:nsid w:val="251A1BE7"/>
    <w:multiLevelType w:val="hybridMultilevel"/>
    <w:tmpl w:val="549C6A64"/>
    <w:lvl w:ilvl="0" w:tplc="682A70EC">
      <w:start w:val="1"/>
      <w:numFmt w:val="chineseCountingThousand"/>
      <w:lvlText w:val="（%1）"/>
      <w:lvlJc w:val="left"/>
      <w:pPr>
        <w:tabs>
          <w:tab w:val="num" w:pos="114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7B33931"/>
    <w:multiLevelType w:val="hybridMultilevel"/>
    <w:tmpl w:val="A23A28A8"/>
    <w:lvl w:ilvl="0" w:tplc="5D0875D8">
      <w:start w:val="1"/>
      <w:numFmt w:val="chineseCountingThousand"/>
      <w:lvlText w:val="（%1）."/>
      <w:lvlJc w:val="left"/>
      <w:pPr>
        <w:tabs>
          <w:tab w:val="num" w:pos="1140"/>
        </w:tabs>
        <w:ind w:left="0" w:firstLine="420"/>
      </w:pPr>
      <w:rPr>
        <w:rFonts w:hint="eastAsia"/>
      </w:rPr>
    </w:lvl>
    <w:lvl w:ilvl="1" w:tplc="C8DE7F70">
      <w:start w:val="1"/>
      <w:numFmt w:val="decimal"/>
      <w:lvlText w:val="（%2）"/>
      <w:lvlJc w:val="left"/>
      <w:pPr>
        <w:tabs>
          <w:tab w:val="num" w:pos="11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143E80"/>
    <w:multiLevelType w:val="singleLevel"/>
    <w:tmpl w:val="D2907824"/>
    <w:lvl w:ilvl="0">
      <w:start w:val="1"/>
      <w:numFmt w:val="decimal"/>
      <w:pStyle w:val="a1"/>
      <w:lvlText w:val="表%1："/>
      <w:lvlJc w:val="left"/>
      <w:pPr>
        <w:tabs>
          <w:tab w:val="num" w:pos="720"/>
        </w:tabs>
        <w:ind w:left="425" w:hanging="425"/>
      </w:pPr>
      <w:rPr>
        <w:rFonts w:ascii="黑体" w:eastAsia="黑体" w:hint="eastAsia"/>
        <w:sz w:val="24"/>
      </w:rPr>
    </w:lvl>
  </w:abstractNum>
  <w:abstractNum w:abstractNumId="21" w15:restartNumberingAfterBreak="0">
    <w:nsid w:val="36EB266F"/>
    <w:multiLevelType w:val="hybridMultilevel"/>
    <w:tmpl w:val="4B3EED3E"/>
    <w:lvl w:ilvl="0" w:tplc="4F98CAE6">
      <w:start w:val="1"/>
      <w:numFmt w:val="bullet"/>
      <w:pStyle w:val="21"/>
      <w:lvlText w:val=""/>
      <w:lvlJc w:val="left"/>
      <w:pPr>
        <w:tabs>
          <w:tab w:val="num" w:pos="1211"/>
        </w:tabs>
        <w:ind w:left="1191" w:hanging="340"/>
      </w:pPr>
      <w:rPr>
        <w:rFonts w:ascii="Wingdings" w:hAnsi="Wingdings" w:cs="Times New Roman" w:hint="default"/>
        <w:color w:val="000000"/>
      </w:rPr>
    </w:lvl>
    <w:lvl w:ilvl="1" w:tplc="04090003">
      <w:start w:val="1"/>
      <w:numFmt w:val="bullet"/>
      <w:lvlText w:val=""/>
      <w:lvlJc w:val="left"/>
      <w:pPr>
        <w:tabs>
          <w:tab w:val="num" w:pos="840"/>
        </w:tabs>
        <w:ind w:left="840" w:hanging="420"/>
      </w:pPr>
      <w:rPr>
        <w:rFonts w:ascii="Wingdings" w:hAnsi="Wingdings" w:cs="Times New Roman" w:hint="default"/>
      </w:rPr>
    </w:lvl>
    <w:lvl w:ilvl="2" w:tplc="04090005">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3">
      <w:start w:val="1"/>
      <w:numFmt w:val="bullet"/>
      <w:lvlText w:val=""/>
      <w:lvlJc w:val="left"/>
      <w:pPr>
        <w:tabs>
          <w:tab w:val="num" w:pos="2100"/>
        </w:tabs>
        <w:ind w:left="2100" w:hanging="420"/>
      </w:pPr>
      <w:rPr>
        <w:rFonts w:ascii="Wingdings" w:hAnsi="Wingdings" w:cs="Times New Roman" w:hint="default"/>
      </w:rPr>
    </w:lvl>
    <w:lvl w:ilvl="5" w:tplc="04090005">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3">
      <w:start w:val="1"/>
      <w:numFmt w:val="bullet"/>
      <w:lvlText w:val=""/>
      <w:lvlJc w:val="left"/>
      <w:pPr>
        <w:tabs>
          <w:tab w:val="num" w:pos="3360"/>
        </w:tabs>
        <w:ind w:left="3360" w:hanging="420"/>
      </w:pPr>
      <w:rPr>
        <w:rFonts w:ascii="Wingdings" w:hAnsi="Wingdings" w:cs="Times New Roman" w:hint="default"/>
      </w:rPr>
    </w:lvl>
    <w:lvl w:ilvl="8" w:tplc="04090005">
      <w:start w:val="1"/>
      <w:numFmt w:val="bullet"/>
      <w:lvlText w:val=""/>
      <w:lvlJc w:val="left"/>
      <w:pPr>
        <w:tabs>
          <w:tab w:val="num" w:pos="3780"/>
        </w:tabs>
        <w:ind w:left="3780" w:hanging="420"/>
      </w:pPr>
      <w:rPr>
        <w:rFonts w:ascii="Wingdings" w:hAnsi="Wingdings" w:cs="Times New Roman" w:hint="default"/>
      </w:rPr>
    </w:lvl>
  </w:abstractNum>
  <w:abstractNum w:abstractNumId="22" w15:restartNumberingAfterBreak="0">
    <w:nsid w:val="43223798"/>
    <w:multiLevelType w:val="hybridMultilevel"/>
    <w:tmpl w:val="E5FCB83C"/>
    <w:lvl w:ilvl="0" w:tplc="682A70EC">
      <w:start w:val="1"/>
      <w:numFmt w:val="chineseCountingThousand"/>
      <w:lvlText w:val="（%1）"/>
      <w:lvlJc w:val="left"/>
      <w:pPr>
        <w:tabs>
          <w:tab w:val="num" w:pos="114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A3B02E2"/>
    <w:multiLevelType w:val="hybridMultilevel"/>
    <w:tmpl w:val="6C72C8E6"/>
    <w:lvl w:ilvl="0" w:tplc="54000E30">
      <w:start w:val="1"/>
      <w:numFmt w:val="decimal"/>
      <w:lvlText w:val="（%1）"/>
      <w:lvlJc w:val="left"/>
      <w:pPr>
        <w:tabs>
          <w:tab w:val="num" w:pos="1134"/>
        </w:tabs>
        <w:ind w:left="1134" w:hanging="7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25D0DCD"/>
    <w:multiLevelType w:val="singleLevel"/>
    <w:tmpl w:val="3FC4C67E"/>
    <w:lvl w:ilvl="0">
      <w:start w:val="1"/>
      <w:numFmt w:val="decimal"/>
      <w:lvlText w:val="(%1)"/>
      <w:lvlJc w:val="left"/>
      <w:pPr>
        <w:ind w:left="420" w:hanging="420"/>
      </w:pPr>
      <w:rPr>
        <w:rFonts w:hint="default"/>
        <w:b w:val="0"/>
        <w:i w:val="0"/>
        <w:sz w:val="21"/>
      </w:rPr>
    </w:lvl>
  </w:abstractNum>
  <w:abstractNum w:abstractNumId="25" w15:restartNumberingAfterBreak="0">
    <w:nsid w:val="5562621F"/>
    <w:multiLevelType w:val="hybridMultilevel"/>
    <w:tmpl w:val="1A3A79AA"/>
    <w:lvl w:ilvl="0" w:tplc="FFFFFFFF">
      <w:start w:val="1"/>
      <w:numFmt w:val="decimal"/>
      <w:lvlText w:val="%1."/>
      <w:lvlJc w:val="left"/>
      <w:pPr>
        <w:tabs>
          <w:tab w:val="num" w:pos="780"/>
        </w:tabs>
        <w:ind w:left="420" w:firstLine="0"/>
      </w:pPr>
      <w:rPr>
        <w:rFonts w:hint="eastAsia"/>
      </w:rPr>
    </w:lvl>
    <w:lvl w:ilvl="1" w:tplc="FFFFFFFF">
      <w:start w:val="1"/>
      <w:numFmt w:val="decimal"/>
      <w:lvlText w:val="（%2）"/>
      <w:lvlJc w:val="left"/>
      <w:pPr>
        <w:tabs>
          <w:tab w:val="num" w:pos="1134"/>
        </w:tabs>
        <w:ind w:left="1134" w:hanging="714"/>
      </w:pPr>
      <w:rPr>
        <w:rFonts w:hint="eastAsia"/>
      </w:rPr>
    </w:lvl>
    <w:lvl w:ilvl="2" w:tplc="FFFFFFFF">
      <w:start w:val="1"/>
      <w:numFmt w:val="decimal"/>
      <w:lvlText w:val="%3"/>
      <w:lvlJc w:val="left"/>
      <w:pPr>
        <w:tabs>
          <w:tab w:val="num" w:pos="780"/>
        </w:tabs>
        <w:ind w:left="420" w:firstLine="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58EC2BAD"/>
    <w:multiLevelType w:val="hybridMultilevel"/>
    <w:tmpl w:val="BEC40DD6"/>
    <w:lvl w:ilvl="0" w:tplc="1BF0124E">
      <w:start w:val="1"/>
      <w:numFmt w:val="decimalEnclosedCircle"/>
      <w:lvlText w:val="%1"/>
      <w:lvlJc w:val="left"/>
      <w:pPr>
        <w:tabs>
          <w:tab w:val="num" w:pos="988"/>
        </w:tabs>
        <w:ind w:left="988" w:hanging="420"/>
      </w:pPr>
      <w:rPr>
        <w:rFonts w:ascii="宋体" w:eastAsia="宋体" w:hAnsi="宋体" w:cs="宋体"/>
      </w:rPr>
    </w:lvl>
    <w:lvl w:ilvl="1" w:tplc="841C8DC8" w:tentative="1">
      <w:start w:val="1"/>
      <w:numFmt w:val="lowerLetter"/>
      <w:lvlText w:val="%2)"/>
      <w:lvlJc w:val="left"/>
      <w:pPr>
        <w:tabs>
          <w:tab w:val="num" w:pos="1320"/>
        </w:tabs>
        <w:ind w:left="1320" w:hanging="420"/>
      </w:pPr>
    </w:lvl>
    <w:lvl w:ilvl="2" w:tplc="A1B2D0EE"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DB4F22"/>
    <w:multiLevelType w:val="hybridMultilevel"/>
    <w:tmpl w:val="3B98B5EE"/>
    <w:lvl w:ilvl="0" w:tplc="0784B866">
      <w:start w:val="1"/>
      <w:numFmt w:val="decimal"/>
      <w:lvlText w:val="（%1）"/>
      <w:lvlJc w:val="left"/>
      <w:pPr>
        <w:tabs>
          <w:tab w:val="num" w:pos="987"/>
        </w:tabs>
        <w:ind w:left="987" w:hanging="567"/>
      </w:pPr>
      <w:rPr>
        <w:rFonts w:hint="eastAsia"/>
      </w:rPr>
    </w:lvl>
    <w:lvl w:ilvl="1" w:tplc="7C4CD084"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ACC0C634"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9" w15:restartNumberingAfterBreak="0">
    <w:nsid w:val="689E54D9"/>
    <w:multiLevelType w:val="hybridMultilevel"/>
    <w:tmpl w:val="97ECA8E2"/>
    <w:lvl w:ilvl="0" w:tplc="0409001B">
      <w:start w:val="1"/>
      <w:numFmt w:val="chineseCountingThousand"/>
      <w:lvlText w:val="（%1）"/>
      <w:lvlJc w:val="left"/>
      <w:pPr>
        <w:tabs>
          <w:tab w:val="num" w:pos="1140"/>
        </w:tabs>
        <w:ind w:left="136" w:firstLine="284"/>
      </w:pPr>
      <w:rPr>
        <w:rFonts w:hint="eastAsia"/>
      </w:rPr>
    </w:lvl>
    <w:lvl w:ilvl="1" w:tplc="04090019">
      <w:start w:val="1"/>
      <w:numFmt w:val="decimal"/>
      <w:lvlText w:val="%2."/>
      <w:lvlJc w:val="left"/>
      <w:pPr>
        <w:tabs>
          <w:tab w:val="num" w:pos="780"/>
        </w:tabs>
        <w:ind w:left="0" w:firstLine="420"/>
      </w:pPr>
      <w:rPr>
        <w:rFonts w:hint="eastAsia"/>
      </w:rPr>
    </w:lvl>
    <w:lvl w:ilvl="2" w:tplc="0409001B">
      <w:start w:val="1"/>
      <w:numFmt w:val="chineseCountingThousand"/>
      <w:lvlText w:val="（%3）"/>
      <w:lvlJc w:val="left"/>
      <w:pPr>
        <w:tabs>
          <w:tab w:val="num" w:pos="1140"/>
        </w:tabs>
        <w:ind w:left="0" w:firstLine="420"/>
      </w:pPr>
      <w:rPr>
        <w:rFonts w:hint="eastAsia"/>
      </w:rPr>
    </w:lvl>
    <w:lvl w:ilvl="3" w:tplc="0409000F">
      <w:start w:val="1"/>
      <w:numFmt w:val="decimal"/>
      <w:lvlText w:val="%4."/>
      <w:lvlJc w:val="left"/>
      <w:pPr>
        <w:tabs>
          <w:tab w:val="num" w:pos="780"/>
        </w:tabs>
        <w:ind w:left="0" w:firstLine="420"/>
      </w:pPr>
      <w:rPr>
        <w:rFonts w:hint="eastAsia"/>
      </w:rPr>
    </w:lvl>
    <w:lvl w:ilvl="4" w:tplc="04090019">
      <w:start w:val="1"/>
      <w:numFmt w:val="decimal"/>
      <w:lvlText w:val="%5"/>
      <w:lvlJc w:val="left"/>
      <w:pPr>
        <w:tabs>
          <w:tab w:val="num" w:pos="780"/>
        </w:tabs>
        <w:ind w:left="0" w:firstLine="420"/>
      </w:pPr>
      <w:rPr>
        <w:rFonts w:hint="eastAsia"/>
      </w:r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0" w15:restartNumberingAfterBreak="0">
    <w:nsid w:val="6FE147B6"/>
    <w:multiLevelType w:val="singleLevel"/>
    <w:tmpl w:val="5DAA9A04"/>
    <w:lvl w:ilvl="0">
      <w:start w:val="1"/>
      <w:numFmt w:val="decimal"/>
      <w:pStyle w:val="22"/>
      <w:lvlText w:val="(%1)"/>
      <w:lvlJc w:val="left"/>
      <w:pPr>
        <w:tabs>
          <w:tab w:val="num" w:pos="360"/>
        </w:tabs>
        <w:ind w:left="0" w:firstLine="0"/>
      </w:pPr>
      <w:rPr>
        <w:rFonts w:hint="eastAsia"/>
      </w:rPr>
    </w:lvl>
  </w:abstractNum>
  <w:abstractNum w:abstractNumId="31" w15:restartNumberingAfterBreak="0">
    <w:nsid w:val="70DB50AD"/>
    <w:multiLevelType w:val="hybridMultilevel"/>
    <w:tmpl w:val="434288CE"/>
    <w:lvl w:ilvl="0" w:tplc="04090011">
      <w:start w:val="1"/>
      <w:numFmt w:val="bullet"/>
      <w:pStyle w:val="1"/>
      <w:lvlText w:val=""/>
      <w:lvlJc w:val="left"/>
      <w:pPr>
        <w:tabs>
          <w:tab w:val="num" w:pos="1211"/>
        </w:tabs>
        <w:ind w:left="1191" w:hanging="340"/>
      </w:pPr>
      <w:rPr>
        <w:rFonts w:ascii="Wingdings" w:hAnsi="Wingdings" w:cs="Times New Roman" w:hint="default"/>
        <w:color w:val="000000"/>
      </w:rPr>
    </w:lvl>
    <w:lvl w:ilvl="1" w:tplc="04090019">
      <w:start w:val="1"/>
      <w:numFmt w:val="bullet"/>
      <w:lvlText w:val=""/>
      <w:lvlJc w:val="left"/>
      <w:pPr>
        <w:tabs>
          <w:tab w:val="num" w:pos="840"/>
        </w:tabs>
        <w:ind w:left="840" w:hanging="420"/>
      </w:pPr>
      <w:rPr>
        <w:rFonts w:ascii="Wingdings" w:hAnsi="Wingdings" w:cs="Times New Roman" w:hint="default"/>
      </w:rPr>
    </w:lvl>
    <w:lvl w:ilvl="2" w:tplc="0409001B">
      <w:start w:val="1"/>
      <w:numFmt w:val="bullet"/>
      <w:lvlText w:val=""/>
      <w:lvlJc w:val="left"/>
      <w:pPr>
        <w:tabs>
          <w:tab w:val="num" w:pos="1260"/>
        </w:tabs>
        <w:ind w:left="1260" w:hanging="420"/>
      </w:pPr>
      <w:rPr>
        <w:rFonts w:ascii="Wingdings" w:hAnsi="Wingdings" w:cs="Times New Roman" w:hint="default"/>
      </w:rPr>
    </w:lvl>
    <w:lvl w:ilvl="3" w:tplc="0409000F">
      <w:start w:val="1"/>
      <w:numFmt w:val="bullet"/>
      <w:lvlText w:val=""/>
      <w:lvlJc w:val="left"/>
      <w:pPr>
        <w:tabs>
          <w:tab w:val="num" w:pos="1680"/>
        </w:tabs>
        <w:ind w:left="1680" w:hanging="420"/>
      </w:pPr>
      <w:rPr>
        <w:rFonts w:ascii="Wingdings" w:hAnsi="Wingdings" w:cs="Times New Roman" w:hint="default"/>
      </w:rPr>
    </w:lvl>
    <w:lvl w:ilvl="4" w:tplc="04090019">
      <w:start w:val="1"/>
      <w:numFmt w:val="bullet"/>
      <w:lvlText w:val=""/>
      <w:lvlJc w:val="left"/>
      <w:pPr>
        <w:tabs>
          <w:tab w:val="num" w:pos="2100"/>
        </w:tabs>
        <w:ind w:left="2100" w:hanging="420"/>
      </w:pPr>
      <w:rPr>
        <w:rFonts w:ascii="Wingdings" w:hAnsi="Wingdings" w:cs="Times New Roman" w:hint="default"/>
      </w:rPr>
    </w:lvl>
    <w:lvl w:ilvl="5" w:tplc="0409001B">
      <w:start w:val="1"/>
      <w:numFmt w:val="bullet"/>
      <w:lvlText w:val=""/>
      <w:lvlJc w:val="left"/>
      <w:pPr>
        <w:tabs>
          <w:tab w:val="num" w:pos="2520"/>
        </w:tabs>
        <w:ind w:left="2520" w:hanging="420"/>
      </w:pPr>
      <w:rPr>
        <w:rFonts w:ascii="Wingdings" w:hAnsi="Wingdings" w:cs="Times New Roman" w:hint="default"/>
      </w:rPr>
    </w:lvl>
    <w:lvl w:ilvl="6" w:tplc="0409000F">
      <w:start w:val="1"/>
      <w:numFmt w:val="bullet"/>
      <w:lvlText w:val=""/>
      <w:lvlJc w:val="left"/>
      <w:pPr>
        <w:tabs>
          <w:tab w:val="num" w:pos="2940"/>
        </w:tabs>
        <w:ind w:left="2940" w:hanging="420"/>
      </w:pPr>
      <w:rPr>
        <w:rFonts w:ascii="Wingdings" w:hAnsi="Wingdings" w:cs="Times New Roman" w:hint="default"/>
      </w:rPr>
    </w:lvl>
    <w:lvl w:ilvl="7" w:tplc="04090019">
      <w:start w:val="1"/>
      <w:numFmt w:val="bullet"/>
      <w:lvlText w:val=""/>
      <w:lvlJc w:val="left"/>
      <w:pPr>
        <w:tabs>
          <w:tab w:val="num" w:pos="3360"/>
        </w:tabs>
        <w:ind w:left="3360" w:hanging="420"/>
      </w:pPr>
      <w:rPr>
        <w:rFonts w:ascii="Wingdings" w:hAnsi="Wingdings" w:cs="Times New Roman" w:hint="default"/>
      </w:rPr>
    </w:lvl>
    <w:lvl w:ilvl="8" w:tplc="0409001B">
      <w:start w:val="1"/>
      <w:numFmt w:val="bullet"/>
      <w:lvlText w:val=""/>
      <w:lvlJc w:val="left"/>
      <w:pPr>
        <w:tabs>
          <w:tab w:val="num" w:pos="3780"/>
        </w:tabs>
        <w:ind w:left="3780" w:hanging="420"/>
      </w:pPr>
      <w:rPr>
        <w:rFonts w:ascii="Wingdings" w:hAnsi="Wingdings" w:cs="Times New Roman" w:hint="default"/>
      </w:rPr>
    </w:lvl>
  </w:abstractNum>
  <w:abstractNum w:abstractNumId="32" w15:restartNumberingAfterBreak="0">
    <w:nsid w:val="71C01A57"/>
    <w:multiLevelType w:val="hybridMultilevel"/>
    <w:tmpl w:val="12583FE6"/>
    <w:lvl w:ilvl="0" w:tplc="D89ED826">
      <w:start w:val="1"/>
      <w:numFmt w:val="decimal"/>
      <w:lvlText w:val="（%1）"/>
      <w:lvlJc w:val="left"/>
      <w:pPr>
        <w:tabs>
          <w:tab w:val="num" w:pos="987"/>
        </w:tabs>
        <w:ind w:left="987" w:hanging="567"/>
      </w:pPr>
      <w:rPr>
        <w:rFonts w:hint="eastAsia"/>
      </w:rPr>
    </w:lvl>
    <w:lvl w:ilvl="1" w:tplc="04090019">
      <w:start w:val="1"/>
      <w:numFmt w:val="japaneseCounting"/>
      <w:lvlText w:val="（%2）"/>
      <w:lvlJc w:val="left"/>
      <w:pPr>
        <w:tabs>
          <w:tab w:val="num" w:pos="1276"/>
        </w:tabs>
        <w:ind w:left="1276" w:hanging="720"/>
      </w:pPr>
      <w:rPr>
        <w:rFonts w:hint="eastAsia"/>
        <w:b/>
      </w:r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76D800A8"/>
    <w:multiLevelType w:val="hybridMultilevel"/>
    <w:tmpl w:val="CCAA1C10"/>
    <w:lvl w:ilvl="0" w:tplc="21E6D36A">
      <w:start w:val="1"/>
      <w:numFmt w:val="decimal"/>
      <w:lvlText w:val="（%1）"/>
      <w:lvlJc w:val="left"/>
      <w:pPr>
        <w:tabs>
          <w:tab w:val="num" w:pos="987"/>
        </w:tabs>
        <w:ind w:left="987" w:hanging="567"/>
      </w:pPr>
      <w:rPr>
        <w:rFonts w:hint="eastAsia"/>
      </w:rPr>
    </w:lvl>
    <w:lvl w:ilvl="1" w:tplc="04090003" w:tentative="1">
      <w:start w:val="1"/>
      <w:numFmt w:val="lowerLetter"/>
      <w:lvlText w:val="%2)"/>
      <w:lvlJc w:val="left"/>
      <w:pPr>
        <w:tabs>
          <w:tab w:val="num" w:pos="976"/>
        </w:tabs>
        <w:ind w:left="976" w:hanging="420"/>
      </w:pPr>
    </w:lvl>
    <w:lvl w:ilvl="2" w:tplc="04090005" w:tentative="1">
      <w:start w:val="1"/>
      <w:numFmt w:val="lowerRoman"/>
      <w:lvlText w:val="%3."/>
      <w:lvlJc w:val="right"/>
      <w:pPr>
        <w:tabs>
          <w:tab w:val="num" w:pos="1396"/>
        </w:tabs>
        <w:ind w:left="1396" w:hanging="420"/>
      </w:pPr>
    </w:lvl>
    <w:lvl w:ilvl="3" w:tplc="04090001" w:tentative="1">
      <w:start w:val="1"/>
      <w:numFmt w:val="decimal"/>
      <w:lvlText w:val="%4."/>
      <w:lvlJc w:val="left"/>
      <w:pPr>
        <w:tabs>
          <w:tab w:val="num" w:pos="1816"/>
        </w:tabs>
        <w:ind w:left="1816" w:hanging="420"/>
      </w:pPr>
    </w:lvl>
    <w:lvl w:ilvl="4" w:tplc="04090003" w:tentative="1">
      <w:start w:val="1"/>
      <w:numFmt w:val="lowerLetter"/>
      <w:lvlText w:val="%5)"/>
      <w:lvlJc w:val="left"/>
      <w:pPr>
        <w:tabs>
          <w:tab w:val="num" w:pos="2236"/>
        </w:tabs>
        <w:ind w:left="2236" w:hanging="420"/>
      </w:pPr>
    </w:lvl>
    <w:lvl w:ilvl="5" w:tplc="04090005" w:tentative="1">
      <w:start w:val="1"/>
      <w:numFmt w:val="lowerRoman"/>
      <w:lvlText w:val="%6."/>
      <w:lvlJc w:val="right"/>
      <w:pPr>
        <w:tabs>
          <w:tab w:val="num" w:pos="2656"/>
        </w:tabs>
        <w:ind w:left="2656" w:hanging="420"/>
      </w:pPr>
    </w:lvl>
    <w:lvl w:ilvl="6" w:tplc="04090001" w:tentative="1">
      <w:start w:val="1"/>
      <w:numFmt w:val="decimal"/>
      <w:lvlText w:val="%7."/>
      <w:lvlJc w:val="left"/>
      <w:pPr>
        <w:tabs>
          <w:tab w:val="num" w:pos="3076"/>
        </w:tabs>
        <w:ind w:left="3076" w:hanging="420"/>
      </w:pPr>
    </w:lvl>
    <w:lvl w:ilvl="7" w:tplc="04090003" w:tentative="1">
      <w:start w:val="1"/>
      <w:numFmt w:val="lowerLetter"/>
      <w:lvlText w:val="%8)"/>
      <w:lvlJc w:val="left"/>
      <w:pPr>
        <w:tabs>
          <w:tab w:val="num" w:pos="3496"/>
        </w:tabs>
        <w:ind w:left="3496" w:hanging="420"/>
      </w:pPr>
    </w:lvl>
    <w:lvl w:ilvl="8" w:tplc="04090005" w:tentative="1">
      <w:start w:val="1"/>
      <w:numFmt w:val="lowerRoman"/>
      <w:lvlText w:val="%9."/>
      <w:lvlJc w:val="right"/>
      <w:pPr>
        <w:tabs>
          <w:tab w:val="num" w:pos="3916"/>
        </w:tabs>
        <w:ind w:left="3916" w:hanging="420"/>
      </w:pPr>
    </w:lvl>
  </w:abstractNum>
  <w:abstractNum w:abstractNumId="34" w15:restartNumberingAfterBreak="0">
    <w:nsid w:val="77B4748A"/>
    <w:multiLevelType w:val="hybridMultilevel"/>
    <w:tmpl w:val="814A644C"/>
    <w:lvl w:ilvl="0" w:tplc="271E205C">
      <w:start w:val="1"/>
      <w:numFmt w:val="decimal"/>
      <w:lvlText w:val="%1."/>
      <w:lvlJc w:val="left"/>
      <w:pPr>
        <w:tabs>
          <w:tab w:val="num" w:pos="780"/>
        </w:tabs>
        <w:ind w:left="420" w:firstLine="0"/>
      </w:pPr>
      <w:rPr>
        <w:rFonts w:hint="eastAsia"/>
      </w:rPr>
    </w:lvl>
    <w:lvl w:ilvl="1" w:tplc="2BD6213E">
      <w:start w:val="1"/>
      <w:numFmt w:val="decimal"/>
      <w:lvlText w:val="（%2）"/>
      <w:lvlJc w:val="left"/>
      <w:pPr>
        <w:tabs>
          <w:tab w:val="num" w:pos="851"/>
        </w:tabs>
        <w:ind w:left="851" w:hanging="567"/>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8632D19"/>
    <w:multiLevelType w:val="hybridMultilevel"/>
    <w:tmpl w:val="8FE01356"/>
    <w:lvl w:ilvl="0" w:tplc="99AA8908">
      <w:start w:val="1"/>
      <w:numFmt w:val="chineseCountingThousand"/>
      <w:lvlText w:val="（%1）"/>
      <w:lvlJc w:val="left"/>
      <w:pPr>
        <w:tabs>
          <w:tab w:val="num" w:pos="1140"/>
        </w:tabs>
        <w:ind w:left="0" w:firstLine="420"/>
      </w:pPr>
      <w:rPr>
        <w:rFonts w:hint="eastAsia"/>
      </w:rPr>
    </w:lvl>
    <w:lvl w:ilvl="1" w:tplc="271E205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CC566B1"/>
    <w:multiLevelType w:val="multilevel"/>
    <w:tmpl w:val="AE161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0E31A3"/>
    <w:multiLevelType w:val="hybridMultilevel"/>
    <w:tmpl w:val="EFCC16FE"/>
    <w:lvl w:ilvl="0" w:tplc="0409000F">
      <w:start w:val="1"/>
      <w:numFmt w:val="decimal"/>
      <w:lvlText w:val="（%1）"/>
      <w:lvlJc w:val="left"/>
      <w:pPr>
        <w:tabs>
          <w:tab w:val="num" w:pos="11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24"/>
  </w:num>
  <w:num w:numId="3">
    <w:abstractNumId w:val="14"/>
  </w:num>
  <w:num w:numId="4">
    <w:abstractNumId w:val="17"/>
  </w:num>
  <w:num w:numId="5">
    <w:abstractNumId w:val="28"/>
  </w:num>
  <w:num w:numId="6">
    <w:abstractNumId w:val="16"/>
  </w:num>
  <w:num w:numId="7">
    <w:abstractNumId w:val="11"/>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5"/>
  </w:num>
  <w:num w:numId="20">
    <w:abstractNumId w:val="34"/>
  </w:num>
  <w:num w:numId="21">
    <w:abstractNumId w:val="13"/>
  </w:num>
  <w:num w:numId="22">
    <w:abstractNumId w:val="27"/>
  </w:num>
  <w:num w:numId="23">
    <w:abstractNumId w:val="33"/>
  </w:num>
  <w:num w:numId="24">
    <w:abstractNumId w:val="32"/>
  </w:num>
  <w:num w:numId="25">
    <w:abstractNumId w:val="29"/>
  </w:num>
  <w:num w:numId="26">
    <w:abstractNumId w:val="19"/>
  </w:num>
  <w:num w:numId="27">
    <w:abstractNumId w:val="37"/>
  </w:num>
  <w:num w:numId="28">
    <w:abstractNumId w:val="23"/>
  </w:num>
  <w:num w:numId="29">
    <w:abstractNumId w:val="22"/>
  </w:num>
  <w:num w:numId="30">
    <w:abstractNumId w:val="35"/>
  </w:num>
  <w:num w:numId="31">
    <w:abstractNumId w:val="18"/>
  </w:num>
  <w:num w:numId="32">
    <w:abstractNumId w:val="12"/>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1"/>
  </w:num>
  <w:num w:numId="37">
    <w:abstractNumId w:val="30"/>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E2F"/>
    <w:rsid w:val="00005FAB"/>
    <w:rsid w:val="00007130"/>
    <w:rsid w:val="00007B25"/>
    <w:rsid w:val="0001496A"/>
    <w:rsid w:val="000152A6"/>
    <w:rsid w:val="0001554E"/>
    <w:rsid w:val="00017E87"/>
    <w:rsid w:val="00022683"/>
    <w:rsid w:val="00024AB3"/>
    <w:rsid w:val="00025FDD"/>
    <w:rsid w:val="00033C1A"/>
    <w:rsid w:val="00034169"/>
    <w:rsid w:val="0003524C"/>
    <w:rsid w:val="00036107"/>
    <w:rsid w:val="000371B2"/>
    <w:rsid w:val="0004048E"/>
    <w:rsid w:val="000409D1"/>
    <w:rsid w:val="00042768"/>
    <w:rsid w:val="00046A70"/>
    <w:rsid w:val="00047D63"/>
    <w:rsid w:val="0005020F"/>
    <w:rsid w:val="0005326B"/>
    <w:rsid w:val="00053C04"/>
    <w:rsid w:val="00054F80"/>
    <w:rsid w:val="000555F0"/>
    <w:rsid w:val="00056BC1"/>
    <w:rsid w:val="00057530"/>
    <w:rsid w:val="0006147D"/>
    <w:rsid w:val="00061667"/>
    <w:rsid w:val="0006258B"/>
    <w:rsid w:val="00063E8C"/>
    <w:rsid w:val="00063FBB"/>
    <w:rsid w:val="000653CD"/>
    <w:rsid w:val="000834C1"/>
    <w:rsid w:val="00083CDE"/>
    <w:rsid w:val="0008423C"/>
    <w:rsid w:val="00084917"/>
    <w:rsid w:val="000852C7"/>
    <w:rsid w:val="00092E1C"/>
    <w:rsid w:val="00093D40"/>
    <w:rsid w:val="0009716C"/>
    <w:rsid w:val="000A03BE"/>
    <w:rsid w:val="000A0542"/>
    <w:rsid w:val="000A2FD2"/>
    <w:rsid w:val="000A4931"/>
    <w:rsid w:val="000A6A54"/>
    <w:rsid w:val="000B29CD"/>
    <w:rsid w:val="000B49BF"/>
    <w:rsid w:val="000B6986"/>
    <w:rsid w:val="000C0501"/>
    <w:rsid w:val="000C18EE"/>
    <w:rsid w:val="000C22AB"/>
    <w:rsid w:val="000C2FD2"/>
    <w:rsid w:val="000C4607"/>
    <w:rsid w:val="000C64DF"/>
    <w:rsid w:val="000C7130"/>
    <w:rsid w:val="000D0ACE"/>
    <w:rsid w:val="000D1C2C"/>
    <w:rsid w:val="000D31C0"/>
    <w:rsid w:val="000D3F21"/>
    <w:rsid w:val="000D6AD1"/>
    <w:rsid w:val="000E1405"/>
    <w:rsid w:val="000E4CFB"/>
    <w:rsid w:val="000E57D6"/>
    <w:rsid w:val="000E6FBE"/>
    <w:rsid w:val="000E7E51"/>
    <w:rsid w:val="000F0AE7"/>
    <w:rsid w:val="000F1F27"/>
    <w:rsid w:val="000F2382"/>
    <w:rsid w:val="000F28B9"/>
    <w:rsid w:val="000F2DE3"/>
    <w:rsid w:val="000F54B8"/>
    <w:rsid w:val="000F6C11"/>
    <w:rsid w:val="000F74D3"/>
    <w:rsid w:val="0010426C"/>
    <w:rsid w:val="00111564"/>
    <w:rsid w:val="0011484A"/>
    <w:rsid w:val="001148E8"/>
    <w:rsid w:val="00115F1A"/>
    <w:rsid w:val="00117EDD"/>
    <w:rsid w:val="001208F2"/>
    <w:rsid w:val="001215A7"/>
    <w:rsid w:val="00121C5F"/>
    <w:rsid w:val="001221AF"/>
    <w:rsid w:val="001232D6"/>
    <w:rsid w:val="001232E8"/>
    <w:rsid w:val="001246DC"/>
    <w:rsid w:val="00126B29"/>
    <w:rsid w:val="00127343"/>
    <w:rsid w:val="00130364"/>
    <w:rsid w:val="0013246A"/>
    <w:rsid w:val="001330BB"/>
    <w:rsid w:val="0013714A"/>
    <w:rsid w:val="00137ABF"/>
    <w:rsid w:val="00141619"/>
    <w:rsid w:val="001443FB"/>
    <w:rsid w:val="00144641"/>
    <w:rsid w:val="00145DB2"/>
    <w:rsid w:val="00147190"/>
    <w:rsid w:val="00150E03"/>
    <w:rsid w:val="001523F4"/>
    <w:rsid w:val="00153649"/>
    <w:rsid w:val="00153DF5"/>
    <w:rsid w:val="001540FF"/>
    <w:rsid w:val="00154808"/>
    <w:rsid w:val="001561FE"/>
    <w:rsid w:val="00156490"/>
    <w:rsid w:val="00157457"/>
    <w:rsid w:val="00160B26"/>
    <w:rsid w:val="00160C1B"/>
    <w:rsid w:val="001619D4"/>
    <w:rsid w:val="0016463F"/>
    <w:rsid w:val="00166FB7"/>
    <w:rsid w:val="00170239"/>
    <w:rsid w:val="00171D15"/>
    <w:rsid w:val="00172AE9"/>
    <w:rsid w:val="00172F53"/>
    <w:rsid w:val="00175D3D"/>
    <w:rsid w:val="00180976"/>
    <w:rsid w:val="0018153C"/>
    <w:rsid w:val="001833CF"/>
    <w:rsid w:val="001840D5"/>
    <w:rsid w:val="001847AC"/>
    <w:rsid w:val="00186813"/>
    <w:rsid w:val="001878F9"/>
    <w:rsid w:val="00187A52"/>
    <w:rsid w:val="00192902"/>
    <w:rsid w:val="001941B6"/>
    <w:rsid w:val="00196E95"/>
    <w:rsid w:val="001A1DC2"/>
    <w:rsid w:val="001A33E6"/>
    <w:rsid w:val="001A382D"/>
    <w:rsid w:val="001A385F"/>
    <w:rsid w:val="001A394D"/>
    <w:rsid w:val="001A51E9"/>
    <w:rsid w:val="001A610C"/>
    <w:rsid w:val="001B060B"/>
    <w:rsid w:val="001B482D"/>
    <w:rsid w:val="001B5706"/>
    <w:rsid w:val="001C3AB9"/>
    <w:rsid w:val="001C541C"/>
    <w:rsid w:val="001C5677"/>
    <w:rsid w:val="001C79CB"/>
    <w:rsid w:val="001D2E2F"/>
    <w:rsid w:val="001D35D3"/>
    <w:rsid w:val="001D3831"/>
    <w:rsid w:val="001D6468"/>
    <w:rsid w:val="001D6BA0"/>
    <w:rsid w:val="001D7BD6"/>
    <w:rsid w:val="001E020E"/>
    <w:rsid w:val="001E0331"/>
    <w:rsid w:val="001E678A"/>
    <w:rsid w:val="001F27CD"/>
    <w:rsid w:val="001F294F"/>
    <w:rsid w:val="001F2EDB"/>
    <w:rsid w:val="001F336E"/>
    <w:rsid w:val="001F3D12"/>
    <w:rsid w:val="001F7271"/>
    <w:rsid w:val="001F7A85"/>
    <w:rsid w:val="00207060"/>
    <w:rsid w:val="00215C97"/>
    <w:rsid w:val="00220B2A"/>
    <w:rsid w:val="00221330"/>
    <w:rsid w:val="0022340C"/>
    <w:rsid w:val="0022345A"/>
    <w:rsid w:val="002247BC"/>
    <w:rsid w:val="002250F4"/>
    <w:rsid w:val="00225EE2"/>
    <w:rsid w:val="00226A0D"/>
    <w:rsid w:val="00227C9A"/>
    <w:rsid w:val="002308BB"/>
    <w:rsid w:val="002310EE"/>
    <w:rsid w:val="0023194B"/>
    <w:rsid w:val="00231B04"/>
    <w:rsid w:val="00232060"/>
    <w:rsid w:val="00233003"/>
    <w:rsid w:val="00233723"/>
    <w:rsid w:val="00235C04"/>
    <w:rsid w:val="002403EF"/>
    <w:rsid w:val="00241DBD"/>
    <w:rsid w:val="002420DE"/>
    <w:rsid w:val="00243AEB"/>
    <w:rsid w:val="0024552B"/>
    <w:rsid w:val="00245AE6"/>
    <w:rsid w:val="00246FB8"/>
    <w:rsid w:val="00250EF5"/>
    <w:rsid w:val="00251658"/>
    <w:rsid w:val="00252157"/>
    <w:rsid w:val="0025242C"/>
    <w:rsid w:val="002527DA"/>
    <w:rsid w:val="0025468E"/>
    <w:rsid w:val="00254838"/>
    <w:rsid w:val="00256BF2"/>
    <w:rsid w:val="00263B56"/>
    <w:rsid w:val="00263DAC"/>
    <w:rsid w:val="00270198"/>
    <w:rsid w:val="002721FA"/>
    <w:rsid w:val="00273065"/>
    <w:rsid w:val="00274C8B"/>
    <w:rsid w:val="002759D3"/>
    <w:rsid w:val="002807F4"/>
    <w:rsid w:val="00281349"/>
    <w:rsid w:val="0028175D"/>
    <w:rsid w:val="00283168"/>
    <w:rsid w:val="00283A2D"/>
    <w:rsid w:val="00286876"/>
    <w:rsid w:val="00286CAB"/>
    <w:rsid w:val="00290585"/>
    <w:rsid w:val="00290BBE"/>
    <w:rsid w:val="002916A8"/>
    <w:rsid w:val="002922A0"/>
    <w:rsid w:val="002923A4"/>
    <w:rsid w:val="00292A2A"/>
    <w:rsid w:val="0029461B"/>
    <w:rsid w:val="00294C0B"/>
    <w:rsid w:val="002A0BE8"/>
    <w:rsid w:val="002A0CB8"/>
    <w:rsid w:val="002A17DC"/>
    <w:rsid w:val="002A1E09"/>
    <w:rsid w:val="002A2C16"/>
    <w:rsid w:val="002A490A"/>
    <w:rsid w:val="002A707B"/>
    <w:rsid w:val="002B2EC9"/>
    <w:rsid w:val="002B5922"/>
    <w:rsid w:val="002B5F0D"/>
    <w:rsid w:val="002B690C"/>
    <w:rsid w:val="002B7B94"/>
    <w:rsid w:val="002C1C22"/>
    <w:rsid w:val="002C1EF5"/>
    <w:rsid w:val="002C61BF"/>
    <w:rsid w:val="002D0D24"/>
    <w:rsid w:val="002D26DD"/>
    <w:rsid w:val="002D277E"/>
    <w:rsid w:val="002D3DF9"/>
    <w:rsid w:val="002D5204"/>
    <w:rsid w:val="002D6557"/>
    <w:rsid w:val="002D75BF"/>
    <w:rsid w:val="002E22A6"/>
    <w:rsid w:val="002E63D0"/>
    <w:rsid w:val="002E6500"/>
    <w:rsid w:val="002F25CF"/>
    <w:rsid w:val="002F710C"/>
    <w:rsid w:val="002F770D"/>
    <w:rsid w:val="0030458C"/>
    <w:rsid w:val="00305ACA"/>
    <w:rsid w:val="00310023"/>
    <w:rsid w:val="00310C45"/>
    <w:rsid w:val="00312160"/>
    <w:rsid w:val="00312ED6"/>
    <w:rsid w:val="0031399E"/>
    <w:rsid w:val="00316123"/>
    <w:rsid w:val="00317AFD"/>
    <w:rsid w:val="003235D1"/>
    <w:rsid w:val="00325AB7"/>
    <w:rsid w:val="0033001C"/>
    <w:rsid w:val="0033035E"/>
    <w:rsid w:val="003305F9"/>
    <w:rsid w:val="00331F31"/>
    <w:rsid w:val="00332271"/>
    <w:rsid w:val="00332C7B"/>
    <w:rsid w:val="0033337D"/>
    <w:rsid w:val="00336256"/>
    <w:rsid w:val="003367F7"/>
    <w:rsid w:val="003369FE"/>
    <w:rsid w:val="003373ED"/>
    <w:rsid w:val="00337A0B"/>
    <w:rsid w:val="00340D78"/>
    <w:rsid w:val="003445D1"/>
    <w:rsid w:val="00344EAA"/>
    <w:rsid w:val="00347045"/>
    <w:rsid w:val="00347628"/>
    <w:rsid w:val="0035179E"/>
    <w:rsid w:val="003521D9"/>
    <w:rsid w:val="00353ED9"/>
    <w:rsid w:val="00357A57"/>
    <w:rsid w:val="00363C1B"/>
    <w:rsid w:val="0037524F"/>
    <w:rsid w:val="0037562B"/>
    <w:rsid w:val="003760E5"/>
    <w:rsid w:val="003762B4"/>
    <w:rsid w:val="003769BD"/>
    <w:rsid w:val="00377049"/>
    <w:rsid w:val="0038041C"/>
    <w:rsid w:val="00380A02"/>
    <w:rsid w:val="00382D44"/>
    <w:rsid w:val="0039084A"/>
    <w:rsid w:val="0039302B"/>
    <w:rsid w:val="003965E5"/>
    <w:rsid w:val="00397523"/>
    <w:rsid w:val="003A0B02"/>
    <w:rsid w:val="003A1ACD"/>
    <w:rsid w:val="003A3969"/>
    <w:rsid w:val="003A5F0F"/>
    <w:rsid w:val="003B0173"/>
    <w:rsid w:val="003B0E11"/>
    <w:rsid w:val="003B27FB"/>
    <w:rsid w:val="003B2ADD"/>
    <w:rsid w:val="003B4845"/>
    <w:rsid w:val="003B48B5"/>
    <w:rsid w:val="003B49E9"/>
    <w:rsid w:val="003B5FFB"/>
    <w:rsid w:val="003B69A2"/>
    <w:rsid w:val="003B6B2F"/>
    <w:rsid w:val="003B6D7F"/>
    <w:rsid w:val="003C0187"/>
    <w:rsid w:val="003C0F7F"/>
    <w:rsid w:val="003C1E63"/>
    <w:rsid w:val="003C234B"/>
    <w:rsid w:val="003C4409"/>
    <w:rsid w:val="003C5046"/>
    <w:rsid w:val="003C66B1"/>
    <w:rsid w:val="003C68B2"/>
    <w:rsid w:val="003D227B"/>
    <w:rsid w:val="003D337E"/>
    <w:rsid w:val="003D48C3"/>
    <w:rsid w:val="003D4A16"/>
    <w:rsid w:val="003E1145"/>
    <w:rsid w:val="003E15AB"/>
    <w:rsid w:val="003E1F0F"/>
    <w:rsid w:val="003E67AF"/>
    <w:rsid w:val="003E728F"/>
    <w:rsid w:val="003E78A1"/>
    <w:rsid w:val="003E7A33"/>
    <w:rsid w:val="003F00B7"/>
    <w:rsid w:val="003F5C66"/>
    <w:rsid w:val="003F7478"/>
    <w:rsid w:val="004016AF"/>
    <w:rsid w:val="00402A67"/>
    <w:rsid w:val="004030FE"/>
    <w:rsid w:val="0040446E"/>
    <w:rsid w:val="004054C3"/>
    <w:rsid w:val="00406C03"/>
    <w:rsid w:val="00406DAA"/>
    <w:rsid w:val="004107B7"/>
    <w:rsid w:val="00410CB3"/>
    <w:rsid w:val="00410E67"/>
    <w:rsid w:val="00417350"/>
    <w:rsid w:val="00417AAB"/>
    <w:rsid w:val="00420BAB"/>
    <w:rsid w:val="00421CCD"/>
    <w:rsid w:val="00425AC0"/>
    <w:rsid w:val="0042613E"/>
    <w:rsid w:val="004265AF"/>
    <w:rsid w:val="00426930"/>
    <w:rsid w:val="00430261"/>
    <w:rsid w:val="004321B7"/>
    <w:rsid w:val="00432AA3"/>
    <w:rsid w:val="00434021"/>
    <w:rsid w:val="00434495"/>
    <w:rsid w:val="00435D4A"/>
    <w:rsid w:val="00436A8B"/>
    <w:rsid w:val="00437729"/>
    <w:rsid w:val="00437D6D"/>
    <w:rsid w:val="004473FA"/>
    <w:rsid w:val="004474A2"/>
    <w:rsid w:val="00447E22"/>
    <w:rsid w:val="0045085E"/>
    <w:rsid w:val="0045304E"/>
    <w:rsid w:val="00453BE1"/>
    <w:rsid w:val="00455544"/>
    <w:rsid w:val="00456512"/>
    <w:rsid w:val="00456E67"/>
    <w:rsid w:val="004575B4"/>
    <w:rsid w:val="00457641"/>
    <w:rsid w:val="00457937"/>
    <w:rsid w:val="00461B0D"/>
    <w:rsid w:val="004645C4"/>
    <w:rsid w:val="00465F38"/>
    <w:rsid w:val="004660C4"/>
    <w:rsid w:val="00467A86"/>
    <w:rsid w:val="004700B9"/>
    <w:rsid w:val="0047012F"/>
    <w:rsid w:val="00471CCF"/>
    <w:rsid w:val="0047441F"/>
    <w:rsid w:val="00474EE7"/>
    <w:rsid w:val="00480826"/>
    <w:rsid w:val="00482499"/>
    <w:rsid w:val="00482800"/>
    <w:rsid w:val="00484A2D"/>
    <w:rsid w:val="004860A0"/>
    <w:rsid w:val="00491DE1"/>
    <w:rsid w:val="00494C74"/>
    <w:rsid w:val="00494EFF"/>
    <w:rsid w:val="004954A5"/>
    <w:rsid w:val="0049680D"/>
    <w:rsid w:val="00496E3D"/>
    <w:rsid w:val="004A2CA2"/>
    <w:rsid w:val="004A2FBF"/>
    <w:rsid w:val="004A55BA"/>
    <w:rsid w:val="004A5B31"/>
    <w:rsid w:val="004B076D"/>
    <w:rsid w:val="004B0DCF"/>
    <w:rsid w:val="004B1709"/>
    <w:rsid w:val="004B1C0B"/>
    <w:rsid w:val="004B21AE"/>
    <w:rsid w:val="004B2573"/>
    <w:rsid w:val="004B2DE8"/>
    <w:rsid w:val="004B2EB9"/>
    <w:rsid w:val="004B360D"/>
    <w:rsid w:val="004B7F06"/>
    <w:rsid w:val="004C1916"/>
    <w:rsid w:val="004C3ECD"/>
    <w:rsid w:val="004C5EA2"/>
    <w:rsid w:val="004D09FE"/>
    <w:rsid w:val="004D135E"/>
    <w:rsid w:val="004D2995"/>
    <w:rsid w:val="004E05E9"/>
    <w:rsid w:val="004E1465"/>
    <w:rsid w:val="004E1B11"/>
    <w:rsid w:val="004E64A5"/>
    <w:rsid w:val="004F0389"/>
    <w:rsid w:val="004F39CA"/>
    <w:rsid w:val="004F42E0"/>
    <w:rsid w:val="004F64C5"/>
    <w:rsid w:val="004F7286"/>
    <w:rsid w:val="004F7FA3"/>
    <w:rsid w:val="00503391"/>
    <w:rsid w:val="00504CDE"/>
    <w:rsid w:val="005054C2"/>
    <w:rsid w:val="005055A9"/>
    <w:rsid w:val="00505D73"/>
    <w:rsid w:val="0050660B"/>
    <w:rsid w:val="00507775"/>
    <w:rsid w:val="005156D4"/>
    <w:rsid w:val="00515CA6"/>
    <w:rsid w:val="00516272"/>
    <w:rsid w:val="00516A4C"/>
    <w:rsid w:val="005212D6"/>
    <w:rsid w:val="00521631"/>
    <w:rsid w:val="0052261E"/>
    <w:rsid w:val="00523BBA"/>
    <w:rsid w:val="005240F3"/>
    <w:rsid w:val="00525638"/>
    <w:rsid w:val="00525DF5"/>
    <w:rsid w:val="00526152"/>
    <w:rsid w:val="00526218"/>
    <w:rsid w:val="00527AE1"/>
    <w:rsid w:val="00530AF3"/>
    <w:rsid w:val="00531B35"/>
    <w:rsid w:val="00533FB6"/>
    <w:rsid w:val="00534365"/>
    <w:rsid w:val="00536FAA"/>
    <w:rsid w:val="005403FB"/>
    <w:rsid w:val="00542427"/>
    <w:rsid w:val="005424E3"/>
    <w:rsid w:val="005440D6"/>
    <w:rsid w:val="00544776"/>
    <w:rsid w:val="00544F10"/>
    <w:rsid w:val="00547FD2"/>
    <w:rsid w:val="00550898"/>
    <w:rsid w:val="005547DB"/>
    <w:rsid w:val="0055695D"/>
    <w:rsid w:val="005574B8"/>
    <w:rsid w:val="00557E6C"/>
    <w:rsid w:val="005605D2"/>
    <w:rsid w:val="00560A7F"/>
    <w:rsid w:val="0056223B"/>
    <w:rsid w:val="00565021"/>
    <w:rsid w:val="00567695"/>
    <w:rsid w:val="005715EE"/>
    <w:rsid w:val="00571BA7"/>
    <w:rsid w:val="005721B6"/>
    <w:rsid w:val="00572F48"/>
    <w:rsid w:val="00574B1C"/>
    <w:rsid w:val="00580017"/>
    <w:rsid w:val="00581682"/>
    <w:rsid w:val="005832AE"/>
    <w:rsid w:val="005837C3"/>
    <w:rsid w:val="00590D1B"/>
    <w:rsid w:val="005910CA"/>
    <w:rsid w:val="00593D60"/>
    <w:rsid w:val="005964E1"/>
    <w:rsid w:val="005968EB"/>
    <w:rsid w:val="005A07F5"/>
    <w:rsid w:val="005A0AC1"/>
    <w:rsid w:val="005A0AF7"/>
    <w:rsid w:val="005A11E0"/>
    <w:rsid w:val="005A2C86"/>
    <w:rsid w:val="005A2D40"/>
    <w:rsid w:val="005A73B3"/>
    <w:rsid w:val="005B3411"/>
    <w:rsid w:val="005B3935"/>
    <w:rsid w:val="005B644F"/>
    <w:rsid w:val="005B7074"/>
    <w:rsid w:val="005B768D"/>
    <w:rsid w:val="005C0024"/>
    <w:rsid w:val="005C2B80"/>
    <w:rsid w:val="005C2C9D"/>
    <w:rsid w:val="005C2F1D"/>
    <w:rsid w:val="005C5CE9"/>
    <w:rsid w:val="005C7317"/>
    <w:rsid w:val="005D042A"/>
    <w:rsid w:val="005D1FB3"/>
    <w:rsid w:val="005D2D26"/>
    <w:rsid w:val="005D2F67"/>
    <w:rsid w:val="005E06F6"/>
    <w:rsid w:val="005E1374"/>
    <w:rsid w:val="005E192F"/>
    <w:rsid w:val="005E2407"/>
    <w:rsid w:val="005E306A"/>
    <w:rsid w:val="005E3B62"/>
    <w:rsid w:val="005E49FE"/>
    <w:rsid w:val="005E4DAE"/>
    <w:rsid w:val="005E66CD"/>
    <w:rsid w:val="005E7BBE"/>
    <w:rsid w:val="005F1D13"/>
    <w:rsid w:val="005F5223"/>
    <w:rsid w:val="005F59DD"/>
    <w:rsid w:val="005F6CCB"/>
    <w:rsid w:val="005F747F"/>
    <w:rsid w:val="00600BD1"/>
    <w:rsid w:val="00601369"/>
    <w:rsid w:val="0060265B"/>
    <w:rsid w:val="00603FAC"/>
    <w:rsid w:val="00605744"/>
    <w:rsid w:val="00610743"/>
    <w:rsid w:val="00612877"/>
    <w:rsid w:val="00612DA8"/>
    <w:rsid w:val="006144B6"/>
    <w:rsid w:val="00615F74"/>
    <w:rsid w:val="00616251"/>
    <w:rsid w:val="00621F0B"/>
    <w:rsid w:val="006230C0"/>
    <w:rsid w:val="00625D50"/>
    <w:rsid w:val="006266E3"/>
    <w:rsid w:val="00626791"/>
    <w:rsid w:val="00627270"/>
    <w:rsid w:val="006309F1"/>
    <w:rsid w:val="00631C62"/>
    <w:rsid w:val="006325C2"/>
    <w:rsid w:val="00635DDE"/>
    <w:rsid w:val="00636A2C"/>
    <w:rsid w:val="0064101A"/>
    <w:rsid w:val="0064223A"/>
    <w:rsid w:val="00646DD6"/>
    <w:rsid w:val="00652162"/>
    <w:rsid w:val="00653B54"/>
    <w:rsid w:val="00654DDE"/>
    <w:rsid w:val="00655471"/>
    <w:rsid w:val="006569C7"/>
    <w:rsid w:val="00657A8F"/>
    <w:rsid w:val="00661FDB"/>
    <w:rsid w:val="006639B9"/>
    <w:rsid w:val="00664303"/>
    <w:rsid w:val="00666E5F"/>
    <w:rsid w:val="006678D5"/>
    <w:rsid w:val="00667BAD"/>
    <w:rsid w:val="00670E39"/>
    <w:rsid w:val="0067106D"/>
    <w:rsid w:val="0067284E"/>
    <w:rsid w:val="006729AB"/>
    <w:rsid w:val="00672FE5"/>
    <w:rsid w:val="006732E2"/>
    <w:rsid w:val="00673721"/>
    <w:rsid w:val="0067487A"/>
    <w:rsid w:val="00677F08"/>
    <w:rsid w:val="00681674"/>
    <w:rsid w:val="006827C6"/>
    <w:rsid w:val="0068503E"/>
    <w:rsid w:val="0068697E"/>
    <w:rsid w:val="00691470"/>
    <w:rsid w:val="006948C5"/>
    <w:rsid w:val="006A397D"/>
    <w:rsid w:val="006A4325"/>
    <w:rsid w:val="006A5266"/>
    <w:rsid w:val="006A5737"/>
    <w:rsid w:val="006A69EA"/>
    <w:rsid w:val="006A7AFA"/>
    <w:rsid w:val="006B28DD"/>
    <w:rsid w:val="006B3CD4"/>
    <w:rsid w:val="006B6B03"/>
    <w:rsid w:val="006B7018"/>
    <w:rsid w:val="006B7BD6"/>
    <w:rsid w:val="006C02C7"/>
    <w:rsid w:val="006C6D4E"/>
    <w:rsid w:val="006C6EBF"/>
    <w:rsid w:val="006D0307"/>
    <w:rsid w:val="006D0BB5"/>
    <w:rsid w:val="006D1176"/>
    <w:rsid w:val="006D484C"/>
    <w:rsid w:val="006D532D"/>
    <w:rsid w:val="006D7BF5"/>
    <w:rsid w:val="006E0316"/>
    <w:rsid w:val="006E0880"/>
    <w:rsid w:val="006E16BC"/>
    <w:rsid w:val="006E3A65"/>
    <w:rsid w:val="006F1A97"/>
    <w:rsid w:val="006F5909"/>
    <w:rsid w:val="006F79CF"/>
    <w:rsid w:val="00700C7B"/>
    <w:rsid w:val="007056CF"/>
    <w:rsid w:val="00711027"/>
    <w:rsid w:val="00715FE4"/>
    <w:rsid w:val="0071674B"/>
    <w:rsid w:val="00721B6B"/>
    <w:rsid w:val="0072285C"/>
    <w:rsid w:val="0072327B"/>
    <w:rsid w:val="0072486B"/>
    <w:rsid w:val="00727E55"/>
    <w:rsid w:val="00731A6B"/>
    <w:rsid w:val="00731CDC"/>
    <w:rsid w:val="00733008"/>
    <w:rsid w:val="00733A4A"/>
    <w:rsid w:val="00733DB9"/>
    <w:rsid w:val="00736DB8"/>
    <w:rsid w:val="00736EDB"/>
    <w:rsid w:val="00740532"/>
    <w:rsid w:val="007417CC"/>
    <w:rsid w:val="00743640"/>
    <w:rsid w:val="00744D8F"/>
    <w:rsid w:val="00746B22"/>
    <w:rsid w:val="00750981"/>
    <w:rsid w:val="007517B7"/>
    <w:rsid w:val="00757EB7"/>
    <w:rsid w:val="00761413"/>
    <w:rsid w:val="00767CAA"/>
    <w:rsid w:val="007712E1"/>
    <w:rsid w:val="00774EC4"/>
    <w:rsid w:val="00775766"/>
    <w:rsid w:val="0077607C"/>
    <w:rsid w:val="0077716F"/>
    <w:rsid w:val="007807DA"/>
    <w:rsid w:val="00787456"/>
    <w:rsid w:val="00790AC1"/>
    <w:rsid w:val="00790C79"/>
    <w:rsid w:val="007916D7"/>
    <w:rsid w:val="00791792"/>
    <w:rsid w:val="0079464E"/>
    <w:rsid w:val="00794FDD"/>
    <w:rsid w:val="00795447"/>
    <w:rsid w:val="007954B2"/>
    <w:rsid w:val="0079598D"/>
    <w:rsid w:val="00796CD9"/>
    <w:rsid w:val="007A048A"/>
    <w:rsid w:val="007A5C18"/>
    <w:rsid w:val="007B03DC"/>
    <w:rsid w:val="007B1DA0"/>
    <w:rsid w:val="007B37C3"/>
    <w:rsid w:val="007C114E"/>
    <w:rsid w:val="007C24C2"/>
    <w:rsid w:val="007D321E"/>
    <w:rsid w:val="007D592A"/>
    <w:rsid w:val="007D6676"/>
    <w:rsid w:val="007E0B70"/>
    <w:rsid w:val="007F114F"/>
    <w:rsid w:val="007F1829"/>
    <w:rsid w:val="007F4344"/>
    <w:rsid w:val="007F76BD"/>
    <w:rsid w:val="00800051"/>
    <w:rsid w:val="00800465"/>
    <w:rsid w:val="00802305"/>
    <w:rsid w:val="00802345"/>
    <w:rsid w:val="008044D1"/>
    <w:rsid w:val="00810372"/>
    <w:rsid w:val="0081261B"/>
    <w:rsid w:val="008153BE"/>
    <w:rsid w:val="008158CE"/>
    <w:rsid w:val="008200C0"/>
    <w:rsid w:val="00820716"/>
    <w:rsid w:val="00820842"/>
    <w:rsid w:val="00821067"/>
    <w:rsid w:val="0082305B"/>
    <w:rsid w:val="0082502D"/>
    <w:rsid w:val="008260F2"/>
    <w:rsid w:val="00827696"/>
    <w:rsid w:val="008307F1"/>
    <w:rsid w:val="00831460"/>
    <w:rsid w:val="0083207F"/>
    <w:rsid w:val="0083318D"/>
    <w:rsid w:val="0083455A"/>
    <w:rsid w:val="00834CD8"/>
    <w:rsid w:val="008350A6"/>
    <w:rsid w:val="00835EFB"/>
    <w:rsid w:val="00841918"/>
    <w:rsid w:val="00841FD1"/>
    <w:rsid w:val="008428B0"/>
    <w:rsid w:val="00845B56"/>
    <w:rsid w:val="00846740"/>
    <w:rsid w:val="00846CA1"/>
    <w:rsid w:val="00847322"/>
    <w:rsid w:val="00850389"/>
    <w:rsid w:val="00850712"/>
    <w:rsid w:val="00851E27"/>
    <w:rsid w:val="00852C20"/>
    <w:rsid w:val="00856AF1"/>
    <w:rsid w:val="008604D3"/>
    <w:rsid w:val="008619E6"/>
    <w:rsid w:val="0086298B"/>
    <w:rsid w:val="00865624"/>
    <w:rsid w:val="00871322"/>
    <w:rsid w:val="00872950"/>
    <w:rsid w:val="00873168"/>
    <w:rsid w:val="0087334C"/>
    <w:rsid w:val="00876EE8"/>
    <w:rsid w:val="00886D77"/>
    <w:rsid w:val="0089033F"/>
    <w:rsid w:val="008909DD"/>
    <w:rsid w:val="008913A0"/>
    <w:rsid w:val="00892B84"/>
    <w:rsid w:val="008A1A94"/>
    <w:rsid w:val="008A44F0"/>
    <w:rsid w:val="008A7999"/>
    <w:rsid w:val="008B031E"/>
    <w:rsid w:val="008B25C2"/>
    <w:rsid w:val="008B3426"/>
    <w:rsid w:val="008B4656"/>
    <w:rsid w:val="008B4B95"/>
    <w:rsid w:val="008B51A4"/>
    <w:rsid w:val="008C3D1E"/>
    <w:rsid w:val="008C5604"/>
    <w:rsid w:val="008C656A"/>
    <w:rsid w:val="008C66FA"/>
    <w:rsid w:val="008C7696"/>
    <w:rsid w:val="008C7F28"/>
    <w:rsid w:val="008D1752"/>
    <w:rsid w:val="008D1B27"/>
    <w:rsid w:val="008D32BF"/>
    <w:rsid w:val="008D3E51"/>
    <w:rsid w:val="008D5AB6"/>
    <w:rsid w:val="008D5DEA"/>
    <w:rsid w:val="008D6328"/>
    <w:rsid w:val="008E2D8A"/>
    <w:rsid w:val="008E444C"/>
    <w:rsid w:val="008E555B"/>
    <w:rsid w:val="008E703C"/>
    <w:rsid w:val="008E7E54"/>
    <w:rsid w:val="008F065F"/>
    <w:rsid w:val="008F0AE8"/>
    <w:rsid w:val="008F0C78"/>
    <w:rsid w:val="008F0F6A"/>
    <w:rsid w:val="008F440B"/>
    <w:rsid w:val="008F4C19"/>
    <w:rsid w:val="008F5022"/>
    <w:rsid w:val="008F71DB"/>
    <w:rsid w:val="009023B1"/>
    <w:rsid w:val="00902CFA"/>
    <w:rsid w:val="00904E3F"/>
    <w:rsid w:val="009056D7"/>
    <w:rsid w:val="0090658C"/>
    <w:rsid w:val="00906776"/>
    <w:rsid w:val="00913617"/>
    <w:rsid w:val="00913F9F"/>
    <w:rsid w:val="00914182"/>
    <w:rsid w:val="00916476"/>
    <w:rsid w:val="00917853"/>
    <w:rsid w:val="00920CD1"/>
    <w:rsid w:val="00920DB8"/>
    <w:rsid w:val="00921A47"/>
    <w:rsid w:val="00921BF9"/>
    <w:rsid w:val="00923F5F"/>
    <w:rsid w:val="0092460E"/>
    <w:rsid w:val="0092558D"/>
    <w:rsid w:val="009277CD"/>
    <w:rsid w:val="00927B3B"/>
    <w:rsid w:val="009301A4"/>
    <w:rsid w:val="00930F45"/>
    <w:rsid w:val="00934B5C"/>
    <w:rsid w:val="00936232"/>
    <w:rsid w:val="009372EB"/>
    <w:rsid w:val="00942812"/>
    <w:rsid w:val="009459E7"/>
    <w:rsid w:val="00945E25"/>
    <w:rsid w:val="00946A75"/>
    <w:rsid w:val="00946B78"/>
    <w:rsid w:val="00946CF8"/>
    <w:rsid w:val="009501F0"/>
    <w:rsid w:val="00951067"/>
    <w:rsid w:val="00951791"/>
    <w:rsid w:val="0095459B"/>
    <w:rsid w:val="009559F6"/>
    <w:rsid w:val="0095666F"/>
    <w:rsid w:val="009572CD"/>
    <w:rsid w:val="00960F82"/>
    <w:rsid w:val="009625B4"/>
    <w:rsid w:val="00964229"/>
    <w:rsid w:val="0096624C"/>
    <w:rsid w:val="0096744E"/>
    <w:rsid w:val="00967F75"/>
    <w:rsid w:val="00970083"/>
    <w:rsid w:val="009718DC"/>
    <w:rsid w:val="009779ED"/>
    <w:rsid w:val="00981AB2"/>
    <w:rsid w:val="00981EEB"/>
    <w:rsid w:val="00982B4E"/>
    <w:rsid w:val="00983D57"/>
    <w:rsid w:val="00987DD2"/>
    <w:rsid w:val="00991D79"/>
    <w:rsid w:val="00991E9A"/>
    <w:rsid w:val="00991ECF"/>
    <w:rsid w:val="009926BC"/>
    <w:rsid w:val="0099346D"/>
    <w:rsid w:val="009953B7"/>
    <w:rsid w:val="009A2168"/>
    <w:rsid w:val="009A3D5E"/>
    <w:rsid w:val="009A6C9A"/>
    <w:rsid w:val="009B2FE2"/>
    <w:rsid w:val="009B6E60"/>
    <w:rsid w:val="009B70CE"/>
    <w:rsid w:val="009C0520"/>
    <w:rsid w:val="009C096F"/>
    <w:rsid w:val="009C3A65"/>
    <w:rsid w:val="009D0420"/>
    <w:rsid w:val="009D27A5"/>
    <w:rsid w:val="009D45D6"/>
    <w:rsid w:val="009D47D3"/>
    <w:rsid w:val="009D5F64"/>
    <w:rsid w:val="009D6395"/>
    <w:rsid w:val="009D65A3"/>
    <w:rsid w:val="009D78B1"/>
    <w:rsid w:val="009E27A7"/>
    <w:rsid w:val="009F1D49"/>
    <w:rsid w:val="009F4A3B"/>
    <w:rsid w:val="009F6AEA"/>
    <w:rsid w:val="009F799E"/>
    <w:rsid w:val="00A010F2"/>
    <w:rsid w:val="00A02533"/>
    <w:rsid w:val="00A02B55"/>
    <w:rsid w:val="00A03E9C"/>
    <w:rsid w:val="00A03F1A"/>
    <w:rsid w:val="00A05057"/>
    <w:rsid w:val="00A0515A"/>
    <w:rsid w:val="00A065BF"/>
    <w:rsid w:val="00A071AB"/>
    <w:rsid w:val="00A07281"/>
    <w:rsid w:val="00A130EA"/>
    <w:rsid w:val="00A1356D"/>
    <w:rsid w:val="00A2167B"/>
    <w:rsid w:val="00A2167E"/>
    <w:rsid w:val="00A21A79"/>
    <w:rsid w:val="00A22EC1"/>
    <w:rsid w:val="00A23F45"/>
    <w:rsid w:val="00A3341E"/>
    <w:rsid w:val="00A33547"/>
    <w:rsid w:val="00A339C5"/>
    <w:rsid w:val="00A349AC"/>
    <w:rsid w:val="00A34DFD"/>
    <w:rsid w:val="00A373BB"/>
    <w:rsid w:val="00A37A87"/>
    <w:rsid w:val="00A37B62"/>
    <w:rsid w:val="00A37DE8"/>
    <w:rsid w:val="00A4011C"/>
    <w:rsid w:val="00A40B90"/>
    <w:rsid w:val="00A424A3"/>
    <w:rsid w:val="00A5015B"/>
    <w:rsid w:val="00A506F8"/>
    <w:rsid w:val="00A533A9"/>
    <w:rsid w:val="00A56F2D"/>
    <w:rsid w:val="00A57C16"/>
    <w:rsid w:val="00A62A17"/>
    <w:rsid w:val="00A63512"/>
    <w:rsid w:val="00A64196"/>
    <w:rsid w:val="00A64A1B"/>
    <w:rsid w:val="00A667B0"/>
    <w:rsid w:val="00A73146"/>
    <w:rsid w:val="00A73630"/>
    <w:rsid w:val="00A73F37"/>
    <w:rsid w:val="00A75A94"/>
    <w:rsid w:val="00A75F3A"/>
    <w:rsid w:val="00A7695F"/>
    <w:rsid w:val="00A812E1"/>
    <w:rsid w:val="00A81667"/>
    <w:rsid w:val="00A82BFF"/>
    <w:rsid w:val="00A84602"/>
    <w:rsid w:val="00A8526A"/>
    <w:rsid w:val="00A8776C"/>
    <w:rsid w:val="00A926C4"/>
    <w:rsid w:val="00A95102"/>
    <w:rsid w:val="00A9515A"/>
    <w:rsid w:val="00A95CB4"/>
    <w:rsid w:val="00AA0368"/>
    <w:rsid w:val="00AA1B25"/>
    <w:rsid w:val="00AA2911"/>
    <w:rsid w:val="00AA3B0F"/>
    <w:rsid w:val="00AA4068"/>
    <w:rsid w:val="00AA4ADC"/>
    <w:rsid w:val="00AA4CA8"/>
    <w:rsid w:val="00AA6946"/>
    <w:rsid w:val="00AB04D1"/>
    <w:rsid w:val="00AB129D"/>
    <w:rsid w:val="00AB20A7"/>
    <w:rsid w:val="00AB257D"/>
    <w:rsid w:val="00AB4950"/>
    <w:rsid w:val="00AB58B7"/>
    <w:rsid w:val="00AB59EB"/>
    <w:rsid w:val="00AB65C8"/>
    <w:rsid w:val="00AC0D2A"/>
    <w:rsid w:val="00AC2815"/>
    <w:rsid w:val="00AC33E4"/>
    <w:rsid w:val="00AC6DD0"/>
    <w:rsid w:val="00AC7228"/>
    <w:rsid w:val="00AD028F"/>
    <w:rsid w:val="00AD06D6"/>
    <w:rsid w:val="00AD40AE"/>
    <w:rsid w:val="00AD6F98"/>
    <w:rsid w:val="00AD73EA"/>
    <w:rsid w:val="00AE4837"/>
    <w:rsid w:val="00AE562A"/>
    <w:rsid w:val="00AE576F"/>
    <w:rsid w:val="00AE708E"/>
    <w:rsid w:val="00AE768B"/>
    <w:rsid w:val="00AF0A75"/>
    <w:rsid w:val="00AF0F94"/>
    <w:rsid w:val="00AF20B2"/>
    <w:rsid w:val="00AF7C99"/>
    <w:rsid w:val="00B02ABE"/>
    <w:rsid w:val="00B04E63"/>
    <w:rsid w:val="00B106E2"/>
    <w:rsid w:val="00B10D10"/>
    <w:rsid w:val="00B2097C"/>
    <w:rsid w:val="00B21703"/>
    <w:rsid w:val="00B21E52"/>
    <w:rsid w:val="00B224A8"/>
    <w:rsid w:val="00B23D3A"/>
    <w:rsid w:val="00B251FE"/>
    <w:rsid w:val="00B258CC"/>
    <w:rsid w:val="00B30201"/>
    <w:rsid w:val="00B336E5"/>
    <w:rsid w:val="00B37CE5"/>
    <w:rsid w:val="00B41E5B"/>
    <w:rsid w:val="00B44239"/>
    <w:rsid w:val="00B44E48"/>
    <w:rsid w:val="00B4547C"/>
    <w:rsid w:val="00B46902"/>
    <w:rsid w:val="00B5039D"/>
    <w:rsid w:val="00B5244E"/>
    <w:rsid w:val="00B526A8"/>
    <w:rsid w:val="00B53238"/>
    <w:rsid w:val="00B54570"/>
    <w:rsid w:val="00B547BD"/>
    <w:rsid w:val="00B54F42"/>
    <w:rsid w:val="00B621D4"/>
    <w:rsid w:val="00B63F77"/>
    <w:rsid w:val="00B64F65"/>
    <w:rsid w:val="00B65BE5"/>
    <w:rsid w:val="00B705A9"/>
    <w:rsid w:val="00B70E1F"/>
    <w:rsid w:val="00B72793"/>
    <w:rsid w:val="00B72C8B"/>
    <w:rsid w:val="00B74A1F"/>
    <w:rsid w:val="00B81449"/>
    <w:rsid w:val="00B860AC"/>
    <w:rsid w:val="00B8641A"/>
    <w:rsid w:val="00B86B18"/>
    <w:rsid w:val="00B86D33"/>
    <w:rsid w:val="00B9364D"/>
    <w:rsid w:val="00B960F0"/>
    <w:rsid w:val="00B96FDE"/>
    <w:rsid w:val="00BA160C"/>
    <w:rsid w:val="00BA1E9D"/>
    <w:rsid w:val="00BA3B06"/>
    <w:rsid w:val="00BA7016"/>
    <w:rsid w:val="00BB0801"/>
    <w:rsid w:val="00BB1C18"/>
    <w:rsid w:val="00BB23BB"/>
    <w:rsid w:val="00BB2D18"/>
    <w:rsid w:val="00BB7060"/>
    <w:rsid w:val="00BC26A3"/>
    <w:rsid w:val="00BC327D"/>
    <w:rsid w:val="00BC4C66"/>
    <w:rsid w:val="00BC578E"/>
    <w:rsid w:val="00BC58C2"/>
    <w:rsid w:val="00BC7BF9"/>
    <w:rsid w:val="00BD0EBD"/>
    <w:rsid w:val="00BD10D9"/>
    <w:rsid w:val="00BD1EF9"/>
    <w:rsid w:val="00BD35C6"/>
    <w:rsid w:val="00BD3B80"/>
    <w:rsid w:val="00BD40CB"/>
    <w:rsid w:val="00BD4708"/>
    <w:rsid w:val="00BE0127"/>
    <w:rsid w:val="00BE2208"/>
    <w:rsid w:val="00BE4432"/>
    <w:rsid w:val="00BE6D67"/>
    <w:rsid w:val="00BE7FB8"/>
    <w:rsid w:val="00BF0ACF"/>
    <w:rsid w:val="00BF0BE0"/>
    <w:rsid w:val="00BF194F"/>
    <w:rsid w:val="00BF2C51"/>
    <w:rsid w:val="00BF4BFE"/>
    <w:rsid w:val="00BF54A0"/>
    <w:rsid w:val="00BF572A"/>
    <w:rsid w:val="00C04898"/>
    <w:rsid w:val="00C11AA6"/>
    <w:rsid w:val="00C11F68"/>
    <w:rsid w:val="00C12399"/>
    <w:rsid w:val="00C134D0"/>
    <w:rsid w:val="00C15F0B"/>
    <w:rsid w:val="00C16FA3"/>
    <w:rsid w:val="00C2052A"/>
    <w:rsid w:val="00C241AF"/>
    <w:rsid w:val="00C25E05"/>
    <w:rsid w:val="00C27564"/>
    <w:rsid w:val="00C3076D"/>
    <w:rsid w:val="00C30BB4"/>
    <w:rsid w:val="00C316AA"/>
    <w:rsid w:val="00C31E89"/>
    <w:rsid w:val="00C326D5"/>
    <w:rsid w:val="00C35504"/>
    <w:rsid w:val="00C35E9F"/>
    <w:rsid w:val="00C403C2"/>
    <w:rsid w:val="00C42650"/>
    <w:rsid w:val="00C42F38"/>
    <w:rsid w:val="00C44558"/>
    <w:rsid w:val="00C44999"/>
    <w:rsid w:val="00C4521E"/>
    <w:rsid w:val="00C47D33"/>
    <w:rsid w:val="00C516E9"/>
    <w:rsid w:val="00C527B8"/>
    <w:rsid w:val="00C52C56"/>
    <w:rsid w:val="00C53C90"/>
    <w:rsid w:val="00C54EE8"/>
    <w:rsid w:val="00C5718C"/>
    <w:rsid w:val="00C6360A"/>
    <w:rsid w:val="00C63878"/>
    <w:rsid w:val="00C64778"/>
    <w:rsid w:val="00C64D5E"/>
    <w:rsid w:val="00C67E04"/>
    <w:rsid w:val="00C7019A"/>
    <w:rsid w:val="00C7282C"/>
    <w:rsid w:val="00C72900"/>
    <w:rsid w:val="00C72FC4"/>
    <w:rsid w:val="00C734EF"/>
    <w:rsid w:val="00C74F7C"/>
    <w:rsid w:val="00C82F6A"/>
    <w:rsid w:val="00C86590"/>
    <w:rsid w:val="00C86EB8"/>
    <w:rsid w:val="00C9429D"/>
    <w:rsid w:val="00C95A60"/>
    <w:rsid w:val="00C96D15"/>
    <w:rsid w:val="00C96E4F"/>
    <w:rsid w:val="00C972D8"/>
    <w:rsid w:val="00CA11C8"/>
    <w:rsid w:val="00CA1ED1"/>
    <w:rsid w:val="00CA68E9"/>
    <w:rsid w:val="00CB009D"/>
    <w:rsid w:val="00CB0F17"/>
    <w:rsid w:val="00CB757D"/>
    <w:rsid w:val="00CC09E5"/>
    <w:rsid w:val="00CC0AD9"/>
    <w:rsid w:val="00CC197E"/>
    <w:rsid w:val="00CC2854"/>
    <w:rsid w:val="00CC4318"/>
    <w:rsid w:val="00CC4914"/>
    <w:rsid w:val="00CC647B"/>
    <w:rsid w:val="00CC671D"/>
    <w:rsid w:val="00CC7A27"/>
    <w:rsid w:val="00CC7C7D"/>
    <w:rsid w:val="00CD3FB9"/>
    <w:rsid w:val="00CD4C3F"/>
    <w:rsid w:val="00CD4FC3"/>
    <w:rsid w:val="00CE076D"/>
    <w:rsid w:val="00CE3884"/>
    <w:rsid w:val="00CE4E21"/>
    <w:rsid w:val="00CE5043"/>
    <w:rsid w:val="00CE5A41"/>
    <w:rsid w:val="00CF5EFE"/>
    <w:rsid w:val="00CF631A"/>
    <w:rsid w:val="00CF7BEE"/>
    <w:rsid w:val="00D00E2A"/>
    <w:rsid w:val="00D03B7E"/>
    <w:rsid w:val="00D0421B"/>
    <w:rsid w:val="00D06694"/>
    <w:rsid w:val="00D06F14"/>
    <w:rsid w:val="00D070B7"/>
    <w:rsid w:val="00D10033"/>
    <w:rsid w:val="00D10D9B"/>
    <w:rsid w:val="00D117CE"/>
    <w:rsid w:val="00D16CE5"/>
    <w:rsid w:val="00D1747D"/>
    <w:rsid w:val="00D206D3"/>
    <w:rsid w:val="00D267BA"/>
    <w:rsid w:val="00D33D14"/>
    <w:rsid w:val="00D344E1"/>
    <w:rsid w:val="00D34880"/>
    <w:rsid w:val="00D35C6A"/>
    <w:rsid w:val="00D36946"/>
    <w:rsid w:val="00D37056"/>
    <w:rsid w:val="00D37B2D"/>
    <w:rsid w:val="00D431D3"/>
    <w:rsid w:val="00D43C6D"/>
    <w:rsid w:val="00D43E9A"/>
    <w:rsid w:val="00D443DC"/>
    <w:rsid w:val="00D4795F"/>
    <w:rsid w:val="00D50686"/>
    <w:rsid w:val="00D50711"/>
    <w:rsid w:val="00D52386"/>
    <w:rsid w:val="00D57775"/>
    <w:rsid w:val="00D61005"/>
    <w:rsid w:val="00D62735"/>
    <w:rsid w:val="00D63F8D"/>
    <w:rsid w:val="00D64D21"/>
    <w:rsid w:val="00D65C66"/>
    <w:rsid w:val="00D675F5"/>
    <w:rsid w:val="00D67F26"/>
    <w:rsid w:val="00D7090C"/>
    <w:rsid w:val="00D70C6B"/>
    <w:rsid w:val="00D71731"/>
    <w:rsid w:val="00D71E2A"/>
    <w:rsid w:val="00D75650"/>
    <w:rsid w:val="00D759DD"/>
    <w:rsid w:val="00D772A0"/>
    <w:rsid w:val="00D7794F"/>
    <w:rsid w:val="00D77D1B"/>
    <w:rsid w:val="00D77D6A"/>
    <w:rsid w:val="00D801E0"/>
    <w:rsid w:val="00D83BB5"/>
    <w:rsid w:val="00D83F4A"/>
    <w:rsid w:val="00D84BB7"/>
    <w:rsid w:val="00D84F13"/>
    <w:rsid w:val="00D8794C"/>
    <w:rsid w:val="00D92E6E"/>
    <w:rsid w:val="00D937F5"/>
    <w:rsid w:val="00D96DA8"/>
    <w:rsid w:val="00DA2BA9"/>
    <w:rsid w:val="00DA46F3"/>
    <w:rsid w:val="00DB03C6"/>
    <w:rsid w:val="00DB5983"/>
    <w:rsid w:val="00DB7692"/>
    <w:rsid w:val="00DB7E16"/>
    <w:rsid w:val="00DC23D0"/>
    <w:rsid w:val="00DC5602"/>
    <w:rsid w:val="00DC781B"/>
    <w:rsid w:val="00DC7F67"/>
    <w:rsid w:val="00DD10EF"/>
    <w:rsid w:val="00DD11A1"/>
    <w:rsid w:val="00DD17B3"/>
    <w:rsid w:val="00DD1C2F"/>
    <w:rsid w:val="00DD1DD6"/>
    <w:rsid w:val="00DD301B"/>
    <w:rsid w:val="00DE4E74"/>
    <w:rsid w:val="00DE78F1"/>
    <w:rsid w:val="00DF06DF"/>
    <w:rsid w:val="00DF0BF9"/>
    <w:rsid w:val="00DF185B"/>
    <w:rsid w:val="00DF1C0E"/>
    <w:rsid w:val="00DF524E"/>
    <w:rsid w:val="00DF5809"/>
    <w:rsid w:val="00DF5AF3"/>
    <w:rsid w:val="00E00953"/>
    <w:rsid w:val="00E009E2"/>
    <w:rsid w:val="00E02BF1"/>
    <w:rsid w:val="00E048A4"/>
    <w:rsid w:val="00E12678"/>
    <w:rsid w:val="00E20637"/>
    <w:rsid w:val="00E20BF8"/>
    <w:rsid w:val="00E20CCE"/>
    <w:rsid w:val="00E236C7"/>
    <w:rsid w:val="00E25737"/>
    <w:rsid w:val="00E26F10"/>
    <w:rsid w:val="00E26FDB"/>
    <w:rsid w:val="00E3096D"/>
    <w:rsid w:val="00E31156"/>
    <w:rsid w:val="00E329FA"/>
    <w:rsid w:val="00E32AF3"/>
    <w:rsid w:val="00E36291"/>
    <w:rsid w:val="00E40479"/>
    <w:rsid w:val="00E423A7"/>
    <w:rsid w:val="00E433A9"/>
    <w:rsid w:val="00E43FA7"/>
    <w:rsid w:val="00E5015A"/>
    <w:rsid w:val="00E5191D"/>
    <w:rsid w:val="00E52F65"/>
    <w:rsid w:val="00E54644"/>
    <w:rsid w:val="00E55229"/>
    <w:rsid w:val="00E56748"/>
    <w:rsid w:val="00E56843"/>
    <w:rsid w:val="00E67043"/>
    <w:rsid w:val="00E67312"/>
    <w:rsid w:val="00E674F1"/>
    <w:rsid w:val="00E707A9"/>
    <w:rsid w:val="00E7081A"/>
    <w:rsid w:val="00E71082"/>
    <w:rsid w:val="00E72A53"/>
    <w:rsid w:val="00E77FE5"/>
    <w:rsid w:val="00E80206"/>
    <w:rsid w:val="00E80476"/>
    <w:rsid w:val="00E82733"/>
    <w:rsid w:val="00E84ACB"/>
    <w:rsid w:val="00E874AF"/>
    <w:rsid w:val="00E874B3"/>
    <w:rsid w:val="00E9290C"/>
    <w:rsid w:val="00E93563"/>
    <w:rsid w:val="00E95FD6"/>
    <w:rsid w:val="00E97278"/>
    <w:rsid w:val="00EA50EE"/>
    <w:rsid w:val="00EA696A"/>
    <w:rsid w:val="00EA6B52"/>
    <w:rsid w:val="00EA7276"/>
    <w:rsid w:val="00EB4239"/>
    <w:rsid w:val="00EB7841"/>
    <w:rsid w:val="00EC39EF"/>
    <w:rsid w:val="00EC612E"/>
    <w:rsid w:val="00EC6269"/>
    <w:rsid w:val="00EC6B03"/>
    <w:rsid w:val="00ED1BAF"/>
    <w:rsid w:val="00ED1FB3"/>
    <w:rsid w:val="00ED2FA2"/>
    <w:rsid w:val="00ED3981"/>
    <w:rsid w:val="00ED4899"/>
    <w:rsid w:val="00ED54DF"/>
    <w:rsid w:val="00ED59B0"/>
    <w:rsid w:val="00ED6586"/>
    <w:rsid w:val="00ED6FAD"/>
    <w:rsid w:val="00EE19AF"/>
    <w:rsid w:val="00EE3C32"/>
    <w:rsid w:val="00EF00B2"/>
    <w:rsid w:val="00EF08E2"/>
    <w:rsid w:val="00EF0E70"/>
    <w:rsid w:val="00EF1E24"/>
    <w:rsid w:val="00EF3167"/>
    <w:rsid w:val="00EF3764"/>
    <w:rsid w:val="00EF494F"/>
    <w:rsid w:val="00F00394"/>
    <w:rsid w:val="00F01668"/>
    <w:rsid w:val="00F016BC"/>
    <w:rsid w:val="00F0229E"/>
    <w:rsid w:val="00F036CA"/>
    <w:rsid w:val="00F04553"/>
    <w:rsid w:val="00F0467A"/>
    <w:rsid w:val="00F05A55"/>
    <w:rsid w:val="00F061C9"/>
    <w:rsid w:val="00F11954"/>
    <w:rsid w:val="00F1514D"/>
    <w:rsid w:val="00F15A5F"/>
    <w:rsid w:val="00F15CCB"/>
    <w:rsid w:val="00F162C2"/>
    <w:rsid w:val="00F174F3"/>
    <w:rsid w:val="00F21946"/>
    <w:rsid w:val="00F21A27"/>
    <w:rsid w:val="00F26170"/>
    <w:rsid w:val="00F261F6"/>
    <w:rsid w:val="00F26430"/>
    <w:rsid w:val="00F27CF4"/>
    <w:rsid w:val="00F32099"/>
    <w:rsid w:val="00F33FF6"/>
    <w:rsid w:val="00F34812"/>
    <w:rsid w:val="00F35A96"/>
    <w:rsid w:val="00F3704A"/>
    <w:rsid w:val="00F416CB"/>
    <w:rsid w:val="00F44B9A"/>
    <w:rsid w:val="00F471F5"/>
    <w:rsid w:val="00F50CA5"/>
    <w:rsid w:val="00F50F28"/>
    <w:rsid w:val="00F524E3"/>
    <w:rsid w:val="00F526CA"/>
    <w:rsid w:val="00F548E6"/>
    <w:rsid w:val="00F60BFB"/>
    <w:rsid w:val="00F60DBC"/>
    <w:rsid w:val="00F61337"/>
    <w:rsid w:val="00F61802"/>
    <w:rsid w:val="00F62276"/>
    <w:rsid w:val="00F637BC"/>
    <w:rsid w:val="00F64CCC"/>
    <w:rsid w:val="00F6537E"/>
    <w:rsid w:val="00F65506"/>
    <w:rsid w:val="00F679D8"/>
    <w:rsid w:val="00F71375"/>
    <w:rsid w:val="00F7389D"/>
    <w:rsid w:val="00F73DE2"/>
    <w:rsid w:val="00F73E5C"/>
    <w:rsid w:val="00F74CFA"/>
    <w:rsid w:val="00F755F8"/>
    <w:rsid w:val="00F77C0A"/>
    <w:rsid w:val="00F81268"/>
    <w:rsid w:val="00F82C0B"/>
    <w:rsid w:val="00F909B1"/>
    <w:rsid w:val="00F91305"/>
    <w:rsid w:val="00F94ACF"/>
    <w:rsid w:val="00FA07F9"/>
    <w:rsid w:val="00FA3202"/>
    <w:rsid w:val="00FA3341"/>
    <w:rsid w:val="00FA5644"/>
    <w:rsid w:val="00FA72AE"/>
    <w:rsid w:val="00FB0894"/>
    <w:rsid w:val="00FB7590"/>
    <w:rsid w:val="00FC38B1"/>
    <w:rsid w:val="00FC4D61"/>
    <w:rsid w:val="00FC6146"/>
    <w:rsid w:val="00FC70E1"/>
    <w:rsid w:val="00FC7700"/>
    <w:rsid w:val="00FD3DD8"/>
    <w:rsid w:val="00FD47AC"/>
    <w:rsid w:val="00FD63D6"/>
    <w:rsid w:val="00FE12C5"/>
    <w:rsid w:val="00FE139B"/>
    <w:rsid w:val="00FE13F8"/>
    <w:rsid w:val="00FE169D"/>
    <w:rsid w:val="00FE289F"/>
    <w:rsid w:val="00FE2C51"/>
    <w:rsid w:val="00FE3DDD"/>
    <w:rsid w:val="00FE680F"/>
    <w:rsid w:val="00FF100F"/>
    <w:rsid w:val="00FF1312"/>
    <w:rsid w:val="00FF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7AA606B-DEBD-4BD9-9021-C070DE3C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D2E2F"/>
    <w:pPr>
      <w:widowControl w:val="0"/>
      <w:jc w:val="both"/>
    </w:pPr>
    <w:rPr>
      <w:rFonts w:ascii="Times New Roman" w:hAnsi="Times New Roman"/>
      <w:kern w:val="2"/>
      <w:sz w:val="21"/>
      <w:szCs w:val="24"/>
    </w:rPr>
  </w:style>
  <w:style w:type="paragraph" w:styleId="10">
    <w:name w:val="heading 1"/>
    <w:aliases w:val="Heading 0,H1,PIM 1,Heading 11,level 1,Level 1 Head,h1,123321,Level 1 Topic Heading"/>
    <w:basedOn w:val="a2"/>
    <w:next w:val="a2"/>
    <w:link w:val="1Char"/>
    <w:qFormat/>
    <w:rsid w:val="001D2E2F"/>
    <w:pPr>
      <w:keepNext/>
      <w:spacing w:beforeLines="100" w:afterLines="100"/>
      <w:ind w:firstLineChars="200" w:firstLine="200"/>
      <w:jc w:val="center"/>
      <w:outlineLvl w:val="0"/>
    </w:pPr>
    <w:rPr>
      <w:rFonts w:ascii="黑体" w:eastAsia="黑体"/>
      <w:sz w:val="32"/>
      <w:szCs w:val="32"/>
    </w:rPr>
  </w:style>
  <w:style w:type="paragraph" w:styleId="23">
    <w:name w:val="heading 2"/>
    <w:aliases w:val="标题 2 Char Char,H2,Heading 2 Hidden,Heading 2 CCBS,2nd level,h2,2,Header 2,PIM2,l2,Level 2 Head,proj2,proj21,proj22,proj23,proj24,proj25,proj26,proj27,proj28,proj29,proj210,proj211,proj212,proj221,proj231,proj241,proj251,proj261,proj271,proj281"/>
    <w:basedOn w:val="a2"/>
    <w:next w:val="a2"/>
    <w:link w:val="2Char"/>
    <w:qFormat/>
    <w:rsid w:val="001D2E2F"/>
    <w:pPr>
      <w:keepNext/>
      <w:keepLines/>
      <w:spacing w:beforeLines="100" w:afterLines="100"/>
      <w:ind w:firstLineChars="200" w:firstLine="200"/>
      <w:outlineLvl w:val="1"/>
    </w:pPr>
    <w:rPr>
      <w:rFonts w:ascii="Arial" w:hAnsi="Arial"/>
      <w:b/>
      <w:sz w:val="28"/>
      <w:szCs w:val="28"/>
    </w:rPr>
  </w:style>
  <w:style w:type="paragraph" w:styleId="31">
    <w:name w:val="heading 3"/>
    <w:aliases w:val="Heading 3 - old,H3,l3,CT,h3,3rd level,Level 3 Head,level_3,PIM 3,sect1.2.3,Bold Head,bh,3,heading 3,标题 4.1.1,Fab-3,sect1.2.31,sect1.2.32,sect1.2.311,sect1.2.33,sect1.2.312,Title3,sl3,Heading 3under,- Maj Side,prop3,3heading,Heading 31,Map,H31,HeadC"/>
    <w:basedOn w:val="a2"/>
    <w:next w:val="a2"/>
    <w:link w:val="3Char"/>
    <w:qFormat/>
    <w:rsid w:val="001D2E2F"/>
    <w:pPr>
      <w:numPr>
        <w:ilvl w:val="2"/>
        <w:numId w:val="5"/>
      </w:numPr>
      <w:spacing w:before="260" w:after="260" w:line="416" w:lineRule="auto"/>
      <w:outlineLvl w:val="2"/>
    </w:pPr>
    <w:rPr>
      <w:rFonts w:ascii="仿宋_GB2312" w:eastAsia="仿宋_GB2312"/>
      <w:sz w:val="24"/>
      <w:szCs w:val="20"/>
    </w:rPr>
  </w:style>
  <w:style w:type="paragraph" w:styleId="41">
    <w:name w:val="heading 4"/>
    <w:aliases w:val="H4,PIM 4,h4,Fab-4,T5,Ref Heading 1,rh1,Heading sql,sect 1.2.3.4"/>
    <w:basedOn w:val="a2"/>
    <w:next w:val="a2"/>
    <w:link w:val="4Char"/>
    <w:qFormat/>
    <w:rsid w:val="001D2E2F"/>
    <w:pPr>
      <w:keepNext/>
      <w:keepLines/>
      <w:numPr>
        <w:ilvl w:val="3"/>
        <w:numId w:val="4"/>
      </w:numPr>
      <w:spacing w:before="280" w:after="290" w:line="376" w:lineRule="auto"/>
      <w:ind w:firstLineChars="200" w:firstLine="200"/>
      <w:outlineLvl w:val="3"/>
    </w:pPr>
    <w:rPr>
      <w:rFonts w:ascii="Arial" w:eastAsia="黑体" w:hAnsi="Arial"/>
      <w:b/>
      <w:bCs/>
      <w:sz w:val="28"/>
      <w:szCs w:val="28"/>
    </w:rPr>
  </w:style>
  <w:style w:type="paragraph" w:styleId="51">
    <w:name w:val="heading 5"/>
    <w:basedOn w:val="a2"/>
    <w:next w:val="a2"/>
    <w:link w:val="5Char"/>
    <w:qFormat/>
    <w:rsid w:val="001D2E2F"/>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2"/>
    <w:next w:val="a2"/>
    <w:link w:val="6Char"/>
    <w:qFormat/>
    <w:rsid w:val="001D2E2F"/>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2"/>
    <w:next w:val="a2"/>
    <w:link w:val="7Char"/>
    <w:qFormat/>
    <w:rsid w:val="001D2E2F"/>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2"/>
    <w:next w:val="a2"/>
    <w:link w:val="8Char"/>
    <w:qFormat/>
    <w:rsid w:val="001D2E2F"/>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2"/>
    <w:next w:val="a2"/>
    <w:link w:val="9Char"/>
    <w:qFormat/>
    <w:rsid w:val="001D2E2F"/>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3"/>
    <w:link w:val="10"/>
    <w:rsid w:val="001D2E2F"/>
    <w:rPr>
      <w:rFonts w:ascii="黑体" w:eastAsia="黑体" w:hAnsi="Times New Roman" w:cs="Times New Roman"/>
      <w:sz w:val="32"/>
      <w:szCs w:val="32"/>
    </w:rPr>
  </w:style>
  <w:style w:type="character" w:customStyle="1" w:styleId="2Char">
    <w:name w:val="标题 2 Char"/>
    <w:aliases w:val="标题 2 Char Char Char,H2 Char,Heading 2 Hidden Char,Heading 2 CCBS Char,2nd level Char,h2 Char,2 Char,Header 2 Char,PIM2 Char,l2 Char,Level 2 Head Char,proj2 Char,proj21 Char,proj22 Char,proj23 Char,proj24 Char,proj25 Char,proj26 Char"/>
    <w:basedOn w:val="a3"/>
    <w:link w:val="23"/>
    <w:rsid w:val="001D2E2F"/>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3"/>
    <w:link w:val="31"/>
    <w:rsid w:val="001D2E2F"/>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3"/>
    <w:link w:val="41"/>
    <w:rsid w:val="001D2E2F"/>
    <w:rPr>
      <w:rFonts w:ascii="Arial" w:eastAsia="黑体" w:hAnsi="Arial"/>
      <w:b/>
      <w:bCs/>
      <w:kern w:val="2"/>
      <w:sz w:val="28"/>
      <w:szCs w:val="28"/>
    </w:rPr>
  </w:style>
  <w:style w:type="character" w:customStyle="1" w:styleId="5Char">
    <w:name w:val="标题 5 Char"/>
    <w:basedOn w:val="a3"/>
    <w:link w:val="51"/>
    <w:rsid w:val="001D2E2F"/>
    <w:rPr>
      <w:rFonts w:ascii="Times New Roman" w:hAnsi="Times New Roman"/>
      <w:b/>
      <w:bCs/>
      <w:kern w:val="2"/>
      <w:sz w:val="28"/>
      <w:szCs w:val="28"/>
    </w:rPr>
  </w:style>
  <w:style w:type="character" w:customStyle="1" w:styleId="6Char">
    <w:name w:val="标题 6 Char"/>
    <w:basedOn w:val="a3"/>
    <w:link w:val="6"/>
    <w:rsid w:val="001D2E2F"/>
    <w:rPr>
      <w:rFonts w:ascii="Arial" w:eastAsia="黑体" w:hAnsi="Arial"/>
      <w:b/>
      <w:bCs/>
      <w:kern w:val="2"/>
      <w:sz w:val="24"/>
      <w:szCs w:val="24"/>
    </w:rPr>
  </w:style>
  <w:style w:type="character" w:customStyle="1" w:styleId="7Char">
    <w:name w:val="标题 7 Char"/>
    <w:basedOn w:val="a3"/>
    <w:link w:val="7"/>
    <w:rsid w:val="001D2E2F"/>
    <w:rPr>
      <w:rFonts w:ascii="Times New Roman" w:hAnsi="Times New Roman"/>
      <w:b/>
      <w:bCs/>
      <w:kern w:val="2"/>
      <w:sz w:val="24"/>
      <w:szCs w:val="24"/>
    </w:rPr>
  </w:style>
  <w:style w:type="character" w:customStyle="1" w:styleId="8Char">
    <w:name w:val="标题 8 Char"/>
    <w:basedOn w:val="a3"/>
    <w:link w:val="8"/>
    <w:rsid w:val="001D2E2F"/>
    <w:rPr>
      <w:rFonts w:ascii="Arial" w:eastAsia="黑体" w:hAnsi="Arial"/>
      <w:kern w:val="2"/>
      <w:sz w:val="24"/>
      <w:szCs w:val="24"/>
    </w:rPr>
  </w:style>
  <w:style w:type="character" w:customStyle="1" w:styleId="9Char">
    <w:name w:val="标题 9 Char"/>
    <w:basedOn w:val="a3"/>
    <w:link w:val="9"/>
    <w:rsid w:val="001D2E2F"/>
    <w:rPr>
      <w:rFonts w:ascii="Arial" w:eastAsia="黑体" w:hAnsi="Arial"/>
      <w:kern w:val="2"/>
      <w:sz w:val="24"/>
      <w:szCs w:val="21"/>
    </w:rPr>
  </w:style>
  <w:style w:type="paragraph" w:customStyle="1" w:styleId="211">
    <w:name w:val="样式 标题 2 + 段前: 1 行 段后: 1 行"/>
    <w:basedOn w:val="23"/>
    <w:rsid w:val="001D2E2F"/>
    <w:pPr>
      <w:numPr>
        <w:numId w:val="3"/>
      </w:numPr>
      <w:spacing w:before="447" w:after="447"/>
    </w:pPr>
    <w:rPr>
      <w:b w:val="0"/>
      <w:szCs w:val="20"/>
    </w:rPr>
  </w:style>
  <w:style w:type="paragraph" w:customStyle="1" w:styleId="211211">
    <w:name w:val="样式 样式 标题 2 + 段前: 1 行 段后: 1 行2 + 段前: 1 行 段后: 1 行"/>
    <w:basedOn w:val="2112"/>
    <w:rsid w:val="001D2E2F"/>
    <w:pPr>
      <w:tabs>
        <w:tab w:val="num" w:pos="720"/>
      </w:tabs>
      <w:ind w:left="720" w:hanging="720"/>
    </w:pPr>
  </w:style>
  <w:style w:type="paragraph" w:customStyle="1" w:styleId="2112">
    <w:name w:val="样式 标题 2 + 段前: 1 行 段后: 1 行2"/>
    <w:basedOn w:val="23"/>
    <w:rsid w:val="001D2E2F"/>
    <w:rPr>
      <w:bCs/>
      <w:szCs w:val="20"/>
    </w:rPr>
  </w:style>
  <w:style w:type="paragraph" w:styleId="a6">
    <w:name w:val="Normal Indent"/>
    <w:aliases w:val="正文缩进1,ALT+Z"/>
    <w:basedOn w:val="a2"/>
    <w:rsid w:val="001D2E2F"/>
    <w:pPr>
      <w:ind w:firstLine="420"/>
    </w:pPr>
    <w:rPr>
      <w:szCs w:val="20"/>
    </w:rPr>
  </w:style>
  <w:style w:type="paragraph" w:styleId="11">
    <w:name w:val="toc 1"/>
    <w:basedOn w:val="a2"/>
    <w:next w:val="a2"/>
    <w:autoRedefine/>
    <w:uiPriority w:val="39"/>
    <w:rsid w:val="001D2E2F"/>
    <w:pPr>
      <w:tabs>
        <w:tab w:val="right" w:leader="dot" w:pos="8296"/>
      </w:tabs>
      <w:jc w:val="left"/>
    </w:pPr>
    <w:rPr>
      <w:rFonts w:ascii="宋体" w:eastAsia="黑体" w:hAnsi="宋体"/>
      <w:bCs/>
      <w:caps/>
      <w:noProof/>
      <w:kern w:val="44"/>
      <w:sz w:val="24"/>
      <w:szCs w:val="28"/>
    </w:rPr>
  </w:style>
  <w:style w:type="paragraph" w:styleId="24">
    <w:name w:val="toc 2"/>
    <w:basedOn w:val="a2"/>
    <w:next w:val="a2"/>
    <w:autoRedefine/>
    <w:uiPriority w:val="39"/>
    <w:rsid w:val="001D2E2F"/>
    <w:pPr>
      <w:ind w:left="320" w:firstLineChars="200" w:firstLine="200"/>
      <w:jc w:val="left"/>
    </w:pPr>
    <w:rPr>
      <w:rFonts w:eastAsia="仿宋_GB2312"/>
      <w:smallCaps/>
      <w:szCs w:val="20"/>
    </w:rPr>
  </w:style>
  <w:style w:type="paragraph" w:customStyle="1" w:styleId="12">
    <w:name w:val="样式 标题 1 + 黑体 非加粗"/>
    <w:basedOn w:val="10"/>
    <w:rsid w:val="001D2E2F"/>
    <w:pPr>
      <w:pageBreakBefore/>
    </w:pPr>
    <w:rPr>
      <w:rFonts w:hAnsi="黑体"/>
      <w:b/>
    </w:rPr>
  </w:style>
  <w:style w:type="paragraph" w:customStyle="1" w:styleId="111">
    <w:name w:val="样式 标题 1 + 段前: 1 行 段后: 1 行"/>
    <w:basedOn w:val="10"/>
    <w:rsid w:val="001D2E2F"/>
    <w:pPr>
      <w:pageBreakBefore/>
    </w:pPr>
    <w:rPr>
      <w:szCs w:val="20"/>
    </w:rPr>
  </w:style>
  <w:style w:type="paragraph" w:customStyle="1" w:styleId="115">
    <w:name w:val="样式 标题 1 + 段前: 1.5 行"/>
    <w:basedOn w:val="a2"/>
    <w:rsid w:val="001D2E2F"/>
    <w:pPr>
      <w:tabs>
        <w:tab w:val="num" w:pos="990"/>
      </w:tabs>
      <w:ind w:left="990" w:hanging="840"/>
    </w:pPr>
    <w:rPr>
      <w:sz w:val="24"/>
      <w:szCs w:val="20"/>
    </w:rPr>
  </w:style>
  <w:style w:type="paragraph" w:styleId="32">
    <w:name w:val="Body Text Indent 3"/>
    <w:basedOn w:val="a2"/>
    <w:link w:val="3Char0"/>
    <w:rsid w:val="001D2E2F"/>
    <w:pPr>
      <w:ind w:firstLineChars="200" w:firstLine="480"/>
    </w:pPr>
    <w:rPr>
      <w:rFonts w:ascii="宋体" w:hAnsi="宋体"/>
      <w:color w:val="FF0000"/>
      <w:sz w:val="24"/>
      <w:szCs w:val="20"/>
    </w:rPr>
  </w:style>
  <w:style w:type="character" w:customStyle="1" w:styleId="3Char0">
    <w:name w:val="正文文本缩进 3 Char"/>
    <w:basedOn w:val="a3"/>
    <w:link w:val="32"/>
    <w:rsid w:val="001D2E2F"/>
    <w:rPr>
      <w:rFonts w:ascii="宋体" w:eastAsia="宋体" w:hAnsi="宋体" w:cs="Times New Roman"/>
      <w:color w:val="FF0000"/>
      <w:sz w:val="24"/>
      <w:szCs w:val="20"/>
    </w:rPr>
  </w:style>
  <w:style w:type="paragraph" w:styleId="a7">
    <w:name w:val="Plain Text"/>
    <w:basedOn w:val="a2"/>
    <w:link w:val="Char"/>
    <w:rsid w:val="001D2E2F"/>
    <w:pPr>
      <w:ind w:firstLineChars="200" w:firstLine="200"/>
    </w:pPr>
    <w:rPr>
      <w:rFonts w:ascii="宋体" w:hAnsi="Courier New"/>
      <w:sz w:val="24"/>
      <w:szCs w:val="21"/>
    </w:rPr>
  </w:style>
  <w:style w:type="character" w:customStyle="1" w:styleId="Char">
    <w:name w:val="纯文本 Char"/>
    <w:basedOn w:val="a3"/>
    <w:link w:val="a7"/>
    <w:rsid w:val="001D2E2F"/>
    <w:rPr>
      <w:rFonts w:ascii="宋体" w:eastAsia="宋体" w:hAnsi="Courier New" w:cs="Times New Roman"/>
      <w:sz w:val="24"/>
      <w:szCs w:val="21"/>
    </w:rPr>
  </w:style>
  <w:style w:type="paragraph" w:styleId="a8">
    <w:name w:val="Body Text Indent"/>
    <w:basedOn w:val="a2"/>
    <w:link w:val="Char0"/>
    <w:rsid w:val="001D2E2F"/>
    <w:pPr>
      <w:ind w:firstLineChars="200" w:firstLine="480"/>
    </w:pPr>
    <w:rPr>
      <w:rFonts w:ascii="宋体" w:hAnsi="宋体"/>
      <w:sz w:val="24"/>
    </w:rPr>
  </w:style>
  <w:style w:type="character" w:customStyle="1" w:styleId="Char0">
    <w:name w:val="正文文本缩进 Char"/>
    <w:basedOn w:val="a3"/>
    <w:link w:val="a8"/>
    <w:rsid w:val="001D2E2F"/>
    <w:rPr>
      <w:rFonts w:ascii="宋体" w:eastAsia="宋体" w:hAnsi="宋体" w:cs="Times New Roman"/>
      <w:sz w:val="24"/>
      <w:szCs w:val="24"/>
    </w:rPr>
  </w:style>
  <w:style w:type="paragraph" w:customStyle="1" w:styleId="25">
    <w:name w:val="样式 首行缩进:  2 字符"/>
    <w:basedOn w:val="a2"/>
    <w:rsid w:val="001D2E2F"/>
    <w:pPr>
      <w:spacing w:before="100" w:beforeAutospacing="1" w:after="100" w:afterAutospacing="1" w:line="360" w:lineRule="auto"/>
      <w:ind w:firstLineChars="200" w:firstLine="480"/>
    </w:pPr>
    <w:rPr>
      <w:szCs w:val="20"/>
    </w:rPr>
  </w:style>
  <w:style w:type="paragraph" w:customStyle="1" w:styleId="2211">
    <w:name w:val="样式 标题 2 + 首行缩进:  2 字符 段前: 1 行 段后: 1 行"/>
    <w:basedOn w:val="23"/>
    <w:rsid w:val="001D2E2F"/>
    <w:pPr>
      <w:tabs>
        <w:tab w:val="num" w:pos="1319"/>
      </w:tabs>
      <w:ind w:left="1319" w:firstLineChars="0" w:hanging="420"/>
    </w:pPr>
    <w:rPr>
      <w:bCs/>
      <w:szCs w:val="20"/>
    </w:rPr>
  </w:style>
  <w:style w:type="character" w:styleId="a9">
    <w:name w:val="Hyperlink"/>
    <w:basedOn w:val="a3"/>
    <w:uiPriority w:val="99"/>
    <w:rsid w:val="001D2E2F"/>
    <w:rPr>
      <w:color w:val="0000FF"/>
      <w:u w:val="single"/>
    </w:rPr>
  </w:style>
  <w:style w:type="paragraph" w:styleId="aa">
    <w:name w:val="header"/>
    <w:basedOn w:val="a2"/>
    <w:link w:val="Char1"/>
    <w:uiPriority w:val="99"/>
    <w:rsid w:val="001D2E2F"/>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1">
    <w:name w:val="页眉 Char"/>
    <w:basedOn w:val="a3"/>
    <w:link w:val="aa"/>
    <w:uiPriority w:val="99"/>
    <w:rsid w:val="001D2E2F"/>
    <w:rPr>
      <w:rFonts w:ascii="Times New Roman" w:eastAsia="仿宋_GB2312" w:hAnsi="Times New Roman" w:cs="Times New Roman"/>
      <w:sz w:val="18"/>
      <w:szCs w:val="20"/>
    </w:rPr>
  </w:style>
  <w:style w:type="character" w:styleId="ab">
    <w:name w:val="page number"/>
    <w:basedOn w:val="a3"/>
    <w:rsid w:val="001D2E2F"/>
  </w:style>
  <w:style w:type="paragraph" w:styleId="ac">
    <w:name w:val="footer"/>
    <w:basedOn w:val="a2"/>
    <w:link w:val="Char2"/>
    <w:uiPriority w:val="99"/>
    <w:rsid w:val="001D2E2F"/>
    <w:pPr>
      <w:tabs>
        <w:tab w:val="center" w:pos="4153"/>
        <w:tab w:val="right" w:pos="8306"/>
      </w:tabs>
      <w:snapToGrid w:val="0"/>
      <w:ind w:firstLineChars="200" w:firstLine="200"/>
      <w:jc w:val="left"/>
    </w:pPr>
    <w:rPr>
      <w:rFonts w:eastAsia="仿宋_GB2312"/>
      <w:sz w:val="18"/>
      <w:szCs w:val="20"/>
    </w:rPr>
  </w:style>
  <w:style w:type="character" w:customStyle="1" w:styleId="Char2">
    <w:name w:val="页脚 Char"/>
    <w:basedOn w:val="a3"/>
    <w:link w:val="ac"/>
    <w:uiPriority w:val="99"/>
    <w:rsid w:val="001D2E2F"/>
    <w:rPr>
      <w:rFonts w:ascii="Times New Roman" w:eastAsia="仿宋_GB2312" w:hAnsi="Times New Roman" w:cs="Times New Roman"/>
      <w:sz w:val="18"/>
      <w:szCs w:val="20"/>
    </w:rPr>
  </w:style>
  <w:style w:type="paragraph" w:customStyle="1" w:styleId="2111111">
    <w:name w:val="样式 样式 样式 标题 2 + 段前: 1 行 段后: 1 行1 + 段前: 1 行 段后: 1 行 + 段前: 1 行 段后..."/>
    <w:basedOn w:val="a2"/>
    <w:rsid w:val="001D2E2F"/>
    <w:pPr>
      <w:keepNext/>
      <w:keepLines/>
      <w:numPr>
        <w:ilvl w:val="1"/>
        <w:numId w:val="4"/>
      </w:numPr>
      <w:spacing w:beforeLines="100" w:afterLines="100"/>
      <w:outlineLvl w:val="1"/>
    </w:pPr>
    <w:rPr>
      <w:rFonts w:ascii="Arial" w:hAnsi="Arial"/>
      <w:b/>
      <w:bCs/>
      <w:sz w:val="28"/>
      <w:szCs w:val="20"/>
    </w:rPr>
  </w:style>
  <w:style w:type="paragraph" w:styleId="26">
    <w:name w:val="Body Text Indent 2"/>
    <w:basedOn w:val="a2"/>
    <w:link w:val="2Char0"/>
    <w:rsid w:val="001D2E2F"/>
    <w:pPr>
      <w:autoSpaceDE w:val="0"/>
      <w:autoSpaceDN w:val="0"/>
      <w:adjustRightInd w:val="0"/>
      <w:ind w:firstLineChars="225" w:firstLine="540"/>
      <w:jc w:val="left"/>
    </w:pPr>
    <w:rPr>
      <w:rFonts w:ascii="宋体" w:hAnsi="宋体"/>
      <w:sz w:val="24"/>
    </w:rPr>
  </w:style>
  <w:style w:type="character" w:customStyle="1" w:styleId="2Char0">
    <w:name w:val="正文文本缩进 2 Char"/>
    <w:basedOn w:val="a3"/>
    <w:link w:val="26"/>
    <w:rsid w:val="001D2E2F"/>
    <w:rPr>
      <w:rFonts w:ascii="宋体" w:eastAsia="宋体" w:hAnsi="宋体" w:cs="Times New Roman"/>
      <w:sz w:val="24"/>
      <w:szCs w:val="24"/>
    </w:rPr>
  </w:style>
  <w:style w:type="paragraph" w:styleId="ad">
    <w:name w:val="Body Text"/>
    <w:aliases w:val="正文文字 Char Char Char Char Char Char Char"/>
    <w:basedOn w:val="a2"/>
    <w:link w:val="Char3"/>
    <w:rsid w:val="001D2E2F"/>
    <w:pPr>
      <w:autoSpaceDE w:val="0"/>
      <w:autoSpaceDN w:val="0"/>
      <w:adjustRightInd w:val="0"/>
      <w:jc w:val="left"/>
    </w:pPr>
    <w:rPr>
      <w:rFonts w:ascii="宋体"/>
      <w:kern w:val="0"/>
      <w:sz w:val="24"/>
    </w:rPr>
  </w:style>
  <w:style w:type="character" w:customStyle="1" w:styleId="Char3">
    <w:name w:val="正文文本 Char"/>
    <w:aliases w:val="正文文字 Char Char Char Char Char Char Char Char"/>
    <w:basedOn w:val="a3"/>
    <w:link w:val="ad"/>
    <w:rsid w:val="001D2E2F"/>
    <w:rPr>
      <w:rFonts w:ascii="宋体" w:eastAsia="宋体" w:hAnsi="Times New Roman" w:cs="Times New Roman"/>
      <w:kern w:val="0"/>
      <w:sz w:val="24"/>
      <w:szCs w:val="24"/>
    </w:rPr>
  </w:style>
  <w:style w:type="paragraph" w:customStyle="1" w:styleId="2111">
    <w:name w:val="样式 标题 2 + 段前: 1 行 段后: 1 行1"/>
    <w:basedOn w:val="23"/>
    <w:rsid w:val="001D2E2F"/>
    <w:pPr>
      <w:ind w:firstLineChars="0" w:firstLine="0"/>
    </w:pPr>
    <w:rPr>
      <w:bCs/>
      <w:szCs w:val="20"/>
    </w:rPr>
  </w:style>
  <w:style w:type="paragraph" w:customStyle="1" w:styleId="211111">
    <w:name w:val="样式 样式 标题 2 + 段前: 1 行 段后: 1 行1 + 段前: 1 行 段后: 1 行"/>
    <w:basedOn w:val="2111"/>
    <w:rsid w:val="001D2E2F"/>
  </w:style>
  <w:style w:type="paragraph" w:customStyle="1" w:styleId="1211">
    <w:name w:val="样式 标题 1 + 首行缩进:  2 字符 段前: 1 行 段后: 1 行"/>
    <w:basedOn w:val="10"/>
    <w:rsid w:val="001D2E2F"/>
    <w:pPr>
      <w:pageBreakBefore/>
      <w:ind w:firstLineChars="0" w:firstLine="0"/>
    </w:pPr>
    <w:rPr>
      <w:szCs w:val="20"/>
    </w:rPr>
  </w:style>
  <w:style w:type="paragraph" w:customStyle="1" w:styleId="22111">
    <w:name w:val="样式 标题 2 + 首行缩进:  2 字符 段前: 1 行 段后: 1 行1"/>
    <w:basedOn w:val="23"/>
    <w:rsid w:val="001D2E2F"/>
    <w:pPr>
      <w:ind w:firstLineChars="0" w:firstLine="0"/>
    </w:pPr>
    <w:rPr>
      <w:bCs/>
      <w:szCs w:val="20"/>
    </w:rPr>
  </w:style>
  <w:style w:type="paragraph" w:customStyle="1" w:styleId="2113">
    <w:name w:val="样式 标题 2 + 段前: 1 行 段后: 1 行3"/>
    <w:basedOn w:val="23"/>
    <w:rsid w:val="001D2E2F"/>
    <w:pPr>
      <w:ind w:firstLineChars="0" w:firstLine="0"/>
    </w:pPr>
    <w:rPr>
      <w:bCs/>
      <w:szCs w:val="20"/>
    </w:rPr>
  </w:style>
  <w:style w:type="paragraph" w:customStyle="1" w:styleId="211311">
    <w:name w:val="样式 样式 标题 2 + 段前: 1 行 段后: 1 行3 + 段前: 1 行 段后: 1 行"/>
    <w:basedOn w:val="2113"/>
    <w:rsid w:val="001D2E2F"/>
    <w:pPr>
      <w:spacing w:before="440" w:after="440"/>
      <w:jc w:val="center"/>
    </w:pPr>
  </w:style>
  <w:style w:type="paragraph" w:styleId="ae">
    <w:name w:val="Balloon Text"/>
    <w:basedOn w:val="a2"/>
    <w:link w:val="Char4"/>
    <w:semiHidden/>
    <w:rsid w:val="001D2E2F"/>
    <w:pPr>
      <w:ind w:firstLineChars="200" w:firstLine="200"/>
    </w:pPr>
    <w:rPr>
      <w:sz w:val="16"/>
      <w:szCs w:val="16"/>
    </w:rPr>
  </w:style>
  <w:style w:type="character" w:customStyle="1" w:styleId="Char4">
    <w:name w:val="批注框文本 Char"/>
    <w:basedOn w:val="a3"/>
    <w:link w:val="ae"/>
    <w:semiHidden/>
    <w:rsid w:val="001D2E2F"/>
    <w:rPr>
      <w:rFonts w:ascii="Times New Roman" w:eastAsia="宋体" w:hAnsi="Times New Roman" w:cs="Times New Roman"/>
      <w:sz w:val="16"/>
      <w:szCs w:val="16"/>
    </w:rPr>
  </w:style>
  <w:style w:type="paragraph" w:styleId="27">
    <w:name w:val="Body Text 2"/>
    <w:basedOn w:val="a2"/>
    <w:link w:val="2Char1"/>
    <w:rsid w:val="001D2E2F"/>
    <w:pPr>
      <w:widowControl/>
      <w:tabs>
        <w:tab w:val="left" w:pos="1470"/>
      </w:tabs>
      <w:autoSpaceDE w:val="0"/>
      <w:autoSpaceDN w:val="0"/>
      <w:spacing w:beforeLines="50" w:afterLines="50" w:line="360" w:lineRule="auto"/>
      <w:textAlignment w:val="bottom"/>
    </w:pPr>
    <w:rPr>
      <w:sz w:val="24"/>
    </w:rPr>
  </w:style>
  <w:style w:type="character" w:customStyle="1" w:styleId="2Char1">
    <w:name w:val="正文文本 2 Char"/>
    <w:basedOn w:val="a3"/>
    <w:link w:val="27"/>
    <w:rsid w:val="001D2E2F"/>
    <w:rPr>
      <w:rFonts w:ascii="Times New Roman" w:eastAsia="宋体" w:hAnsi="Times New Roman" w:cs="Times New Roman"/>
      <w:sz w:val="24"/>
      <w:szCs w:val="24"/>
    </w:rPr>
  </w:style>
  <w:style w:type="paragraph" w:styleId="af">
    <w:name w:val="footnote text"/>
    <w:basedOn w:val="a2"/>
    <w:link w:val="Char5"/>
    <w:semiHidden/>
    <w:rsid w:val="001D2E2F"/>
    <w:pPr>
      <w:snapToGrid w:val="0"/>
      <w:jc w:val="left"/>
    </w:pPr>
    <w:rPr>
      <w:sz w:val="18"/>
      <w:szCs w:val="18"/>
    </w:rPr>
  </w:style>
  <w:style w:type="character" w:customStyle="1" w:styleId="Char5">
    <w:name w:val="脚注文本 Char"/>
    <w:basedOn w:val="a3"/>
    <w:link w:val="af"/>
    <w:semiHidden/>
    <w:rsid w:val="001D2E2F"/>
    <w:rPr>
      <w:rFonts w:ascii="Times New Roman" w:eastAsia="宋体" w:hAnsi="Times New Roman" w:cs="Times New Roman"/>
      <w:sz w:val="18"/>
      <w:szCs w:val="18"/>
    </w:rPr>
  </w:style>
  <w:style w:type="paragraph" w:styleId="33">
    <w:name w:val="toc 3"/>
    <w:basedOn w:val="a2"/>
    <w:next w:val="a2"/>
    <w:autoRedefine/>
    <w:uiPriority w:val="39"/>
    <w:rsid w:val="001D2E2F"/>
    <w:pPr>
      <w:ind w:leftChars="400" w:left="840"/>
    </w:pPr>
    <w:rPr>
      <w:rFonts w:eastAsia="仿宋_GB2312"/>
    </w:rPr>
  </w:style>
  <w:style w:type="paragraph" w:styleId="42">
    <w:name w:val="toc 4"/>
    <w:basedOn w:val="a2"/>
    <w:next w:val="a2"/>
    <w:autoRedefine/>
    <w:uiPriority w:val="39"/>
    <w:rsid w:val="001D2E2F"/>
    <w:pPr>
      <w:ind w:leftChars="600" w:left="1260"/>
    </w:pPr>
  </w:style>
  <w:style w:type="paragraph" w:styleId="52">
    <w:name w:val="toc 5"/>
    <w:basedOn w:val="a2"/>
    <w:next w:val="a2"/>
    <w:autoRedefine/>
    <w:uiPriority w:val="39"/>
    <w:rsid w:val="001D2E2F"/>
    <w:pPr>
      <w:ind w:leftChars="800" w:left="1680"/>
    </w:pPr>
  </w:style>
  <w:style w:type="paragraph" w:styleId="60">
    <w:name w:val="toc 6"/>
    <w:basedOn w:val="a2"/>
    <w:next w:val="a2"/>
    <w:autoRedefine/>
    <w:uiPriority w:val="39"/>
    <w:rsid w:val="001D2E2F"/>
    <w:pPr>
      <w:ind w:leftChars="1000" w:left="2100"/>
    </w:pPr>
  </w:style>
  <w:style w:type="paragraph" w:styleId="70">
    <w:name w:val="toc 7"/>
    <w:basedOn w:val="a2"/>
    <w:next w:val="a2"/>
    <w:autoRedefine/>
    <w:uiPriority w:val="39"/>
    <w:rsid w:val="001D2E2F"/>
    <w:pPr>
      <w:ind w:leftChars="1200" w:left="2520"/>
    </w:pPr>
  </w:style>
  <w:style w:type="paragraph" w:styleId="80">
    <w:name w:val="toc 8"/>
    <w:basedOn w:val="a2"/>
    <w:next w:val="a2"/>
    <w:autoRedefine/>
    <w:uiPriority w:val="39"/>
    <w:rsid w:val="001D2E2F"/>
    <w:pPr>
      <w:ind w:leftChars="1400" w:left="2940"/>
    </w:pPr>
  </w:style>
  <w:style w:type="paragraph" w:styleId="90">
    <w:name w:val="toc 9"/>
    <w:basedOn w:val="a2"/>
    <w:next w:val="a2"/>
    <w:autoRedefine/>
    <w:uiPriority w:val="39"/>
    <w:rsid w:val="001D2E2F"/>
    <w:pPr>
      <w:ind w:leftChars="1600" w:left="3360"/>
    </w:pPr>
  </w:style>
  <w:style w:type="character" w:styleId="af0">
    <w:name w:val="footnote reference"/>
    <w:basedOn w:val="a3"/>
    <w:semiHidden/>
    <w:rsid w:val="001D2E2F"/>
    <w:rPr>
      <w:vertAlign w:val="superscript"/>
    </w:rPr>
  </w:style>
  <w:style w:type="paragraph" w:styleId="af1">
    <w:name w:val="Document Map"/>
    <w:basedOn w:val="a2"/>
    <w:link w:val="Char6"/>
    <w:semiHidden/>
    <w:rsid w:val="001D2E2F"/>
    <w:pPr>
      <w:shd w:val="clear" w:color="auto" w:fill="000080"/>
    </w:pPr>
  </w:style>
  <w:style w:type="character" w:customStyle="1" w:styleId="Char6">
    <w:name w:val="文档结构图 Char"/>
    <w:basedOn w:val="a3"/>
    <w:link w:val="af1"/>
    <w:semiHidden/>
    <w:rsid w:val="001D2E2F"/>
    <w:rPr>
      <w:rFonts w:ascii="Times New Roman" w:eastAsia="宋体" w:hAnsi="Times New Roman" w:cs="Times New Roman"/>
      <w:szCs w:val="24"/>
      <w:shd w:val="clear" w:color="auto" w:fill="000080"/>
    </w:rPr>
  </w:style>
  <w:style w:type="character" w:customStyle="1" w:styleId="big1">
    <w:name w:val="big1"/>
    <w:basedOn w:val="a3"/>
    <w:rsid w:val="001D2E2F"/>
    <w:rPr>
      <w:spacing w:val="360"/>
      <w:sz w:val="22"/>
      <w:szCs w:val="22"/>
    </w:rPr>
  </w:style>
  <w:style w:type="character" w:styleId="af2">
    <w:name w:val="FollowedHyperlink"/>
    <w:basedOn w:val="a3"/>
    <w:uiPriority w:val="99"/>
    <w:rsid w:val="001D2E2F"/>
    <w:rPr>
      <w:color w:val="800080"/>
      <w:u w:val="single"/>
    </w:rPr>
  </w:style>
  <w:style w:type="character" w:customStyle="1" w:styleId="sm1">
    <w:name w:val="sm1"/>
    <w:basedOn w:val="a3"/>
    <w:rsid w:val="001D2E2F"/>
    <w:rPr>
      <w:spacing w:val="280"/>
      <w:sz w:val="18"/>
      <w:szCs w:val="18"/>
    </w:rPr>
  </w:style>
  <w:style w:type="character" w:customStyle="1" w:styleId="md2">
    <w:name w:val="md2"/>
    <w:basedOn w:val="a3"/>
    <w:rsid w:val="001D2E2F"/>
    <w:rPr>
      <w:spacing w:val="300"/>
      <w:sz w:val="21"/>
      <w:szCs w:val="21"/>
    </w:rPr>
  </w:style>
  <w:style w:type="paragraph" w:customStyle="1" w:styleId="13">
    <w:name w:val="1"/>
    <w:basedOn w:val="a2"/>
    <w:rsid w:val="001D2E2F"/>
    <w:pPr>
      <w:spacing w:before="100" w:beforeAutospacing="1" w:after="120" w:afterAutospacing="1" w:line="360" w:lineRule="auto"/>
      <w:ind w:leftChars="200" w:left="420"/>
    </w:pPr>
  </w:style>
  <w:style w:type="character" w:customStyle="1" w:styleId="read1">
    <w:name w:val="read1"/>
    <w:basedOn w:val="a3"/>
    <w:rsid w:val="001D2E2F"/>
    <w:rPr>
      <w:rFonts w:ascii="ˎ̥" w:hAnsi="ˎ̥" w:hint="default"/>
      <w:strike w:val="0"/>
      <w:dstrike w:val="0"/>
      <w:color w:val="000000"/>
      <w:u w:val="none"/>
      <w:effect w:val="none"/>
    </w:rPr>
  </w:style>
  <w:style w:type="paragraph" w:customStyle="1" w:styleId="unnamed1">
    <w:name w:val="unnamed1"/>
    <w:basedOn w:val="a2"/>
    <w:rsid w:val="001D2E2F"/>
    <w:pPr>
      <w:widowControl/>
      <w:spacing w:before="60" w:after="60"/>
      <w:ind w:left="15" w:right="15"/>
      <w:jc w:val="left"/>
    </w:pPr>
    <w:rPr>
      <w:rFonts w:ascii="宋体" w:hAnsi="宋体" w:cs="Arial Unicode MS" w:hint="eastAsia"/>
      <w:color w:val="000000"/>
      <w:kern w:val="0"/>
      <w:sz w:val="18"/>
      <w:szCs w:val="18"/>
    </w:rPr>
  </w:style>
  <w:style w:type="paragraph" w:styleId="HTML">
    <w:name w:val="HTML Address"/>
    <w:basedOn w:val="a2"/>
    <w:link w:val="HTMLChar"/>
    <w:rsid w:val="001D2E2F"/>
    <w:rPr>
      <w:i/>
      <w:iCs/>
    </w:rPr>
  </w:style>
  <w:style w:type="character" w:customStyle="1" w:styleId="HTMLChar">
    <w:name w:val="HTML 地址 Char"/>
    <w:basedOn w:val="a3"/>
    <w:link w:val="HTML"/>
    <w:rsid w:val="001D2E2F"/>
    <w:rPr>
      <w:rFonts w:ascii="Times New Roman" w:eastAsia="宋体" w:hAnsi="Times New Roman" w:cs="Times New Roman"/>
      <w:i/>
      <w:iCs/>
      <w:szCs w:val="24"/>
    </w:rPr>
  </w:style>
  <w:style w:type="paragraph" w:styleId="HTML0">
    <w:name w:val="HTML Preformatted"/>
    <w:basedOn w:val="a2"/>
    <w:link w:val="HTMLChar0"/>
    <w:uiPriority w:val="99"/>
    <w:rsid w:val="001D2E2F"/>
    <w:rPr>
      <w:rFonts w:ascii="Courier New" w:hAnsi="Courier New" w:cs="Courier New"/>
      <w:sz w:val="20"/>
      <w:szCs w:val="20"/>
    </w:rPr>
  </w:style>
  <w:style w:type="character" w:customStyle="1" w:styleId="HTMLChar0">
    <w:name w:val="HTML 预设格式 Char"/>
    <w:basedOn w:val="a3"/>
    <w:link w:val="HTML0"/>
    <w:uiPriority w:val="99"/>
    <w:rsid w:val="001D2E2F"/>
    <w:rPr>
      <w:rFonts w:ascii="Courier New" w:eastAsia="宋体" w:hAnsi="Courier New" w:cs="Courier New"/>
      <w:sz w:val="20"/>
      <w:szCs w:val="20"/>
    </w:rPr>
  </w:style>
  <w:style w:type="paragraph" w:styleId="af3">
    <w:name w:val="Title"/>
    <w:basedOn w:val="a2"/>
    <w:link w:val="Char7"/>
    <w:qFormat/>
    <w:rsid w:val="001D2E2F"/>
    <w:pPr>
      <w:spacing w:before="240" w:after="60"/>
      <w:jc w:val="center"/>
      <w:outlineLvl w:val="0"/>
    </w:pPr>
    <w:rPr>
      <w:rFonts w:ascii="Arial" w:hAnsi="Arial" w:cs="Arial"/>
      <w:b/>
      <w:bCs/>
      <w:sz w:val="32"/>
      <w:szCs w:val="32"/>
    </w:rPr>
  </w:style>
  <w:style w:type="character" w:customStyle="1" w:styleId="Char7">
    <w:name w:val="标题 Char"/>
    <w:basedOn w:val="a3"/>
    <w:link w:val="af3"/>
    <w:rsid w:val="001D2E2F"/>
    <w:rPr>
      <w:rFonts w:ascii="Arial" w:eastAsia="宋体" w:hAnsi="Arial" w:cs="Arial"/>
      <w:b/>
      <w:bCs/>
      <w:sz w:val="32"/>
      <w:szCs w:val="32"/>
    </w:rPr>
  </w:style>
  <w:style w:type="paragraph" w:styleId="af4">
    <w:name w:val="Salutation"/>
    <w:basedOn w:val="a2"/>
    <w:next w:val="a2"/>
    <w:link w:val="Char8"/>
    <w:rsid w:val="001D2E2F"/>
  </w:style>
  <w:style w:type="character" w:customStyle="1" w:styleId="Char8">
    <w:name w:val="称呼 Char"/>
    <w:basedOn w:val="a3"/>
    <w:link w:val="af4"/>
    <w:rsid w:val="001D2E2F"/>
    <w:rPr>
      <w:rFonts w:ascii="Times New Roman" w:eastAsia="宋体" w:hAnsi="Times New Roman" w:cs="Times New Roman"/>
      <w:szCs w:val="24"/>
    </w:rPr>
  </w:style>
  <w:style w:type="paragraph" w:styleId="af5">
    <w:name w:val="E-mail Signature"/>
    <w:basedOn w:val="a2"/>
    <w:link w:val="Char9"/>
    <w:rsid w:val="001D2E2F"/>
  </w:style>
  <w:style w:type="character" w:customStyle="1" w:styleId="Char9">
    <w:name w:val="电子邮件签名 Char"/>
    <w:basedOn w:val="a3"/>
    <w:link w:val="af5"/>
    <w:rsid w:val="001D2E2F"/>
    <w:rPr>
      <w:rFonts w:ascii="Times New Roman" w:eastAsia="宋体" w:hAnsi="Times New Roman" w:cs="Times New Roman"/>
      <w:szCs w:val="24"/>
    </w:rPr>
  </w:style>
  <w:style w:type="paragraph" w:styleId="af6">
    <w:name w:val="macro"/>
    <w:link w:val="Chara"/>
    <w:semiHidden/>
    <w:rsid w:val="001D2E2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a">
    <w:name w:val="宏文本 Char"/>
    <w:basedOn w:val="a3"/>
    <w:link w:val="af6"/>
    <w:semiHidden/>
    <w:rsid w:val="001D2E2F"/>
    <w:rPr>
      <w:rFonts w:ascii="Courier New" w:hAnsi="Courier New" w:cs="Courier New"/>
      <w:kern w:val="2"/>
      <w:sz w:val="24"/>
      <w:szCs w:val="24"/>
      <w:lang w:val="en-US" w:eastAsia="zh-CN" w:bidi="ar-SA"/>
    </w:rPr>
  </w:style>
  <w:style w:type="paragraph" w:styleId="af7">
    <w:name w:val="envelope return"/>
    <w:basedOn w:val="a2"/>
    <w:rsid w:val="001D2E2F"/>
    <w:pPr>
      <w:snapToGrid w:val="0"/>
    </w:pPr>
    <w:rPr>
      <w:rFonts w:ascii="Arial" w:hAnsi="Arial" w:cs="Arial"/>
    </w:rPr>
  </w:style>
  <w:style w:type="paragraph" w:styleId="af8">
    <w:name w:val="Closing"/>
    <w:basedOn w:val="a2"/>
    <w:link w:val="Charb"/>
    <w:rsid w:val="001D2E2F"/>
    <w:pPr>
      <w:ind w:leftChars="2100" w:left="100"/>
    </w:pPr>
  </w:style>
  <w:style w:type="character" w:customStyle="1" w:styleId="Charb">
    <w:name w:val="结束语 Char"/>
    <w:basedOn w:val="a3"/>
    <w:link w:val="af8"/>
    <w:rsid w:val="001D2E2F"/>
    <w:rPr>
      <w:rFonts w:ascii="Times New Roman" w:eastAsia="宋体" w:hAnsi="Times New Roman" w:cs="Times New Roman"/>
      <w:szCs w:val="24"/>
    </w:rPr>
  </w:style>
  <w:style w:type="paragraph" w:styleId="af9">
    <w:name w:val="List"/>
    <w:basedOn w:val="a2"/>
    <w:rsid w:val="001D2E2F"/>
    <w:pPr>
      <w:ind w:left="200" w:hangingChars="200" w:hanging="200"/>
    </w:pPr>
  </w:style>
  <w:style w:type="paragraph" w:styleId="28">
    <w:name w:val="List 2"/>
    <w:basedOn w:val="a2"/>
    <w:rsid w:val="001D2E2F"/>
    <w:pPr>
      <w:ind w:leftChars="200" w:left="100" w:hangingChars="200" w:hanging="200"/>
    </w:pPr>
  </w:style>
  <w:style w:type="paragraph" w:styleId="34">
    <w:name w:val="List 3"/>
    <w:basedOn w:val="a2"/>
    <w:rsid w:val="001D2E2F"/>
    <w:pPr>
      <w:ind w:leftChars="400" w:left="100" w:hangingChars="200" w:hanging="200"/>
    </w:pPr>
  </w:style>
  <w:style w:type="paragraph" w:styleId="43">
    <w:name w:val="List 4"/>
    <w:basedOn w:val="a2"/>
    <w:rsid w:val="001D2E2F"/>
    <w:pPr>
      <w:ind w:leftChars="600" w:left="100" w:hangingChars="200" w:hanging="200"/>
    </w:pPr>
  </w:style>
  <w:style w:type="paragraph" w:styleId="53">
    <w:name w:val="List 5"/>
    <w:basedOn w:val="a2"/>
    <w:rsid w:val="001D2E2F"/>
    <w:pPr>
      <w:ind w:leftChars="800" w:left="100" w:hangingChars="200" w:hanging="200"/>
    </w:pPr>
  </w:style>
  <w:style w:type="paragraph" w:styleId="a">
    <w:name w:val="List Number"/>
    <w:basedOn w:val="a2"/>
    <w:rsid w:val="001D2E2F"/>
    <w:pPr>
      <w:numPr>
        <w:numId w:val="9"/>
      </w:numPr>
    </w:pPr>
  </w:style>
  <w:style w:type="paragraph" w:styleId="2">
    <w:name w:val="List Number 2"/>
    <w:basedOn w:val="a2"/>
    <w:rsid w:val="001D2E2F"/>
    <w:pPr>
      <w:numPr>
        <w:numId w:val="10"/>
      </w:numPr>
    </w:pPr>
  </w:style>
  <w:style w:type="paragraph" w:styleId="3">
    <w:name w:val="List Number 3"/>
    <w:basedOn w:val="a2"/>
    <w:rsid w:val="001D2E2F"/>
    <w:pPr>
      <w:numPr>
        <w:numId w:val="11"/>
      </w:numPr>
    </w:pPr>
  </w:style>
  <w:style w:type="paragraph" w:styleId="4">
    <w:name w:val="List Number 4"/>
    <w:basedOn w:val="a2"/>
    <w:rsid w:val="001D2E2F"/>
    <w:pPr>
      <w:numPr>
        <w:numId w:val="12"/>
      </w:numPr>
    </w:pPr>
  </w:style>
  <w:style w:type="paragraph" w:styleId="5">
    <w:name w:val="List Number 5"/>
    <w:basedOn w:val="a2"/>
    <w:rsid w:val="001D2E2F"/>
    <w:pPr>
      <w:numPr>
        <w:numId w:val="13"/>
      </w:numPr>
    </w:pPr>
  </w:style>
  <w:style w:type="paragraph" w:styleId="afa">
    <w:name w:val="List Continue"/>
    <w:basedOn w:val="a2"/>
    <w:rsid w:val="001D2E2F"/>
    <w:pPr>
      <w:spacing w:after="120"/>
      <w:ind w:leftChars="200" w:left="420"/>
    </w:pPr>
  </w:style>
  <w:style w:type="paragraph" w:styleId="29">
    <w:name w:val="List Continue 2"/>
    <w:basedOn w:val="a2"/>
    <w:rsid w:val="001D2E2F"/>
    <w:pPr>
      <w:spacing w:after="120"/>
      <w:ind w:leftChars="400" w:left="840"/>
    </w:pPr>
  </w:style>
  <w:style w:type="paragraph" w:styleId="35">
    <w:name w:val="List Continue 3"/>
    <w:basedOn w:val="a2"/>
    <w:rsid w:val="001D2E2F"/>
    <w:pPr>
      <w:spacing w:after="120"/>
      <w:ind w:leftChars="600" w:left="1260"/>
    </w:pPr>
  </w:style>
  <w:style w:type="paragraph" w:styleId="44">
    <w:name w:val="List Continue 4"/>
    <w:basedOn w:val="a2"/>
    <w:rsid w:val="001D2E2F"/>
    <w:pPr>
      <w:spacing w:after="120"/>
      <w:ind w:leftChars="800" w:left="1680"/>
    </w:pPr>
  </w:style>
  <w:style w:type="paragraph" w:styleId="54">
    <w:name w:val="List Continue 5"/>
    <w:basedOn w:val="a2"/>
    <w:rsid w:val="001D2E2F"/>
    <w:pPr>
      <w:spacing w:after="120"/>
      <w:ind w:leftChars="1000" w:left="2100"/>
    </w:pPr>
  </w:style>
  <w:style w:type="paragraph" w:styleId="a0">
    <w:name w:val="List Bullet"/>
    <w:basedOn w:val="a2"/>
    <w:autoRedefine/>
    <w:rsid w:val="001D2E2F"/>
    <w:pPr>
      <w:numPr>
        <w:numId w:val="14"/>
      </w:numPr>
    </w:pPr>
  </w:style>
  <w:style w:type="paragraph" w:styleId="20">
    <w:name w:val="List Bullet 2"/>
    <w:basedOn w:val="a2"/>
    <w:autoRedefine/>
    <w:rsid w:val="001D2E2F"/>
    <w:pPr>
      <w:numPr>
        <w:numId w:val="15"/>
      </w:numPr>
    </w:pPr>
  </w:style>
  <w:style w:type="paragraph" w:styleId="30">
    <w:name w:val="List Bullet 3"/>
    <w:basedOn w:val="a2"/>
    <w:autoRedefine/>
    <w:rsid w:val="001D2E2F"/>
    <w:pPr>
      <w:numPr>
        <w:numId w:val="16"/>
      </w:numPr>
    </w:pPr>
  </w:style>
  <w:style w:type="paragraph" w:styleId="40">
    <w:name w:val="List Bullet 4"/>
    <w:basedOn w:val="a2"/>
    <w:autoRedefine/>
    <w:rsid w:val="001D2E2F"/>
    <w:pPr>
      <w:numPr>
        <w:numId w:val="17"/>
      </w:numPr>
    </w:pPr>
  </w:style>
  <w:style w:type="paragraph" w:styleId="50">
    <w:name w:val="List Bullet 5"/>
    <w:basedOn w:val="a2"/>
    <w:autoRedefine/>
    <w:rsid w:val="001D2E2F"/>
    <w:pPr>
      <w:numPr>
        <w:numId w:val="18"/>
      </w:numPr>
    </w:pPr>
  </w:style>
  <w:style w:type="paragraph" w:styleId="afb">
    <w:name w:val="annotation text"/>
    <w:basedOn w:val="a2"/>
    <w:link w:val="Charc"/>
    <w:semiHidden/>
    <w:rsid w:val="001D2E2F"/>
    <w:pPr>
      <w:jc w:val="left"/>
    </w:pPr>
  </w:style>
  <w:style w:type="character" w:customStyle="1" w:styleId="Charc">
    <w:name w:val="批注文字 Char"/>
    <w:basedOn w:val="a3"/>
    <w:link w:val="afb"/>
    <w:semiHidden/>
    <w:rsid w:val="001D2E2F"/>
    <w:rPr>
      <w:rFonts w:ascii="Times New Roman" w:eastAsia="宋体" w:hAnsi="Times New Roman" w:cs="Times New Roman"/>
      <w:szCs w:val="24"/>
    </w:rPr>
  </w:style>
  <w:style w:type="paragraph" w:styleId="afc">
    <w:name w:val="Normal (Web)"/>
    <w:basedOn w:val="a2"/>
    <w:rsid w:val="001D2E2F"/>
    <w:rPr>
      <w:sz w:val="24"/>
    </w:rPr>
  </w:style>
  <w:style w:type="paragraph" w:styleId="afd">
    <w:name w:val="Signature"/>
    <w:basedOn w:val="a2"/>
    <w:link w:val="Chard"/>
    <w:rsid w:val="001D2E2F"/>
    <w:pPr>
      <w:ind w:leftChars="2100" w:left="100"/>
    </w:pPr>
  </w:style>
  <w:style w:type="character" w:customStyle="1" w:styleId="Chard">
    <w:name w:val="签名 Char"/>
    <w:basedOn w:val="a3"/>
    <w:link w:val="afd"/>
    <w:rsid w:val="001D2E2F"/>
    <w:rPr>
      <w:rFonts w:ascii="Times New Roman" w:eastAsia="宋体" w:hAnsi="Times New Roman" w:cs="Times New Roman"/>
      <w:szCs w:val="24"/>
    </w:rPr>
  </w:style>
  <w:style w:type="paragraph" w:styleId="afe">
    <w:name w:val="Date"/>
    <w:basedOn w:val="a2"/>
    <w:next w:val="a2"/>
    <w:link w:val="Chare"/>
    <w:rsid w:val="001D2E2F"/>
    <w:pPr>
      <w:ind w:leftChars="2500" w:left="100"/>
    </w:pPr>
  </w:style>
  <w:style w:type="character" w:customStyle="1" w:styleId="Chare">
    <w:name w:val="日期 Char"/>
    <w:basedOn w:val="a3"/>
    <w:link w:val="afe"/>
    <w:rsid w:val="001D2E2F"/>
    <w:rPr>
      <w:rFonts w:ascii="Times New Roman" w:eastAsia="宋体" w:hAnsi="Times New Roman" w:cs="Times New Roman"/>
      <w:szCs w:val="24"/>
    </w:rPr>
  </w:style>
  <w:style w:type="paragraph" w:styleId="14">
    <w:name w:val="index 1"/>
    <w:basedOn w:val="a2"/>
    <w:next w:val="a2"/>
    <w:autoRedefine/>
    <w:semiHidden/>
    <w:rsid w:val="001D2E2F"/>
  </w:style>
  <w:style w:type="paragraph" w:styleId="2a">
    <w:name w:val="index 2"/>
    <w:basedOn w:val="a2"/>
    <w:next w:val="a2"/>
    <w:autoRedefine/>
    <w:semiHidden/>
    <w:rsid w:val="001D2E2F"/>
    <w:pPr>
      <w:ind w:leftChars="200" w:left="200"/>
    </w:pPr>
  </w:style>
  <w:style w:type="paragraph" w:styleId="36">
    <w:name w:val="index 3"/>
    <w:basedOn w:val="a2"/>
    <w:next w:val="a2"/>
    <w:autoRedefine/>
    <w:semiHidden/>
    <w:rsid w:val="001D2E2F"/>
    <w:pPr>
      <w:ind w:leftChars="400" w:left="400"/>
    </w:pPr>
  </w:style>
  <w:style w:type="paragraph" w:styleId="45">
    <w:name w:val="index 4"/>
    <w:basedOn w:val="a2"/>
    <w:next w:val="a2"/>
    <w:autoRedefine/>
    <w:semiHidden/>
    <w:rsid w:val="001D2E2F"/>
    <w:pPr>
      <w:ind w:leftChars="600" w:left="600"/>
    </w:pPr>
  </w:style>
  <w:style w:type="paragraph" w:styleId="55">
    <w:name w:val="index 5"/>
    <w:basedOn w:val="a2"/>
    <w:next w:val="a2"/>
    <w:autoRedefine/>
    <w:semiHidden/>
    <w:rsid w:val="001D2E2F"/>
    <w:pPr>
      <w:ind w:leftChars="800" w:left="800"/>
    </w:pPr>
  </w:style>
  <w:style w:type="paragraph" w:styleId="61">
    <w:name w:val="index 6"/>
    <w:basedOn w:val="a2"/>
    <w:next w:val="a2"/>
    <w:autoRedefine/>
    <w:semiHidden/>
    <w:rsid w:val="001D2E2F"/>
    <w:pPr>
      <w:ind w:leftChars="1000" w:left="1000"/>
    </w:pPr>
  </w:style>
  <w:style w:type="paragraph" w:styleId="71">
    <w:name w:val="index 7"/>
    <w:basedOn w:val="a2"/>
    <w:next w:val="a2"/>
    <w:autoRedefine/>
    <w:semiHidden/>
    <w:rsid w:val="001D2E2F"/>
    <w:pPr>
      <w:ind w:leftChars="1200" w:left="1200"/>
    </w:pPr>
  </w:style>
  <w:style w:type="paragraph" w:styleId="81">
    <w:name w:val="index 8"/>
    <w:basedOn w:val="a2"/>
    <w:next w:val="a2"/>
    <w:autoRedefine/>
    <w:semiHidden/>
    <w:rsid w:val="001D2E2F"/>
    <w:pPr>
      <w:ind w:leftChars="1400" w:left="1400"/>
    </w:pPr>
  </w:style>
  <w:style w:type="paragraph" w:styleId="91">
    <w:name w:val="index 9"/>
    <w:basedOn w:val="a2"/>
    <w:next w:val="a2"/>
    <w:autoRedefine/>
    <w:semiHidden/>
    <w:rsid w:val="001D2E2F"/>
    <w:pPr>
      <w:ind w:leftChars="1600" w:left="1600"/>
    </w:pPr>
  </w:style>
  <w:style w:type="paragraph" w:styleId="aff">
    <w:name w:val="index heading"/>
    <w:basedOn w:val="a2"/>
    <w:next w:val="14"/>
    <w:semiHidden/>
    <w:rsid w:val="001D2E2F"/>
    <w:rPr>
      <w:rFonts w:ascii="Arial" w:hAnsi="Arial" w:cs="Arial"/>
      <w:b/>
      <w:bCs/>
    </w:rPr>
  </w:style>
  <w:style w:type="paragraph" w:styleId="aff0">
    <w:name w:val="Subtitle"/>
    <w:basedOn w:val="a2"/>
    <w:link w:val="Charf"/>
    <w:qFormat/>
    <w:rsid w:val="001D2E2F"/>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3"/>
    <w:link w:val="aff0"/>
    <w:rsid w:val="001D2E2F"/>
    <w:rPr>
      <w:rFonts w:ascii="Arial" w:eastAsia="宋体" w:hAnsi="Arial" w:cs="Arial"/>
      <w:b/>
      <w:bCs/>
      <w:kern w:val="28"/>
      <w:sz w:val="32"/>
      <w:szCs w:val="32"/>
    </w:rPr>
  </w:style>
  <w:style w:type="paragraph" w:styleId="aff1">
    <w:name w:val="caption"/>
    <w:basedOn w:val="a2"/>
    <w:next w:val="a2"/>
    <w:qFormat/>
    <w:rsid w:val="001D2E2F"/>
    <w:pPr>
      <w:spacing w:before="152" w:after="160"/>
    </w:pPr>
    <w:rPr>
      <w:rFonts w:ascii="Arial" w:eastAsia="黑体" w:hAnsi="Arial" w:cs="Arial"/>
      <w:sz w:val="20"/>
      <w:szCs w:val="20"/>
    </w:rPr>
  </w:style>
  <w:style w:type="paragraph" w:styleId="aff2">
    <w:name w:val="table of figures"/>
    <w:basedOn w:val="a2"/>
    <w:next w:val="a2"/>
    <w:semiHidden/>
    <w:rsid w:val="001D2E2F"/>
    <w:pPr>
      <w:ind w:leftChars="200" w:left="840" w:hangingChars="200" w:hanging="420"/>
    </w:pPr>
  </w:style>
  <w:style w:type="paragraph" w:styleId="aff3">
    <w:name w:val="endnote text"/>
    <w:basedOn w:val="a2"/>
    <w:link w:val="Charf0"/>
    <w:semiHidden/>
    <w:rsid w:val="001D2E2F"/>
    <w:pPr>
      <w:snapToGrid w:val="0"/>
      <w:jc w:val="left"/>
    </w:pPr>
  </w:style>
  <w:style w:type="character" w:customStyle="1" w:styleId="Charf0">
    <w:name w:val="尾注文本 Char"/>
    <w:basedOn w:val="a3"/>
    <w:link w:val="aff3"/>
    <w:semiHidden/>
    <w:rsid w:val="001D2E2F"/>
    <w:rPr>
      <w:rFonts w:ascii="Times New Roman" w:eastAsia="宋体" w:hAnsi="Times New Roman" w:cs="Times New Roman"/>
      <w:szCs w:val="24"/>
    </w:rPr>
  </w:style>
  <w:style w:type="paragraph" w:styleId="aff4">
    <w:name w:val="Block Text"/>
    <w:basedOn w:val="a2"/>
    <w:rsid w:val="001D2E2F"/>
    <w:pPr>
      <w:spacing w:after="120"/>
      <w:ind w:leftChars="700" w:left="1440" w:rightChars="700" w:right="1440"/>
    </w:pPr>
  </w:style>
  <w:style w:type="paragraph" w:styleId="aff5">
    <w:name w:val="envelope address"/>
    <w:basedOn w:val="a2"/>
    <w:rsid w:val="001D2E2F"/>
    <w:pPr>
      <w:framePr w:w="7920" w:h="1980" w:hRule="exact" w:hSpace="180" w:wrap="auto" w:hAnchor="page" w:xAlign="center" w:yAlign="bottom"/>
      <w:snapToGrid w:val="0"/>
      <w:ind w:leftChars="1400" w:left="100"/>
    </w:pPr>
    <w:rPr>
      <w:rFonts w:ascii="Arial" w:hAnsi="Arial" w:cs="Arial"/>
      <w:sz w:val="24"/>
    </w:rPr>
  </w:style>
  <w:style w:type="paragraph" w:styleId="aff6">
    <w:name w:val="Message Header"/>
    <w:basedOn w:val="a2"/>
    <w:link w:val="Charf1"/>
    <w:rsid w:val="001D2E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3"/>
    <w:link w:val="aff6"/>
    <w:rsid w:val="001D2E2F"/>
    <w:rPr>
      <w:rFonts w:ascii="Arial" w:eastAsia="宋体" w:hAnsi="Arial" w:cs="Arial"/>
      <w:sz w:val="24"/>
      <w:szCs w:val="24"/>
      <w:shd w:val="pct20" w:color="auto" w:fill="auto"/>
    </w:rPr>
  </w:style>
  <w:style w:type="paragraph" w:styleId="aff7">
    <w:name w:val="table of authorities"/>
    <w:basedOn w:val="a2"/>
    <w:next w:val="a2"/>
    <w:semiHidden/>
    <w:rsid w:val="001D2E2F"/>
    <w:pPr>
      <w:ind w:leftChars="200" w:left="420"/>
    </w:pPr>
  </w:style>
  <w:style w:type="paragraph" w:styleId="aff8">
    <w:name w:val="toa heading"/>
    <w:basedOn w:val="a2"/>
    <w:next w:val="a2"/>
    <w:semiHidden/>
    <w:rsid w:val="001D2E2F"/>
    <w:pPr>
      <w:spacing w:before="120"/>
    </w:pPr>
    <w:rPr>
      <w:rFonts w:ascii="Arial" w:hAnsi="Arial" w:cs="Arial"/>
      <w:sz w:val="24"/>
    </w:rPr>
  </w:style>
  <w:style w:type="paragraph" w:styleId="aff9">
    <w:name w:val="Body Text First Indent"/>
    <w:basedOn w:val="ad"/>
    <w:link w:val="Charf2"/>
    <w:rsid w:val="001D2E2F"/>
    <w:pPr>
      <w:autoSpaceDE/>
      <w:autoSpaceDN/>
      <w:adjustRightInd/>
      <w:spacing w:after="120"/>
      <w:ind w:firstLineChars="100" w:firstLine="420"/>
      <w:jc w:val="both"/>
    </w:pPr>
    <w:rPr>
      <w:rFonts w:ascii="Times New Roman"/>
      <w:kern w:val="2"/>
      <w:sz w:val="21"/>
    </w:rPr>
  </w:style>
  <w:style w:type="character" w:customStyle="1" w:styleId="Charf2">
    <w:name w:val="正文首行缩进 Char"/>
    <w:basedOn w:val="Char3"/>
    <w:link w:val="aff9"/>
    <w:rsid w:val="001D2E2F"/>
    <w:rPr>
      <w:rFonts w:ascii="Times New Roman" w:eastAsia="宋体" w:hAnsi="Times New Roman" w:cs="Times New Roman"/>
      <w:kern w:val="0"/>
      <w:sz w:val="24"/>
      <w:szCs w:val="24"/>
    </w:rPr>
  </w:style>
  <w:style w:type="paragraph" w:styleId="2b">
    <w:name w:val="Body Text First Indent 2"/>
    <w:basedOn w:val="a8"/>
    <w:link w:val="2Char2"/>
    <w:rsid w:val="001D2E2F"/>
    <w:pPr>
      <w:spacing w:after="120"/>
      <w:ind w:leftChars="200" w:left="420" w:firstLine="210"/>
    </w:pPr>
    <w:rPr>
      <w:rFonts w:ascii="Times New Roman" w:hAnsi="Times New Roman"/>
      <w:sz w:val="21"/>
    </w:rPr>
  </w:style>
  <w:style w:type="character" w:customStyle="1" w:styleId="2Char2">
    <w:name w:val="正文首行缩进 2 Char"/>
    <w:basedOn w:val="Char0"/>
    <w:link w:val="2b"/>
    <w:rsid w:val="001D2E2F"/>
    <w:rPr>
      <w:rFonts w:ascii="Times New Roman" w:eastAsia="宋体" w:hAnsi="Times New Roman" w:cs="Times New Roman"/>
      <w:sz w:val="24"/>
      <w:szCs w:val="24"/>
    </w:rPr>
  </w:style>
  <w:style w:type="paragraph" w:styleId="37">
    <w:name w:val="Body Text 3"/>
    <w:basedOn w:val="a2"/>
    <w:link w:val="3Char1"/>
    <w:rsid w:val="001D2E2F"/>
    <w:pPr>
      <w:spacing w:after="120"/>
    </w:pPr>
    <w:rPr>
      <w:sz w:val="16"/>
      <w:szCs w:val="16"/>
    </w:rPr>
  </w:style>
  <w:style w:type="character" w:customStyle="1" w:styleId="3Char1">
    <w:name w:val="正文文本 3 Char"/>
    <w:basedOn w:val="a3"/>
    <w:link w:val="37"/>
    <w:rsid w:val="001D2E2F"/>
    <w:rPr>
      <w:rFonts w:ascii="Times New Roman" w:eastAsia="宋体" w:hAnsi="Times New Roman" w:cs="Times New Roman"/>
      <w:sz w:val="16"/>
      <w:szCs w:val="16"/>
    </w:rPr>
  </w:style>
  <w:style w:type="paragraph" w:styleId="affa">
    <w:name w:val="Note Heading"/>
    <w:basedOn w:val="a2"/>
    <w:next w:val="a2"/>
    <w:link w:val="Charf3"/>
    <w:rsid w:val="001D2E2F"/>
    <w:pPr>
      <w:jc w:val="center"/>
    </w:pPr>
  </w:style>
  <w:style w:type="character" w:customStyle="1" w:styleId="Charf3">
    <w:name w:val="注释标题 Char"/>
    <w:basedOn w:val="a3"/>
    <w:link w:val="affa"/>
    <w:rsid w:val="001D2E2F"/>
    <w:rPr>
      <w:rFonts w:ascii="Times New Roman" w:eastAsia="宋体" w:hAnsi="Times New Roman" w:cs="Times New Roman"/>
      <w:szCs w:val="24"/>
    </w:rPr>
  </w:style>
  <w:style w:type="paragraph" w:customStyle="1" w:styleId="affb">
    <w:name w:val="项目"/>
    <w:basedOn w:val="41"/>
    <w:rsid w:val="001D2E2F"/>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fc">
    <w:name w:val="表格文字"/>
    <w:basedOn w:val="ad"/>
    <w:rsid w:val="001D2E2F"/>
    <w:pPr>
      <w:autoSpaceDE/>
      <w:autoSpaceDN/>
      <w:adjustRightInd/>
      <w:spacing w:before="60" w:after="60"/>
      <w:jc w:val="center"/>
    </w:pPr>
    <w:rPr>
      <w:rFonts w:ascii="Times New Roman" w:eastAsia="楷体_GB2312"/>
      <w:bCs/>
      <w:kern w:val="2"/>
      <w:sz w:val="21"/>
      <w:szCs w:val="20"/>
    </w:rPr>
  </w:style>
  <w:style w:type="character" w:customStyle="1" w:styleId="font141">
    <w:name w:val="font141"/>
    <w:basedOn w:val="a3"/>
    <w:rsid w:val="001D2E2F"/>
    <w:rPr>
      <w:rFonts w:ascii="宋体" w:eastAsia="宋体" w:hAnsi="宋体" w:hint="eastAsia"/>
      <w:spacing w:val="300"/>
      <w:sz w:val="21"/>
      <w:szCs w:val="21"/>
    </w:rPr>
  </w:style>
  <w:style w:type="character" w:customStyle="1" w:styleId="da">
    <w:name w:val="da"/>
    <w:basedOn w:val="a3"/>
    <w:rsid w:val="001D2E2F"/>
  </w:style>
  <w:style w:type="paragraph" w:customStyle="1" w:styleId="affd">
    <w:name w:val="特点"/>
    <w:aliases w:val="表正文,正文非缩进,段1"/>
    <w:basedOn w:val="a2"/>
    <w:next w:val="a6"/>
    <w:rsid w:val="001D2E2F"/>
    <w:pPr>
      <w:ind w:firstLine="420"/>
    </w:pPr>
    <w:rPr>
      <w:szCs w:val="20"/>
    </w:rPr>
  </w:style>
  <w:style w:type="paragraph" w:customStyle="1" w:styleId="xl33">
    <w:name w:val="xl33"/>
    <w:basedOn w:val="a2"/>
    <w:rsid w:val="001D2E2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1">
    <w:name w:val="表标题"/>
    <w:basedOn w:val="a6"/>
    <w:rsid w:val="001D2E2F"/>
    <w:pPr>
      <w:numPr>
        <w:numId w:val="33"/>
      </w:numPr>
      <w:spacing w:before="120" w:after="60" w:line="288" w:lineRule="auto"/>
    </w:pPr>
    <w:rPr>
      <w:sz w:val="28"/>
    </w:rPr>
  </w:style>
  <w:style w:type="paragraph" w:customStyle="1" w:styleId="xl29">
    <w:name w:val="xl29"/>
    <w:basedOn w:val="a2"/>
    <w:rsid w:val="001D2E2F"/>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paragraph" w:customStyle="1" w:styleId="xl30">
    <w:name w:val="xl30"/>
    <w:basedOn w:val="a2"/>
    <w:rsid w:val="001D2E2F"/>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paragraph" w:customStyle="1" w:styleId="21">
    <w:name w:val="样式2"/>
    <w:basedOn w:val="a2"/>
    <w:autoRedefine/>
    <w:rsid w:val="001D2E2F"/>
    <w:pPr>
      <w:numPr>
        <w:numId w:val="36"/>
      </w:numPr>
      <w:tabs>
        <w:tab w:val="left" w:pos="900"/>
      </w:tabs>
      <w:spacing w:line="360" w:lineRule="auto"/>
    </w:pPr>
    <w:rPr>
      <w:rFonts w:ascii="宋体" w:hAnsi="宋体"/>
      <w:szCs w:val="21"/>
    </w:rPr>
  </w:style>
  <w:style w:type="paragraph" w:customStyle="1" w:styleId="1">
    <w:name w:val="样式1后小项目"/>
    <w:basedOn w:val="21"/>
    <w:autoRedefine/>
    <w:rsid w:val="001D2E2F"/>
    <w:pPr>
      <w:numPr>
        <w:numId w:val="35"/>
      </w:numPr>
    </w:pPr>
  </w:style>
  <w:style w:type="paragraph" w:customStyle="1" w:styleId="affe">
    <w:name w:val="简单回函地址"/>
    <w:basedOn w:val="a2"/>
    <w:rsid w:val="001D2E2F"/>
  </w:style>
  <w:style w:type="character" w:customStyle="1" w:styleId="afff">
    <w:name w:val="a"/>
    <w:basedOn w:val="a3"/>
    <w:rsid w:val="001D2E2F"/>
  </w:style>
  <w:style w:type="character" w:styleId="afff0">
    <w:name w:val="Strong"/>
    <w:basedOn w:val="a3"/>
    <w:qFormat/>
    <w:rsid w:val="001D2E2F"/>
    <w:rPr>
      <w:b/>
      <w:bCs/>
    </w:rPr>
  </w:style>
  <w:style w:type="paragraph" w:customStyle="1" w:styleId="CharCharCharChar">
    <w:name w:val="Char Char Char Char"/>
    <w:basedOn w:val="a2"/>
    <w:autoRedefine/>
    <w:rsid w:val="001D2E2F"/>
    <w:pPr>
      <w:tabs>
        <w:tab w:val="num" w:pos="840"/>
      </w:tabs>
      <w:adjustRightInd w:val="0"/>
      <w:spacing w:line="360" w:lineRule="atLeast"/>
      <w:ind w:left="840" w:hanging="360"/>
      <w:textAlignment w:val="baseline"/>
    </w:pPr>
    <w:rPr>
      <w:sz w:val="24"/>
    </w:rPr>
  </w:style>
  <w:style w:type="character" w:styleId="HTML1">
    <w:name w:val="HTML Typewriter"/>
    <w:basedOn w:val="a3"/>
    <w:uiPriority w:val="99"/>
    <w:rsid w:val="001D2E2F"/>
    <w:rPr>
      <w:rFonts w:ascii="黑体" w:eastAsia="黑体" w:hAnsi="Courier New" w:cs="Courier New"/>
      <w:sz w:val="20"/>
      <w:szCs w:val="20"/>
    </w:rPr>
  </w:style>
  <w:style w:type="character" w:customStyle="1" w:styleId="text1">
    <w:name w:val="text1"/>
    <w:basedOn w:val="a3"/>
    <w:rsid w:val="001D2E2F"/>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3"/>
    <w:rsid w:val="001D2E2F"/>
    <w:rPr>
      <w:rFonts w:ascii="Arial" w:hAnsi="Arial" w:cs="Arial" w:hint="default"/>
    </w:rPr>
  </w:style>
  <w:style w:type="character" w:customStyle="1" w:styleId="fontcolor3">
    <w:name w:val="fontcolor3"/>
    <w:basedOn w:val="a3"/>
    <w:rsid w:val="001D2E2F"/>
    <w:rPr>
      <w:color w:val="6C057B"/>
    </w:rPr>
  </w:style>
  <w:style w:type="paragraph" w:customStyle="1" w:styleId="font14">
    <w:name w:val="font14"/>
    <w:basedOn w:val="a2"/>
    <w:rsid w:val="001D2E2F"/>
    <w:pPr>
      <w:widowControl/>
      <w:spacing w:before="100" w:beforeAutospacing="1" w:after="100" w:afterAutospacing="1" w:line="360" w:lineRule="auto"/>
      <w:jc w:val="left"/>
    </w:pPr>
    <w:rPr>
      <w:rFonts w:eastAsia="Arial Unicode MS" w:cs="Arial Unicode MS"/>
      <w:kern w:val="0"/>
      <w:szCs w:val="21"/>
    </w:rPr>
  </w:style>
  <w:style w:type="character" w:customStyle="1" w:styleId="txtcontent11">
    <w:name w:val="txtcontent11"/>
    <w:basedOn w:val="a3"/>
    <w:rsid w:val="001D2E2F"/>
    <w:rPr>
      <w:rFonts w:hint="default"/>
      <w:b w:val="0"/>
      <w:bCs w:val="0"/>
      <w:color w:val="000000"/>
      <w:spacing w:val="360"/>
      <w:sz w:val="21"/>
      <w:szCs w:val="21"/>
    </w:rPr>
  </w:style>
  <w:style w:type="paragraph" w:customStyle="1" w:styleId="Charf4">
    <w:name w:val="Char"/>
    <w:basedOn w:val="a2"/>
    <w:rsid w:val="001D2E2F"/>
  </w:style>
  <w:style w:type="paragraph" w:customStyle="1" w:styleId="CharCharCharChar1">
    <w:name w:val="Char Char Char Char1"/>
    <w:basedOn w:val="a2"/>
    <w:autoRedefine/>
    <w:rsid w:val="001D2E2F"/>
    <w:pPr>
      <w:tabs>
        <w:tab w:val="num" w:pos="360"/>
      </w:tabs>
      <w:spacing w:before="312" w:after="312" w:line="360" w:lineRule="auto"/>
    </w:pPr>
    <w:rPr>
      <w:sz w:val="24"/>
    </w:rPr>
  </w:style>
  <w:style w:type="character" w:customStyle="1" w:styleId="15">
    <w:name w:val="15"/>
    <w:basedOn w:val="a3"/>
    <w:rsid w:val="001D2E2F"/>
  </w:style>
  <w:style w:type="paragraph" w:customStyle="1" w:styleId="CharCharCharCharCharCharChar">
    <w:name w:val="Char Char Char Char Char Char Char"/>
    <w:basedOn w:val="a2"/>
    <w:rsid w:val="001D2E2F"/>
  </w:style>
  <w:style w:type="paragraph" w:customStyle="1" w:styleId="Default">
    <w:name w:val="Default"/>
    <w:rsid w:val="00FF1312"/>
    <w:pPr>
      <w:widowControl w:val="0"/>
      <w:autoSpaceDE w:val="0"/>
      <w:autoSpaceDN w:val="0"/>
      <w:adjustRightInd w:val="0"/>
    </w:pPr>
    <w:rPr>
      <w:rFonts w:ascii="Times New Roman" w:hAnsi="Times New Roman"/>
      <w:color w:val="000000"/>
      <w:sz w:val="24"/>
      <w:szCs w:val="24"/>
    </w:rPr>
  </w:style>
  <w:style w:type="character" w:customStyle="1" w:styleId="CharChar11">
    <w:name w:val="Char Char11"/>
    <w:basedOn w:val="a3"/>
    <w:locked/>
    <w:rsid w:val="00D37056"/>
    <w:rPr>
      <w:rFonts w:ascii="宋体" w:eastAsia="宋体" w:hAnsi="Courier New" w:cs="Courier New"/>
      <w:kern w:val="2"/>
      <w:sz w:val="21"/>
      <w:szCs w:val="21"/>
      <w:lang w:val="en-US" w:eastAsia="zh-CN" w:bidi="ar-SA"/>
    </w:rPr>
  </w:style>
  <w:style w:type="paragraph" w:styleId="afff1">
    <w:name w:val="Revision"/>
    <w:hidden/>
    <w:uiPriority w:val="99"/>
    <w:semiHidden/>
    <w:rsid w:val="00D35C6A"/>
    <w:rPr>
      <w:rFonts w:ascii="Times New Roman" w:hAnsi="Times New Roman"/>
      <w:kern w:val="2"/>
      <w:sz w:val="21"/>
      <w:szCs w:val="24"/>
    </w:rPr>
  </w:style>
  <w:style w:type="character" w:customStyle="1" w:styleId="Char10">
    <w:name w:val="纯文本 Char1"/>
    <w:basedOn w:val="a3"/>
    <w:semiHidden/>
    <w:locked/>
    <w:rsid w:val="00056BC1"/>
    <w:rPr>
      <w:rFonts w:ascii="宋体" w:hAnsi="Courier New" w:cs="Courier New"/>
      <w:kern w:val="2"/>
      <w:sz w:val="21"/>
      <w:szCs w:val="21"/>
    </w:rPr>
  </w:style>
  <w:style w:type="table" w:styleId="afff2">
    <w:name w:val="Table Grid"/>
    <w:basedOn w:val="a4"/>
    <w:qFormat/>
    <w:rsid w:val="002C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annotation reference"/>
    <w:basedOn w:val="a3"/>
    <w:uiPriority w:val="99"/>
    <w:semiHidden/>
    <w:unhideWhenUsed/>
    <w:rsid w:val="00733008"/>
    <w:rPr>
      <w:sz w:val="21"/>
      <w:szCs w:val="21"/>
    </w:rPr>
  </w:style>
  <w:style w:type="paragraph" w:styleId="afff4">
    <w:name w:val="annotation subject"/>
    <w:basedOn w:val="afb"/>
    <w:next w:val="afb"/>
    <w:link w:val="Charf5"/>
    <w:semiHidden/>
    <w:unhideWhenUsed/>
    <w:rsid w:val="00733008"/>
    <w:rPr>
      <w:b/>
      <w:bCs/>
    </w:rPr>
  </w:style>
  <w:style w:type="character" w:customStyle="1" w:styleId="Charf5">
    <w:name w:val="批注主题 Char"/>
    <w:basedOn w:val="Charc"/>
    <w:link w:val="afff4"/>
    <w:uiPriority w:val="99"/>
    <w:semiHidden/>
    <w:rsid w:val="00733008"/>
    <w:rPr>
      <w:rFonts w:ascii="Times New Roman" w:eastAsia="宋体" w:hAnsi="Times New Roman" w:cs="Times New Roman"/>
      <w:b/>
      <w:bCs/>
      <w:kern w:val="2"/>
      <w:sz w:val="21"/>
      <w:szCs w:val="24"/>
    </w:rPr>
  </w:style>
  <w:style w:type="paragraph" w:customStyle="1" w:styleId="22">
    <w:name w:val="列表2"/>
    <w:basedOn w:val="a2"/>
    <w:next w:val="af3"/>
    <w:rsid w:val="008F0F6A"/>
    <w:pPr>
      <w:numPr>
        <w:numId w:val="37"/>
      </w:numPr>
      <w:spacing w:line="360" w:lineRule="auto"/>
      <w:ind w:leftChars="-200" w:left="-200" w:firstLineChars="200" w:firstLine="200"/>
    </w:pPr>
    <w:rPr>
      <w:rFonts w:ascii="宋体"/>
      <w:szCs w:val="20"/>
    </w:rPr>
  </w:style>
  <w:style w:type="paragraph" w:customStyle="1" w:styleId="16">
    <w:name w:val="列表1"/>
    <w:basedOn w:val="a2"/>
    <w:next w:val="a2"/>
    <w:rsid w:val="008F0F6A"/>
    <w:pPr>
      <w:tabs>
        <w:tab w:val="num" w:pos="644"/>
      </w:tabs>
      <w:spacing w:line="360" w:lineRule="auto"/>
      <w:ind w:leftChars="-200" w:left="567" w:firstLineChars="200" w:hanging="283"/>
    </w:pPr>
    <w:rPr>
      <w:szCs w:val="20"/>
    </w:rPr>
  </w:style>
  <w:style w:type="character" w:customStyle="1" w:styleId="read">
    <w:name w:val="read"/>
    <w:basedOn w:val="a3"/>
    <w:rsid w:val="008F0F6A"/>
  </w:style>
  <w:style w:type="table" w:styleId="afff5">
    <w:name w:val="Table Theme"/>
    <w:basedOn w:val="a4"/>
    <w:rsid w:val="008F0F6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默认段落字体 Para Char"/>
    <w:basedOn w:val="a2"/>
    <w:autoRedefine/>
    <w:rsid w:val="008F0F6A"/>
    <w:pPr>
      <w:tabs>
        <w:tab w:val="num" w:pos="360"/>
        <w:tab w:val="num" w:pos="990"/>
      </w:tabs>
      <w:ind w:leftChars="-200" w:left="-200" w:firstLineChars="200" w:firstLine="200"/>
    </w:pPr>
    <w:rPr>
      <w:sz w:val="24"/>
    </w:rPr>
  </w:style>
  <w:style w:type="character" w:customStyle="1" w:styleId="heigh1801">
    <w:name w:val="heigh1801"/>
    <w:basedOn w:val="a3"/>
    <w:rsid w:val="008F0F6A"/>
  </w:style>
  <w:style w:type="paragraph" w:customStyle="1" w:styleId="CharCharChar1">
    <w:name w:val="Char Char Char1"/>
    <w:basedOn w:val="a2"/>
    <w:rsid w:val="008F0F6A"/>
    <w:pPr>
      <w:ind w:leftChars="-200" w:left="-200" w:firstLineChars="200" w:firstLine="200"/>
    </w:pPr>
  </w:style>
  <w:style w:type="paragraph" w:customStyle="1" w:styleId="afff6">
    <w:name w:val="正文所"/>
    <w:basedOn w:val="a2"/>
    <w:rsid w:val="008F0F6A"/>
    <w:pPr>
      <w:spacing w:line="360" w:lineRule="auto"/>
      <w:ind w:leftChars="-200" w:left="-200" w:firstLineChars="200" w:firstLine="420"/>
    </w:pPr>
  </w:style>
  <w:style w:type="paragraph" w:customStyle="1" w:styleId="Char11">
    <w:name w:val="Char1"/>
    <w:basedOn w:val="a2"/>
    <w:rsid w:val="008F0F6A"/>
    <w:pPr>
      <w:ind w:leftChars="-200" w:left="-200" w:firstLineChars="200" w:firstLine="200"/>
    </w:pPr>
  </w:style>
  <w:style w:type="character" w:customStyle="1" w:styleId="CharChar">
    <w:name w:val="Char Char"/>
    <w:basedOn w:val="a3"/>
    <w:locked/>
    <w:rsid w:val="008F0F6A"/>
    <w:rPr>
      <w:rFonts w:ascii="Calibri" w:eastAsia="宋体" w:hAnsi="Courier New" w:cs="Courier New"/>
      <w:kern w:val="2"/>
      <w:sz w:val="21"/>
      <w:szCs w:val="21"/>
      <w:lang w:val="en-US" w:eastAsia="zh-CN" w:bidi="ar-SA"/>
    </w:rPr>
  </w:style>
  <w:style w:type="paragraph" w:styleId="afff7">
    <w:name w:val="List Paragraph"/>
    <w:basedOn w:val="a2"/>
    <w:uiPriority w:val="34"/>
    <w:qFormat/>
    <w:rsid w:val="008F0F6A"/>
    <w:pPr>
      <w:ind w:leftChars="-200" w:left="-20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6">
      <w:bodyDiv w:val="1"/>
      <w:marLeft w:val="0"/>
      <w:marRight w:val="0"/>
      <w:marTop w:val="0"/>
      <w:marBottom w:val="0"/>
      <w:divBdr>
        <w:top w:val="none" w:sz="0" w:space="0" w:color="auto"/>
        <w:left w:val="none" w:sz="0" w:space="0" w:color="auto"/>
        <w:bottom w:val="none" w:sz="0" w:space="0" w:color="auto"/>
        <w:right w:val="none" w:sz="0" w:space="0" w:color="auto"/>
      </w:divBdr>
    </w:div>
    <w:div w:id="553922">
      <w:bodyDiv w:val="1"/>
      <w:marLeft w:val="0"/>
      <w:marRight w:val="0"/>
      <w:marTop w:val="0"/>
      <w:marBottom w:val="0"/>
      <w:divBdr>
        <w:top w:val="none" w:sz="0" w:space="0" w:color="auto"/>
        <w:left w:val="none" w:sz="0" w:space="0" w:color="auto"/>
        <w:bottom w:val="none" w:sz="0" w:space="0" w:color="auto"/>
        <w:right w:val="none" w:sz="0" w:space="0" w:color="auto"/>
      </w:divBdr>
    </w:div>
    <w:div w:id="7491955">
      <w:bodyDiv w:val="1"/>
      <w:marLeft w:val="0"/>
      <w:marRight w:val="0"/>
      <w:marTop w:val="0"/>
      <w:marBottom w:val="0"/>
      <w:divBdr>
        <w:top w:val="none" w:sz="0" w:space="0" w:color="auto"/>
        <w:left w:val="none" w:sz="0" w:space="0" w:color="auto"/>
        <w:bottom w:val="none" w:sz="0" w:space="0" w:color="auto"/>
        <w:right w:val="none" w:sz="0" w:space="0" w:color="auto"/>
      </w:divBdr>
    </w:div>
    <w:div w:id="10107873">
      <w:bodyDiv w:val="1"/>
      <w:marLeft w:val="0"/>
      <w:marRight w:val="0"/>
      <w:marTop w:val="0"/>
      <w:marBottom w:val="0"/>
      <w:divBdr>
        <w:top w:val="none" w:sz="0" w:space="0" w:color="auto"/>
        <w:left w:val="none" w:sz="0" w:space="0" w:color="auto"/>
        <w:bottom w:val="none" w:sz="0" w:space="0" w:color="auto"/>
        <w:right w:val="none" w:sz="0" w:space="0" w:color="auto"/>
      </w:divBdr>
    </w:div>
    <w:div w:id="20934981">
      <w:bodyDiv w:val="1"/>
      <w:marLeft w:val="0"/>
      <w:marRight w:val="0"/>
      <w:marTop w:val="0"/>
      <w:marBottom w:val="0"/>
      <w:divBdr>
        <w:top w:val="none" w:sz="0" w:space="0" w:color="auto"/>
        <w:left w:val="none" w:sz="0" w:space="0" w:color="auto"/>
        <w:bottom w:val="none" w:sz="0" w:space="0" w:color="auto"/>
        <w:right w:val="none" w:sz="0" w:space="0" w:color="auto"/>
      </w:divBdr>
    </w:div>
    <w:div w:id="24184280">
      <w:bodyDiv w:val="1"/>
      <w:marLeft w:val="0"/>
      <w:marRight w:val="0"/>
      <w:marTop w:val="0"/>
      <w:marBottom w:val="0"/>
      <w:divBdr>
        <w:top w:val="none" w:sz="0" w:space="0" w:color="auto"/>
        <w:left w:val="none" w:sz="0" w:space="0" w:color="auto"/>
        <w:bottom w:val="none" w:sz="0" w:space="0" w:color="auto"/>
        <w:right w:val="none" w:sz="0" w:space="0" w:color="auto"/>
      </w:divBdr>
    </w:div>
    <w:div w:id="27263882">
      <w:bodyDiv w:val="1"/>
      <w:marLeft w:val="0"/>
      <w:marRight w:val="0"/>
      <w:marTop w:val="0"/>
      <w:marBottom w:val="0"/>
      <w:divBdr>
        <w:top w:val="none" w:sz="0" w:space="0" w:color="auto"/>
        <w:left w:val="none" w:sz="0" w:space="0" w:color="auto"/>
        <w:bottom w:val="none" w:sz="0" w:space="0" w:color="auto"/>
        <w:right w:val="none" w:sz="0" w:space="0" w:color="auto"/>
      </w:divBdr>
    </w:div>
    <w:div w:id="50930455">
      <w:bodyDiv w:val="1"/>
      <w:marLeft w:val="0"/>
      <w:marRight w:val="0"/>
      <w:marTop w:val="0"/>
      <w:marBottom w:val="0"/>
      <w:divBdr>
        <w:top w:val="none" w:sz="0" w:space="0" w:color="auto"/>
        <w:left w:val="none" w:sz="0" w:space="0" w:color="auto"/>
        <w:bottom w:val="none" w:sz="0" w:space="0" w:color="auto"/>
        <w:right w:val="none" w:sz="0" w:space="0" w:color="auto"/>
      </w:divBdr>
    </w:div>
    <w:div w:id="82069343">
      <w:bodyDiv w:val="1"/>
      <w:marLeft w:val="0"/>
      <w:marRight w:val="0"/>
      <w:marTop w:val="0"/>
      <w:marBottom w:val="0"/>
      <w:divBdr>
        <w:top w:val="none" w:sz="0" w:space="0" w:color="auto"/>
        <w:left w:val="none" w:sz="0" w:space="0" w:color="auto"/>
        <w:bottom w:val="none" w:sz="0" w:space="0" w:color="auto"/>
        <w:right w:val="none" w:sz="0" w:space="0" w:color="auto"/>
      </w:divBdr>
    </w:div>
    <w:div w:id="107743083">
      <w:bodyDiv w:val="1"/>
      <w:marLeft w:val="0"/>
      <w:marRight w:val="0"/>
      <w:marTop w:val="0"/>
      <w:marBottom w:val="0"/>
      <w:divBdr>
        <w:top w:val="none" w:sz="0" w:space="0" w:color="auto"/>
        <w:left w:val="none" w:sz="0" w:space="0" w:color="auto"/>
        <w:bottom w:val="none" w:sz="0" w:space="0" w:color="auto"/>
        <w:right w:val="none" w:sz="0" w:space="0" w:color="auto"/>
      </w:divBdr>
    </w:div>
    <w:div w:id="119155335">
      <w:bodyDiv w:val="1"/>
      <w:marLeft w:val="0"/>
      <w:marRight w:val="0"/>
      <w:marTop w:val="0"/>
      <w:marBottom w:val="0"/>
      <w:divBdr>
        <w:top w:val="none" w:sz="0" w:space="0" w:color="auto"/>
        <w:left w:val="none" w:sz="0" w:space="0" w:color="auto"/>
        <w:bottom w:val="none" w:sz="0" w:space="0" w:color="auto"/>
        <w:right w:val="none" w:sz="0" w:space="0" w:color="auto"/>
      </w:divBdr>
    </w:div>
    <w:div w:id="121120677">
      <w:bodyDiv w:val="1"/>
      <w:marLeft w:val="0"/>
      <w:marRight w:val="0"/>
      <w:marTop w:val="0"/>
      <w:marBottom w:val="0"/>
      <w:divBdr>
        <w:top w:val="none" w:sz="0" w:space="0" w:color="auto"/>
        <w:left w:val="none" w:sz="0" w:space="0" w:color="auto"/>
        <w:bottom w:val="none" w:sz="0" w:space="0" w:color="auto"/>
        <w:right w:val="none" w:sz="0" w:space="0" w:color="auto"/>
      </w:divBdr>
    </w:div>
    <w:div w:id="123087202">
      <w:bodyDiv w:val="1"/>
      <w:marLeft w:val="0"/>
      <w:marRight w:val="0"/>
      <w:marTop w:val="0"/>
      <w:marBottom w:val="0"/>
      <w:divBdr>
        <w:top w:val="none" w:sz="0" w:space="0" w:color="auto"/>
        <w:left w:val="none" w:sz="0" w:space="0" w:color="auto"/>
        <w:bottom w:val="none" w:sz="0" w:space="0" w:color="auto"/>
        <w:right w:val="none" w:sz="0" w:space="0" w:color="auto"/>
      </w:divBdr>
    </w:div>
    <w:div w:id="126627354">
      <w:bodyDiv w:val="1"/>
      <w:marLeft w:val="0"/>
      <w:marRight w:val="0"/>
      <w:marTop w:val="0"/>
      <w:marBottom w:val="0"/>
      <w:divBdr>
        <w:top w:val="none" w:sz="0" w:space="0" w:color="auto"/>
        <w:left w:val="none" w:sz="0" w:space="0" w:color="auto"/>
        <w:bottom w:val="none" w:sz="0" w:space="0" w:color="auto"/>
        <w:right w:val="none" w:sz="0" w:space="0" w:color="auto"/>
      </w:divBdr>
    </w:div>
    <w:div w:id="204103130">
      <w:bodyDiv w:val="1"/>
      <w:marLeft w:val="0"/>
      <w:marRight w:val="0"/>
      <w:marTop w:val="0"/>
      <w:marBottom w:val="0"/>
      <w:divBdr>
        <w:top w:val="none" w:sz="0" w:space="0" w:color="auto"/>
        <w:left w:val="none" w:sz="0" w:space="0" w:color="auto"/>
        <w:bottom w:val="none" w:sz="0" w:space="0" w:color="auto"/>
        <w:right w:val="none" w:sz="0" w:space="0" w:color="auto"/>
      </w:divBdr>
    </w:div>
    <w:div w:id="235284492">
      <w:bodyDiv w:val="1"/>
      <w:marLeft w:val="0"/>
      <w:marRight w:val="0"/>
      <w:marTop w:val="0"/>
      <w:marBottom w:val="0"/>
      <w:divBdr>
        <w:top w:val="none" w:sz="0" w:space="0" w:color="auto"/>
        <w:left w:val="none" w:sz="0" w:space="0" w:color="auto"/>
        <w:bottom w:val="none" w:sz="0" w:space="0" w:color="auto"/>
        <w:right w:val="none" w:sz="0" w:space="0" w:color="auto"/>
      </w:divBdr>
    </w:div>
    <w:div w:id="242182903">
      <w:bodyDiv w:val="1"/>
      <w:marLeft w:val="0"/>
      <w:marRight w:val="0"/>
      <w:marTop w:val="0"/>
      <w:marBottom w:val="0"/>
      <w:divBdr>
        <w:top w:val="none" w:sz="0" w:space="0" w:color="auto"/>
        <w:left w:val="none" w:sz="0" w:space="0" w:color="auto"/>
        <w:bottom w:val="none" w:sz="0" w:space="0" w:color="auto"/>
        <w:right w:val="none" w:sz="0" w:space="0" w:color="auto"/>
      </w:divBdr>
    </w:div>
    <w:div w:id="248467392">
      <w:bodyDiv w:val="1"/>
      <w:marLeft w:val="0"/>
      <w:marRight w:val="0"/>
      <w:marTop w:val="0"/>
      <w:marBottom w:val="0"/>
      <w:divBdr>
        <w:top w:val="none" w:sz="0" w:space="0" w:color="auto"/>
        <w:left w:val="none" w:sz="0" w:space="0" w:color="auto"/>
        <w:bottom w:val="none" w:sz="0" w:space="0" w:color="auto"/>
        <w:right w:val="none" w:sz="0" w:space="0" w:color="auto"/>
      </w:divBdr>
    </w:div>
    <w:div w:id="271666504">
      <w:bodyDiv w:val="1"/>
      <w:marLeft w:val="0"/>
      <w:marRight w:val="0"/>
      <w:marTop w:val="0"/>
      <w:marBottom w:val="0"/>
      <w:divBdr>
        <w:top w:val="none" w:sz="0" w:space="0" w:color="auto"/>
        <w:left w:val="none" w:sz="0" w:space="0" w:color="auto"/>
        <w:bottom w:val="none" w:sz="0" w:space="0" w:color="auto"/>
        <w:right w:val="none" w:sz="0" w:space="0" w:color="auto"/>
      </w:divBdr>
    </w:div>
    <w:div w:id="309671824">
      <w:bodyDiv w:val="1"/>
      <w:marLeft w:val="0"/>
      <w:marRight w:val="0"/>
      <w:marTop w:val="0"/>
      <w:marBottom w:val="0"/>
      <w:divBdr>
        <w:top w:val="none" w:sz="0" w:space="0" w:color="auto"/>
        <w:left w:val="none" w:sz="0" w:space="0" w:color="auto"/>
        <w:bottom w:val="none" w:sz="0" w:space="0" w:color="auto"/>
        <w:right w:val="none" w:sz="0" w:space="0" w:color="auto"/>
      </w:divBdr>
    </w:div>
    <w:div w:id="364135249">
      <w:bodyDiv w:val="1"/>
      <w:marLeft w:val="0"/>
      <w:marRight w:val="0"/>
      <w:marTop w:val="0"/>
      <w:marBottom w:val="0"/>
      <w:divBdr>
        <w:top w:val="none" w:sz="0" w:space="0" w:color="auto"/>
        <w:left w:val="none" w:sz="0" w:space="0" w:color="auto"/>
        <w:bottom w:val="none" w:sz="0" w:space="0" w:color="auto"/>
        <w:right w:val="none" w:sz="0" w:space="0" w:color="auto"/>
      </w:divBdr>
    </w:div>
    <w:div w:id="366568332">
      <w:bodyDiv w:val="1"/>
      <w:marLeft w:val="0"/>
      <w:marRight w:val="0"/>
      <w:marTop w:val="0"/>
      <w:marBottom w:val="0"/>
      <w:divBdr>
        <w:top w:val="none" w:sz="0" w:space="0" w:color="auto"/>
        <w:left w:val="none" w:sz="0" w:space="0" w:color="auto"/>
        <w:bottom w:val="none" w:sz="0" w:space="0" w:color="auto"/>
        <w:right w:val="none" w:sz="0" w:space="0" w:color="auto"/>
      </w:divBdr>
    </w:div>
    <w:div w:id="389505071">
      <w:bodyDiv w:val="1"/>
      <w:marLeft w:val="0"/>
      <w:marRight w:val="0"/>
      <w:marTop w:val="0"/>
      <w:marBottom w:val="0"/>
      <w:divBdr>
        <w:top w:val="none" w:sz="0" w:space="0" w:color="auto"/>
        <w:left w:val="none" w:sz="0" w:space="0" w:color="auto"/>
        <w:bottom w:val="none" w:sz="0" w:space="0" w:color="auto"/>
        <w:right w:val="none" w:sz="0" w:space="0" w:color="auto"/>
      </w:divBdr>
    </w:div>
    <w:div w:id="423192318">
      <w:bodyDiv w:val="1"/>
      <w:marLeft w:val="0"/>
      <w:marRight w:val="0"/>
      <w:marTop w:val="0"/>
      <w:marBottom w:val="0"/>
      <w:divBdr>
        <w:top w:val="none" w:sz="0" w:space="0" w:color="auto"/>
        <w:left w:val="none" w:sz="0" w:space="0" w:color="auto"/>
        <w:bottom w:val="none" w:sz="0" w:space="0" w:color="auto"/>
        <w:right w:val="none" w:sz="0" w:space="0" w:color="auto"/>
      </w:divBdr>
    </w:div>
    <w:div w:id="441918936">
      <w:bodyDiv w:val="1"/>
      <w:marLeft w:val="0"/>
      <w:marRight w:val="0"/>
      <w:marTop w:val="0"/>
      <w:marBottom w:val="0"/>
      <w:divBdr>
        <w:top w:val="none" w:sz="0" w:space="0" w:color="auto"/>
        <w:left w:val="none" w:sz="0" w:space="0" w:color="auto"/>
        <w:bottom w:val="none" w:sz="0" w:space="0" w:color="auto"/>
        <w:right w:val="none" w:sz="0" w:space="0" w:color="auto"/>
      </w:divBdr>
    </w:div>
    <w:div w:id="462621859">
      <w:bodyDiv w:val="1"/>
      <w:marLeft w:val="0"/>
      <w:marRight w:val="0"/>
      <w:marTop w:val="0"/>
      <w:marBottom w:val="0"/>
      <w:divBdr>
        <w:top w:val="none" w:sz="0" w:space="0" w:color="auto"/>
        <w:left w:val="none" w:sz="0" w:space="0" w:color="auto"/>
        <w:bottom w:val="none" w:sz="0" w:space="0" w:color="auto"/>
        <w:right w:val="none" w:sz="0" w:space="0" w:color="auto"/>
      </w:divBdr>
    </w:div>
    <w:div w:id="477496744">
      <w:bodyDiv w:val="1"/>
      <w:marLeft w:val="0"/>
      <w:marRight w:val="0"/>
      <w:marTop w:val="0"/>
      <w:marBottom w:val="0"/>
      <w:divBdr>
        <w:top w:val="none" w:sz="0" w:space="0" w:color="auto"/>
        <w:left w:val="none" w:sz="0" w:space="0" w:color="auto"/>
        <w:bottom w:val="none" w:sz="0" w:space="0" w:color="auto"/>
        <w:right w:val="none" w:sz="0" w:space="0" w:color="auto"/>
      </w:divBdr>
    </w:div>
    <w:div w:id="478503073">
      <w:bodyDiv w:val="1"/>
      <w:marLeft w:val="0"/>
      <w:marRight w:val="0"/>
      <w:marTop w:val="0"/>
      <w:marBottom w:val="0"/>
      <w:divBdr>
        <w:top w:val="none" w:sz="0" w:space="0" w:color="auto"/>
        <w:left w:val="none" w:sz="0" w:space="0" w:color="auto"/>
        <w:bottom w:val="none" w:sz="0" w:space="0" w:color="auto"/>
        <w:right w:val="none" w:sz="0" w:space="0" w:color="auto"/>
      </w:divBdr>
    </w:div>
    <w:div w:id="480080230">
      <w:bodyDiv w:val="1"/>
      <w:marLeft w:val="0"/>
      <w:marRight w:val="0"/>
      <w:marTop w:val="0"/>
      <w:marBottom w:val="0"/>
      <w:divBdr>
        <w:top w:val="none" w:sz="0" w:space="0" w:color="auto"/>
        <w:left w:val="none" w:sz="0" w:space="0" w:color="auto"/>
        <w:bottom w:val="none" w:sz="0" w:space="0" w:color="auto"/>
        <w:right w:val="none" w:sz="0" w:space="0" w:color="auto"/>
      </w:divBdr>
    </w:div>
    <w:div w:id="488331492">
      <w:bodyDiv w:val="1"/>
      <w:marLeft w:val="0"/>
      <w:marRight w:val="0"/>
      <w:marTop w:val="0"/>
      <w:marBottom w:val="0"/>
      <w:divBdr>
        <w:top w:val="none" w:sz="0" w:space="0" w:color="auto"/>
        <w:left w:val="none" w:sz="0" w:space="0" w:color="auto"/>
        <w:bottom w:val="none" w:sz="0" w:space="0" w:color="auto"/>
        <w:right w:val="none" w:sz="0" w:space="0" w:color="auto"/>
      </w:divBdr>
    </w:div>
    <w:div w:id="492111344">
      <w:bodyDiv w:val="1"/>
      <w:marLeft w:val="0"/>
      <w:marRight w:val="0"/>
      <w:marTop w:val="0"/>
      <w:marBottom w:val="0"/>
      <w:divBdr>
        <w:top w:val="none" w:sz="0" w:space="0" w:color="auto"/>
        <w:left w:val="none" w:sz="0" w:space="0" w:color="auto"/>
        <w:bottom w:val="none" w:sz="0" w:space="0" w:color="auto"/>
        <w:right w:val="none" w:sz="0" w:space="0" w:color="auto"/>
      </w:divBdr>
    </w:div>
    <w:div w:id="499735361">
      <w:bodyDiv w:val="1"/>
      <w:marLeft w:val="0"/>
      <w:marRight w:val="0"/>
      <w:marTop w:val="0"/>
      <w:marBottom w:val="0"/>
      <w:divBdr>
        <w:top w:val="none" w:sz="0" w:space="0" w:color="auto"/>
        <w:left w:val="none" w:sz="0" w:space="0" w:color="auto"/>
        <w:bottom w:val="none" w:sz="0" w:space="0" w:color="auto"/>
        <w:right w:val="none" w:sz="0" w:space="0" w:color="auto"/>
      </w:divBdr>
    </w:div>
    <w:div w:id="506334581">
      <w:bodyDiv w:val="1"/>
      <w:marLeft w:val="0"/>
      <w:marRight w:val="0"/>
      <w:marTop w:val="0"/>
      <w:marBottom w:val="0"/>
      <w:divBdr>
        <w:top w:val="none" w:sz="0" w:space="0" w:color="auto"/>
        <w:left w:val="none" w:sz="0" w:space="0" w:color="auto"/>
        <w:bottom w:val="none" w:sz="0" w:space="0" w:color="auto"/>
        <w:right w:val="none" w:sz="0" w:space="0" w:color="auto"/>
      </w:divBdr>
    </w:div>
    <w:div w:id="507670115">
      <w:bodyDiv w:val="1"/>
      <w:marLeft w:val="0"/>
      <w:marRight w:val="0"/>
      <w:marTop w:val="0"/>
      <w:marBottom w:val="0"/>
      <w:divBdr>
        <w:top w:val="none" w:sz="0" w:space="0" w:color="auto"/>
        <w:left w:val="none" w:sz="0" w:space="0" w:color="auto"/>
        <w:bottom w:val="none" w:sz="0" w:space="0" w:color="auto"/>
        <w:right w:val="none" w:sz="0" w:space="0" w:color="auto"/>
      </w:divBdr>
    </w:div>
    <w:div w:id="578370830">
      <w:bodyDiv w:val="1"/>
      <w:marLeft w:val="0"/>
      <w:marRight w:val="0"/>
      <w:marTop w:val="0"/>
      <w:marBottom w:val="0"/>
      <w:divBdr>
        <w:top w:val="none" w:sz="0" w:space="0" w:color="auto"/>
        <w:left w:val="none" w:sz="0" w:space="0" w:color="auto"/>
        <w:bottom w:val="none" w:sz="0" w:space="0" w:color="auto"/>
        <w:right w:val="none" w:sz="0" w:space="0" w:color="auto"/>
      </w:divBdr>
    </w:div>
    <w:div w:id="615718150">
      <w:bodyDiv w:val="1"/>
      <w:marLeft w:val="0"/>
      <w:marRight w:val="0"/>
      <w:marTop w:val="0"/>
      <w:marBottom w:val="0"/>
      <w:divBdr>
        <w:top w:val="none" w:sz="0" w:space="0" w:color="auto"/>
        <w:left w:val="none" w:sz="0" w:space="0" w:color="auto"/>
        <w:bottom w:val="none" w:sz="0" w:space="0" w:color="auto"/>
        <w:right w:val="none" w:sz="0" w:space="0" w:color="auto"/>
      </w:divBdr>
    </w:div>
    <w:div w:id="616524530">
      <w:bodyDiv w:val="1"/>
      <w:marLeft w:val="0"/>
      <w:marRight w:val="0"/>
      <w:marTop w:val="0"/>
      <w:marBottom w:val="0"/>
      <w:divBdr>
        <w:top w:val="none" w:sz="0" w:space="0" w:color="auto"/>
        <w:left w:val="none" w:sz="0" w:space="0" w:color="auto"/>
        <w:bottom w:val="none" w:sz="0" w:space="0" w:color="auto"/>
        <w:right w:val="none" w:sz="0" w:space="0" w:color="auto"/>
      </w:divBdr>
    </w:div>
    <w:div w:id="637076081">
      <w:bodyDiv w:val="1"/>
      <w:marLeft w:val="0"/>
      <w:marRight w:val="0"/>
      <w:marTop w:val="0"/>
      <w:marBottom w:val="0"/>
      <w:divBdr>
        <w:top w:val="none" w:sz="0" w:space="0" w:color="auto"/>
        <w:left w:val="none" w:sz="0" w:space="0" w:color="auto"/>
        <w:bottom w:val="none" w:sz="0" w:space="0" w:color="auto"/>
        <w:right w:val="none" w:sz="0" w:space="0" w:color="auto"/>
      </w:divBdr>
    </w:div>
    <w:div w:id="653294495">
      <w:bodyDiv w:val="1"/>
      <w:marLeft w:val="0"/>
      <w:marRight w:val="0"/>
      <w:marTop w:val="0"/>
      <w:marBottom w:val="0"/>
      <w:divBdr>
        <w:top w:val="none" w:sz="0" w:space="0" w:color="auto"/>
        <w:left w:val="none" w:sz="0" w:space="0" w:color="auto"/>
        <w:bottom w:val="none" w:sz="0" w:space="0" w:color="auto"/>
        <w:right w:val="none" w:sz="0" w:space="0" w:color="auto"/>
      </w:divBdr>
    </w:div>
    <w:div w:id="699283963">
      <w:bodyDiv w:val="1"/>
      <w:marLeft w:val="0"/>
      <w:marRight w:val="0"/>
      <w:marTop w:val="0"/>
      <w:marBottom w:val="0"/>
      <w:divBdr>
        <w:top w:val="none" w:sz="0" w:space="0" w:color="auto"/>
        <w:left w:val="none" w:sz="0" w:space="0" w:color="auto"/>
        <w:bottom w:val="none" w:sz="0" w:space="0" w:color="auto"/>
        <w:right w:val="none" w:sz="0" w:space="0" w:color="auto"/>
      </w:divBdr>
    </w:div>
    <w:div w:id="705644122">
      <w:bodyDiv w:val="1"/>
      <w:marLeft w:val="0"/>
      <w:marRight w:val="0"/>
      <w:marTop w:val="0"/>
      <w:marBottom w:val="0"/>
      <w:divBdr>
        <w:top w:val="none" w:sz="0" w:space="0" w:color="auto"/>
        <w:left w:val="none" w:sz="0" w:space="0" w:color="auto"/>
        <w:bottom w:val="none" w:sz="0" w:space="0" w:color="auto"/>
        <w:right w:val="none" w:sz="0" w:space="0" w:color="auto"/>
      </w:divBdr>
    </w:div>
    <w:div w:id="720791744">
      <w:bodyDiv w:val="1"/>
      <w:marLeft w:val="0"/>
      <w:marRight w:val="0"/>
      <w:marTop w:val="0"/>
      <w:marBottom w:val="0"/>
      <w:divBdr>
        <w:top w:val="none" w:sz="0" w:space="0" w:color="auto"/>
        <w:left w:val="none" w:sz="0" w:space="0" w:color="auto"/>
        <w:bottom w:val="none" w:sz="0" w:space="0" w:color="auto"/>
        <w:right w:val="none" w:sz="0" w:space="0" w:color="auto"/>
      </w:divBdr>
    </w:div>
    <w:div w:id="739252567">
      <w:bodyDiv w:val="1"/>
      <w:marLeft w:val="0"/>
      <w:marRight w:val="0"/>
      <w:marTop w:val="0"/>
      <w:marBottom w:val="0"/>
      <w:divBdr>
        <w:top w:val="none" w:sz="0" w:space="0" w:color="auto"/>
        <w:left w:val="none" w:sz="0" w:space="0" w:color="auto"/>
        <w:bottom w:val="none" w:sz="0" w:space="0" w:color="auto"/>
        <w:right w:val="none" w:sz="0" w:space="0" w:color="auto"/>
      </w:divBdr>
    </w:div>
    <w:div w:id="740178960">
      <w:bodyDiv w:val="1"/>
      <w:marLeft w:val="0"/>
      <w:marRight w:val="0"/>
      <w:marTop w:val="0"/>
      <w:marBottom w:val="0"/>
      <w:divBdr>
        <w:top w:val="none" w:sz="0" w:space="0" w:color="auto"/>
        <w:left w:val="none" w:sz="0" w:space="0" w:color="auto"/>
        <w:bottom w:val="none" w:sz="0" w:space="0" w:color="auto"/>
        <w:right w:val="none" w:sz="0" w:space="0" w:color="auto"/>
      </w:divBdr>
    </w:div>
    <w:div w:id="751507657">
      <w:bodyDiv w:val="1"/>
      <w:marLeft w:val="0"/>
      <w:marRight w:val="0"/>
      <w:marTop w:val="0"/>
      <w:marBottom w:val="0"/>
      <w:divBdr>
        <w:top w:val="none" w:sz="0" w:space="0" w:color="auto"/>
        <w:left w:val="none" w:sz="0" w:space="0" w:color="auto"/>
        <w:bottom w:val="none" w:sz="0" w:space="0" w:color="auto"/>
        <w:right w:val="none" w:sz="0" w:space="0" w:color="auto"/>
      </w:divBdr>
    </w:div>
    <w:div w:id="805128004">
      <w:bodyDiv w:val="1"/>
      <w:marLeft w:val="0"/>
      <w:marRight w:val="0"/>
      <w:marTop w:val="0"/>
      <w:marBottom w:val="0"/>
      <w:divBdr>
        <w:top w:val="none" w:sz="0" w:space="0" w:color="auto"/>
        <w:left w:val="none" w:sz="0" w:space="0" w:color="auto"/>
        <w:bottom w:val="none" w:sz="0" w:space="0" w:color="auto"/>
        <w:right w:val="none" w:sz="0" w:space="0" w:color="auto"/>
      </w:divBdr>
    </w:div>
    <w:div w:id="838890137">
      <w:bodyDiv w:val="1"/>
      <w:marLeft w:val="0"/>
      <w:marRight w:val="0"/>
      <w:marTop w:val="0"/>
      <w:marBottom w:val="0"/>
      <w:divBdr>
        <w:top w:val="none" w:sz="0" w:space="0" w:color="auto"/>
        <w:left w:val="none" w:sz="0" w:space="0" w:color="auto"/>
        <w:bottom w:val="none" w:sz="0" w:space="0" w:color="auto"/>
        <w:right w:val="none" w:sz="0" w:space="0" w:color="auto"/>
      </w:divBdr>
    </w:div>
    <w:div w:id="841555229">
      <w:bodyDiv w:val="1"/>
      <w:marLeft w:val="0"/>
      <w:marRight w:val="0"/>
      <w:marTop w:val="0"/>
      <w:marBottom w:val="0"/>
      <w:divBdr>
        <w:top w:val="none" w:sz="0" w:space="0" w:color="auto"/>
        <w:left w:val="none" w:sz="0" w:space="0" w:color="auto"/>
        <w:bottom w:val="none" w:sz="0" w:space="0" w:color="auto"/>
        <w:right w:val="none" w:sz="0" w:space="0" w:color="auto"/>
      </w:divBdr>
    </w:div>
    <w:div w:id="849100413">
      <w:bodyDiv w:val="1"/>
      <w:marLeft w:val="0"/>
      <w:marRight w:val="0"/>
      <w:marTop w:val="0"/>
      <w:marBottom w:val="0"/>
      <w:divBdr>
        <w:top w:val="none" w:sz="0" w:space="0" w:color="auto"/>
        <w:left w:val="none" w:sz="0" w:space="0" w:color="auto"/>
        <w:bottom w:val="none" w:sz="0" w:space="0" w:color="auto"/>
        <w:right w:val="none" w:sz="0" w:space="0" w:color="auto"/>
      </w:divBdr>
    </w:div>
    <w:div w:id="855003568">
      <w:bodyDiv w:val="1"/>
      <w:marLeft w:val="0"/>
      <w:marRight w:val="0"/>
      <w:marTop w:val="0"/>
      <w:marBottom w:val="0"/>
      <w:divBdr>
        <w:top w:val="none" w:sz="0" w:space="0" w:color="auto"/>
        <w:left w:val="none" w:sz="0" w:space="0" w:color="auto"/>
        <w:bottom w:val="none" w:sz="0" w:space="0" w:color="auto"/>
        <w:right w:val="none" w:sz="0" w:space="0" w:color="auto"/>
      </w:divBdr>
    </w:div>
    <w:div w:id="882330097">
      <w:bodyDiv w:val="1"/>
      <w:marLeft w:val="0"/>
      <w:marRight w:val="0"/>
      <w:marTop w:val="0"/>
      <w:marBottom w:val="0"/>
      <w:divBdr>
        <w:top w:val="none" w:sz="0" w:space="0" w:color="auto"/>
        <w:left w:val="none" w:sz="0" w:space="0" w:color="auto"/>
        <w:bottom w:val="none" w:sz="0" w:space="0" w:color="auto"/>
        <w:right w:val="none" w:sz="0" w:space="0" w:color="auto"/>
      </w:divBdr>
    </w:div>
    <w:div w:id="891773964">
      <w:bodyDiv w:val="1"/>
      <w:marLeft w:val="0"/>
      <w:marRight w:val="0"/>
      <w:marTop w:val="0"/>
      <w:marBottom w:val="0"/>
      <w:divBdr>
        <w:top w:val="none" w:sz="0" w:space="0" w:color="auto"/>
        <w:left w:val="none" w:sz="0" w:space="0" w:color="auto"/>
        <w:bottom w:val="none" w:sz="0" w:space="0" w:color="auto"/>
        <w:right w:val="none" w:sz="0" w:space="0" w:color="auto"/>
      </w:divBdr>
    </w:div>
    <w:div w:id="893352084">
      <w:bodyDiv w:val="1"/>
      <w:marLeft w:val="0"/>
      <w:marRight w:val="0"/>
      <w:marTop w:val="0"/>
      <w:marBottom w:val="0"/>
      <w:divBdr>
        <w:top w:val="none" w:sz="0" w:space="0" w:color="auto"/>
        <w:left w:val="none" w:sz="0" w:space="0" w:color="auto"/>
        <w:bottom w:val="none" w:sz="0" w:space="0" w:color="auto"/>
        <w:right w:val="none" w:sz="0" w:space="0" w:color="auto"/>
      </w:divBdr>
    </w:div>
    <w:div w:id="896086137">
      <w:bodyDiv w:val="1"/>
      <w:marLeft w:val="0"/>
      <w:marRight w:val="0"/>
      <w:marTop w:val="0"/>
      <w:marBottom w:val="0"/>
      <w:divBdr>
        <w:top w:val="none" w:sz="0" w:space="0" w:color="auto"/>
        <w:left w:val="none" w:sz="0" w:space="0" w:color="auto"/>
        <w:bottom w:val="none" w:sz="0" w:space="0" w:color="auto"/>
        <w:right w:val="none" w:sz="0" w:space="0" w:color="auto"/>
      </w:divBdr>
    </w:div>
    <w:div w:id="917327880">
      <w:bodyDiv w:val="1"/>
      <w:marLeft w:val="0"/>
      <w:marRight w:val="0"/>
      <w:marTop w:val="0"/>
      <w:marBottom w:val="0"/>
      <w:divBdr>
        <w:top w:val="none" w:sz="0" w:space="0" w:color="auto"/>
        <w:left w:val="none" w:sz="0" w:space="0" w:color="auto"/>
        <w:bottom w:val="none" w:sz="0" w:space="0" w:color="auto"/>
        <w:right w:val="none" w:sz="0" w:space="0" w:color="auto"/>
      </w:divBdr>
    </w:div>
    <w:div w:id="920213042">
      <w:bodyDiv w:val="1"/>
      <w:marLeft w:val="0"/>
      <w:marRight w:val="0"/>
      <w:marTop w:val="0"/>
      <w:marBottom w:val="0"/>
      <w:divBdr>
        <w:top w:val="none" w:sz="0" w:space="0" w:color="auto"/>
        <w:left w:val="none" w:sz="0" w:space="0" w:color="auto"/>
        <w:bottom w:val="none" w:sz="0" w:space="0" w:color="auto"/>
        <w:right w:val="none" w:sz="0" w:space="0" w:color="auto"/>
      </w:divBdr>
    </w:div>
    <w:div w:id="921715364">
      <w:bodyDiv w:val="1"/>
      <w:marLeft w:val="0"/>
      <w:marRight w:val="0"/>
      <w:marTop w:val="0"/>
      <w:marBottom w:val="0"/>
      <w:divBdr>
        <w:top w:val="none" w:sz="0" w:space="0" w:color="auto"/>
        <w:left w:val="none" w:sz="0" w:space="0" w:color="auto"/>
        <w:bottom w:val="none" w:sz="0" w:space="0" w:color="auto"/>
        <w:right w:val="none" w:sz="0" w:space="0" w:color="auto"/>
      </w:divBdr>
    </w:div>
    <w:div w:id="924605884">
      <w:bodyDiv w:val="1"/>
      <w:marLeft w:val="0"/>
      <w:marRight w:val="0"/>
      <w:marTop w:val="0"/>
      <w:marBottom w:val="0"/>
      <w:divBdr>
        <w:top w:val="none" w:sz="0" w:space="0" w:color="auto"/>
        <w:left w:val="none" w:sz="0" w:space="0" w:color="auto"/>
        <w:bottom w:val="none" w:sz="0" w:space="0" w:color="auto"/>
        <w:right w:val="none" w:sz="0" w:space="0" w:color="auto"/>
      </w:divBdr>
    </w:div>
    <w:div w:id="929120080">
      <w:bodyDiv w:val="1"/>
      <w:marLeft w:val="0"/>
      <w:marRight w:val="0"/>
      <w:marTop w:val="0"/>
      <w:marBottom w:val="0"/>
      <w:divBdr>
        <w:top w:val="none" w:sz="0" w:space="0" w:color="auto"/>
        <w:left w:val="none" w:sz="0" w:space="0" w:color="auto"/>
        <w:bottom w:val="none" w:sz="0" w:space="0" w:color="auto"/>
        <w:right w:val="none" w:sz="0" w:space="0" w:color="auto"/>
      </w:divBdr>
    </w:div>
    <w:div w:id="934903217">
      <w:bodyDiv w:val="1"/>
      <w:marLeft w:val="0"/>
      <w:marRight w:val="0"/>
      <w:marTop w:val="0"/>
      <w:marBottom w:val="0"/>
      <w:divBdr>
        <w:top w:val="none" w:sz="0" w:space="0" w:color="auto"/>
        <w:left w:val="none" w:sz="0" w:space="0" w:color="auto"/>
        <w:bottom w:val="none" w:sz="0" w:space="0" w:color="auto"/>
        <w:right w:val="none" w:sz="0" w:space="0" w:color="auto"/>
      </w:divBdr>
    </w:div>
    <w:div w:id="948971562">
      <w:bodyDiv w:val="1"/>
      <w:marLeft w:val="0"/>
      <w:marRight w:val="0"/>
      <w:marTop w:val="0"/>
      <w:marBottom w:val="0"/>
      <w:divBdr>
        <w:top w:val="none" w:sz="0" w:space="0" w:color="auto"/>
        <w:left w:val="none" w:sz="0" w:space="0" w:color="auto"/>
        <w:bottom w:val="none" w:sz="0" w:space="0" w:color="auto"/>
        <w:right w:val="none" w:sz="0" w:space="0" w:color="auto"/>
      </w:divBdr>
    </w:div>
    <w:div w:id="964895476">
      <w:bodyDiv w:val="1"/>
      <w:marLeft w:val="0"/>
      <w:marRight w:val="0"/>
      <w:marTop w:val="0"/>
      <w:marBottom w:val="0"/>
      <w:divBdr>
        <w:top w:val="none" w:sz="0" w:space="0" w:color="auto"/>
        <w:left w:val="none" w:sz="0" w:space="0" w:color="auto"/>
        <w:bottom w:val="none" w:sz="0" w:space="0" w:color="auto"/>
        <w:right w:val="none" w:sz="0" w:space="0" w:color="auto"/>
      </w:divBdr>
    </w:div>
    <w:div w:id="1026056117">
      <w:bodyDiv w:val="1"/>
      <w:marLeft w:val="0"/>
      <w:marRight w:val="0"/>
      <w:marTop w:val="0"/>
      <w:marBottom w:val="0"/>
      <w:divBdr>
        <w:top w:val="none" w:sz="0" w:space="0" w:color="auto"/>
        <w:left w:val="none" w:sz="0" w:space="0" w:color="auto"/>
        <w:bottom w:val="none" w:sz="0" w:space="0" w:color="auto"/>
        <w:right w:val="none" w:sz="0" w:space="0" w:color="auto"/>
      </w:divBdr>
    </w:div>
    <w:div w:id="1031951475">
      <w:bodyDiv w:val="1"/>
      <w:marLeft w:val="0"/>
      <w:marRight w:val="0"/>
      <w:marTop w:val="0"/>
      <w:marBottom w:val="0"/>
      <w:divBdr>
        <w:top w:val="none" w:sz="0" w:space="0" w:color="auto"/>
        <w:left w:val="none" w:sz="0" w:space="0" w:color="auto"/>
        <w:bottom w:val="none" w:sz="0" w:space="0" w:color="auto"/>
        <w:right w:val="none" w:sz="0" w:space="0" w:color="auto"/>
      </w:divBdr>
    </w:div>
    <w:div w:id="1042943571">
      <w:bodyDiv w:val="1"/>
      <w:marLeft w:val="0"/>
      <w:marRight w:val="0"/>
      <w:marTop w:val="0"/>
      <w:marBottom w:val="0"/>
      <w:divBdr>
        <w:top w:val="none" w:sz="0" w:space="0" w:color="auto"/>
        <w:left w:val="none" w:sz="0" w:space="0" w:color="auto"/>
        <w:bottom w:val="none" w:sz="0" w:space="0" w:color="auto"/>
        <w:right w:val="none" w:sz="0" w:space="0" w:color="auto"/>
      </w:divBdr>
    </w:div>
    <w:div w:id="1052194796">
      <w:bodyDiv w:val="1"/>
      <w:marLeft w:val="0"/>
      <w:marRight w:val="0"/>
      <w:marTop w:val="0"/>
      <w:marBottom w:val="0"/>
      <w:divBdr>
        <w:top w:val="none" w:sz="0" w:space="0" w:color="auto"/>
        <w:left w:val="none" w:sz="0" w:space="0" w:color="auto"/>
        <w:bottom w:val="none" w:sz="0" w:space="0" w:color="auto"/>
        <w:right w:val="none" w:sz="0" w:space="0" w:color="auto"/>
      </w:divBdr>
    </w:div>
    <w:div w:id="1054306650">
      <w:bodyDiv w:val="1"/>
      <w:marLeft w:val="0"/>
      <w:marRight w:val="0"/>
      <w:marTop w:val="0"/>
      <w:marBottom w:val="0"/>
      <w:divBdr>
        <w:top w:val="none" w:sz="0" w:space="0" w:color="auto"/>
        <w:left w:val="none" w:sz="0" w:space="0" w:color="auto"/>
        <w:bottom w:val="none" w:sz="0" w:space="0" w:color="auto"/>
        <w:right w:val="none" w:sz="0" w:space="0" w:color="auto"/>
      </w:divBdr>
    </w:div>
    <w:div w:id="1079444245">
      <w:bodyDiv w:val="1"/>
      <w:marLeft w:val="0"/>
      <w:marRight w:val="0"/>
      <w:marTop w:val="0"/>
      <w:marBottom w:val="0"/>
      <w:divBdr>
        <w:top w:val="none" w:sz="0" w:space="0" w:color="auto"/>
        <w:left w:val="none" w:sz="0" w:space="0" w:color="auto"/>
        <w:bottom w:val="none" w:sz="0" w:space="0" w:color="auto"/>
        <w:right w:val="none" w:sz="0" w:space="0" w:color="auto"/>
      </w:divBdr>
    </w:div>
    <w:div w:id="1082290711">
      <w:bodyDiv w:val="1"/>
      <w:marLeft w:val="0"/>
      <w:marRight w:val="0"/>
      <w:marTop w:val="0"/>
      <w:marBottom w:val="0"/>
      <w:divBdr>
        <w:top w:val="none" w:sz="0" w:space="0" w:color="auto"/>
        <w:left w:val="none" w:sz="0" w:space="0" w:color="auto"/>
        <w:bottom w:val="none" w:sz="0" w:space="0" w:color="auto"/>
        <w:right w:val="none" w:sz="0" w:space="0" w:color="auto"/>
      </w:divBdr>
    </w:div>
    <w:div w:id="1089352867">
      <w:bodyDiv w:val="1"/>
      <w:marLeft w:val="0"/>
      <w:marRight w:val="0"/>
      <w:marTop w:val="0"/>
      <w:marBottom w:val="0"/>
      <w:divBdr>
        <w:top w:val="none" w:sz="0" w:space="0" w:color="auto"/>
        <w:left w:val="none" w:sz="0" w:space="0" w:color="auto"/>
        <w:bottom w:val="none" w:sz="0" w:space="0" w:color="auto"/>
        <w:right w:val="none" w:sz="0" w:space="0" w:color="auto"/>
      </w:divBdr>
    </w:div>
    <w:div w:id="1100905934">
      <w:bodyDiv w:val="1"/>
      <w:marLeft w:val="0"/>
      <w:marRight w:val="0"/>
      <w:marTop w:val="0"/>
      <w:marBottom w:val="0"/>
      <w:divBdr>
        <w:top w:val="none" w:sz="0" w:space="0" w:color="auto"/>
        <w:left w:val="none" w:sz="0" w:space="0" w:color="auto"/>
        <w:bottom w:val="none" w:sz="0" w:space="0" w:color="auto"/>
        <w:right w:val="none" w:sz="0" w:space="0" w:color="auto"/>
      </w:divBdr>
    </w:div>
    <w:div w:id="1107197209">
      <w:bodyDiv w:val="1"/>
      <w:marLeft w:val="0"/>
      <w:marRight w:val="0"/>
      <w:marTop w:val="0"/>
      <w:marBottom w:val="0"/>
      <w:divBdr>
        <w:top w:val="none" w:sz="0" w:space="0" w:color="auto"/>
        <w:left w:val="none" w:sz="0" w:space="0" w:color="auto"/>
        <w:bottom w:val="none" w:sz="0" w:space="0" w:color="auto"/>
        <w:right w:val="none" w:sz="0" w:space="0" w:color="auto"/>
      </w:divBdr>
    </w:div>
    <w:div w:id="1108767989">
      <w:bodyDiv w:val="1"/>
      <w:marLeft w:val="0"/>
      <w:marRight w:val="0"/>
      <w:marTop w:val="0"/>
      <w:marBottom w:val="0"/>
      <w:divBdr>
        <w:top w:val="none" w:sz="0" w:space="0" w:color="auto"/>
        <w:left w:val="none" w:sz="0" w:space="0" w:color="auto"/>
        <w:bottom w:val="none" w:sz="0" w:space="0" w:color="auto"/>
        <w:right w:val="none" w:sz="0" w:space="0" w:color="auto"/>
      </w:divBdr>
    </w:div>
    <w:div w:id="1120756635">
      <w:bodyDiv w:val="1"/>
      <w:marLeft w:val="0"/>
      <w:marRight w:val="0"/>
      <w:marTop w:val="0"/>
      <w:marBottom w:val="0"/>
      <w:divBdr>
        <w:top w:val="none" w:sz="0" w:space="0" w:color="auto"/>
        <w:left w:val="none" w:sz="0" w:space="0" w:color="auto"/>
        <w:bottom w:val="none" w:sz="0" w:space="0" w:color="auto"/>
        <w:right w:val="none" w:sz="0" w:space="0" w:color="auto"/>
      </w:divBdr>
    </w:div>
    <w:div w:id="1143347399">
      <w:bodyDiv w:val="1"/>
      <w:marLeft w:val="0"/>
      <w:marRight w:val="0"/>
      <w:marTop w:val="0"/>
      <w:marBottom w:val="0"/>
      <w:divBdr>
        <w:top w:val="none" w:sz="0" w:space="0" w:color="auto"/>
        <w:left w:val="none" w:sz="0" w:space="0" w:color="auto"/>
        <w:bottom w:val="none" w:sz="0" w:space="0" w:color="auto"/>
        <w:right w:val="none" w:sz="0" w:space="0" w:color="auto"/>
      </w:divBdr>
    </w:div>
    <w:div w:id="1175538323">
      <w:bodyDiv w:val="1"/>
      <w:marLeft w:val="0"/>
      <w:marRight w:val="0"/>
      <w:marTop w:val="0"/>
      <w:marBottom w:val="0"/>
      <w:divBdr>
        <w:top w:val="none" w:sz="0" w:space="0" w:color="auto"/>
        <w:left w:val="none" w:sz="0" w:space="0" w:color="auto"/>
        <w:bottom w:val="none" w:sz="0" w:space="0" w:color="auto"/>
        <w:right w:val="none" w:sz="0" w:space="0" w:color="auto"/>
      </w:divBdr>
    </w:div>
    <w:div w:id="1195849471">
      <w:bodyDiv w:val="1"/>
      <w:marLeft w:val="0"/>
      <w:marRight w:val="0"/>
      <w:marTop w:val="0"/>
      <w:marBottom w:val="0"/>
      <w:divBdr>
        <w:top w:val="none" w:sz="0" w:space="0" w:color="auto"/>
        <w:left w:val="none" w:sz="0" w:space="0" w:color="auto"/>
        <w:bottom w:val="none" w:sz="0" w:space="0" w:color="auto"/>
        <w:right w:val="none" w:sz="0" w:space="0" w:color="auto"/>
      </w:divBdr>
    </w:div>
    <w:div w:id="1211723393">
      <w:bodyDiv w:val="1"/>
      <w:marLeft w:val="0"/>
      <w:marRight w:val="0"/>
      <w:marTop w:val="0"/>
      <w:marBottom w:val="0"/>
      <w:divBdr>
        <w:top w:val="none" w:sz="0" w:space="0" w:color="auto"/>
        <w:left w:val="none" w:sz="0" w:space="0" w:color="auto"/>
        <w:bottom w:val="none" w:sz="0" w:space="0" w:color="auto"/>
        <w:right w:val="none" w:sz="0" w:space="0" w:color="auto"/>
      </w:divBdr>
    </w:div>
    <w:div w:id="1217593724">
      <w:bodyDiv w:val="1"/>
      <w:marLeft w:val="0"/>
      <w:marRight w:val="0"/>
      <w:marTop w:val="0"/>
      <w:marBottom w:val="0"/>
      <w:divBdr>
        <w:top w:val="none" w:sz="0" w:space="0" w:color="auto"/>
        <w:left w:val="none" w:sz="0" w:space="0" w:color="auto"/>
        <w:bottom w:val="none" w:sz="0" w:space="0" w:color="auto"/>
        <w:right w:val="none" w:sz="0" w:space="0" w:color="auto"/>
      </w:divBdr>
    </w:div>
    <w:div w:id="1237134928">
      <w:bodyDiv w:val="1"/>
      <w:marLeft w:val="0"/>
      <w:marRight w:val="0"/>
      <w:marTop w:val="0"/>
      <w:marBottom w:val="0"/>
      <w:divBdr>
        <w:top w:val="none" w:sz="0" w:space="0" w:color="auto"/>
        <w:left w:val="none" w:sz="0" w:space="0" w:color="auto"/>
        <w:bottom w:val="none" w:sz="0" w:space="0" w:color="auto"/>
        <w:right w:val="none" w:sz="0" w:space="0" w:color="auto"/>
      </w:divBdr>
    </w:div>
    <w:div w:id="1262565726">
      <w:bodyDiv w:val="1"/>
      <w:marLeft w:val="0"/>
      <w:marRight w:val="0"/>
      <w:marTop w:val="0"/>
      <w:marBottom w:val="0"/>
      <w:divBdr>
        <w:top w:val="none" w:sz="0" w:space="0" w:color="auto"/>
        <w:left w:val="none" w:sz="0" w:space="0" w:color="auto"/>
        <w:bottom w:val="none" w:sz="0" w:space="0" w:color="auto"/>
        <w:right w:val="none" w:sz="0" w:space="0" w:color="auto"/>
      </w:divBdr>
    </w:div>
    <w:div w:id="1269695533">
      <w:bodyDiv w:val="1"/>
      <w:marLeft w:val="0"/>
      <w:marRight w:val="0"/>
      <w:marTop w:val="0"/>
      <w:marBottom w:val="0"/>
      <w:divBdr>
        <w:top w:val="none" w:sz="0" w:space="0" w:color="auto"/>
        <w:left w:val="none" w:sz="0" w:space="0" w:color="auto"/>
        <w:bottom w:val="none" w:sz="0" w:space="0" w:color="auto"/>
        <w:right w:val="none" w:sz="0" w:space="0" w:color="auto"/>
      </w:divBdr>
    </w:div>
    <w:div w:id="1271477456">
      <w:bodyDiv w:val="1"/>
      <w:marLeft w:val="0"/>
      <w:marRight w:val="0"/>
      <w:marTop w:val="0"/>
      <w:marBottom w:val="0"/>
      <w:divBdr>
        <w:top w:val="none" w:sz="0" w:space="0" w:color="auto"/>
        <w:left w:val="none" w:sz="0" w:space="0" w:color="auto"/>
        <w:bottom w:val="none" w:sz="0" w:space="0" w:color="auto"/>
        <w:right w:val="none" w:sz="0" w:space="0" w:color="auto"/>
      </w:divBdr>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285309116">
      <w:bodyDiv w:val="1"/>
      <w:marLeft w:val="0"/>
      <w:marRight w:val="0"/>
      <w:marTop w:val="0"/>
      <w:marBottom w:val="0"/>
      <w:divBdr>
        <w:top w:val="none" w:sz="0" w:space="0" w:color="auto"/>
        <w:left w:val="none" w:sz="0" w:space="0" w:color="auto"/>
        <w:bottom w:val="none" w:sz="0" w:space="0" w:color="auto"/>
        <w:right w:val="none" w:sz="0" w:space="0" w:color="auto"/>
      </w:divBdr>
    </w:div>
    <w:div w:id="1287270960">
      <w:bodyDiv w:val="1"/>
      <w:marLeft w:val="0"/>
      <w:marRight w:val="0"/>
      <w:marTop w:val="0"/>
      <w:marBottom w:val="0"/>
      <w:divBdr>
        <w:top w:val="none" w:sz="0" w:space="0" w:color="auto"/>
        <w:left w:val="none" w:sz="0" w:space="0" w:color="auto"/>
        <w:bottom w:val="none" w:sz="0" w:space="0" w:color="auto"/>
        <w:right w:val="none" w:sz="0" w:space="0" w:color="auto"/>
      </w:divBdr>
    </w:div>
    <w:div w:id="1305741317">
      <w:bodyDiv w:val="1"/>
      <w:marLeft w:val="0"/>
      <w:marRight w:val="0"/>
      <w:marTop w:val="0"/>
      <w:marBottom w:val="0"/>
      <w:divBdr>
        <w:top w:val="none" w:sz="0" w:space="0" w:color="auto"/>
        <w:left w:val="none" w:sz="0" w:space="0" w:color="auto"/>
        <w:bottom w:val="none" w:sz="0" w:space="0" w:color="auto"/>
        <w:right w:val="none" w:sz="0" w:space="0" w:color="auto"/>
      </w:divBdr>
    </w:div>
    <w:div w:id="1331983409">
      <w:bodyDiv w:val="1"/>
      <w:marLeft w:val="0"/>
      <w:marRight w:val="0"/>
      <w:marTop w:val="0"/>
      <w:marBottom w:val="0"/>
      <w:divBdr>
        <w:top w:val="none" w:sz="0" w:space="0" w:color="auto"/>
        <w:left w:val="none" w:sz="0" w:space="0" w:color="auto"/>
        <w:bottom w:val="none" w:sz="0" w:space="0" w:color="auto"/>
        <w:right w:val="none" w:sz="0" w:space="0" w:color="auto"/>
      </w:divBdr>
    </w:div>
    <w:div w:id="1332875161">
      <w:bodyDiv w:val="1"/>
      <w:marLeft w:val="0"/>
      <w:marRight w:val="0"/>
      <w:marTop w:val="0"/>
      <w:marBottom w:val="0"/>
      <w:divBdr>
        <w:top w:val="none" w:sz="0" w:space="0" w:color="auto"/>
        <w:left w:val="none" w:sz="0" w:space="0" w:color="auto"/>
        <w:bottom w:val="none" w:sz="0" w:space="0" w:color="auto"/>
        <w:right w:val="none" w:sz="0" w:space="0" w:color="auto"/>
      </w:divBdr>
    </w:div>
    <w:div w:id="1338338688">
      <w:bodyDiv w:val="1"/>
      <w:marLeft w:val="0"/>
      <w:marRight w:val="0"/>
      <w:marTop w:val="0"/>
      <w:marBottom w:val="0"/>
      <w:divBdr>
        <w:top w:val="none" w:sz="0" w:space="0" w:color="auto"/>
        <w:left w:val="none" w:sz="0" w:space="0" w:color="auto"/>
        <w:bottom w:val="none" w:sz="0" w:space="0" w:color="auto"/>
        <w:right w:val="none" w:sz="0" w:space="0" w:color="auto"/>
      </w:divBdr>
    </w:div>
    <w:div w:id="1376347723">
      <w:bodyDiv w:val="1"/>
      <w:marLeft w:val="0"/>
      <w:marRight w:val="0"/>
      <w:marTop w:val="0"/>
      <w:marBottom w:val="0"/>
      <w:divBdr>
        <w:top w:val="none" w:sz="0" w:space="0" w:color="auto"/>
        <w:left w:val="none" w:sz="0" w:space="0" w:color="auto"/>
        <w:bottom w:val="none" w:sz="0" w:space="0" w:color="auto"/>
        <w:right w:val="none" w:sz="0" w:space="0" w:color="auto"/>
      </w:divBdr>
    </w:div>
    <w:div w:id="1384066090">
      <w:bodyDiv w:val="1"/>
      <w:marLeft w:val="0"/>
      <w:marRight w:val="0"/>
      <w:marTop w:val="0"/>
      <w:marBottom w:val="0"/>
      <w:divBdr>
        <w:top w:val="none" w:sz="0" w:space="0" w:color="auto"/>
        <w:left w:val="none" w:sz="0" w:space="0" w:color="auto"/>
        <w:bottom w:val="none" w:sz="0" w:space="0" w:color="auto"/>
        <w:right w:val="none" w:sz="0" w:space="0" w:color="auto"/>
      </w:divBdr>
    </w:div>
    <w:div w:id="1384135397">
      <w:bodyDiv w:val="1"/>
      <w:marLeft w:val="0"/>
      <w:marRight w:val="0"/>
      <w:marTop w:val="0"/>
      <w:marBottom w:val="0"/>
      <w:divBdr>
        <w:top w:val="none" w:sz="0" w:space="0" w:color="auto"/>
        <w:left w:val="none" w:sz="0" w:space="0" w:color="auto"/>
        <w:bottom w:val="none" w:sz="0" w:space="0" w:color="auto"/>
        <w:right w:val="none" w:sz="0" w:space="0" w:color="auto"/>
      </w:divBdr>
    </w:div>
    <w:div w:id="1399788663">
      <w:bodyDiv w:val="1"/>
      <w:marLeft w:val="0"/>
      <w:marRight w:val="0"/>
      <w:marTop w:val="0"/>
      <w:marBottom w:val="0"/>
      <w:divBdr>
        <w:top w:val="none" w:sz="0" w:space="0" w:color="auto"/>
        <w:left w:val="none" w:sz="0" w:space="0" w:color="auto"/>
        <w:bottom w:val="none" w:sz="0" w:space="0" w:color="auto"/>
        <w:right w:val="none" w:sz="0" w:space="0" w:color="auto"/>
      </w:divBdr>
    </w:div>
    <w:div w:id="1410617146">
      <w:bodyDiv w:val="1"/>
      <w:marLeft w:val="0"/>
      <w:marRight w:val="0"/>
      <w:marTop w:val="0"/>
      <w:marBottom w:val="0"/>
      <w:divBdr>
        <w:top w:val="none" w:sz="0" w:space="0" w:color="auto"/>
        <w:left w:val="none" w:sz="0" w:space="0" w:color="auto"/>
        <w:bottom w:val="none" w:sz="0" w:space="0" w:color="auto"/>
        <w:right w:val="none" w:sz="0" w:space="0" w:color="auto"/>
      </w:divBdr>
    </w:div>
    <w:div w:id="1416198401">
      <w:bodyDiv w:val="1"/>
      <w:marLeft w:val="0"/>
      <w:marRight w:val="0"/>
      <w:marTop w:val="0"/>
      <w:marBottom w:val="0"/>
      <w:divBdr>
        <w:top w:val="none" w:sz="0" w:space="0" w:color="auto"/>
        <w:left w:val="none" w:sz="0" w:space="0" w:color="auto"/>
        <w:bottom w:val="none" w:sz="0" w:space="0" w:color="auto"/>
        <w:right w:val="none" w:sz="0" w:space="0" w:color="auto"/>
      </w:divBdr>
    </w:div>
    <w:div w:id="1431318465">
      <w:bodyDiv w:val="1"/>
      <w:marLeft w:val="0"/>
      <w:marRight w:val="0"/>
      <w:marTop w:val="0"/>
      <w:marBottom w:val="0"/>
      <w:divBdr>
        <w:top w:val="none" w:sz="0" w:space="0" w:color="auto"/>
        <w:left w:val="none" w:sz="0" w:space="0" w:color="auto"/>
        <w:bottom w:val="none" w:sz="0" w:space="0" w:color="auto"/>
        <w:right w:val="none" w:sz="0" w:space="0" w:color="auto"/>
      </w:divBdr>
    </w:div>
    <w:div w:id="1443956081">
      <w:bodyDiv w:val="1"/>
      <w:marLeft w:val="0"/>
      <w:marRight w:val="0"/>
      <w:marTop w:val="0"/>
      <w:marBottom w:val="0"/>
      <w:divBdr>
        <w:top w:val="none" w:sz="0" w:space="0" w:color="auto"/>
        <w:left w:val="none" w:sz="0" w:space="0" w:color="auto"/>
        <w:bottom w:val="none" w:sz="0" w:space="0" w:color="auto"/>
        <w:right w:val="none" w:sz="0" w:space="0" w:color="auto"/>
      </w:divBdr>
    </w:div>
    <w:div w:id="1457528983">
      <w:bodyDiv w:val="1"/>
      <w:marLeft w:val="0"/>
      <w:marRight w:val="0"/>
      <w:marTop w:val="0"/>
      <w:marBottom w:val="0"/>
      <w:divBdr>
        <w:top w:val="none" w:sz="0" w:space="0" w:color="auto"/>
        <w:left w:val="none" w:sz="0" w:space="0" w:color="auto"/>
        <w:bottom w:val="none" w:sz="0" w:space="0" w:color="auto"/>
        <w:right w:val="none" w:sz="0" w:space="0" w:color="auto"/>
      </w:divBdr>
    </w:div>
    <w:div w:id="1469858005">
      <w:bodyDiv w:val="1"/>
      <w:marLeft w:val="0"/>
      <w:marRight w:val="0"/>
      <w:marTop w:val="0"/>
      <w:marBottom w:val="0"/>
      <w:divBdr>
        <w:top w:val="none" w:sz="0" w:space="0" w:color="auto"/>
        <w:left w:val="none" w:sz="0" w:space="0" w:color="auto"/>
        <w:bottom w:val="none" w:sz="0" w:space="0" w:color="auto"/>
        <w:right w:val="none" w:sz="0" w:space="0" w:color="auto"/>
      </w:divBdr>
    </w:div>
    <w:div w:id="1485048787">
      <w:bodyDiv w:val="1"/>
      <w:marLeft w:val="0"/>
      <w:marRight w:val="0"/>
      <w:marTop w:val="0"/>
      <w:marBottom w:val="0"/>
      <w:divBdr>
        <w:top w:val="none" w:sz="0" w:space="0" w:color="auto"/>
        <w:left w:val="none" w:sz="0" w:space="0" w:color="auto"/>
        <w:bottom w:val="none" w:sz="0" w:space="0" w:color="auto"/>
        <w:right w:val="none" w:sz="0" w:space="0" w:color="auto"/>
      </w:divBdr>
    </w:div>
    <w:div w:id="1493793160">
      <w:bodyDiv w:val="1"/>
      <w:marLeft w:val="0"/>
      <w:marRight w:val="0"/>
      <w:marTop w:val="0"/>
      <w:marBottom w:val="0"/>
      <w:divBdr>
        <w:top w:val="none" w:sz="0" w:space="0" w:color="auto"/>
        <w:left w:val="none" w:sz="0" w:space="0" w:color="auto"/>
        <w:bottom w:val="none" w:sz="0" w:space="0" w:color="auto"/>
        <w:right w:val="none" w:sz="0" w:space="0" w:color="auto"/>
      </w:divBdr>
    </w:div>
    <w:div w:id="1517042373">
      <w:bodyDiv w:val="1"/>
      <w:marLeft w:val="0"/>
      <w:marRight w:val="0"/>
      <w:marTop w:val="0"/>
      <w:marBottom w:val="0"/>
      <w:divBdr>
        <w:top w:val="none" w:sz="0" w:space="0" w:color="auto"/>
        <w:left w:val="none" w:sz="0" w:space="0" w:color="auto"/>
        <w:bottom w:val="none" w:sz="0" w:space="0" w:color="auto"/>
        <w:right w:val="none" w:sz="0" w:space="0" w:color="auto"/>
      </w:divBdr>
    </w:div>
    <w:div w:id="1518353141">
      <w:bodyDiv w:val="1"/>
      <w:marLeft w:val="0"/>
      <w:marRight w:val="0"/>
      <w:marTop w:val="0"/>
      <w:marBottom w:val="0"/>
      <w:divBdr>
        <w:top w:val="none" w:sz="0" w:space="0" w:color="auto"/>
        <w:left w:val="none" w:sz="0" w:space="0" w:color="auto"/>
        <w:bottom w:val="none" w:sz="0" w:space="0" w:color="auto"/>
        <w:right w:val="none" w:sz="0" w:space="0" w:color="auto"/>
      </w:divBdr>
    </w:div>
    <w:div w:id="1575092507">
      <w:bodyDiv w:val="1"/>
      <w:marLeft w:val="0"/>
      <w:marRight w:val="0"/>
      <w:marTop w:val="0"/>
      <w:marBottom w:val="0"/>
      <w:divBdr>
        <w:top w:val="none" w:sz="0" w:space="0" w:color="auto"/>
        <w:left w:val="none" w:sz="0" w:space="0" w:color="auto"/>
        <w:bottom w:val="none" w:sz="0" w:space="0" w:color="auto"/>
        <w:right w:val="none" w:sz="0" w:space="0" w:color="auto"/>
      </w:divBdr>
    </w:div>
    <w:div w:id="1585606916">
      <w:bodyDiv w:val="1"/>
      <w:marLeft w:val="0"/>
      <w:marRight w:val="0"/>
      <w:marTop w:val="0"/>
      <w:marBottom w:val="0"/>
      <w:divBdr>
        <w:top w:val="none" w:sz="0" w:space="0" w:color="auto"/>
        <w:left w:val="none" w:sz="0" w:space="0" w:color="auto"/>
        <w:bottom w:val="none" w:sz="0" w:space="0" w:color="auto"/>
        <w:right w:val="none" w:sz="0" w:space="0" w:color="auto"/>
      </w:divBdr>
    </w:div>
    <w:div w:id="1637372396">
      <w:bodyDiv w:val="1"/>
      <w:marLeft w:val="0"/>
      <w:marRight w:val="0"/>
      <w:marTop w:val="0"/>
      <w:marBottom w:val="0"/>
      <w:divBdr>
        <w:top w:val="none" w:sz="0" w:space="0" w:color="auto"/>
        <w:left w:val="none" w:sz="0" w:space="0" w:color="auto"/>
        <w:bottom w:val="none" w:sz="0" w:space="0" w:color="auto"/>
        <w:right w:val="none" w:sz="0" w:space="0" w:color="auto"/>
      </w:divBdr>
    </w:div>
    <w:div w:id="1640449977">
      <w:bodyDiv w:val="1"/>
      <w:marLeft w:val="0"/>
      <w:marRight w:val="0"/>
      <w:marTop w:val="0"/>
      <w:marBottom w:val="0"/>
      <w:divBdr>
        <w:top w:val="none" w:sz="0" w:space="0" w:color="auto"/>
        <w:left w:val="none" w:sz="0" w:space="0" w:color="auto"/>
        <w:bottom w:val="none" w:sz="0" w:space="0" w:color="auto"/>
        <w:right w:val="none" w:sz="0" w:space="0" w:color="auto"/>
      </w:divBdr>
    </w:div>
    <w:div w:id="1660571289">
      <w:bodyDiv w:val="1"/>
      <w:marLeft w:val="0"/>
      <w:marRight w:val="0"/>
      <w:marTop w:val="0"/>
      <w:marBottom w:val="0"/>
      <w:divBdr>
        <w:top w:val="none" w:sz="0" w:space="0" w:color="auto"/>
        <w:left w:val="none" w:sz="0" w:space="0" w:color="auto"/>
        <w:bottom w:val="none" w:sz="0" w:space="0" w:color="auto"/>
        <w:right w:val="none" w:sz="0" w:space="0" w:color="auto"/>
      </w:divBdr>
    </w:div>
    <w:div w:id="1713312179">
      <w:bodyDiv w:val="1"/>
      <w:marLeft w:val="0"/>
      <w:marRight w:val="0"/>
      <w:marTop w:val="0"/>
      <w:marBottom w:val="0"/>
      <w:divBdr>
        <w:top w:val="none" w:sz="0" w:space="0" w:color="auto"/>
        <w:left w:val="none" w:sz="0" w:space="0" w:color="auto"/>
        <w:bottom w:val="none" w:sz="0" w:space="0" w:color="auto"/>
        <w:right w:val="none" w:sz="0" w:space="0" w:color="auto"/>
      </w:divBdr>
    </w:div>
    <w:div w:id="1731003440">
      <w:bodyDiv w:val="1"/>
      <w:marLeft w:val="0"/>
      <w:marRight w:val="0"/>
      <w:marTop w:val="0"/>
      <w:marBottom w:val="0"/>
      <w:divBdr>
        <w:top w:val="none" w:sz="0" w:space="0" w:color="auto"/>
        <w:left w:val="none" w:sz="0" w:space="0" w:color="auto"/>
        <w:bottom w:val="none" w:sz="0" w:space="0" w:color="auto"/>
        <w:right w:val="none" w:sz="0" w:space="0" w:color="auto"/>
      </w:divBdr>
    </w:div>
    <w:div w:id="1745178699">
      <w:bodyDiv w:val="1"/>
      <w:marLeft w:val="0"/>
      <w:marRight w:val="0"/>
      <w:marTop w:val="0"/>
      <w:marBottom w:val="0"/>
      <w:divBdr>
        <w:top w:val="none" w:sz="0" w:space="0" w:color="auto"/>
        <w:left w:val="none" w:sz="0" w:space="0" w:color="auto"/>
        <w:bottom w:val="none" w:sz="0" w:space="0" w:color="auto"/>
        <w:right w:val="none" w:sz="0" w:space="0" w:color="auto"/>
      </w:divBdr>
    </w:div>
    <w:div w:id="1764915491">
      <w:bodyDiv w:val="1"/>
      <w:marLeft w:val="0"/>
      <w:marRight w:val="0"/>
      <w:marTop w:val="0"/>
      <w:marBottom w:val="0"/>
      <w:divBdr>
        <w:top w:val="none" w:sz="0" w:space="0" w:color="auto"/>
        <w:left w:val="none" w:sz="0" w:space="0" w:color="auto"/>
        <w:bottom w:val="none" w:sz="0" w:space="0" w:color="auto"/>
        <w:right w:val="none" w:sz="0" w:space="0" w:color="auto"/>
      </w:divBdr>
    </w:div>
    <w:div w:id="1781141184">
      <w:bodyDiv w:val="1"/>
      <w:marLeft w:val="0"/>
      <w:marRight w:val="0"/>
      <w:marTop w:val="0"/>
      <w:marBottom w:val="0"/>
      <w:divBdr>
        <w:top w:val="none" w:sz="0" w:space="0" w:color="auto"/>
        <w:left w:val="none" w:sz="0" w:space="0" w:color="auto"/>
        <w:bottom w:val="none" w:sz="0" w:space="0" w:color="auto"/>
        <w:right w:val="none" w:sz="0" w:space="0" w:color="auto"/>
      </w:divBdr>
    </w:div>
    <w:div w:id="1782070013">
      <w:bodyDiv w:val="1"/>
      <w:marLeft w:val="0"/>
      <w:marRight w:val="0"/>
      <w:marTop w:val="0"/>
      <w:marBottom w:val="0"/>
      <w:divBdr>
        <w:top w:val="none" w:sz="0" w:space="0" w:color="auto"/>
        <w:left w:val="none" w:sz="0" w:space="0" w:color="auto"/>
        <w:bottom w:val="none" w:sz="0" w:space="0" w:color="auto"/>
        <w:right w:val="none" w:sz="0" w:space="0" w:color="auto"/>
      </w:divBdr>
    </w:div>
    <w:div w:id="1798597421">
      <w:bodyDiv w:val="1"/>
      <w:marLeft w:val="0"/>
      <w:marRight w:val="0"/>
      <w:marTop w:val="0"/>
      <w:marBottom w:val="0"/>
      <w:divBdr>
        <w:top w:val="none" w:sz="0" w:space="0" w:color="auto"/>
        <w:left w:val="none" w:sz="0" w:space="0" w:color="auto"/>
        <w:bottom w:val="none" w:sz="0" w:space="0" w:color="auto"/>
        <w:right w:val="none" w:sz="0" w:space="0" w:color="auto"/>
      </w:divBdr>
    </w:div>
    <w:div w:id="1812358289">
      <w:bodyDiv w:val="1"/>
      <w:marLeft w:val="0"/>
      <w:marRight w:val="0"/>
      <w:marTop w:val="0"/>
      <w:marBottom w:val="0"/>
      <w:divBdr>
        <w:top w:val="none" w:sz="0" w:space="0" w:color="auto"/>
        <w:left w:val="none" w:sz="0" w:space="0" w:color="auto"/>
        <w:bottom w:val="none" w:sz="0" w:space="0" w:color="auto"/>
        <w:right w:val="none" w:sz="0" w:space="0" w:color="auto"/>
      </w:divBdr>
    </w:div>
    <w:div w:id="1818305683">
      <w:bodyDiv w:val="1"/>
      <w:marLeft w:val="0"/>
      <w:marRight w:val="0"/>
      <w:marTop w:val="0"/>
      <w:marBottom w:val="0"/>
      <w:divBdr>
        <w:top w:val="none" w:sz="0" w:space="0" w:color="auto"/>
        <w:left w:val="none" w:sz="0" w:space="0" w:color="auto"/>
        <w:bottom w:val="none" w:sz="0" w:space="0" w:color="auto"/>
        <w:right w:val="none" w:sz="0" w:space="0" w:color="auto"/>
      </w:divBdr>
    </w:div>
    <w:div w:id="1852988455">
      <w:bodyDiv w:val="1"/>
      <w:marLeft w:val="0"/>
      <w:marRight w:val="0"/>
      <w:marTop w:val="0"/>
      <w:marBottom w:val="0"/>
      <w:divBdr>
        <w:top w:val="none" w:sz="0" w:space="0" w:color="auto"/>
        <w:left w:val="none" w:sz="0" w:space="0" w:color="auto"/>
        <w:bottom w:val="none" w:sz="0" w:space="0" w:color="auto"/>
        <w:right w:val="none" w:sz="0" w:space="0" w:color="auto"/>
      </w:divBdr>
    </w:div>
    <w:div w:id="1878271765">
      <w:bodyDiv w:val="1"/>
      <w:marLeft w:val="0"/>
      <w:marRight w:val="0"/>
      <w:marTop w:val="0"/>
      <w:marBottom w:val="0"/>
      <w:divBdr>
        <w:top w:val="none" w:sz="0" w:space="0" w:color="auto"/>
        <w:left w:val="none" w:sz="0" w:space="0" w:color="auto"/>
        <w:bottom w:val="none" w:sz="0" w:space="0" w:color="auto"/>
        <w:right w:val="none" w:sz="0" w:space="0" w:color="auto"/>
      </w:divBdr>
    </w:div>
    <w:div w:id="1901018379">
      <w:bodyDiv w:val="1"/>
      <w:marLeft w:val="0"/>
      <w:marRight w:val="0"/>
      <w:marTop w:val="0"/>
      <w:marBottom w:val="0"/>
      <w:divBdr>
        <w:top w:val="none" w:sz="0" w:space="0" w:color="auto"/>
        <w:left w:val="none" w:sz="0" w:space="0" w:color="auto"/>
        <w:bottom w:val="none" w:sz="0" w:space="0" w:color="auto"/>
        <w:right w:val="none" w:sz="0" w:space="0" w:color="auto"/>
      </w:divBdr>
    </w:div>
    <w:div w:id="1929383715">
      <w:bodyDiv w:val="1"/>
      <w:marLeft w:val="0"/>
      <w:marRight w:val="0"/>
      <w:marTop w:val="0"/>
      <w:marBottom w:val="0"/>
      <w:divBdr>
        <w:top w:val="none" w:sz="0" w:space="0" w:color="auto"/>
        <w:left w:val="none" w:sz="0" w:space="0" w:color="auto"/>
        <w:bottom w:val="none" w:sz="0" w:space="0" w:color="auto"/>
        <w:right w:val="none" w:sz="0" w:space="0" w:color="auto"/>
      </w:divBdr>
    </w:div>
    <w:div w:id="1988971040">
      <w:bodyDiv w:val="1"/>
      <w:marLeft w:val="0"/>
      <w:marRight w:val="0"/>
      <w:marTop w:val="0"/>
      <w:marBottom w:val="0"/>
      <w:divBdr>
        <w:top w:val="none" w:sz="0" w:space="0" w:color="auto"/>
        <w:left w:val="none" w:sz="0" w:space="0" w:color="auto"/>
        <w:bottom w:val="none" w:sz="0" w:space="0" w:color="auto"/>
        <w:right w:val="none" w:sz="0" w:space="0" w:color="auto"/>
      </w:divBdr>
    </w:div>
    <w:div w:id="2045934471">
      <w:bodyDiv w:val="1"/>
      <w:marLeft w:val="0"/>
      <w:marRight w:val="0"/>
      <w:marTop w:val="0"/>
      <w:marBottom w:val="0"/>
      <w:divBdr>
        <w:top w:val="none" w:sz="0" w:space="0" w:color="auto"/>
        <w:left w:val="none" w:sz="0" w:space="0" w:color="auto"/>
        <w:bottom w:val="none" w:sz="0" w:space="0" w:color="auto"/>
        <w:right w:val="none" w:sz="0" w:space="0" w:color="auto"/>
      </w:divBdr>
    </w:div>
    <w:div w:id="2053647652">
      <w:bodyDiv w:val="1"/>
      <w:marLeft w:val="0"/>
      <w:marRight w:val="0"/>
      <w:marTop w:val="0"/>
      <w:marBottom w:val="0"/>
      <w:divBdr>
        <w:top w:val="none" w:sz="0" w:space="0" w:color="auto"/>
        <w:left w:val="none" w:sz="0" w:space="0" w:color="auto"/>
        <w:bottom w:val="none" w:sz="0" w:space="0" w:color="auto"/>
        <w:right w:val="none" w:sz="0" w:space="0" w:color="auto"/>
      </w:divBdr>
    </w:div>
    <w:div w:id="2060980549">
      <w:bodyDiv w:val="1"/>
      <w:marLeft w:val="0"/>
      <w:marRight w:val="0"/>
      <w:marTop w:val="0"/>
      <w:marBottom w:val="0"/>
      <w:divBdr>
        <w:top w:val="none" w:sz="0" w:space="0" w:color="auto"/>
        <w:left w:val="none" w:sz="0" w:space="0" w:color="auto"/>
        <w:bottom w:val="none" w:sz="0" w:space="0" w:color="auto"/>
        <w:right w:val="none" w:sz="0" w:space="0" w:color="auto"/>
      </w:divBdr>
    </w:div>
    <w:div w:id="2107263795">
      <w:bodyDiv w:val="1"/>
      <w:marLeft w:val="0"/>
      <w:marRight w:val="0"/>
      <w:marTop w:val="0"/>
      <w:marBottom w:val="0"/>
      <w:divBdr>
        <w:top w:val="none" w:sz="0" w:space="0" w:color="auto"/>
        <w:left w:val="none" w:sz="0" w:space="0" w:color="auto"/>
        <w:bottom w:val="none" w:sz="0" w:space="0" w:color="auto"/>
        <w:right w:val="none" w:sz="0" w:space="0" w:color="auto"/>
      </w:divBdr>
    </w:div>
    <w:div w:id="2114278625">
      <w:bodyDiv w:val="1"/>
      <w:marLeft w:val="0"/>
      <w:marRight w:val="0"/>
      <w:marTop w:val="0"/>
      <w:marBottom w:val="0"/>
      <w:divBdr>
        <w:top w:val="none" w:sz="0" w:space="0" w:color="auto"/>
        <w:left w:val="none" w:sz="0" w:space="0" w:color="auto"/>
        <w:bottom w:val="none" w:sz="0" w:space="0" w:color="auto"/>
        <w:right w:val="none" w:sz="0" w:space="0" w:color="auto"/>
      </w:divBdr>
    </w:div>
    <w:div w:id="21302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79135B-E229-4583-999F-1C75F474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142</Pages>
  <Words>15604</Words>
  <Characters>88945</Characters>
  <Application>Microsoft Office Word</Application>
  <DocSecurity>0</DocSecurity>
  <Lines>741</Lines>
  <Paragraphs>208</Paragraphs>
  <ScaleCrop>false</ScaleCrop>
  <Company>易方达基金管理有限公司</Company>
  <LinksUpToDate>false</LinksUpToDate>
  <CharactersWithSpaces>104341</CharactersWithSpaces>
  <SharedDoc>false</SharedDoc>
  <HLinks>
    <vt:vector size="492" baseType="variant">
      <vt:variant>
        <vt:i4>1376313</vt:i4>
      </vt:variant>
      <vt:variant>
        <vt:i4>488</vt:i4>
      </vt:variant>
      <vt:variant>
        <vt:i4>0</vt:i4>
      </vt:variant>
      <vt:variant>
        <vt:i4>5</vt:i4>
      </vt:variant>
      <vt:variant>
        <vt:lpwstr/>
      </vt:variant>
      <vt:variant>
        <vt:lpwstr>_Toc401755900</vt:lpwstr>
      </vt:variant>
      <vt:variant>
        <vt:i4>1835064</vt:i4>
      </vt:variant>
      <vt:variant>
        <vt:i4>482</vt:i4>
      </vt:variant>
      <vt:variant>
        <vt:i4>0</vt:i4>
      </vt:variant>
      <vt:variant>
        <vt:i4>5</vt:i4>
      </vt:variant>
      <vt:variant>
        <vt:lpwstr/>
      </vt:variant>
      <vt:variant>
        <vt:lpwstr>_Toc401755899</vt:lpwstr>
      </vt:variant>
      <vt:variant>
        <vt:i4>1835064</vt:i4>
      </vt:variant>
      <vt:variant>
        <vt:i4>476</vt:i4>
      </vt:variant>
      <vt:variant>
        <vt:i4>0</vt:i4>
      </vt:variant>
      <vt:variant>
        <vt:i4>5</vt:i4>
      </vt:variant>
      <vt:variant>
        <vt:lpwstr/>
      </vt:variant>
      <vt:variant>
        <vt:lpwstr>_Toc401755898</vt:lpwstr>
      </vt:variant>
      <vt:variant>
        <vt:i4>1835064</vt:i4>
      </vt:variant>
      <vt:variant>
        <vt:i4>470</vt:i4>
      </vt:variant>
      <vt:variant>
        <vt:i4>0</vt:i4>
      </vt:variant>
      <vt:variant>
        <vt:i4>5</vt:i4>
      </vt:variant>
      <vt:variant>
        <vt:lpwstr/>
      </vt:variant>
      <vt:variant>
        <vt:lpwstr>_Toc401755897</vt:lpwstr>
      </vt:variant>
      <vt:variant>
        <vt:i4>1835064</vt:i4>
      </vt:variant>
      <vt:variant>
        <vt:i4>464</vt:i4>
      </vt:variant>
      <vt:variant>
        <vt:i4>0</vt:i4>
      </vt:variant>
      <vt:variant>
        <vt:i4>5</vt:i4>
      </vt:variant>
      <vt:variant>
        <vt:lpwstr/>
      </vt:variant>
      <vt:variant>
        <vt:lpwstr>_Toc401755896</vt:lpwstr>
      </vt:variant>
      <vt:variant>
        <vt:i4>1835064</vt:i4>
      </vt:variant>
      <vt:variant>
        <vt:i4>458</vt:i4>
      </vt:variant>
      <vt:variant>
        <vt:i4>0</vt:i4>
      </vt:variant>
      <vt:variant>
        <vt:i4>5</vt:i4>
      </vt:variant>
      <vt:variant>
        <vt:lpwstr/>
      </vt:variant>
      <vt:variant>
        <vt:lpwstr>_Toc401755895</vt:lpwstr>
      </vt:variant>
      <vt:variant>
        <vt:i4>1835064</vt:i4>
      </vt:variant>
      <vt:variant>
        <vt:i4>452</vt:i4>
      </vt:variant>
      <vt:variant>
        <vt:i4>0</vt:i4>
      </vt:variant>
      <vt:variant>
        <vt:i4>5</vt:i4>
      </vt:variant>
      <vt:variant>
        <vt:lpwstr/>
      </vt:variant>
      <vt:variant>
        <vt:lpwstr>_Toc401755894</vt:lpwstr>
      </vt:variant>
      <vt:variant>
        <vt:i4>1835064</vt:i4>
      </vt:variant>
      <vt:variant>
        <vt:i4>446</vt:i4>
      </vt:variant>
      <vt:variant>
        <vt:i4>0</vt:i4>
      </vt:variant>
      <vt:variant>
        <vt:i4>5</vt:i4>
      </vt:variant>
      <vt:variant>
        <vt:lpwstr/>
      </vt:variant>
      <vt:variant>
        <vt:lpwstr>_Toc401755893</vt:lpwstr>
      </vt:variant>
      <vt:variant>
        <vt:i4>1835064</vt:i4>
      </vt:variant>
      <vt:variant>
        <vt:i4>440</vt:i4>
      </vt:variant>
      <vt:variant>
        <vt:i4>0</vt:i4>
      </vt:variant>
      <vt:variant>
        <vt:i4>5</vt:i4>
      </vt:variant>
      <vt:variant>
        <vt:lpwstr/>
      </vt:variant>
      <vt:variant>
        <vt:lpwstr>_Toc401755892</vt:lpwstr>
      </vt:variant>
      <vt:variant>
        <vt:i4>1835064</vt:i4>
      </vt:variant>
      <vt:variant>
        <vt:i4>434</vt:i4>
      </vt:variant>
      <vt:variant>
        <vt:i4>0</vt:i4>
      </vt:variant>
      <vt:variant>
        <vt:i4>5</vt:i4>
      </vt:variant>
      <vt:variant>
        <vt:lpwstr/>
      </vt:variant>
      <vt:variant>
        <vt:lpwstr>_Toc401755891</vt:lpwstr>
      </vt:variant>
      <vt:variant>
        <vt:i4>1835064</vt:i4>
      </vt:variant>
      <vt:variant>
        <vt:i4>428</vt:i4>
      </vt:variant>
      <vt:variant>
        <vt:i4>0</vt:i4>
      </vt:variant>
      <vt:variant>
        <vt:i4>5</vt:i4>
      </vt:variant>
      <vt:variant>
        <vt:lpwstr/>
      </vt:variant>
      <vt:variant>
        <vt:lpwstr>_Toc401755890</vt:lpwstr>
      </vt:variant>
      <vt:variant>
        <vt:i4>1900600</vt:i4>
      </vt:variant>
      <vt:variant>
        <vt:i4>422</vt:i4>
      </vt:variant>
      <vt:variant>
        <vt:i4>0</vt:i4>
      </vt:variant>
      <vt:variant>
        <vt:i4>5</vt:i4>
      </vt:variant>
      <vt:variant>
        <vt:lpwstr/>
      </vt:variant>
      <vt:variant>
        <vt:lpwstr>_Toc401755889</vt:lpwstr>
      </vt:variant>
      <vt:variant>
        <vt:i4>1900600</vt:i4>
      </vt:variant>
      <vt:variant>
        <vt:i4>416</vt:i4>
      </vt:variant>
      <vt:variant>
        <vt:i4>0</vt:i4>
      </vt:variant>
      <vt:variant>
        <vt:i4>5</vt:i4>
      </vt:variant>
      <vt:variant>
        <vt:lpwstr/>
      </vt:variant>
      <vt:variant>
        <vt:lpwstr>_Toc401755888</vt:lpwstr>
      </vt:variant>
      <vt:variant>
        <vt:i4>1900600</vt:i4>
      </vt:variant>
      <vt:variant>
        <vt:i4>410</vt:i4>
      </vt:variant>
      <vt:variant>
        <vt:i4>0</vt:i4>
      </vt:variant>
      <vt:variant>
        <vt:i4>5</vt:i4>
      </vt:variant>
      <vt:variant>
        <vt:lpwstr/>
      </vt:variant>
      <vt:variant>
        <vt:lpwstr>_Toc401755887</vt:lpwstr>
      </vt:variant>
      <vt:variant>
        <vt:i4>1900600</vt:i4>
      </vt:variant>
      <vt:variant>
        <vt:i4>404</vt:i4>
      </vt:variant>
      <vt:variant>
        <vt:i4>0</vt:i4>
      </vt:variant>
      <vt:variant>
        <vt:i4>5</vt:i4>
      </vt:variant>
      <vt:variant>
        <vt:lpwstr/>
      </vt:variant>
      <vt:variant>
        <vt:lpwstr>_Toc401755886</vt:lpwstr>
      </vt:variant>
      <vt:variant>
        <vt:i4>1900600</vt:i4>
      </vt:variant>
      <vt:variant>
        <vt:i4>398</vt:i4>
      </vt:variant>
      <vt:variant>
        <vt:i4>0</vt:i4>
      </vt:variant>
      <vt:variant>
        <vt:i4>5</vt:i4>
      </vt:variant>
      <vt:variant>
        <vt:lpwstr/>
      </vt:variant>
      <vt:variant>
        <vt:lpwstr>_Toc401755885</vt:lpwstr>
      </vt:variant>
      <vt:variant>
        <vt:i4>1900600</vt:i4>
      </vt:variant>
      <vt:variant>
        <vt:i4>392</vt:i4>
      </vt:variant>
      <vt:variant>
        <vt:i4>0</vt:i4>
      </vt:variant>
      <vt:variant>
        <vt:i4>5</vt:i4>
      </vt:variant>
      <vt:variant>
        <vt:lpwstr/>
      </vt:variant>
      <vt:variant>
        <vt:lpwstr>_Toc401755884</vt:lpwstr>
      </vt:variant>
      <vt:variant>
        <vt:i4>1900600</vt:i4>
      </vt:variant>
      <vt:variant>
        <vt:i4>386</vt:i4>
      </vt:variant>
      <vt:variant>
        <vt:i4>0</vt:i4>
      </vt:variant>
      <vt:variant>
        <vt:i4>5</vt:i4>
      </vt:variant>
      <vt:variant>
        <vt:lpwstr/>
      </vt:variant>
      <vt:variant>
        <vt:lpwstr>_Toc401755883</vt:lpwstr>
      </vt:variant>
      <vt:variant>
        <vt:i4>1900600</vt:i4>
      </vt:variant>
      <vt:variant>
        <vt:i4>380</vt:i4>
      </vt:variant>
      <vt:variant>
        <vt:i4>0</vt:i4>
      </vt:variant>
      <vt:variant>
        <vt:i4>5</vt:i4>
      </vt:variant>
      <vt:variant>
        <vt:lpwstr/>
      </vt:variant>
      <vt:variant>
        <vt:lpwstr>_Toc401755882</vt:lpwstr>
      </vt:variant>
      <vt:variant>
        <vt:i4>1900600</vt:i4>
      </vt:variant>
      <vt:variant>
        <vt:i4>374</vt:i4>
      </vt:variant>
      <vt:variant>
        <vt:i4>0</vt:i4>
      </vt:variant>
      <vt:variant>
        <vt:i4>5</vt:i4>
      </vt:variant>
      <vt:variant>
        <vt:lpwstr/>
      </vt:variant>
      <vt:variant>
        <vt:lpwstr>_Toc401755881</vt:lpwstr>
      </vt:variant>
      <vt:variant>
        <vt:i4>1900600</vt:i4>
      </vt:variant>
      <vt:variant>
        <vt:i4>368</vt:i4>
      </vt:variant>
      <vt:variant>
        <vt:i4>0</vt:i4>
      </vt:variant>
      <vt:variant>
        <vt:i4>5</vt:i4>
      </vt:variant>
      <vt:variant>
        <vt:lpwstr/>
      </vt:variant>
      <vt:variant>
        <vt:lpwstr>_Toc401755880</vt:lpwstr>
      </vt:variant>
      <vt:variant>
        <vt:i4>1179704</vt:i4>
      </vt:variant>
      <vt:variant>
        <vt:i4>362</vt:i4>
      </vt:variant>
      <vt:variant>
        <vt:i4>0</vt:i4>
      </vt:variant>
      <vt:variant>
        <vt:i4>5</vt:i4>
      </vt:variant>
      <vt:variant>
        <vt:lpwstr/>
      </vt:variant>
      <vt:variant>
        <vt:lpwstr>_Toc401755879</vt:lpwstr>
      </vt:variant>
      <vt:variant>
        <vt:i4>1179704</vt:i4>
      </vt:variant>
      <vt:variant>
        <vt:i4>356</vt:i4>
      </vt:variant>
      <vt:variant>
        <vt:i4>0</vt:i4>
      </vt:variant>
      <vt:variant>
        <vt:i4>5</vt:i4>
      </vt:variant>
      <vt:variant>
        <vt:lpwstr/>
      </vt:variant>
      <vt:variant>
        <vt:lpwstr>_Toc401755878</vt:lpwstr>
      </vt:variant>
      <vt:variant>
        <vt:i4>1179704</vt:i4>
      </vt:variant>
      <vt:variant>
        <vt:i4>350</vt:i4>
      </vt:variant>
      <vt:variant>
        <vt:i4>0</vt:i4>
      </vt:variant>
      <vt:variant>
        <vt:i4>5</vt:i4>
      </vt:variant>
      <vt:variant>
        <vt:lpwstr/>
      </vt:variant>
      <vt:variant>
        <vt:lpwstr>_Toc401755877</vt:lpwstr>
      </vt:variant>
      <vt:variant>
        <vt:i4>1179704</vt:i4>
      </vt:variant>
      <vt:variant>
        <vt:i4>344</vt:i4>
      </vt:variant>
      <vt:variant>
        <vt:i4>0</vt:i4>
      </vt:variant>
      <vt:variant>
        <vt:i4>5</vt:i4>
      </vt:variant>
      <vt:variant>
        <vt:lpwstr/>
      </vt:variant>
      <vt:variant>
        <vt:lpwstr>_Toc401755876</vt:lpwstr>
      </vt:variant>
      <vt:variant>
        <vt:i4>1179704</vt:i4>
      </vt:variant>
      <vt:variant>
        <vt:i4>338</vt:i4>
      </vt:variant>
      <vt:variant>
        <vt:i4>0</vt:i4>
      </vt:variant>
      <vt:variant>
        <vt:i4>5</vt:i4>
      </vt:variant>
      <vt:variant>
        <vt:lpwstr/>
      </vt:variant>
      <vt:variant>
        <vt:lpwstr>_Toc401755875</vt:lpwstr>
      </vt:variant>
      <vt:variant>
        <vt:i4>1179704</vt:i4>
      </vt:variant>
      <vt:variant>
        <vt:i4>332</vt:i4>
      </vt:variant>
      <vt:variant>
        <vt:i4>0</vt:i4>
      </vt:variant>
      <vt:variant>
        <vt:i4>5</vt:i4>
      </vt:variant>
      <vt:variant>
        <vt:lpwstr/>
      </vt:variant>
      <vt:variant>
        <vt:lpwstr>_Toc401755874</vt:lpwstr>
      </vt:variant>
      <vt:variant>
        <vt:i4>1179704</vt:i4>
      </vt:variant>
      <vt:variant>
        <vt:i4>326</vt:i4>
      </vt:variant>
      <vt:variant>
        <vt:i4>0</vt:i4>
      </vt:variant>
      <vt:variant>
        <vt:i4>5</vt:i4>
      </vt:variant>
      <vt:variant>
        <vt:lpwstr/>
      </vt:variant>
      <vt:variant>
        <vt:lpwstr>_Toc401755873</vt:lpwstr>
      </vt:variant>
      <vt:variant>
        <vt:i4>1179704</vt:i4>
      </vt:variant>
      <vt:variant>
        <vt:i4>320</vt:i4>
      </vt:variant>
      <vt:variant>
        <vt:i4>0</vt:i4>
      </vt:variant>
      <vt:variant>
        <vt:i4>5</vt:i4>
      </vt:variant>
      <vt:variant>
        <vt:lpwstr/>
      </vt:variant>
      <vt:variant>
        <vt:lpwstr>_Toc401755872</vt:lpwstr>
      </vt:variant>
      <vt:variant>
        <vt:i4>1179704</vt:i4>
      </vt:variant>
      <vt:variant>
        <vt:i4>314</vt:i4>
      </vt:variant>
      <vt:variant>
        <vt:i4>0</vt:i4>
      </vt:variant>
      <vt:variant>
        <vt:i4>5</vt:i4>
      </vt:variant>
      <vt:variant>
        <vt:lpwstr/>
      </vt:variant>
      <vt:variant>
        <vt:lpwstr>_Toc401755871</vt:lpwstr>
      </vt:variant>
      <vt:variant>
        <vt:i4>1179704</vt:i4>
      </vt:variant>
      <vt:variant>
        <vt:i4>308</vt:i4>
      </vt:variant>
      <vt:variant>
        <vt:i4>0</vt:i4>
      </vt:variant>
      <vt:variant>
        <vt:i4>5</vt:i4>
      </vt:variant>
      <vt:variant>
        <vt:lpwstr/>
      </vt:variant>
      <vt:variant>
        <vt:lpwstr>_Toc401755870</vt:lpwstr>
      </vt:variant>
      <vt:variant>
        <vt:i4>1245240</vt:i4>
      </vt:variant>
      <vt:variant>
        <vt:i4>302</vt:i4>
      </vt:variant>
      <vt:variant>
        <vt:i4>0</vt:i4>
      </vt:variant>
      <vt:variant>
        <vt:i4>5</vt:i4>
      </vt:variant>
      <vt:variant>
        <vt:lpwstr/>
      </vt:variant>
      <vt:variant>
        <vt:lpwstr>_Toc401755869</vt:lpwstr>
      </vt:variant>
      <vt:variant>
        <vt:i4>1245240</vt:i4>
      </vt:variant>
      <vt:variant>
        <vt:i4>296</vt:i4>
      </vt:variant>
      <vt:variant>
        <vt:i4>0</vt:i4>
      </vt:variant>
      <vt:variant>
        <vt:i4>5</vt:i4>
      </vt:variant>
      <vt:variant>
        <vt:lpwstr/>
      </vt:variant>
      <vt:variant>
        <vt:lpwstr>_Toc401755868</vt:lpwstr>
      </vt:variant>
      <vt:variant>
        <vt:i4>1245240</vt:i4>
      </vt:variant>
      <vt:variant>
        <vt:i4>290</vt:i4>
      </vt:variant>
      <vt:variant>
        <vt:i4>0</vt:i4>
      </vt:variant>
      <vt:variant>
        <vt:i4>5</vt:i4>
      </vt:variant>
      <vt:variant>
        <vt:lpwstr/>
      </vt:variant>
      <vt:variant>
        <vt:lpwstr>_Toc401755867</vt:lpwstr>
      </vt:variant>
      <vt:variant>
        <vt:i4>1245240</vt:i4>
      </vt:variant>
      <vt:variant>
        <vt:i4>284</vt:i4>
      </vt:variant>
      <vt:variant>
        <vt:i4>0</vt:i4>
      </vt:variant>
      <vt:variant>
        <vt:i4>5</vt:i4>
      </vt:variant>
      <vt:variant>
        <vt:lpwstr/>
      </vt:variant>
      <vt:variant>
        <vt:lpwstr>_Toc401755866</vt:lpwstr>
      </vt:variant>
      <vt:variant>
        <vt:i4>1245240</vt:i4>
      </vt:variant>
      <vt:variant>
        <vt:i4>278</vt:i4>
      </vt:variant>
      <vt:variant>
        <vt:i4>0</vt:i4>
      </vt:variant>
      <vt:variant>
        <vt:i4>5</vt:i4>
      </vt:variant>
      <vt:variant>
        <vt:lpwstr/>
      </vt:variant>
      <vt:variant>
        <vt:lpwstr>_Toc401755865</vt:lpwstr>
      </vt:variant>
      <vt:variant>
        <vt:i4>1245240</vt:i4>
      </vt:variant>
      <vt:variant>
        <vt:i4>272</vt:i4>
      </vt:variant>
      <vt:variant>
        <vt:i4>0</vt:i4>
      </vt:variant>
      <vt:variant>
        <vt:i4>5</vt:i4>
      </vt:variant>
      <vt:variant>
        <vt:lpwstr/>
      </vt:variant>
      <vt:variant>
        <vt:lpwstr>_Toc401755864</vt:lpwstr>
      </vt:variant>
      <vt:variant>
        <vt:i4>1245240</vt:i4>
      </vt:variant>
      <vt:variant>
        <vt:i4>266</vt:i4>
      </vt:variant>
      <vt:variant>
        <vt:i4>0</vt:i4>
      </vt:variant>
      <vt:variant>
        <vt:i4>5</vt:i4>
      </vt:variant>
      <vt:variant>
        <vt:lpwstr/>
      </vt:variant>
      <vt:variant>
        <vt:lpwstr>_Toc401755863</vt:lpwstr>
      </vt:variant>
      <vt:variant>
        <vt:i4>1245240</vt:i4>
      </vt:variant>
      <vt:variant>
        <vt:i4>260</vt:i4>
      </vt:variant>
      <vt:variant>
        <vt:i4>0</vt:i4>
      </vt:variant>
      <vt:variant>
        <vt:i4>5</vt:i4>
      </vt:variant>
      <vt:variant>
        <vt:lpwstr/>
      </vt:variant>
      <vt:variant>
        <vt:lpwstr>_Toc401755862</vt:lpwstr>
      </vt:variant>
      <vt:variant>
        <vt:i4>1245240</vt:i4>
      </vt:variant>
      <vt:variant>
        <vt:i4>254</vt:i4>
      </vt:variant>
      <vt:variant>
        <vt:i4>0</vt:i4>
      </vt:variant>
      <vt:variant>
        <vt:i4>5</vt:i4>
      </vt:variant>
      <vt:variant>
        <vt:lpwstr/>
      </vt:variant>
      <vt:variant>
        <vt:lpwstr>_Toc401755861</vt:lpwstr>
      </vt:variant>
      <vt:variant>
        <vt:i4>1245240</vt:i4>
      </vt:variant>
      <vt:variant>
        <vt:i4>248</vt:i4>
      </vt:variant>
      <vt:variant>
        <vt:i4>0</vt:i4>
      </vt:variant>
      <vt:variant>
        <vt:i4>5</vt:i4>
      </vt:variant>
      <vt:variant>
        <vt:lpwstr/>
      </vt:variant>
      <vt:variant>
        <vt:lpwstr>_Toc401755860</vt:lpwstr>
      </vt:variant>
      <vt:variant>
        <vt:i4>1048632</vt:i4>
      </vt:variant>
      <vt:variant>
        <vt:i4>242</vt:i4>
      </vt:variant>
      <vt:variant>
        <vt:i4>0</vt:i4>
      </vt:variant>
      <vt:variant>
        <vt:i4>5</vt:i4>
      </vt:variant>
      <vt:variant>
        <vt:lpwstr/>
      </vt:variant>
      <vt:variant>
        <vt:lpwstr>_Toc401755859</vt:lpwstr>
      </vt:variant>
      <vt:variant>
        <vt:i4>1048632</vt:i4>
      </vt:variant>
      <vt:variant>
        <vt:i4>236</vt:i4>
      </vt:variant>
      <vt:variant>
        <vt:i4>0</vt:i4>
      </vt:variant>
      <vt:variant>
        <vt:i4>5</vt:i4>
      </vt:variant>
      <vt:variant>
        <vt:lpwstr/>
      </vt:variant>
      <vt:variant>
        <vt:lpwstr>_Toc401755858</vt:lpwstr>
      </vt:variant>
      <vt:variant>
        <vt:i4>1048632</vt:i4>
      </vt:variant>
      <vt:variant>
        <vt:i4>230</vt:i4>
      </vt:variant>
      <vt:variant>
        <vt:i4>0</vt:i4>
      </vt:variant>
      <vt:variant>
        <vt:i4>5</vt:i4>
      </vt:variant>
      <vt:variant>
        <vt:lpwstr/>
      </vt:variant>
      <vt:variant>
        <vt:lpwstr>_Toc401755857</vt:lpwstr>
      </vt:variant>
      <vt:variant>
        <vt:i4>1048632</vt:i4>
      </vt:variant>
      <vt:variant>
        <vt:i4>224</vt:i4>
      </vt:variant>
      <vt:variant>
        <vt:i4>0</vt:i4>
      </vt:variant>
      <vt:variant>
        <vt:i4>5</vt:i4>
      </vt:variant>
      <vt:variant>
        <vt:lpwstr/>
      </vt:variant>
      <vt:variant>
        <vt:lpwstr>_Toc401755856</vt:lpwstr>
      </vt:variant>
      <vt:variant>
        <vt:i4>1048632</vt:i4>
      </vt:variant>
      <vt:variant>
        <vt:i4>218</vt:i4>
      </vt:variant>
      <vt:variant>
        <vt:i4>0</vt:i4>
      </vt:variant>
      <vt:variant>
        <vt:i4>5</vt:i4>
      </vt:variant>
      <vt:variant>
        <vt:lpwstr/>
      </vt:variant>
      <vt:variant>
        <vt:lpwstr>_Toc401755855</vt:lpwstr>
      </vt:variant>
      <vt:variant>
        <vt:i4>1048632</vt:i4>
      </vt:variant>
      <vt:variant>
        <vt:i4>212</vt:i4>
      </vt:variant>
      <vt:variant>
        <vt:i4>0</vt:i4>
      </vt:variant>
      <vt:variant>
        <vt:i4>5</vt:i4>
      </vt:variant>
      <vt:variant>
        <vt:lpwstr/>
      </vt:variant>
      <vt:variant>
        <vt:lpwstr>_Toc401755854</vt:lpwstr>
      </vt:variant>
      <vt:variant>
        <vt:i4>1048632</vt:i4>
      </vt:variant>
      <vt:variant>
        <vt:i4>206</vt:i4>
      </vt:variant>
      <vt:variant>
        <vt:i4>0</vt:i4>
      </vt:variant>
      <vt:variant>
        <vt:i4>5</vt:i4>
      </vt:variant>
      <vt:variant>
        <vt:lpwstr/>
      </vt:variant>
      <vt:variant>
        <vt:lpwstr>_Toc401755853</vt:lpwstr>
      </vt:variant>
      <vt:variant>
        <vt:i4>1048632</vt:i4>
      </vt:variant>
      <vt:variant>
        <vt:i4>200</vt:i4>
      </vt:variant>
      <vt:variant>
        <vt:i4>0</vt:i4>
      </vt:variant>
      <vt:variant>
        <vt:i4>5</vt:i4>
      </vt:variant>
      <vt:variant>
        <vt:lpwstr/>
      </vt:variant>
      <vt:variant>
        <vt:lpwstr>_Toc401755852</vt:lpwstr>
      </vt:variant>
      <vt:variant>
        <vt:i4>1048632</vt:i4>
      </vt:variant>
      <vt:variant>
        <vt:i4>194</vt:i4>
      </vt:variant>
      <vt:variant>
        <vt:i4>0</vt:i4>
      </vt:variant>
      <vt:variant>
        <vt:i4>5</vt:i4>
      </vt:variant>
      <vt:variant>
        <vt:lpwstr/>
      </vt:variant>
      <vt:variant>
        <vt:lpwstr>_Toc401755851</vt:lpwstr>
      </vt:variant>
      <vt:variant>
        <vt:i4>1048632</vt:i4>
      </vt:variant>
      <vt:variant>
        <vt:i4>188</vt:i4>
      </vt:variant>
      <vt:variant>
        <vt:i4>0</vt:i4>
      </vt:variant>
      <vt:variant>
        <vt:i4>5</vt:i4>
      </vt:variant>
      <vt:variant>
        <vt:lpwstr/>
      </vt:variant>
      <vt:variant>
        <vt:lpwstr>_Toc401755850</vt:lpwstr>
      </vt:variant>
      <vt:variant>
        <vt:i4>1114168</vt:i4>
      </vt:variant>
      <vt:variant>
        <vt:i4>182</vt:i4>
      </vt:variant>
      <vt:variant>
        <vt:i4>0</vt:i4>
      </vt:variant>
      <vt:variant>
        <vt:i4>5</vt:i4>
      </vt:variant>
      <vt:variant>
        <vt:lpwstr/>
      </vt:variant>
      <vt:variant>
        <vt:lpwstr>_Toc401755849</vt:lpwstr>
      </vt:variant>
      <vt:variant>
        <vt:i4>1114168</vt:i4>
      </vt:variant>
      <vt:variant>
        <vt:i4>176</vt:i4>
      </vt:variant>
      <vt:variant>
        <vt:i4>0</vt:i4>
      </vt:variant>
      <vt:variant>
        <vt:i4>5</vt:i4>
      </vt:variant>
      <vt:variant>
        <vt:lpwstr/>
      </vt:variant>
      <vt:variant>
        <vt:lpwstr>_Toc401755848</vt:lpwstr>
      </vt:variant>
      <vt:variant>
        <vt:i4>1114168</vt:i4>
      </vt:variant>
      <vt:variant>
        <vt:i4>170</vt:i4>
      </vt:variant>
      <vt:variant>
        <vt:i4>0</vt:i4>
      </vt:variant>
      <vt:variant>
        <vt:i4>5</vt:i4>
      </vt:variant>
      <vt:variant>
        <vt:lpwstr/>
      </vt:variant>
      <vt:variant>
        <vt:lpwstr>_Toc401755847</vt:lpwstr>
      </vt:variant>
      <vt:variant>
        <vt:i4>1114168</vt:i4>
      </vt:variant>
      <vt:variant>
        <vt:i4>164</vt:i4>
      </vt:variant>
      <vt:variant>
        <vt:i4>0</vt:i4>
      </vt:variant>
      <vt:variant>
        <vt:i4>5</vt:i4>
      </vt:variant>
      <vt:variant>
        <vt:lpwstr/>
      </vt:variant>
      <vt:variant>
        <vt:lpwstr>_Toc401755846</vt:lpwstr>
      </vt:variant>
      <vt:variant>
        <vt:i4>1114168</vt:i4>
      </vt:variant>
      <vt:variant>
        <vt:i4>158</vt:i4>
      </vt:variant>
      <vt:variant>
        <vt:i4>0</vt:i4>
      </vt:variant>
      <vt:variant>
        <vt:i4>5</vt:i4>
      </vt:variant>
      <vt:variant>
        <vt:lpwstr/>
      </vt:variant>
      <vt:variant>
        <vt:lpwstr>_Toc401755845</vt:lpwstr>
      </vt:variant>
      <vt:variant>
        <vt:i4>1114168</vt:i4>
      </vt:variant>
      <vt:variant>
        <vt:i4>152</vt:i4>
      </vt:variant>
      <vt:variant>
        <vt:i4>0</vt:i4>
      </vt:variant>
      <vt:variant>
        <vt:i4>5</vt:i4>
      </vt:variant>
      <vt:variant>
        <vt:lpwstr/>
      </vt:variant>
      <vt:variant>
        <vt:lpwstr>_Toc401755844</vt:lpwstr>
      </vt:variant>
      <vt:variant>
        <vt:i4>1114168</vt:i4>
      </vt:variant>
      <vt:variant>
        <vt:i4>146</vt:i4>
      </vt:variant>
      <vt:variant>
        <vt:i4>0</vt:i4>
      </vt:variant>
      <vt:variant>
        <vt:i4>5</vt:i4>
      </vt:variant>
      <vt:variant>
        <vt:lpwstr/>
      </vt:variant>
      <vt:variant>
        <vt:lpwstr>_Toc401755843</vt:lpwstr>
      </vt:variant>
      <vt:variant>
        <vt:i4>1114168</vt:i4>
      </vt:variant>
      <vt:variant>
        <vt:i4>140</vt:i4>
      </vt:variant>
      <vt:variant>
        <vt:i4>0</vt:i4>
      </vt:variant>
      <vt:variant>
        <vt:i4>5</vt:i4>
      </vt:variant>
      <vt:variant>
        <vt:lpwstr/>
      </vt:variant>
      <vt:variant>
        <vt:lpwstr>_Toc401755842</vt:lpwstr>
      </vt:variant>
      <vt:variant>
        <vt:i4>1114168</vt:i4>
      </vt:variant>
      <vt:variant>
        <vt:i4>134</vt:i4>
      </vt:variant>
      <vt:variant>
        <vt:i4>0</vt:i4>
      </vt:variant>
      <vt:variant>
        <vt:i4>5</vt:i4>
      </vt:variant>
      <vt:variant>
        <vt:lpwstr/>
      </vt:variant>
      <vt:variant>
        <vt:lpwstr>_Toc401755841</vt:lpwstr>
      </vt:variant>
      <vt:variant>
        <vt:i4>1114168</vt:i4>
      </vt:variant>
      <vt:variant>
        <vt:i4>128</vt:i4>
      </vt:variant>
      <vt:variant>
        <vt:i4>0</vt:i4>
      </vt:variant>
      <vt:variant>
        <vt:i4>5</vt:i4>
      </vt:variant>
      <vt:variant>
        <vt:lpwstr/>
      </vt:variant>
      <vt:variant>
        <vt:lpwstr>_Toc401755840</vt:lpwstr>
      </vt:variant>
      <vt:variant>
        <vt:i4>1441848</vt:i4>
      </vt:variant>
      <vt:variant>
        <vt:i4>122</vt:i4>
      </vt:variant>
      <vt:variant>
        <vt:i4>0</vt:i4>
      </vt:variant>
      <vt:variant>
        <vt:i4>5</vt:i4>
      </vt:variant>
      <vt:variant>
        <vt:lpwstr/>
      </vt:variant>
      <vt:variant>
        <vt:lpwstr>_Toc401755839</vt:lpwstr>
      </vt:variant>
      <vt:variant>
        <vt:i4>1441848</vt:i4>
      </vt:variant>
      <vt:variant>
        <vt:i4>116</vt:i4>
      </vt:variant>
      <vt:variant>
        <vt:i4>0</vt:i4>
      </vt:variant>
      <vt:variant>
        <vt:i4>5</vt:i4>
      </vt:variant>
      <vt:variant>
        <vt:lpwstr/>
      </vt:variant>
      <vt:variant>
        <vt:lpwstr>_Toc401755838</vt:lpwstr>
      </vt:variant>
      <vt:variant>
        <vt:i4>1441848</vt:i4>
      </vt:variant>
      <vt:variant>
        <vt:i4>110</vt:i4>
      </vt:variant>
      <vt:variant>
        <vt:i4>0</vt:i4>
      </vt:variant>
      <vt:variant>
        <vt:i4>5</vt:i4>
      </vt:variant>
      <vt:variant>
        <vt:lpwstr/>
      </vt:variant>
      <vt:variant>
        <vt:lpwstr>_Toc401755837</vt:lpwstr>
      </vt:variant>
      <vt:variant>
        <vt:i4>1441848</vt:i4>
      </vt:variant>
      <vt:variant>
        <vt:i4>104</vt:i4>
      </vt:variant>
      <vt:variant>
        <vt:i4>0</vt:i4>
      </vt:variant>
      <vt:variant>
        <vt:i4>5</vt:i4>
      </vt:variant>
      <vt:variant>
        <vt:lpwstr/>
      </vt:variant>
      <vt:variant>
        <vt:lpwstr>_Toc401755836</vt:lpwstr>
      </vt:variant>
      <vt:variant>
        <vt:i4>1441848</vt:i4>
      </vt:variant>
      <vt:variant>
        <vt:i4>98</vt:i4>
      </vt:variant>
      <vt:variant>
        <vt:i4>0</vt:i4>
      </vt:variant>
      <vt:variant>
        <vt:i4>5</vt:i4>
      </vt:variant>
      <vt:variant>
        <vt:lpwstr/>
      </vt:variant>
      <vt:variant>
        <vt:lpwstr>_Toc401755835</vt:lpwstr>
      </vt:variant>
      <vt:variant>
        <vt:i4>1441848</vt:i4>
      </vt:variant>
      <vt:variant>
        <vt:i4>92</vt:i4>
      </vt:variant>
      <vt:variant>
        <vt:i4>0</vt:i4>
      </vt:variant>
      <vt:variant>
        <vt:i4>5</vt:i4>
      </vt:variant>
      <vt:variant>
        <vt:lpwstr/>
      </vt:variant>
      <vt:variant>
        <vt:lpwstr>_Toc401755834</vt:lpwstr>
      </vt:variant>
      <vt:variant>
        <vt:i4>1441848</vt:i4>
      </vt:variant>
      <vt:variant>
        <vt:i4>86</vt:i4>
      </vt:variant>
      <vt:variant>
        <vt:i4>0</vt:i4>
      </vt:variant>
      <vt:variant>
        <vt:i4>5</vt:i4>
      </vt:variant>
      <vt:variant>
        <vt:lpwstr/>
      </vt:variant>
      <vt:variant>
        <vt:lpwstr>_Toc401755833</vt:lpwstr>
      </vt:variant>
      <vt:variant>
        <vt:i4>1441848</vt:i4>
      </vt:variant>
      <vt:variant>
        <vt:i4>80</vt:i4>
      </vt:variant>
      <vt:variant>
        <vt:i4>0</vt:i4>
      </vt:variant>
      <vt:variant>
        <vt:i4>5</vt:i4>
      </vt:variant>
      <vt:variant>
        <vt:lpwstr/>
      </vt:variant>
      <vt:variant>
        <vt:lpwstr>_Toc401755832</vt:lpwstr>
      </vt:variant>
      <vt:variant>
        <vt:i4>1441848</vt:i4>
      </vt:variant>
      <vt:variant>
        <vt:i4>74</vt:i4>
      </vt:variant>
      <vt:variant>
        <vt:i4>0</vt:i4>
      </vt:variant>
      <vt:variant>
        <vt:i4>5</vt:i4>
      </vt:variant>
      <vt:variant>
        <vt:lpwstr/>
      </vt:variant>
      <vt:variant>
        <vt:lpwstr>_Toc401755831</vt:lpwstr>
      </vt:variant>
      <vt:variant>
        <vt:i4>1441848</vt:i4>
      </vt:variant>
      <vt:variant>
        <vt:i4>68</vt:i4>
      </vt:variant>
      <vt:variant>
        <vt:i4>0</vt:i4>
      </vt:variant>
      <vt:variant>
        <vt:i4>5</vt:i4>
      </vt:variant>
      <vt:variant>
        <vt:lpwstr/>
      </vt:variant>
      <vt:variant>
        <vt:lpwstr>_Toc401755830</vt:lpwstr>
      </vt:variant>
      <vt:variant>
        <vt:i4>1507384</vt:i4>
      </vt:variant>
      <vt:variant>
        <vt:i4>62</vt:i4>
      </vt:variant>
      <vt:variant>
        <vt:i4>0</vt:i4>
      </vt:variant>
      <vt:variant>
        <vt:i4>5</vt:i4>
      </vt:variant>
      <vt:variant>
        <vt:lpwstr/>
      </vt:variant>
      <vt:variant>
        <vt:lpwstr>_Toc401755829</vt:lpwstr>
      </vt:variant>
      <vt:variant>
        <vt:i4>1507384</vt:i4>
      </vt:variant>
      <vt:variant>
        <vt:i4>56</vt:i4>
      </vt:variant>
      <vt:variant>
        <vt:i4>0</vt:i4>
      </vt:variant>
      <vt:variant>
        <vt:i4>5</vt:i4>
      </vt:variant>
      <vt:variant>
        <vt:lpwstr/>
      </vt:variant>
      <vt:variant>
        <vt:lpwstr>_Toc401755828</vt:lpwstr>
      </vt:variant>
      <vt:variant>
        <vt:i4>1507384</vt:i4>
      </vt:variant>
      <vt:variant>
        <vt:i4>50</vt:i4>
      </vt:variant>
      <vt:variant>
        <vt:i4>0</vt:i4>
      </vt:variant>
      <vt:variant>
        <vt:i4>5</vt:i4>
      </vt:variant>
      <vt:variant>
        <vt:lpwstr/>
      </vt:variant>
      <vt:variant>
        <vt:lpwstr>_Toc401755827</vt:lpwstr>
      </vt:variant>
      <vt:variant>
        <vt:i4>1507384</vt:i4>
      </vt:variant>
      <vt:variant>
        <vt:i4>44</vt:i4>
      </vt:variant>
      <vt:variant>
        <vt:i4>0</vt:i4>
      </vt:variant>
      <vt:variant>
        <vt:i4>5</vt:i4>
      </vt:variant>
      <vt:variant>
        <vt:lpwstr/>
      </vt:variant>
      <vt:variant>
        <vt:lpwstr>_Toc401755826</vt:lpwstr>
      </vt:variant>
      <vt:variant>
        <vt:i4>1507384</vt:i4>
      </vt:variant>
      <vt:variant>
        <vt:i4>38</vt:i4>
      </vt:variant>
      <vt:variant>
        <vt:i4>0</vt:i4>
      </vt:variant>
      <vt:variant>
        <vt:i4>5</vt:i4>
      </vt:variant>
      <vt:variant>
        <vt:lpwstr/>
      </vt:variant>
      <vt:variant>
        <vt:lpwstr>_Toc401755825</vt:lpwstr>
      </vt:variant>
      <vt:variant>
        <vt:i4>1507384</vt:i4>
      </vt:variant>
      <vt:variant>
        <vt:i4>32</vt:i4>
      </vt:variant>
      <vt:variant>
        <vt:i4>0</vt:i4>
      </vt:variant>
      <vt:variant>
        <vt:i4>5</vt:i4>
      </vt:variant>
      <vt:variant>
        <vt:lpwstr/>
      </vt:variant>
      <vt:variant>
        <vt:lpwstr>_Toc401755824</vt:lpwstr>
      </vt:variant>
      <vt:variant>
        <vt:i4>1507384</vt:i4>
      </vt:variant>
      <vt:variant>
        <vt:i4>26</vt:i4>
      </vt:variant>
      <vt:variant>
        <vt:i4>0</vt:i4>
      </vt:variant>
      <vt:variant>
        <vt:i4>5</vt:i4>
      </vt:variant>
      <vt:variant>
        <vt:lpwstr/>
      </vt:variant>
      <vt:variant>
        <vt:lpwstr>_Toc401755823</vt:lpwstr>
      </vt:variant>
      <vt:variant>
        <vt:i4>1507384</vt:i4>
      </vt:variant>
      <vt:variant>
        <vt:i4>20</vt:i4>
      </vt:variant>
      <vt:variant>
        <vt:i4>0</vt:i4>
      </vt:variant>
      <vt:variant>
        <vt:i4>5</vt:i4>
      </vt:variant>
      <vt:variant>
        <vt:lpwstr/>
      </vt:variant>
      <vt:variant>
        <vt:lpwstr>_Toc401755822</vt:lpwstr>
      </vt:variant>
      <vt:variant>
        <vt:i4>1507384</vt:i4>
      </vt:variant>
      <vt:variant>
        <vt:i4>14</vt:i4>
      </vt:variant>
      <vt:variant>
        <vt:i4>0</vt:i4>
      </vt:variant>
      <vt:variant>
        <vt:i4>5</vt:i4>
      </vt:variant>
      <vt:variant>
        <vt:lpwstr/>
      </vt:variant>
      <vt:variant>
        <vt:lpwstr>_Toc401755821</vt:lpwstr>
      </vt:variant>
      <vt:variant>
        <vt:i4>1507384</vt:i4>
      </vt:variant>
      <vt:variant>
        <vt:i4>8</vt:i4>
      </vt:variant>
      <vt:variant>
        <vt:i4>0</vt:i4>
      </vt:variant>
      <vt:variant>
        <vt:i4>5</vt:i4>
      </vt:variant>
      <vt:variant>
        <vt:lpwstr/>
      </vt:variant>
      <vt:variant>
        <vt:lpwstr>_Toc401755820</vt:lpwstr>
      </vt:variant>
      <vt:variant>
        <vt:i4>1310776</vt:i4>
      </vt:variant>
      <vt:variant>
        <vt:i4>2</vt:i4>
      </vt:variant>
      <vt:variant>
        <vt:i4>0</vt:i4>
      </vt:variant>
      <vt:variant>
        <vt:i4>5</vt:i4>
      </vt:variant>
      <vt:variant>
        <vt:lpwstr/>
      </vt:variant>
      <vt:variant>
        <vt:lpwstr>_Toc401755819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杨敏</dc:creator>
  <cp:lastModifiedBy>陈红</cp:lastModifiedBy>
  <cp:revision>6</cp:revision>
  <cp:lastPrinted>2012-04-09T08:21:00Z</cp:lastPrinted>
  <dcterms:created xsi:type="dcterms:W3CDTF">2020-07-13T02:10:00Z</dcterms:created>
  <dcterms:modified xsi:type="dcterms:W3CDTF">2020-07-14T08:57:00Z</dcterms:modified>
</cp:coreProperties>
</file>