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CC" w:rsidRPr="000239D0" w:rsidRDefault="005336CC" w:rsidP="000B1E9F">
      <w:pPr>
        <w:tabs>
          <w:tab w:val="left" w:pos="2100"/>
        </w:tabs>
        <w:snapToGrid w:val="0"/>
        <w:spacing w:line="360" w:lineRule="auto"/>
        <w:ind w:firstLineChars="0" w:firstLine="0"/>
        <w:jc w:val="center"/>
        <w:rPr>
          <w:rFonts w:asciiTheme="minorEastAsia" w:eastAsiaTheme="minorEastAsia" w:hAnsiTheme="minorEastAsia"/>
          <w:b/>
          <w:bCs/>
          <w:sz w:val="44"/>
        </w:rPr>
      </w:pPr>
    </w:p>
    <w:p w:rsidR="005336CC" w:rsidRPr="000239D0" w:rsidRDefault="005336CC" w:rsidP="000B1E9F">
      <w:pPr>
        <w:snapToGrid w:val="0"/>
        <w:spacing w:line="360" w:lineRule="auto"/>
        <w:ind w:firstLineChars="0" w:firstLine="0"/>
        <w:jc w:val="center"/>
        <w:rPr>
          <w:rFonts w:asciiTheme="minorEastAsia" w:eastAsiaTheme="minorEastAsia" w:hAnsiTheme="minorEastAsia"/>
          <w:b/>
          <w:bCs/>
          <w:sz w:val="44"/>
        </w:rPr>
      </w:pPr>
    </w:p>
    <w:p w:rsidR="005336CC" w:rsidRPr="000239D0" w:rsidRDefault="005336CC" w:rsidP="000B1E9F">
      <w:pPr>
        <w:snapToGrid w:val="0"/>
        <w:spacing w:line="360" w:lineRule="auto"/>
        <w:ind w:firstLineChars="0" w:firstLine="0"/>
        <w:jc w:val="center"/>
        <w:rPr>
          <w:rFonts w:asciiTheme="minorEastAsia" w:eastAsiaTheme="minorEastAsia" w:hAnsiTheme="minorEastAsia"/>
          <w:b/>
          <w:bCs/>
          <w:sz w:val="44"/>
        </w:rPr>
      </w:pPr>
    </w:p>
    <w:p w:rsidR="005336CC" w:rsidRPr="000239D0" w:rsidRDefault="005336CC" w:rsidP="000B1E9F">
      <w:pPr>
        <w:snapToGrid w:val="0"/>
        <w:spacing w:line="360" w:lineRule="auto"/>
        <w:ind w:firstLineChars="0" w:firstLine="0"/>
        <w:jc w:val="center"/>
        <w:rPr>
          <w:rFonts w:asciiTheme="minorEastAsia" w:eastAsiaTheme="minorEastAsia" w:hAnsiTheme="minorEastAsia"/>
          <w:sz w:val="44"/>
        </w:rPr>
      </w:pPr>
      <w:r w:rsidRPr="000239D0">
        <w:rPr>
          <w:rFonts w:asciiTheme="minorEastAsia" w:eastAsiaTheme="minorEastAsia" w:hAnsiTheme="minorEastAsia" w:hint="eastAsia"/>
          <w:b/>
          <w:bCs/>
          <w:sz w:val="44"/>
        </w:rPr>
        <w:t>易方达策略成长证券投资基金</w:t>
      </w:r>
    </w:p>
    <w:p w:rsidR="005336CC" w:rsidRPr="000239D0" w:rsidRDefault="005336CC" w:rsidP="000B1E9F">
      <w:pPr>
        <w:snapToGrid w:val="0"/>
        <w:spacing w:line="360" w:lineRule="auto"/>
        <w:ind w:firstLineChars="0" w:firstLine="0"/>
        <w:jc w:val="center"/>
        <w:rPr>
          <w:rFonts w:asciiTheme="minorEastAsia" w:eastAsiaTheme="minorEastAsia" w:hAnsiTheme="minorEastAsia"/>
          <w:sz w:val="44"/>
        </w:rPr>
      </w:pPr>
      <w:r w:rsidRPr="000239D0">
        <w:rPr>
          <w:rFonts w:asciiTheme="minorEastAsia" w:eastAsiaTheme="minorEastAsia" w:hAnsiTheme="minorEastAsia" w:hint="eastAsia"/>
          <w:b/>
          <w:bCs/>
          <w:sz w:val="44"/>
        </w:rPr>
        <w:t>更新的</w:t>
      </w:r>
      <w:r w:rsidR="00391A16" w:rsidRPr="000239D0">
        <w:rPr>
          <w:rFonts w:asciiTheme="minorEastAsia" w:eastAsiaTheme="minorEastAsia" w:hAnsiTheme="minorEastAsia" w:hint="eastAsia"/>
          <w:b/>
          <w:bCs/>
          <w:sz w:val="44"/>
        </w:rPr>
        <w:t>招募</w:t>
      </w:r>
      <w:r w:rsidRPr="000239D0">
        <w:rPr>
          <w:rFonts w:asciiTheme="minorEastAsia" w:eastAsiaTheme="minorEastAsia" w:hAnsiTheme="minorEastAsia" w:hint="eastAsia"/>
          <w:b/>
          <w:bCs/>
          <w:sz w:val="44"/>
        </w:rPr>
        <w:t>说明书</w:t>
      </w:r>
    </w:p>
    <w:p w:rsidR="005336CC" w:rsidRPr="000239D0" w:rsidRDefault="005336CC" w:rsidP="000B1E9F">
      <w:pPr>
        <w:snapToGrid w:val="0"/>
        <w:spacing w:line="360" w:lineRule="auto"/>
        <w:ind w:firstLineChars="0" w:firstLine="0"/>
        <w:rPr>
          <w:rFonts w:asciiTheme="minorEastAsia" w:eastAsiaTheme="minorEastAsia" w:hAnsiTheme="minorEastAsia"/>
          <w:b/>
          <w:bCs/>
        </w:rPr>
      </w:pPr>
    </w:p>
    <w:p w:rsidR="00687DB1" w:rsidRPr="000239D0" w:rsidRDefault="00687DB1" w:rsidP="000B1E9F">
      <w:pPr>
        <w:snapToGrid w:val="0"/>
        <w:spacing w:line="360" w:lineRule="auto"/>
        <w:ind w:firstLineChars="0" w:firstLine="0"/>
        <w:rPr>
          <w:rFonts w:asciiTheme="minorEastAsia" w:eastAsiaTheme="minorEastAsia" w:hAnsiTheme="minorEastAsia"/>
          <w:b/>
          <w:bCs/>
        </w:rPr>
      </w:pPr>
    </w:p>
    <w:p w:rsidR="00687DB1" w:rsidRPr="000239D0" w:rsidRDefault="00687DB1" w:rsidP="000B1E9F">
      <w:pPr>
        <w:snapToGrid w:val="0"/>
        <w:spacing w:line="360" w:lineRule="auto"/>
        <w:ind w:firstLineChars="0" w:firstLine="0"/>
        <w:rPr>
          <w:rFonts w:asciiTheme="minorEastAsia" w:eastAsiaTheme="minorEastAsia" w:hAnsiTheme="minorEastAsia"/>
          <w:b/>
          <w:bCs/>
        </w:rPr>
      </w:pPr>
    </w:p>
    <w:p w:rsidR="00B52AD3" w:rsidRPr="000239D0" w:rsidRDefault="00B52AD3" w:rsidP="000B1E9F">
      <w:pPr>
        <w:snapToGrid w:val="0"/>
        <w:spacing w:line="360" w:lineRule="auto"/>
        <w:ind w:firstLineChars="0" w:firstLine="0"/>
        <w:rPr>
          <w:rFonts w:asciiTheme="minorEastAsia" w:eastAsiaTheme="minorEastAsia" w:hAnsiTheme="minorEastAsia"/>
          <w:b/>
          <w:bCs/>
        </w:rPr>
      </w:pPr>
    </w:p>
    <w:p w:rsidR="007B7F88" w:rsidRPr="000239D0" w:rsidRDefault="007B7F88" w:rsidP="000B1E9F">
      <w:pPr>
        <w:snapToGrid w:val="0"/>
        <w:spacing w:line="360" w:lineRule="auto"/>
        <w:ind w:firstLineChars="0" w:firstLine="0"/>
        <w:rPr>
          <w:rFonts w:asciiTheme="minorEastAsia" w:eastAsiaTheme="minorEastAsia" w:hAnsiTheme="minorEastAsia"/>
          <w:b/>
          <w:bCs/>
        </w:rPr>
      </w:pPr>
    </w:p>
    <w:p w:rsidR="007B7F88" w:rsidRPr="000239D0" w:rsidRDefault="007B7F88" w:rsidP="000B1E9F">
      <w:pPr>
        <w:snapToGrid w:val="0"/>
        <w:spacing w:line="360" w:lineRule="auto"/>
        <w:ind w:firstLineChars="0" w:firstLine="0"/>
        <w:rPr>
          <w:rFonts w:asciiTheme="minorEastAsia" w:eastAsiaTheme="minorEastAsia" w:hAnsiTheme="minorEastAsia"/>
          <w:b/>
          <w:bCs/>
        </w:rPr>
      </w:pPr>
    </w:p>
    <w:p w:rsidR="007B7F88" w:rsidRPr="000239D0" w:rsidRDefault="007B7F88" w:rsidP="000B1E9F">
      <w:pPr>
        <w:snapToGrid w:val="0"/>
        <w:spacing w:line="360" w:lineRule="auto"/>
        <w:ind w:firstLineChars="0" w:firstLine="0"/>
        <w:rPr>
          <w:rFonts w:asciiTheme="minorEastAsia" w:eastAsiaTheme="minorEastAsia" w:hAnsiTheme="minorEastAsia"/>
          <w:b/>
          <w:bCs/>
        </w:rPr>
      </w:pPr>
    </w:p>
    <w:p w:rsidR="007B7F88" w:rsidRPr="000239D0" w:rsidRDefault="007B7F88" w:rsidP="000B1E9F">
      <w:pPr>
        <w:snapToGrid w:val="0"/>
        <w:spacing w:line="360" w:lineRule="auto"/>
        <w:ind w:firstLineChars="0" w:firstLine="0"/>
        <w:rPr>
          <w:rFonts w:asciiTheme="minorEastAsia" w:eastAsiaTheme="minorEastAsia" w:hAnsiTheme="minorEastAsia"/>
          <w:b/>
          <w:bCs/>
        </w:rPr>
      </w:pPr>
    </w:p>
    <w:p w:rsidR="00B52AD3" w:rsidRPr="000239D0" w:rsidRDefault="00B52AD3" w:rsidP="000B1E9F">
      <w:pPr>
        <w:snapToGrid w:val="0"/>
        <w:spacing w:line="360" w:lineRule="auto"/>
        <w:ind w:firstLineChars="0" w:firstLine="0"/>
        <w:rPr>
          <w:rFonts w:asciiTheme="minorEastAsia" w:eastAsiaTheme="minorEastAsia" w:hAnsiTheme="minorEastAsia"/>
          <w:b/>
          <w:bCs/>
        </w:rPr>
      </w:pPr>
    </w:p>
    <w:p w:rsidR="00B52AD3" w:rsidRPr="000239D0" w:rsidRDefault="00B52AD3" w:rsidP="000B1E9F">
      <w:pPr>
        <w:snapToGrid w:val="0"/>
        <w:spacing w:line="360" w:lineRule="auto"/>
        <w:ind w:firstLineChars="0" w:firstLine="0"/>
        <w:rPr>
          <w:rFonts w:asciiTheme="minorEastAsia" w:eastAsiaTheme="minorEastAsia" w:hAnsiTheme="minorEastAsia"/>
          <w:b/>
          <w:bCs/>
        </w:rPr>
      </w:pPr>
    </w:p>
    <w:p w:rsidR="00687DB1" w:rsidRPr="000239D0" w:rsidRDefault="00687DB1" w:rsidP="000B1E9F">
      <w:pPr>
        <w:snapToGrid w:val="0"/>
        <w:spacing w:line="360" w:lineRule="auto"/>
        <w:ind w:firstLineChars="0" w:firstLine="0"/>
        <w:rPr>
          <w:rFonts w:asciiTheme="minorEastAsia" w:eastAsiaTheme="minorEastAsia" w:hAnsiTheme="minorEastAsia"/>
          <w:b/>
          <w:bCs/>
        </w:rPr>
      </w:pPr>
    </w:p>
    <w:p w:rsidR="00687DB1" w:rsidRPr="000239D0" w:rsidRDefault="00687DB1" w:rsidP="000B1E9F">
      <w:pPr>
        <w:snapToGrid w:val="0"/>
        <w:spacing w:line="360" w:lineRule="auto"/>
        <w:ind w:firstLineChars="0" w:firstLine="0"/>
        <w:rPr>
          <w:rFonts w:asciiTheme="minorEastAsia" w:eastAsiaTheme="minorEastAsia" w:hAnsiTheme="minorEastAsia"/>
          <w:b/>
          <w:bCs/>
        </w:rPr>
      </w:pPr>
    </w:p>
    <w:p w:rsidR="005336CC" w:rsidRPr="000239D0" w:rsidRDefault="005336CC" w:rsidP="000B1E9F">
      <w:pPr>
        <w:snapToGrid w:val="0"/>
        <w:spacing w:line="360" w:lineRule="auto"/>
        <w:ind w:firstLineChars="0" w:firstLine="0"/>
        <w:jc w:val="center"/>
        <w:rPr>
          <w:rFonts w:asciiTheme="minorEastAsia" w:eastAsiaTheme="minorEastAsia" w:hAnsiTheme="minorEastAsia"/>
          <w:b/>
          <w:bCs/>
          <w:sz w:val="32"/>
          <w:szCs w:val="32"/>
        </w:rPr>
      </w:pPr>
      <w:r w:rsidRPr="000239D0">
        <w:rPr>
          <w:rFonts w:asciiTheme="minorEastAsia" w:eastAsiaTheme="minorEastAsia" w:hAnsiTheme="minorEastAsia" w:hint="eastAsia"/>
          <w:b/>
          <w:bCs/>
          <w:sz w:val="32"/>
          <w:szCs w:val="32"/>
        </w:rPr>
        <w:t>基金管理人：易方达基金管理有限公司</w:t>
      </w:r>
    </w:p>
    <w:p w:rsidR="005336CC" w:rsidRPr="000239D0" w:rsidRDefault="005336CC" w:rsidP="000B1E9F">
      <w:pPr>
        <w:snapToGrid w:val="0"/>
        <w:spacing w:line="360" w:lineRule="auto"/>
        <w:ind w:firstLineChars="0" w:firstLine="0"/>
        <w:jc w:val="center"/>
        <w:rPr>
          <w:rFonts w:asciiTheme="minorEastAsia" w:eastAsiaTheme="minorEastAsia" w:hAnsiTheme="minorEastAsia"/>
          <w:b/>
          <w:bCs/>
          <w:sz w:val="32"/>
          <w:szCs w:val="32"/>
        </w:rPr>
      </w:pPr>
      <w:r w:rsidRPr="000239D0">
        <w:rPr>
          <w:rFonts w:asciiTheme="minorEastAsia" w:eastAsiaTheme="minorEastAsia" w:hAnsiTheme="minorEastAsia" w:hint="eastAsia"/>
          <w:b/>
          <w:bCs/>
          <w:sz w:val="32"/>
          <w:szCs w:val="32"/>
        </w:rPr>
        <w:t>基金托管人：中国银行股份有限公司</w:t>
      </w:r>
    </w:p>
    <w:p w:rsidR="005336CC" w:rsidRPr="000239D0" w:rsidRDefault="005336CC" w:rsidP="000B1E9F">
      <w:pPr>
        <w:snapToGrid w:val="0"/>
        <w:spacing w:line="360" w:lineRule="auto"/>
        <w:ind w:firstLineChars="0" w:firstLine="0"/>
        <w:jc w:val="center"/>
        <w:rPr>
          <w:rFonts w:asciiTheme="minorEastAsia" w:eastAsiaTheme="minorEastAsia" w:hAnsiTheme="minorEastAsia"/>
          <w:b/>
          <w:bCs/>
          <w:sz w:val="32"/>
          <w:szCs w:val="32"/>
        </w:rPr>
      </w:pPr>
    </w:p>
    <w:p w:rsidR="00D82F63" w:rsidRPr="000239D0" w:rsidRDefault="00D82F63" w:rsidP="000B1E9F">
      <w:pPr>
        <w:snapToGrid w:val="0"/>
        <w:spacing w:line="360" w:lineRule="auto"/>
        <w:ind w:firstLine="643"/>
        <w:jc w:val="center"/>
        <w:rPr>
          <w:rFonts w:asciiTheme="minorEastAsia" w:eastAsiaTheme="minorEastAsia" w:hAnsiTheme="minorEastAsia"/>
          <w:b/>
          <w:bCs/>
          <w:sz w:val="32"/>
          <w:szCs w:val="32"/>
        </w:rPr>
      </w:pPr>
      <w:r w:rsidRPr="000239D0">
        <w:rPr>
          <w:rFonts w:asciiTheme="minorEastAsia" w:eastAsiaTheme="minorEastAsia" w:hAnsiTheme="minorEastAsia" w:hint="eastAsia"/>
          <w:b/>
          <w:bCs/>
          <w:sz w:val="32"/>
          <w:szCs w:val="32"/>
        </w:rPr>
        <w:t>二○二○年</w:t>
      </w:r>
      <w:r w:rsidR="00D36BC9" w:rsidRPr="000239D0">
        <w:rPr>
          <w:rFonts w:asciiTheme="minorEastAsia" w:eastAsiaTheme="minorEastAsia" w:hAnsiTheme="minorEastAsia" w:hint="eastAsia"/>
          <w:b/>
          <w:bCs/>
          <w:sz w:val="32"/>
          <w:szCs w:val="32"/>
        </w:rPr>
        <w:t>七</w:t>
      </w:r>
      <w:r w:rsidRPr="000239D0">
        <w:rPr>
          <w:rFonts w:asciiTheme="minorEastAsia" w:eastAsiaTheme="minorEastAsia" w:hAnsiTheme="minorEastAsia" w:hint="eastAsia"/>
          <w:b/>
          <w:bCs/>
          <w:sz w:val="32"/>
          <w:szCs w:val="32"/>
        </w:rPr>
        <w:t>月</w:t>
      </w:r>
    </w:p>
    <w:p w:rsidR="00D45B5F" w:rsidRPr="000239D0" w:rsidRDefault="00D45B5F" w:rsidP="000B1E9F">
      <w:pPr>
        <w:snapToGrid w:val="0"/>
        <w:spacing w:line="360" w:lineRule="auto"/>
        <w:ind w:firstLine="643"/>
        <w:jc w:val="center"/>
        <w:rPr>
          <w:rFonts w:asciiTheme="minorEastAsia" w:eastAsiaTheme="minorEastAsia" w:hAnsiTheme="minorEastAsia"/>
          <w:b/>
          <w:bCs/>
          <w:sz w:val="32"/>
          <w:szCs w:val="32"/>
        </w:rPr>
      </w:pPr>
    </w:p>
    <w:p w:rsidR="00D45B5F" w:rsidRPr="000239D0" w:rsidRDefault="00D45B5F" w:rsidP="000B1E9F">
      <w:pPr>
        <w:snapToGrid w:val="0"/>
        <w:spacing w:line="360" w:lineRule="auto"/>
        <w:ind w:firstLine="643"/>
        <w:jc w:val="center"/>
        <w:rPr>
          <w:rFonts w:asciiTheme="minorEastAsia" w:eastAsiaTheme="minorEastAsia" w:hAnsiTheme="minorEastAsia"/>
          <w:b/>
          <w:bCs/>
          <w:sz w:val="32"/>
          <w:szCs w:val="32"/>
        </w:rPr>
      </w:pPr>
    </w:p>
    <w:p w:rsidR="005336CC" w:rsidRPr="000239D0" w:rsidRDefault="005336CC" w:rsidP="000B1E9F">
      <w:pPr>
        <w:snapToGrid w:val="0"/>
        <w:spacing w:line="360" w:lineRule="auto"/>
        <w:ind w:firstLine="643"/>
        <w:jc w:val="center"/>
        <w:rPr>
          <w:rFonts w:asciiTheme="minorEastAsia" w:eastAsiaTheme="minorEastAsia" w:hAnsiTheme="minorEastAsia"/>
          <w:b/>
          <w:sz w:val="32"/>
        </w:rPr>
      </w:pPr>
      <w:r w:rsidRPr="000239D0">
        <w:rPr>
          <w:rFonts w:asciiTheme="minorEastAsia" w:eastAsiaTheme="minorEastAsia" w:hAnsiTheme="minorEastAsia" w:hint="eastAsia"/>
          <w:b/>
          <w:sz w:val="32"/>
        </w:rPr>
        <w:lastRenderedPageBreak/>
        <w:t>重要提示</w:t>
      </w:r>
    </w:p>
    <w:p w:rsidR="00704353" w:rsidRPr="000239D0" w:rsidRDefault="005336CC" w:rsidP="000B1E9F">
      <w:pPr>
        <w:snapToGrid w:val="0"/>
        <w:spacing w:line="360" w:lineRule="auto"/>
        <w:ind w:firstLine="422"/>
        <w:rPr>
          <w:rFonts w:asciiTheme="minorEastAsia" w:eastAsiaTheme="minorEastAsia" w:hAnsiTheme="minorEastAsia"/>
          <w:b/>
          <w:sz w:val="21"/>
        </w:rPr>
      </w:pPr>
      <w:r w:rsidRPr="000239D0">
        <w:rPr>
          <w:rFonts w:asciiTheme="minorEastAsia" w:eastAsiaTheme="minorEastAsia" w:hAnsiTheme="minorEastAsia"/>
          <w:b/>
          <w:sz w:val="21"/>
        </w:rPr>
        <w:t>本基金经中国证监会</w:t>
      </w:r>
      <w:r w:rsidRPr="000239D0">
        <w:rPr>
          <w:rFonts w:asciiTheme="minorEastAsia" w:eastAsiaTheme="minorEastAsia" w:hAnsiTheme="minorEastAsia" w:hint="eastAsia"/>
          <w:b/>
          <w:sz w:val="21"/>
        </w:rPr>
        <w:t>2003</w:t>
      </w:r>
      <w:r w:rsidRPr="000239D0">
        <w:rPr>
          <w:rFonts w:asciiTheme="minorEastAsia" w:eastAsiaTheme="minorEastAsia" w:hAnsiTheme="minorEastAsia"/>
          <w:b/>
          <w:sz w:val="21"/>
        </w:rPr>
        <w:t>年</w:t>
      </w:r>
      <w:r w:rsidRPr="000239D0">
        <w:rPr>
          <w:rFonts w:asciiTheme="minorEastAsia" w:eastAsiaTheme="minorEastAsia" w:hAnsiTheme="minorEastAsia" w:hint="eastAsia"/>
          <w:b/>
          <w:sz w:val="21"/>
        </w:rPr>
        <w:t>10</w:t>
      </w:r>
      <w:r w:rsidRPr="000239D0">
        <w:rPr>
          <w:rFonts w:asciiTheme="minorEastAsia" w:eastAsiaTheme="minorEastAsia" w:hAnsiTheme="minorEastAsia"/>
          <w:b/>
          <w:sz w:val="21"/>
        </w:rPr>
        <w:t>月</w:t>
      </w:r>
      <w:r w:rsidRPr="000239D0">
        <w:rPr>
          <w:rFonts w:asciiTheme="minorEastAsia" w:eastAsiaTheme="minorEastAsia" w:hAnsiTheme="minorEastAsia" w:hint="eastAsia"/>
          <w:b/>
          <w:sz w:val="21"/>
        </w:rPr>
        <w:t>24</w:t>
      </w:r>
      <w:r w:rsidRPr="000239D0">
        <w:rPr>
          <w:rFonts w:asciiTheme="minorEastAsia" w:eastAsiaTheme="minorEastAsia" w:hAnsiTheme="minorEastAsia"/>
          <w:b/>
          <w:sz w:val="21"/>
        </w:rPr>
        <w:t>日证监基金字</w:t>
      </w:r>
      <w:r w:rsidRPr="000239D0">
        <w:rPr>
          <w:rFonts w:asciiTheme="minorEastAsia" w:eastAsiaTheme="minorEastAsia" w:hAnsiTheme="minorEastAsia" w:hint="eastAsia"/>
          <w:b/>
          <w:sz w:val="21"/>
        </w:rPr>
        <w:t>[2003]122号文</w:t>
      </w:r>
      <w:r w:rsidRPr="000239D0">
        <w:rPr>
          <w:rFonts w:asciiTheme="minorEastAsia" w:eastAsiaTheme="minorEastAsia" w:hAnsiTheme="minorEastAsia"/>
          <w:b/>
          <w:sz w:val="21"/>
        </w:rPr>
        <w:t>件</w:t>
      </w:r>
      <w:r w:rsidRPr="000239D0">
        <w:rPr>
          <w:rFonts w:asciiTheme="minorEastAsia" w:eastAsiaTheme="minorEastAsia" w:hAnsiTheme="minorEastAsia" w:hint="eastAsia"/>
          <w:b/>
          <w:sz w:val="21"/>
        </w:rPr>
        <w:t>“关于同意易方达策略成长证券投资基金设立的批复”</w:t>
      </w:r>
      <w:r w:rsidRPr="000239D0">
        <w:rPr>
          <w:rFonts w:asciiTheme="minorEastAsia" w:eastAsiaTheme="minorEastAsia" w:hAnsiTheme="minorEastAsia"/>
          <w:b/>
          <w:sz w:val="21"/>
        </w:rPr>
        <w:t>批准</w:t>
      </w:r>
      <w:r w:rsidRPr="000239D0">
        <w:rPr>
          <w:rFonts w:asciiTheme="minorEastAsia" w:eastAsiaTheme="minorEastAsia" w:hAnsiTheme="minorEastAsia" w:hint="eastAsia"/>
          <w:b/>
          <w:sz w:val="21"/>
        </w:rPr>
        <w:t>募集</w:t>
      </w:r>
      <w:r w:rsidRPr="000239D0">
        <w:rPr>
          <w:rFonts w:asciiTheme="minorEastAsia" w:eastAsiaTheme="minorEastAsia" w:hAnsiTheme="minorEastAsia"/>
          <w:b/>
          <w:sz w:val="21"/>
        </w:rPr>
        <w:t>。</w:t>
      </w:r>
      <w:r w:rsidR="00E73E9A" w:rsidRPr="000239D0">
        <w:rPr>
          <w:rFonts w:asciiTheme="minorEastAsia" w:eastAsiaTheme="minorEastAsia" w:hAnsiTheme="minorEastAsia" w:hint="eastAsia"/>
          <w:b/>
          <w:sz w:val="21"/>
        </w:rPr>
        <w:t>本基金的基金合同于2003年12月9日正式生效。</w:t>
      </w:r>
    </w:p>
    <w:p w:rsidR="00704353" w:rsidRPr="000239D0" w:rsidRDefault="005336CC" w:rsidP="000B1E9F">
      <w:pPr>
        <w:snapToGrid w:val="0"/>
        <w:spacing w:line="360" w:lineRule="auto"/>
        <w:ind w:firstLine="422"/>
        <w:rPr>
          <w:rFonts w:asciiTheme="minorEastAsia" w:eastAsiaTheme="minorEastAsia" w:hAnsiTheme="minorEastAsia"/>
          <w:b/>
          <w:sz w:val="21"/>
        </w:rPr>
      </w:pPr>
      <w:r w:rsidRPr="000239D0">
        <w:rPr>
          <w:rFonts w:asciiTheme="minorEastAsia" w:eastAsiaTheme="minorEastAsia" w:hAnsiTheme="minorEastAsia"/>
          <w:b/>
          <w:sz w:val="21"/>
        </w:rPr>
        <w:t>基金管理人保证本招募说明书的内容真实、准确、完整。本招募说明书经中国证监会核准</w:t>
      </w:r>
      <w:r w:rsidR="00E237EE" w:rsidRPr="000239D0">
        <w:rPr>
          <w:rFonts w:asciiTheme="minorEastAsia" w:eastAsiaTheme="minorEastAsia" w:hAnsiTheme="minorEastAsia" w:hint="eastAsia"/>
          <w:b/>
          <w:sz w:val="21"/>
        </w:rPr>
        <w:t>，</w:t>
      </w:r>
      <w:r w:rsidRPr="000239D0">
        <w:rPr>
          <w:rFonts w:asciiTheme="minorEastAsia" w:eastAsiaTheme="minorEastAsia" w:hAnsiTheme="minorEastAsia"/>
          <w:b/>
          <w:sz w:val="21"/>
        </w:rPr>
        <w:t>但中国证监会对本基金募集的核准</w:t>
      </w:r>
      <w:r w:rsidRPr="000239D0">
        <w:rPr>
          <w:rFonts w:asciiTheme="minorEastAsia" w:eastAsiaTheme="minorEastAsia" w:hAnsiTheme="minorEastAsia" w:hint="eastAsia"/>
          <w:b/>
          <w:sz w:val="21"/>
        </w:rPr>
        <w:t>，</w:t>
      </w:r>
      <w:r w:rsidRPr="000239D0">
        <w:rPr>
          <w:rFonts w:asciiTheme="minorEastAsia" w:eastAsiaTheme="minorEastAsia" w:hAnsiTheme="minorEastAsia"/>
          <w:b/>
          <w:sz w:val="21"/>
        </w:rPr>
        <w:t>并不表明其对本基金的价值和收益</w:t>
      </w:r>
      <w:r w:rsidRPr="000239D0">
        <w:rPr>
          <w:rFonts w:asciiTheme="minorEastAsia" w:eastAsiaTheme="minorEastAsia" w:hAnsiTheme="minorEastAsia" w:hint="eastAsia"/>
          <w:b/>
          <w:sz w:val="21"/>
        </w:rPr>
        <w:t>作</w:t>
      </w:r>
      <w:r w:rsidRPr="000239D0">
        <w:rPr>
          <w:rFonts w:asciiTheme="minorEastAsia" w:eastAsiaTheme="minorEastAsia" w:hAnsiTheme="minorEastAsia"/>
          <w:b/>
          <w:sz w:val="21"/>
        </w:rPr>
        <w:t>出实质性判断或保证</w:t>
      </w:r>
      <w:r w:rsidRPr="000239D0">
        <w:rPr>
          <w:rFonts w:asciiTheme="minorEastAsia" w:eastAsiaTheme="minorEastAsia" w:hAnsiTheme="minorEastAsia" w:hint="eastAsia"/>
          <w:b/>
          <w:sz w:val="21"/>
        </w:rPr>
        <w:t>，</w:t>
      </w:r>
      <w:r w:rsidRPr="000239D0">
        <w:rPr>
          <w:rFonts w:asciiTheme="minorEastAsia" w:eastAsiaTheme="minorEastAsia" w:hAnsiTheme="minorEastAsia"/>
          <w:b/>
          <w:sz w:val="21"/>
        </w:rPr>
        <w:t>也不表明投资于本基金没有风险。</w:t>
      </w:r>
    </w:p>
    <w:p w:rsidR="005336CC" w:rsidRPr="000239D0" w:rsidRDefault="005336CC" w:rsidP="000B1E9F">
      <w:pPr>
        <w:snapToGrid w:val="0"/>
        <w:spacing w:line="360" w:lineRule="auto"/>
        <w:ind w:firstLine="422"/>
        <w:rPr>
          <w:rFonts w:asciiTheme="minorEastAsia" w:eastAsiaTheme="minorEastAsia" w:hAnsiTheme="minorEastAsia"/>
          <w:b/>
          <w:sz w:val="21"/>
        </w:rPr>
      </w:pPr>
      <w:r w:rsidRPr="000239D0">
        <w:rPr>
          <w:rFonts w:asciiTheme="minorEastAsia" w:eastAsiaTheme="minorEastAsia" w:hAnsiTheme="minorEastAsia"/>
          <w:b/>
          <w:sz w:val="21"/>
        </w:rPr>
        <w:t>投资有风险</w:t>
      </w:r>
      <w:r w:rsidR="00E237EE" w:rsidRPr="000239D0">
        <w:rPr>
          <w:rFonts w:asciiTheme="minorEastAsia" w:eastAsiaTheme="minorEastAsia" w:hAnsiTheme="minorEastAsia" w:hint="eastAsia"/>
          <w:b/>
          <w:sz w:val="21"/>
        </w:rPr>
        <w:t>，</w:t>
      </w:r>
      <w:r w:rsidRPr="000239D0">
        <w:rPr>
          <w:rFonts w:asciiTheme="minorEastAsia" w:eastAsiaTheme="minorEastAsia" w:hAnsiTheme="minorEastAsia"/>
          <w:b/>
          <w:sz w:val="21"/>
        </w:rPr>
        <w:t>投资者申购基金时应认真阅读本</w:t>
      </w:r>
      <w:r w:rsidR="00676358" w:rsidRPr="000239D0">
        <w:rPr>
          <w:rFonts w:asciiTheme="minorEastAsia" w:eastAsiaTheme="minorEastAsia" w:hAnsiTheme="minorEastAsia" w:hint="eastAsia"/>
          <w:b/>
          <w:sz w:val="21"/>
        </w:rPr>
        <w:t>招募说明书、基金合同和基金产品资料概要等信息披露文件</w:t>
      </w:r>
      <w:r w:rsidRPr="000239D0">
        <w:rPr>
          <w:rFonts w:asciiTheme="minorEastAsia" w:eastAsiaTheme="minorEastAsia" w:hAnsiTheme="minorEastAsia"/>
          <w:b/>
          <w:sz w:val="21"/>
        </w:rPr>
        <w:t>。</w:t>
      </w:r>
    </w:p>
    <w:p w:rsidR="005336CC" w:rsidRPr="000239D0" w:rsidRDefault="005336CC" w:rsidP="000B1E9F">
      <w:pPr>
        <w:snapToGrid w:val="0"/>
        <w:spacing w:line="360" w:lineRule="auto"/>
        <w:ind w:leftChars="175" w:left="420" w:firstLineChars="0" w:firstLine="0"/>
        <w:rPr>
          <w:rFonts w:asciiTheme="minorEastAsia" w:eastAsiaTheme="minorEastAsia" w:hAnsiTheme="minorEastAsia"/>
          <w:b/>
          <w:sz w:val="21"/>
        </w:rPr>
      </w:pPr>
      <w:r w:rsidRPr="000239D0">
        <w:rPr>
          <w:rFonts w:asciiTheme="minorEastAsia" w:eastAsiaTheme="minorEastAsia" w:hAnsiTheme="minorEastAsia"/>
          <w:b/>
          <w:sz w:val="21"/>
        </w:rPr>
        <w:t>基金的过往业绩并不预示其未来表现。</w:t>
      </w:r>
    </w:p>
    <w:p w:rsidR="005336CC" w:rsidRPr="000239D0" w:rsidRDefault="005336CC" w:rsidP="000B1E9F">
      <w:pPr>
        <w:snapToGrid w:val="0"/>
        <w:spacing w:line="360" w:lineRule="auto"/>
        <w:ind w:leftChars="-43" w:left="-103" w:firstLineChars="250" w:firstLine="527"/>
        <w:rPr>
          <w:rFonts w:asciiTheme="minorEastAsia" w:eastAsiaTheme="minorEastAsia" w:hAnsiTheme="minorEastAsia"/>
          <w:b/>
          <w:sz w:val="21"/>
        </w:rPr>
      </w:pPr>
      <w:r w:rsidRPr="000239D0">
        <w:rPr>
          <w:rFonts w:asciiTheme="minorEastAsia" w:eastAsiaTheme="minorEastAsia" w:hAnsiTheme="minorEastAsia"/>
          <w:b/>
          <w:sz w:val="21"/>
        </w:rPr>
        <w:t>基金管理人依照恪尽职守、诚实信用、谨慎勤勉的原则管理和运用基金</w:t>
      </w:r>
      <w:r w:rsidRPr="000239D0">
        <w:rPr>
          <w:rFonts w:asciiTheme="minorEastAsia" w:eastAsiaTheme="minorEastAsia" w:hAnsiTheme="minorEastAsia" w:hint="eastAsia"/>
          <w:b/>
          <w:sz w:val="21"/>
        </w:rPr>
        <w:t>财产，</w:t>
      </w:r>
      <w:r w:rsidRPr="000239D0">
        <w:rPr>
          <w:rFonts w:asciiTheme="minorEastAsia" w:eastAsiaTheme="minorEastAsia" w:hAnsiTheme="minorEastAsia"/>
          <w:b/>
          <w:sz w:val="21"/>
        </w:rPr>
        <w:t>但不保证基金一定盈利</w:t>
      </w:r>
      <w:r w:rsidR="00EC301E" w:rsidRPr="000239D0">
        <w:rPr>
          <w:rFonts w:asciiTheme="minorEastAsia" w:eastAsiaTheme="minorEastAsia" w:hAnsiTheme="minorEastAsia" w:hint="eastAsia"/>
          <w:b/>
          <w:sz w:val="21"/>
        </w:rPr>
        <w:t>，</w:t>
      </w:r>
      <w:r w:rsidRPr="000239D0">
        <w:rPr>
          <w:rFonts w:asciiTheme="minorEastAsia" w:eastAsiaTheme="minorEastAsia" w:hAnsiTheme="minorEastAsia"/>
          <w:b/>
          <w:sz w:val="21"/>
        </w:rPr>
        <w:t>也不保证最低收益。</w:t>
      </w:r>
    </w:p>
    <w:p w:rsidR="004503AC" w:rsidRPr="000239D0" w:rsidRDefault="004503AC" w:rsidP="000B1E9F">
      <w:pPr>
        <w:snapToGrid w:val="0"/>
        <w:spacing w:line="360" w:lineRule="auto"/>
        <w:ind w:leftChars="-43" w:left="-103" w:firstLineChars="250" w:firstLine="527"/>
        <w:rPr>
          <w:rFonts w:asciiTheme="minorEastAsia" w:eastAsiaTheme="minorEastAsia" w:hAnsiTheme="minorEastAsia"/>
          <w:b/>
          <w:sz w:val="21"/>
        </w:rPr>
      </w:pPr>
      <w:r w:rsidRPr="000239D0">
        <w:rPr>
          <w:rFonts w:asciiTheme="minorEastAsia" w:eastAsiaTheme="minorEastAsia" w:hAnsiTheme="minorEastAsia" w:hint="eastAsia"/>
          <w:b/>
          <w:sz w:val="21"/>
        </w:rPr>
        <w:t>基金合同约定的基金产品资料概要编制、披露与更新要求，自《信息披露办法》实施之日起一年后开始执行。</w:t>
      </w:r>
    </w:p>
    <w:p w:rsidR="005336CC" w:rsidRPr="000239D0" w:rsidRDefault="007607CC" w:rsidP="000B1E9F">
      <w:pPr>
        <w:snapToGrid w:val="0"/>
        <w:spacing w:line="360" w:lineRule="auto"/>
        <w:ind w:leftChars="-43" w:left="-103" w:firstLineChars="250" w:firstLine="527"/>
        <w:rPr>
          <w:rFonts w:asciiTheme="minorEastAsia" w:eastAsiaTheme="minorEastAsia" w:hAnsiTheme="minorEastAsia"/>
          <w:b/>
          <w:sz w:val="21"/>
        </w:rPr>
      </w:pPr>
      <w:r w:rsidRPr="000239D0">
        <w:rPr>
          <w:rFonts w:asciiTheme="minorEastAsia" w:eastAsiaTheme="minorEastAsia" w:hAnsiTheme="minorEastAsia" w:hint="eastAsia"/>
          <w:b/>
          <w:sz w:val="21"/>
        </w:rPr>
        <w:t>本基金本次更新招募说明书</w:t>
      </w:r>
      <w:r w:rsidR="00025B37" w:rsidRPr="000239D0">
        <w:rPr>
          <w:rFonts w:asciiTheme="minorEastAsia" w:eastAsiaTheme="minorEastAsia" w:hAnsiTheme="minorEastAsia" w:hint="eastAsia"/>
          <w:b/>
          <w:sz w:val="21"/>
        </w:rPr>
        <w:t>对基金合同修订和董事、监事、高级管理人员相关信息进行更新，相关信息更新截止日为</w:t>
      </w:r>
      <w:r w:rsidR="00025B37" w:rsidRPr="000239D0">
        <w:rPr>
          <w:rFonts w:asciiTheme="minorEastAsia" w:eastAsiaTheme="minorEastAsia" w:hAnsiTheme="minorEastAsia"/>
          <w:b/>
          <w:sz w:val="21"/>
        </w:rPr>
        <w:t>2020年7月11日。</w:t>
      </w:r>
      <w:r w:rsidR="00D75C1A" w:rsidRPr="000239D0">
        <w:rPr>
          <w:rFonts w:asciiTheme="minorEastAsia" w:eastAsiaTheme="minorEastAsia" w:hAnsiTheme="minorEastAsia" w:hint="eastAsia"/>
          <w:b/>
          <w:sz w:val="21"/>
        </w:rPr>
        <w:t>本基金基金经理变更的相关信息更新截止日为2020年6月6日。</w:t>
      </w:r>
      <w:r w:rsidR="00D026D9" w:rsidRPr="000239D0">
        <w:rPr>
          <w:rFonts w:asciiTheme="minorEastAsia" w:eastAsiaTheme="minorEastAsia" w:hAnsiTheme="minorEastAsia" w:hint="eastAsia"/>
          <w:b/>
          <w:sz w:val="21"/>
        </w:rPr>
        <w:t>除非另有说明，</w:t>
      </w:r>
      <w:r w:rsidR="00D82F63" w:rsidRPr="000239D0">
        <w:rPr>
          <w:rFonts w:asciiTheme="minorEastAsia" w:eastAsiaTheme="minorEastAsia" w:hAnsiTheme="minorEastAsia" w:hint="eastAsia"/>
          <w:b/>
          <w:sz w:val="21"/>
        </w:rPr>
        <w:t>本招募说明书</w:t>
      </w:r>
      <w:r w:rsidR="00D75C1A" w:rsidRPr="000239D0">
        <w:rPr>
          <w:rFonts w:asciiTheme="minorEastAsia" w:eastAsiaTheme="minorEastAsia" w:hAnsiTheme="minorEastAsia" w:hint="eastAsia"/>
          <w:b/>
          <w:sz w:val="21"/>
        </w:rPr>
        <w:t>其他</w:t>
      </w:r>
      <w:r w:rsidR="00D82F63" w:rsidRPr="000239D0">
        <w:rPr>
          <w:rFonts w:asciiTheme="minorEastAsia" w:eastAsiaTheme="minorEastAsia" w:hAnsiTheme="minorEastAsia" w:hint="eastAsia"/>
          <w:b/>
          <w:sz w:val="21"/>
        </w:rPr>
        <w:t>所载内容截止日为2020年2月16日</w:t>
      </w:r>
      <w:r w:rsidR="00D026D9" w:rsidRPr="000239D0">
        <w:rPr>
          <w:rFonts w:asciiTheme="minorEastAsia" w:eastAsiaTheme="minorEastAsia" w:hAnsiTheme="minorEastAsia" w:hint="eastAsia"/>
          <w:b/>
          <w:sz w:val="21"/>
        </w:rPr>
        <w:t>，</w:t>
      </w:r>
      <w:r w:rsidR="00D82F63" w:rsidRPr="000239D0">
        <w:rPr>
          <w:rFonts w:asciiTheme="minorEastAsia" w:eastAsiaTheme="minorEastAsia" w:hAnsiTheme="minorEastAsia" w:hint="eastAsia"/>
          <w:b/>
          <w:sz w:val="21"/>
        </w:rPr>
        <w:t>有关财务数据截止日为2019年12月31日</w:t>
      </w:r>
      <w:r w:rsidR="00D026D9" w:rsidRPr="000239D0">
        <w:rPr>
          <w:rFonts w:asciiTheme="minorEastAsia" w:eastAsiaTheme="minorEastAsia" w:hAnsiTheme="minorEastAsia" w:hint="eastAsia"/>
          <w:b/>
          <w:sz w:val="21"/>
        </w:rPr>
        <w:t>，</w:t>
      </w:r>
      <w:r w:rsidR="00D82F63" w:rsidRPr="000239D0">
        <w:rPr>
          <w:rFonts w:asciiTheme="minorEastAsia" w:eastAsiaTheme="minorEastAsia" w:hAnsiTheme="minorEastAsia" w:hint="eastAsia"/>
          <w:b/>
          <w:sz w:val="21"/>
        </w:rPr>
        <w:t>净值表现截止日为2019年12月31日</w:t>
      </w:r>
      <w:r w:rsidR="00D026D9" w:rsidRPr="000239D0">
        <w:rPr>
          <w:rFonts w:asciiTheme="minorEastAsia" w:eastAsiaTheme="minorEastAsia" w:hAnsiTheme="minorEastAsia" w:hint="eastAsia"/>
          <w:b/>
          <w:sz w:val="21"/>
        </w:rPr>
        <w:t>。（本报告中财务数据未经审计）</w:t>
      </w:r>
    </w:p>
    <w:p w:rsidR="005336CC" w:rsidRPr="000239D0" w:rsidRDefault="005336CC" w:rsidP="000B1E9F">
      <w:pPr>
        <w:snapToGrid w:val="0"/>
        <w:spacing w:line="360" w:lineRule="auto"/>
        <w:ind w:firstLine="482"/>
        <w:rPr>
          <w:rFonts w:asciiTheme="minorEastAsia" w:eastAsiaTheme="minorEastAsia" w:hAnsiTheme="minorEastAsia"/>
          <w:b/>
        </w:rPr>
      </w:pPr>
    </w:p>
    <w:p w:rsidR="005336CC" w:rsidRPr="000239D0" w:rsidRDefault="005336CC" w:rsidP="000B1E9F">
      <w:pPr>
        <w:snapToGrid w:val="0"/>
        <w:spacing w:line="360" w:lineRule="auto"/>
        <w:ind w:firstLine="482"/>
        <w:rPr>
          <w:rFonts w:asciiTheme="minorEastAsia" w:eastAsiaTheme="minorEastAsia" w:hAnsiTheme="minorEastAsia"/>
          <w:b/>
        </w:rPr>
      </w:pPr>
    </w:p>
    <w:p w:rsidR="00FF3157" w:rsidRPr="000239D0" w:rsidRDefault="00FF3157" w:rsidP="000B1E9F">
      <w:pPr>
        <w:snapToGrid w:val="0"/>
        <w:spacing w:line="360" w:lineRule="auto"/>
        <w:ind w:firstLineChars="0" w:firstLine="0"/>
        <w:jc w:val="center"/>
        <w:rPr>
          <w:rFonts w:asciiTheme="minorEastAsia" w:eastAsiaTheme="minorEastAsia" w:hAnsiTheme="minorEastAsia"/>
          <w:b/>
          <w:sz w:val="28"/>
        </w:rPr>
        <w:sectPr w:rsidR="00FF3157" w:rsidRPr="000239D0" w:rsidSect="007D09C8">
          <w:headerReference w:type="even" r:id="rId9"/>
          <w:headerReference w:type="default" r:id="rId10"/>
          <w:footerReference w:type="even" r:id="rId11"/>
          <w:footerReference w:type="default" r:id="rId12"/>
          <w:headerReference w:type="first" r:id="rId13"/>
          <w:footerReference w:type="first" r:id="rId14"/>
          <w:pgSz w:w="11906" w:h="16838" w:code="9"/>
          <w:pgMar w:top="1701" w:right="1301" w:bottom="1701" w:left="2268" w:header="1134" w:footer="1247" w:gutter="0"/>
          <w:pgNumType w:fmt="upperRoman" w:start="1"/>
          <w:cols w:space="425"/>
          <w:docGrid w:type="lines" w:linePitch="447"/>
        </w:sectPr>
      </w:pPr>
    </w:p>
    <w:p w:rsidR="005336CC" w:rsidRPr="000239D0" w:rsidRDefault="005336CC" w:rsidP="000B1E9F">
      <w:pPr>
        <w:snapToGrid w:val="0"/>
        <w:spacing w:line="360" w:lineRule="auto"/>
        <w:ind w:firstLineChars="0" w:firstLine="0"/>
        <w:jc w:val="center"/>
        <w:rPr>
          <w:rFonts w:asciiTheme="minorEastAsia" w:eastAsiaTheme="minorEastAsia" w:hAnsiTheme="minorEastAsia"/>
          <w:b/>
          <w:sz w:val="28"/>
        </w:rPr>
      </w:pPr>
      <w:r w:rsidRPr="000239D0">
        <w:rPr>
          <w:rFonts w:asciiTheme="minorEastAsia" w:eastAsiaTheme="minorEastAsia" w:hAnsiTheme="minorEastAsia" w:hint="eastAsia"/>
          <w:b/>
          <w:sz w:val="28"/>
        </w:rPr>
        <w:lastRenderedPageBreak/>
        <w:t>目录</w:t>
      </w:r>
    </w:p>
    <w:p w:rsidR="00FC46C4" w:rsidRPr="000239D0" w:rsidRDefault="00856DC8" w:rsidP="0036321F">
      <w:pPr>
        <w:pStyle w:val="10"/>
        <w:rPr>
          <w:rFonts w:asciiTheme="minorEastAsia" w:eastAsiaTheme="minorEastAsia" w:hAnsiTheme="minorEastAsia" w:cstheme="minorBidi"/>
          <w:sz w:val="21"/>
          <w:szCs w:val="22"/>
        </w:rPr>
      </w:pPr>
      <w:r w:rsidRPr="000239D0">
        <w:rPr>
          <w:rFonts w:asciiTheme="minorEastAsia" w:eastAsiaTheme="minorEastAsia" w:hAnsiTheme="minorEastAsia"/>
          <w:bCs/>
          <w:kern w:val="44"/>
          <w:sz w:val="21"/>
        </w:rPr>
        <w:fldChar w:fldCharType="begin"/>
      </w:r>
      <w:r w:rsidR="008E29DC" w:rsidRPr="000239D0">
        <w:rPr>
          <w:rFonts w:asciiTheme="minorEastAsia" w:eastAsiaTheme="minorEastAsia" w:hAnsiTheme="minorEastAsia"/>
          <w:bCs/>
          <w:kern w:val="44"/>
          <w:sz w:val="21"/>
        </w:rPr>
        <w:instrText xml:space="preserve"> TOC \o "1-2" \h \z \u </w:instrText>
      </w:r>
      <w:r w:rsidRPr="000239D0">
        <w:rPr>
          <w:rFonts w:asciiTheme="minorEastAsia" w:eastAsiaTheme="minorEastAsia" w:hAnsiTheme="minorEastAsia"/>
          <w:bCs/>
          <w:kern w:val="44"/>
          <w:sz w:val="21"/>
        </w:rPr>
        <w:fldChar w:fldCharType="separate"/>
      </w:r>
      <w:hyperlink w:anchor="_Toc36452347" w:history="1">
        <w:r w:rsidR="00FC46C4" w:rsidRPr="000239D0">
          <w:rPr>
            <w:rStyle w:val="ab"/>
            <w:rFonts w:asciiTheme="minorEastAsia" w:eastAsiaTheme="minorEastAsia" w:hAnsiTheme="minorEastAsia" w:hint="eastAsia"/>
            <w:b/>
            <w:bCs/>
            <w:color w:val="auto"/>
            <w:kern w:val="44"/>
            <w:u w:val="none"/>
          </w:rPr>
          <w:t>一、绪言</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_Toc36452347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w:t>
        </w:r>
        <w:r w:rsidR="00FC46C4" w:rsidRPr="000239D0">
          <w:rPr>
            <w:rFonts w:asciiTheme="minorEastAsia" w:eastAsiaTheme="minorEastAsia" w:hAnsiTheme="minorEastAsia"/>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48" w:history="1">
        <w:r w:rsidR="00FC46C4" w:rsidRPr="000239D0">
          <w:rPr>
            <w:rStyle w:val="ab"/>
            <w:rFonts w:asciiTheme="minorEastAsia" w:eastAsiaTheme="minorEastAsia" w:hAnsiTheme="minorEastAsia" w:hint="eastAsia"/>
            <w:b/>
            <w:bCs/>
            <w:color w:val="auto"/>
            <w:kern w:val="44"/>
            <w:u w:val="none"/>
          </w:rPr>
          <w:t>二、释义</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_Toc36452348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2</w:t>
        </w:r>
        <w:r w:rsidR="00FC46C4" w:rsidRPr="000239D0">
          <w:rPr>
            <w:rFonts w:asciiTheme="minorEastAsia" w:eastAsiaTheme="minorEastAsia" w:hAnsiTheme="minorEastAsia"/>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49" w:history="1">
        <w:r w:rsidR="00FC46C4" w:rsidRPr="000239D0">
          <w:rPr>
            <w:rStyle w:val="ab"/>
            <w:rFonts w:asciiTheme="minorEastAsia" w:eastAsiaTheme="minorEastAsia" w:hAnsiTheme="minorEastAsia" w:hint="eastAsia"/>
            <w:b/>
            <w:bCs/>
            <w:color w:val="auto"/>
            <w:kern w:val="44"/>
            <w:u w:val="none"/>
          </w:rPr>
          <w:t>三、基金管理人</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_Toc36452349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5</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50" w:history="1">
        <w:r w:rsidR="00FC46C4" w:rsidRPr="000239D0">
          <w:rPr>
            <w:rStyle w:val="ab"/>
            <w:rFonts w:asciiTheme="minorEastAsia" w:eastAsiaTheme="minorEastAsia" w:hAnsiTheme="minorEastAsia" w:hint="eastAsia"/>
            <w:bCs/>
            <w:noProof/>
            <w:color w:val="auto"/>
            <w:u w:val="none"/>
          </w:rPr>
          <w:t>（一）基金管理人概况</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_Toc36452350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5</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51" w:history="1">
        <w:r w:rsidR="00FC46C4" w:rsidRPr="000239D0">
          <w:rPr>
            <w:rStyle w:val="ab"/>
            <w:rFonts w:asciiTheme="minorEastAsia" w:eastAsiaTheme="minorEastAsia" w:hAnsiTheme="minorEastAsia" w:hint="eastAsia"/>
            <w:bCs/>
            <w:noProof/>
            <w:color w:val="auto"/>
            <w:u w:val="none"/>
          </w:rPr>
          <w:t>（二）主要人员情况</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_Toc36452351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5</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52" w:history="1">
        <w:r w:rsidR="00FC46C4" w:rsidRPr="000239D0">
          <w:rPr>
            <w:rStyle w:val="ab"/>
            <w:rFonts w:asciiTheme="minorEastAsia" w:eastAsiaTheme="minorEastAsia" w:hAnsiTheme="minorEastAsia" w:hint="eastAsia"/>
            <w:bCs/>
            <w:noProof/>
            <w:color w:val="auto"/>
            <w:u w:val="none"/>
          </w:rPr>
          <w:t>（三）基金管理人的职责</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_Toc36452352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53" w:history="1">
        <w:r w:rsidR="00FC46C4" w:rsidRPr="000239D0">
          <w:rPr>
            <w:rStyle w:val="ab"/>
            <w:rFonts w:asciiTheme="minorEastAsia" w:eastAsiaTheme="minorEastAsia" w:hAnsiTheme="minorEastAsia" w:hint="eastAsia"/>
            <w:bCs/>
            <w:noProof/>
            <w:color w:val="auto"/>
            <w:u w:val="none"/>
          </w:rPr>
          <w:t>（四）基金管理人的承诺</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_Toc36452353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54" w:history="1">
        <w:r w:rsidR="00FC46C4" w:rsidRPr="000239D0">
          <w:rPr>
            <w:rStyle w:val="ab"/>
            <w:rFonts w:asciiTheme="minorEastAsia" w:eastAsiaTheme="minorEastAsia" w:hAnsiTheme="minorEastAsia" w:hint="eastAsia"/>
            <w:bCs/>
            <w:noProof/>
            <w:color w:val="auto"/>
            <w:u w:val="none"/>
          </w:rPr>
          <w:t>（五）基金管理人的内部控制制度</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_Toc36452354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12</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55" w:history="1">
        <w:r w:rsidR="00FC46C4" w:rsidRPr="000239D0">
          <w:rPr>
            <w:rStyle w:val="ab"/>
            <w:rFonts w:asciiTheme="minorEastAsia" w:eastAsiaTheme="minorEastAsia" w:hAnsiTheme="minorEastAsia" w:hint="eastAsia"/>
            <w:b/>
            <w:bCs/>
            <w:color w:val="auto"/>
            <w:kern w:val="44"/>
            <w:u w:val="none"/>
          </w:rPr>
          <w:t>四、基金托管人</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_Toc36452355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16</w:t>
        </w:r>
        <w:r w:rsidR="00FC46C4" w:rsidRPr="000239D0">
          <w:rPr>
            <w:rFonts w:asciiTheme="minorEastAsia" w:eastAsiaTheme="minorEastAsia" w:hAnsiTheme="minorEastAsia"/>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56" w:history="1">
        <w:r w:rsidR="00FC46C4" w:rsidRPr="000239D0">
          <w:rPr>
            <w:rStyle w:val="ab"/>
            <w:rFonts w:asciiTheme="minorEastAsia" w:eastAsiaTheme="minorEastAsia" w:hAnsiTheme="minorEastAsia" w:hint="eastAsia"/>
            <w:b/>
            <w:bCs/>
            <w:color w:val="auto"/>
            <w:kern w:val="44"/>
            <w:u w:val="none"/>
          </w:rPr>
          <w:t>五、相关服务机构</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_Toc36452356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18</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57" w:history="1">
        <w:r w:rsidR="00FC46C4" w:rsidRPr="000239D0">
          <w:rPr>
            <w:rStyle w:val="ab"/>
            <w:rFonts w:asciiTheme="minorEastAsia" w:eastAsiaTheme="minorEastAsia" w:hAnsiTheme="minorEastAsia" w:hint="eastAsia"/>
            <w:bCs/>
            <w:noProof/>
            <w:color w:val="auto"/>
            <w:u w:val="none"/>
          </w:rPr>
          <w:t>（一）基金份额销售机构</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_Toc36452357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18</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58" w:history="1">
        <w:r w:rsidR="00FC46C4" w:rsidRPr="000239D0">
          <w:rPr>
            <w:rStyle w:val="ab"/>
            <w:rFonts w:asciiTheme="minorEastAsia" w:eastAsiaTheme="minorEastAsia" w:hAnsiTheme="minorEastAsia" w:hint="eastAsia"/>
            <w:bCs/>
            <w:noProof/>
            <w:color w:val="auto"/>
            <w:u w:val="none"/>
          </w:rPr>
          <w:t>（二）注册登记机构</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_Toc36452358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78</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59" w:history="1">
        <w:r w:rsidR="00FC46C4" w:rsidRPr="000239D0">
          <w:rPr>
            <w:rStyle w:val="ab"/>
            <w:rFonts w:asciiTheme="minorEastAsia" w:eastAsiaTheme="minorEastAsia" w:hAnsiTheme="minorEastAsia" w:hint="eastAsia"/>
            <w:bCs/>
            <w:noProof/>
            <w:color w:val="auto"/>
            <w:u w:val="none"/>
          </w:rPr>
          <w:t>（三）律师事务所和经办律师</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_Toc36452359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78</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60" w:history="1">
        <w:r w:rsidR="00FC46C4" w:rsidRPr="000239D0">
          <w:rPr>
            <w:rStyle w:val="ab"/>
            <w:rFonts w:asciiTheme="minorEastAsia" w:eastAsiaTheme="minorEastAsia" w:hAnsiTheme="minorEastAsia" w:hint="eastAsia"/>
            <w:bCs/>
            <w:noProof/>
            <w:color w:val="auto"/>
            <w:u w:val="none"/>
          </w:rPr>
          <w:t>（四）会计师事务所和经办注册会计师</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_Toc36452360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78</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61" w:history="1">
        <w:r w:rsidR="00FC46C4" w:rsidRPr="000239D0">
          <w:rPr>
            <w:rStyle w:val="ab"/>
            <w:rFonts w:asciiTheme="minorEastAsia" w:eastAsiaTheme="minorEastAsia" w:hAnsiTheme="minorEastAsia" w:hint="eastAsia"/>
            <w:b/>
            <w:bCs/>
            <w:color w:val="auto"/>
            <w:kern w:val="44"/>
            <w:u w:val="none"/>
          </w:rPr>
          <w:t>六、基金份额的申购、赎回和转换</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_Toc36452361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79</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62" w:history="1">
        <w:r w:rsidR="00FC46C4" w:rsidRPr="000239D0">
          <w:rPr>
            <w:rStyle w:val="ab"/>
            <w:rFonts w:asciiTheme="minorEastAsia" w:eastAsiaTheme="minorEastAsia" w:hAnsiTheme="minorEastAsia" w:hint="eastAsia"/>
            <w:bCs/>
            <w:noProof/>
            <w:color w:val="auto"/>
            <w:u w:val="none"/>
          </w:rPr>
          <w:t>（一）投资者范围</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_Toc36452362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79</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63" w:history="1">
        <w:r w:rsidR="00FC46C4" w:rsidRPr="000239D0">
          <w:rPr>
            <w:rStyle w:val="ab"/>
            <w:rFonts w:asciiTheme="minorEastAsia" w:eastAsiaTheme="minorEastAsia" w:hAnsiTheme="minorEastAsia" w:hint="eastAsia"/>
            <w:bCs/>
            <w:noProof/>
            <w:color w:val="auto"/>
            <w:u w:val="none"/>
          </w:rPr>
          <w:t>（二）申购、赎回和转换场所</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_Toc36452363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79</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64" w:history="1">
        <w:r w:rsidR="00FC46C4" w:rsidRPr="000239D0">
          <w:rPr>
            <w:rStyle w:val="ab"/>
            <w:rFonts w:asciiTheme="minorEastAsia" w:eastAsiaTheme="minorEastAsia" w:hAnsiTheme="minorEastAsia" w:hint="eastAsia"/>
            <w:bCs/>
            <w:noProof/>
            <w:color w:val="auto"/>
            <w:u w:val="none"/>
          </w:rPr>
          <w:t>（三）申购、赎回和转换的开放日期及办理时间</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_Toc36452364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79</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65" w:history="1">
        <w:r w:rsidR="00FC46C4" w:rsidRPr="000239D0">
          <w:rPr>
            <w:rStyle w:val="ab"/>
            <w:rFonts w:asciiTheme="minorEastAsia" w:eastAsiaTheme="minorEastAsia" w:hAnsiTheme="minorEastAsia" w:hint="eastAsia"/>
            <w:bCs/>
            <w:noProof/>
            <w:color w:val="auto"/>
            <w:u w:val="none"/>
          </w:rPr>
          <w:t>（四）申购、赎回和转换的原则</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_Toc36452365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79</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66" w:history="1">
        <w:r w:rsidR="00FC46C4" w:rsidRPr="000239D0">
          <w:rPr>
            <w:rStyle w:val="ab"/>
            <w:rFonts w:asciiTheme="minorEastAsia" w:eastAsiaTheme="minorEastAsia" w:hAnsiTheme="minorEastAsia" w:hint="eastAsia"/>
            <w:bCs/>
            <w:noProof/>
            <w:color w:val="auto"/>
            <w:u w:val="none"/>
          </w:rPr>
          <w:t>（五）申购、赎回和转换的程序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_Toc36452366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80</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67" w:history="1">
        <w:r w:rsidR="00FC46C4" w:rsidRPr="000239D0">
          <w:rPr>
            <w:rStyle w:val="ab"/>
            <w:rFonts w:asciiTheme="minorEastAsia" w:eastAsiaTheme="minorEastAsia" w:hAnsiTheme="minorEastAsia" w:hint="eastAsia"/>
            <w:bCs/>
            <w:noProof/>
            <w:color w:val="auto"/>
            <w:u w:val="none"/>
          </w:rPr>
          <w:t>（六）申购、赎回和转换的数额限制</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_Toc36452367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80</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68" w:history="1">
        <w:r w:rsidR="00FC46C4" w:rsidRPr="000239D0">
          <w:rPr>
            <w:rStyle w:val="ab"/>
            <w:rFonts w:asciiTheme="minorEastAsia" w:eastAsiaTheme="minorEastAsia" w:hAnsiTheme="minorEastAsia" w:hint="eastAsia"/>
            <w:bCs/>
            <w:noProof/>
            <w:color w:val="auto"/>
            <w:u w:val="none"/>
          </w:rPr>
          <w:t>（七）申购份额、赎回金额和转换份额的计算方式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_Toc36452368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81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69" w:history="1">
        <w:r w:rsidR="00FC46C4" w:rsidRPr="000239D0">
          <w:rPr>
            <w:rStyle w:val="ab"/>
            <w:rFonts w:asciiTheme="minorEastAsia" w:eastAsiaTheme="minorEastAsia" w:hAnsiTheme="minorEastAsia" w:hint="eastAsia"/>
            <w:bCs/>
            <w:noProof/>
            <w:color w:val="auto"/>
            <w:u w:val="none"/>
          </w:rPr>
          <w:t>（八）申购、赎回和转换的注册登记</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_Toc36452369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85</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70" w:history="1">
        <w:r w:rsidR="00FC46C4" w:rsidRPr="000239D0">
          <w:rPr>
            <w:rStyle w:val="ab"/>
            <w:rFonts w:asciiTheme="minorEastAsia" w:eastAsiaTheme="minorEastAsia" w:hAnsiTheme="minorEastAsia" w:hint="eastAsia"/>
            <w:bCs/>
            <w:noProof/>
            <w:color w:val="auto"/>
            <w:u w:val="none"/>
          </w:rPr>
          <w:t>（九）巨额赎回的认定及处理方式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_Toc36452370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85</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71" w:history="1">
        <w:r w:rsidR="00FC46C4" w:rsidRPr="000239D0">
          <w:rPr>
            <w:rStyle w:val="ab"/>
            <w:rFonts w:asciiTheme="minorEastAsia" w:eastAsiaTheme="minorEastAsia" w:hAnsiTheme="minorEastAsia" w:hint="eastAsia"/>
            <w:bCs/>
            <w:noProof/>
            <w:color w:val="auto"/>
            <w:u w:val="none"/>
          </w:rPr>
          <w:t>（十）拒绝或暂停申购、赎回和转换的情形及处理方式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_Toc36452371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86</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72" w:history="1">
        <w:r w:rsidR="00FC46C4" w:rsidRPr="000239D0">
          <w:rPr>
            <w:rStyle w:val="ab"/>
            <w:rFonts w:asciiTheme="minorEastAsia" w:eastAsiaTheme="minorEastAsia" w:hAnsiTheme="minorEastAsia" w:hint="eastAsia"/>
            <w:b/>
            <w:bCs/>
            <w:color w:val="auto"/>
            <w:kern w:val="44"/>
            <w:u w:val="none"/>
          </w:rPr>
          <w:t>七、基金的非交易过户、转托管、冻结与质押</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_Toc36452372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89</w:t>
        </w:r>
        <w:r w:rsidR="00FC46C4" w:rsidRPr="000239D0">
          <w:rPr>
            <w:rFonts w:asciiTheme="minorEastAsia" w:eastAsiaTheme="minorEastAsia" w:hAnsiTheme="minorEastAsia"/>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73" w:history="1">
        <w:r w:rsidR="00FC46C4" w:rsidRPr="000239D0">
          <w:rPr>
            <w:rStyle w:val="ab"/>
            <w:rFonts w:asciiTheme="minorEastAsia" w:eastAsiaTheme="minorEastAsia" w:hAnsiTheme="minorEastAsia" w:hint="eastAsia"/>
            <w:b/>
            <w:bCs/>
            <w:color w:val="auto"/>
            <w:kern w:val="44"/>
            <w:u w:val="none"/>
          </w:rPr>
          <w:t>八、基金的投资</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_Toc36452373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91</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74" w:history="1">
        <w:r w:rsidR="00FC46C4" w:rsidRPr="000239D0">
          <w:rPr>
            <w:rStyle w:val="ab"/>
            <w:rFonts w:asciiTheme="minorEastAsia" w:eastAsiaTheme="minorEastAsia" w:hAnsiTheme="minorEastAsia" w:hint="eastAsia"/>
            <w:bCs/>
            <w:noProof/>
            <w:color w:val="auto"/>
            <w:u w:val="none"/>
          </w:rPr>
          <w:t>（一）投资目标</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_Toc36452374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75" w:history="1">
        <w:r w:rsidR="00FC46C4" w:rsidRPr="000239D0">
          <w:rPr>
            <w:rStyle w:val="ab"/>
            <w:rFonts w:asciiTheme="minorEastAsia" w:eastAsiaTheme="minorEastAsia" w:hAnsiTheme="minorEastAsia" w:hint="eastAsia"/>
            <w:bCs/>
            <w:noProof/>
            <w:color w:val="auto"/>
            <w:u w:val="none"/>
          </w:rPr>
          <w:t>（二）投资方向</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_Toc36452375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76" w:history="1">
        <w:r w:rsidR="00FC46C4" w:rsidRPr="000239D0">
          <w:rPr>
            <w:rStyle w:val="ab"/>
            <w:rFonts w:asciiTheme="minorEastAsia" w:eastAsiaTheme="minorEastAsia" w:hAnsiTheme="minorEastAsia" w:hint="eastAsia"/>
            <w:bCs/>
            <w:noProof/>
            <w:color w:val="auto"/>
            <w:u w:val="none"/>
          </w:rPr>
          <w:t>（三）投资理念</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_Toc36452376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77" w:history="1">
        <w:r w:rsidR="00FC46C4" w:rsidRPr="000239D0">
          <w:rPr>
            <w:rStyle w:val="ab"/>
            <w:rFonts w:asciiTheme="minorEastAsia" w:eastAsiaTheme="minorEastAsia" w:hAnsiTheme="minorEastAsia" w:hint="eastAsia"/>
            <w:bCs/>
            <w:noProof/>
            <w:color w:val="auto"/>
            <w:u w:val="none"/>
          </w:rPr>
          <w:t>（四）投资策略</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_Toc36452377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78" w:history="1">
        <w:r w:rsidR="00FC46C4" w:rsidRPr="000239D0">
          <w:rPr>
            <w:rStyle w:val="ab"/>
            <w:rFonts w:asciiTheme="minorEastAsia" w:eastAsiaTheme="minorEastAsia" w:hAnsiTheme="minorEastAsia" w:hint="eastAsia"/>
            <w:bCs/>
            <w:noProof/>
            <w:color w:val="auto"/>
            <w:u w:val="none"/>
          </w:rPr>
          <w:t>（五）业绩比较基准</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_Toc36452378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92</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79" w:history="1">
        <w:r w:rsidR="00FC46C4" w:rsidRPr="000239D0">
          <w:rPr>
            <w:rStyle w:val="ab"/>
            <w:rFonts w:asciiTheme="minorEastAsia" w:eastAsiaTheme="minorEastAsia" w:hAnsiTheme="minorEastAsia" w:hint="eastAsia"/>
            <w:bCs/>
            <w:noProof/>
            <w:color w:val="auto"/>
            <w:u w:val="none"/>
          </w:rPr>
          <w:t>（六）风险收益特征</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_Toc36452379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93</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80" w:history="1">
        <w:r w:rsidR="00FC46C4" w:rsidRPr="000239D0">
          <w:rPr>
            <w:rStyle w:val="ab"/>
            <w:rFonts w:asciiTheme="minorEastAsia" w:eastAsiaTheme="minorEastAsia" w:hAnsiTheme="minorEastAsia" w:hint="eastAsia"/>
            <w:bCs/>
            <w:noProof/>
            <w:color w:val="auto"/>
            <w:u w:val="none"/>
          </w:rPr>
          <w:t>（七）投资程序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_Toc36452380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93</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81" w:history="1">
        <w:r w:rsidR="00FC46C4" w:rsidRPr="000239D0">
          <w:rPr>
            <w:rStyle w:val="ab"/>
            <w:rFonts w:asciiTheme="minorEastAsia" w:eastAsiaTheme="minorEastAsia" w:hAnsiTheme="minorEastAsia" w:hint="eastAsia"/>
            <w:bCs/>
            <w:noProof/>
            <w:color w:val="auto"/>
            <w:u w:val="none"/>
          </w:rPr>
          <w:t>（八）基金投资限制</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_Toc36452381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93</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82" w:history="1">
        <w:r w:rsidR="00FC46C4" w:rsidRPr="000239D0">
          <w:rPr>
            <w:rStyle w:val="ab"/>
            <w:rFonts w:asciiTheme="minorEastAsia" w:eastAsiaTheme="minorEastAsia" w:hAnsiTheme="minorEastAsia" w:hint="eastAsia"/>
            <w:bCs/>
            <w:noProof/>
            <w:color w:val="auto"/>
            <w:u w:val="none"/>
          </w:rPr>
          <w:t>（九）禁止行为</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_Toc36452382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94</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83" w:history="1">
        <w:r w:rsidR="00FC46C4" w:rsidRPr="000239D0">
          <w:rPr>
            <w:rStyle w:val="ab"/>
            <w:rFonts w:asciiTheme="minorEastAsia" w:eastAsiaTheme="minorEastAsia" w:hAnsiTheme="minorEastAsia" w:hint="eastAsia"/>
            <w:bCs/>
            <w:noProof/>
            <w:color w:val="auto"/>
            <w:u w:val="none"/>
          </w:rPr>
          <w:t>（十）基金管理人代表基金行使所投资证券产生权利的处理原则及方法</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_Toc36452383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94</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84" w:history="1">
        <w:r w:rsidR="00FC46C4" w:rsidRPr="000239D0">
          <w:rPr>
            <w:rStyle w:val="ab"/>
            <w:rFonts w:asciiTheme="minorEastAsia" w:eastAsiaTheme="minorEastAsia" w:hAnsiTheme="minorEastAsia" w:hint="eastAsia"/>
            <w:bCs/>
            <w:noProof/>
            <w:color w:val="auto"/>
            <w:u w:val="none"/>
          </w:rPr>
          <w:t>（十一）基金投资组合报告</w:t>
        </w:r>
        <w:r w:rsidR="00FC46C4" w:rsidRPr="000239D0">
          <w:rPr>
            <w:rStyle w:val="ab"/>
            <w:rFonts w:asciiTheme="minorEastAsia" w:eastAsiaTheme="minorEastAsia" w:hAnsiTheme="minorEastAsia"/>
            <w:bCs/>
            <w:noProof/>
            <w:color w:val="auto"/>
            <w:u w:val="none"/>
          </w:rPr>
          <w:t>(</w:t>
        </w:r>
        <w:r w:rsidR="00FC46C4" w:rsidRPr="000239D0">
          <w:rPr>
            <w:rStyle w:val="ab"/>
            <w:rFonts w:asciiTheme="minorEastAsia" w:eastAsiaTheme="minorEastAsia" w:hAnsiTheme="minorEastAsia" w:hint="eastAsia"/>
            <w:bCs/>
            <w:noProof/>
            <w:color w:val="auto"/>
            <w:u w:val="none"/>
          </w:rPr>
          <w:t>未经审计</w:t>
        </w:r>
        <w:r w:rsidR="00FC46C4" w:rsidRPr="000239D0">
          <w:rPr>
            <w:rStyle w:val="ab"/>
            <w:rFonts w:asciiTheme="minorEastAsia" w:eastAsiaTheme="minorEastAsia" w:hAnsiTheme="minorEastAsia"/>
            <w:bCs/>
            <w:noProof/>
            <w:color w:val="auto"/>
            <w:u w:val="none"/>
          </w:rPr>
          <w:t>)</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_Toc36452384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95</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85" w:history="1">
        <w:r w:rsidR="00FC46C4" w:rsidRPr="000239D0">
          <w:rPr>
            <w:rStyle w:val="ab"/>
            <w:rFonts w:asciiTheme="minorEastAsia" w:eastAsiaTheme="minorEastAsia" w:hAnsiTheme="minorEastAsia" w:hint="eastAsia"/>
            <w:b/>
            <w:bCs/>
            <w:color w:val="auto"/>
            <w:kern w:val="44"/>
            <w:u w:val="none"/>
          </w:rPr>
          <w:t>九、基金的业绩</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_Toc36452385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99</w:t>
        </w:r>
        <w:r w:rsidR="00FC46C4" w:rsidRPr="000239D0">
          <w:rPr>
            <w:rFonts w:asciiTheme="minorEastAsia" w:eastAsiaTheme="minorEastAsia" w:hAnsiTheme="minorEastAsia"/>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86" w:history="1">
        <w:r w:rsidR="00FC46C4" w:rsidRPr="000239D0">
          <w:rPr>
            <w:rStyle w:val="ab"/>
            <w:rFonts w:asciiTheme="minorEastAsia" w:eastAsiaTheme="minorEastAsia" w:hAnsiTheme="minorEastAsia" w:hint="eastAsia"/>
            <w:b/>
            <w:bCs/>
            <w:color w:val="auto"/>
            <w:kern w:val="44"/>
            <w:u w:val="none"/>
          </w:rPr>
          <w:t>十、基金的财产</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_Toc36452386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100</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87" w:history="1">
        <w:r w:rsidR="00FC46C4" w:rsidRPr="000239D0">
          <w:rPr>
            <w:rStyle w:val="ab"/>
            <w:rFonts w:asciiTheme="minorEastAsia" w:eastAsiaTheme="minorEastAsia" w:hAnsiTheme="minorEastAsia" w:hint="eastAsia"/>
            <w:bCs/>
            <w:noProof/>
            <w:color w:val="auto"/>
            <w:u w:val="none"/>
          </w:rPr>
          <w:t>（一）基金财产的构成</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_Toc36452387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100</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88" w:history="1">
        <w:r w:rsidR="00FC46C4" w:rsidRPr="000239D0">
          <w:rPr>
            <w:rStyle w:val="ab"/>
            <w:rFonts w:asciiTheme="minorEastAsia" w:eastAsiaTheme="minorEastAsia" w:hAnsiTheme="minorEastAsia" w:hint="eastAsia"/>
            <w:bCs/>
            <w:noProof/>
            <w:color w:val="auto"/>
            <w:u w:val="none"/>
          </w:rPr>
          <w:t>（二）基金财产的账户</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_Toc36452388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100</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89" w:history="1">
        <w:r w:rsidR="00FC46C4" w:rsidRPr="000239D0">
          <w:rPr>
            <w:rStyle w:val="ab"/>
            <w:rFonts w:asciiTheme="minorEastAsia" w:eastAsiaTheme="minorEastAsia" w:hAnsiTheme="minorEastAsia" w:hint="eastAsia"/>
            <w:bCs/>
            <w:noProof/>
            <w:color w:val="auto"/>
            <w:u w:val="none"/>
          </w:rPr>
          <w:t>（三）基金财产的保管与处分</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_Toc36452389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100</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390" w:history="1">
        <w:r w:rsidR="00FC46C4" w:rsidRPr="000239D0">
          <w:rPr>
            <w:rStyle w:val="ab"/>
            <w:rFonts w:asciiTheme="minorEastAsia" w:eastAsiaTheme="minorEastAsia" w:hAnsiTheme="minorEastAsia" w:hint="eastAsia"/>
            <w:b/>
            <w:bCs/>
            <w:color w:val="auto"/>
            <w:kern w:val="44"/>
            <w:u w:val="none"/>
          </w:rPr>
          <w:t>十一、基金资产的估值</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_Toc36452390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101</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91" w:history="1">
        <w:r w:rsidR="00FC46C4" w:rsidRPr="000239D0">
          <w:rPr>
            <w:rStyle w:val="ab"/>
            <w:rFonts w:asciiTheme="minorEastAsia" w:eastAsiaTheme="minorEastAsia" w:hAnsiTheme="minorEastAsia" w:hint="eastAsia"/>
            <w:bCs/>
            <w:noProof/>
            <w:color w:val="auto"/>
            <w:u w:val="none"/>
          </w:rPr>
          <w:t>（一）估值目的</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_Toc36452391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92" w:history="1">
        <w:r w:rsidR="00FC46C4" w:rsidRPr="000239D0">
          <w:rPr>
            <w:rStyle w:val="ab"/>
            <w:rFonts w:asciiTheme="minorEastAsia" w:eastAsiaTheme="minorEastAsia" w:hAnsiTheme="minorEastAsia" w:hint="eastAsia"/>
            <w:bCs/>
            <w:noProof/>
            <w:color w:val="auto"/>
            <w:u w:val="none"/>
          </w:rPr>
          <w:t>（二）估值日</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_Toc36452392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93" w:history="1">
        <w:r w:rsidR="00FC46C4" w:rsidRPr="000239D0">
          <w:rPr>
            <w:rStyle w:val="ab"/>
            <w:rFonts w:asciiTheme="minorEastAsia" w:eastAsiaTheme="minorEastAsia" w:hAnsiTheme="minorEastAsia" w:hint="eastAsia"/>
            <w:bCs/>
            <w:noProof/>
            <w:color w:val="auto"/>
            <w:u w:val="none"/>
          </w:rPr>
          <w:t>（三）估值对象</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_Toc36452393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94" w:history="1">
        <w:r w:rsidR="00FC46C4" w:rsidRPr="000239D0">
          <w:rPr>
            <w:rStyle w:val="ab"/>
            <w:rFonts w:asciiTheme="minorEastAsia" w:eastAsiaTheme="minorEastAsia" w:hAnsiTheme="minorEastAsia" w:hint="eastAsia"/>
            <w:bCs/>
            <w:noProof/>
            <w:color w:val="auto"/>
            <w:u w:val="none"/>
          </w:rPr>
          <w:t>（四）估值方法</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_Toc36452394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95" w:history="1">
        <w:r w:rsidR="00FC46C4" w:rsidRPr="000239D0">
          <w:rPr>
            <w:rStyle w:val="ab"/>
            <w:rFonts w:asciiTheme="minorEastAsia" w:eastAsiaTheme="minorEastAsia" w:hAnsiTheme="minorEastAsia" w:hint="eastAsia"/>
            <w:bCs/>
            <w:noProof/>
            <w:color w:val="auto"/>
            <w:u w:val="none"/>
          </w:rPr>
          <w:t>（五）估值程序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_Toc36452395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102</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96" w:history="1">
        <w:r w:rsidR="00FC46C4" w:rsidRPr="000239D0">
          <w:rPr>
            <w:rStyle w:val="ab"/>
            <w:rFonts w:asciiTheme="minorEastAsia" w:eastAsiaTheme="minorEastAsia" w:hAnsiTheme="minorEastAsia" w:hint="eastAsia"/>
            <w:bCs/>
            <w:noProof/>
            <w:color w:val="auto"/>
            <w:u w:val="none"/>
          </w:rPr>
          <w:t>（六）基金份额净值的确认</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_Toc36452396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102</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97" w:history="1">
        <w:r w:rsidR="00FC46C4" w:rsidRPr="000239D0">
          <w:rPr>
            <w:rStyle w:val="ab"/>
            <w:rFonts w:asciiTheme="minorEastAsia" w:eastAsiaTheme="minorEastAsia" w:hAnsiTheme="minorEastAsia" w:hint="eastAsia"/>
            <w:bCs/>
            <w:noProof/>
            <w:color w:val="auto"/>
            <w:u w:val="none"/>
          </w:rPr>
          <w:t>（七）暂停估值的情形</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_Toc36452397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103</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98" w:history="1">
        <w:r w:rsidR="00FC46C4" w:rsidRPr="000239D0">
          <w:rPr>
            <w:rStyle w:val="ab"/>
            <w:rFonts w:asciiTheme="minorEastAsia" w:eastAsiaTheme="minorEastAsia" w:hAnsiTheme="minorEastAsia" w:hint="eastAsia"/>
            <w:bCs/>
            <w:noProof/>
            <w:color w:val="auto"/>
            <w:u w:val="none"/>
          </w:rPr>
          <w:t>（八）估值错误的处理</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_Toc36452398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103</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399" w:history="1">
        <w:r w:rsidR="00FC46C4" w:rsidRPr="000239D0">
          <w:rPr>
            <w:rStyle w:val="ab"/>
            <w:rFonts w:asciiTheme="minorEastAsia" w:eastAsiaTheme="minorEastAsia" w:hAnsiTheme="minorEastAsia" w:hint="eastAsia"/>
            <w:bCs/>
            <w:noProof/>
            <w:color w:val="auto"/>
            <w:u w:val="none"/>
          </w:rPr>
          <w:t>（九）特殊情形的处理</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_Toc36452399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103</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00" w:history="1">
        <w:r w:rsidR="00FC46C4" w:rsidRPr="000239D0">
          <w:rPr>
            <w:rStyle w:val="ab"/>
            <w:rFonts w:asciiTheme="minorEastAsia" w:eastAsiaTheme="minorEastAsia" w:hAnsiTheme="minorEastAsia" w:hint="eastAsia"/>
            <w:b/>
            <w:bCs/>
            <w:color w:val="auto"/>
            <w:kern w:val="44"/>
            <w:u w:val="none"/>
          </w:rPr>
          <w:t>十二、基金的收益分配</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_Toc36452400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104</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01" w:history="1">
        <w:r w:rsidR="00FC46C4" w:rsidRPr="000239D0">
          <w:rPr>
            <w:rStyle w:val="ab"/>
            <w:rFonts w:asciiTheme="minorEastAsia" w:eastAsiaTheme="minorEastAsia" w:hAnsiTheme="minorEastAsia" w:hint="eastAsia"/>
            <w:bCs/>
            <w:noProof/>
            <w:color w:val="auto"/>
            <w:u w:val="none"/>
          </w:rPr>
          <w:t>（一）收益的构成</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_Toc36452401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104</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02" w:history="1">
        <w:r w:rsidR="00FC46C4" w:rsidRPr="000239D0">
          <w:rPr>
            <w:rStyle w:val="ab"/>
            <w:rFonts w:asciiTheme="minorEastAsia" w:eastAsiaTheme="minorEastAsia" w:hAnsiTheme="minorEastAsia" w:hint="eastAsia"/>
            <w:bCs/>
            <w:noProof/>
            <w:color w:val="auto"/>
            <w:u w:val="none"/>
          </w:rPr>
          <w:t>（二）收益分配原则</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_Toc36452402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104</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03" w:history="1">
        <w:r w:rsidR="00FC46C4" w:rsidRPr="000239D0">
          <w:rPr>
            <w:rStyle w:val="ab"/>
            <w:rFonts w:asciiTheme="minorEastAsia" w:eastAsiaTheme="minorEastAsia" w:hAnsiTheme="minorEastAsia" w:hint="eastAsia"/>
            <w:bCs/>
            <w:noProof/>
            <w:color w:val="auto"/>
            <w:u w:val="none"/>
          </w:rPr>
          <w:t>（三）收益分配方案</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_Toc36452403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104</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04" w:history="1">
        <w:r w:rsidR="00FC46C4" w:rsidRPr="000239D0">
          <w:rPr>
            <w:rStyle w:val="ab"/>
            <w:rFonts w:asciiTheme="minorEastAsia" w:eastAsiaTheme="minorEastAsia" w:hAnsiTheme="minorEastAsia" w:hint="eastAsia"/>
            <w:bCs/>
            <w:noProof/>
            <w:color w:val="auto"/>
            <w:u w:val="none"/>
          </w:rPr>
          <w:t>（四）收益分配方案的确定与公告</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_Toc36452404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104</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05" w:history="1">
        <w:r w:rsidR="00FC46C4" w:rsidRPr="000239D0">
          <w:rPr>
            <w:rStyle w:val="ab"/>
            <w:rFonts w:asciiTheme="minorEastAsia" w:eastAsiaTheme="minorEastAsia" w:hAnsiTheme="minorEastAsia" w:hint="eastAsia"/>
            <w:bCs/>
            <w:noProof/>
            <w:color w:val="auto"/>
            <w:u w:val="none"/>
          </w:rPr>
          <w:t>（五）收益分配中发生的费用</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_Toc36452405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104</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06" w:history="1">
        <w:r w:rsidR="00FC46C4" w:rsidRPr="000239D0">
          <w:rPr>
            <w:rStyle w:val="ab"/>
            <w:rFonts w:asciiTheme="minorEastAsia" w:eastAsiaTheme="minorEastAsia" w:hAnsiTheme="minorEastAsia" w:hint="eastAsia"/>
            <w:b/>
            <w:bCs/>
            <w:color w:val="auto"/>
            <w:u w:val="none"/>
          </w:rPr>
          <w:t>十三、基金的费用与税收</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_Toc36452406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106</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07" w:history="1">
        <w:r w:rsidR="00FC46C4" w:rsidRPr="000239D0">
          <w:rPr>
            <w:rStyle w:val="ab"/>
            <w:rFonts w:asciiTheme="minorEastAsia" w:eastAsiaTheme="minorEastAsia" w:hAnsiTheme="minorEastAsia" w:hint="eastAsia"/>
            <w:bCs/>
            <w:noProof/>
            <w:color w:val="auto"/>
            <w:u w:val="none"/>
          </w:rPr>
          <w:t>（一）与基金运作有关的费用</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_Toc36452407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106</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08" w:history="1">
        <w:r w:rsidR="00FC46C4" w:rsidRPr="000239D0">
          <w:rPr>
            <w:rStyle w:val="ab"/>
            <w:rFonts w:asciiTheme="minorEastAsia" w:eastAsiaTheme="minorEastAsia" w:hAnsiTheme="minorEastAsia" w:hint="eastAsia"/>
            <w:bCs/>
            <w:noProof/>
            <w:color w:val="auto"/>
            <w:u w:val="none"/>
          </w:rPr>
          <w:t>（二）与基金销售有关的费用</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_Toc36452408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106</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09" w:history="1">
        <w:r w:rsidR="00FC46C4" w:rsidRPr="000239D0">
          <w:rPr>
            <w:rStyle w:val="ab"/>
            <w:rFonts w:asciiTheme="minorEastAsia" w:eastAsiaTheme="minorEastAsia" w:hAnsiTheme="minorEastAsia" w:hint="eastAsia"/>
            <w:bCs/>
            <w:noProof/>
            <w:color w:val="auto"/>
            <w:u w:val="none"/>
          </w:rPr>
          <w:t>（三）基金的税收</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_Toc36452409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108</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10" w:history="1">
        <w:r w:rsidR="00FC46C4" w:rsidRPr="000239D0">
          <w:rPr>
            <w:rStyle w:val="ab"/>
            <w:rFonts w:asciiTheme="minorEastAsia" w:eastAsiaTheme="minorEastAsia" w:hAnsiTheme="minorEastAsia" w:hint="eastAsia"/>
            <w:b/>
            <w:bCs/>
            <w:color w:val="auto"/>
            <w:kern w:val="44"/>
            <w:u w:val="none"/>
          </w:rPr>
          <w:t>十四、基金的会计与审计</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_Toc36452410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109</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11" w:history="1">
        <w:r w:rsidR="00FC46C4" w:rsidRPr="000239D0">
          <w:rPr>
            <w:rStyle w:val="ab"/>
            <w:rFonts w:asciiTheme="minorEastAsia" w:eastAsiaTheme="minorEastAsia" w:hAnsiTheme="minorEastAsia" w:hint="eastAsia"/>
            <w:bCs/>
            <w:noProof/>
            <w:color w:val="auto"/>
            <w:u w:val="none"/>
          </w:rPr>
          <w:t>（一）基金会计政策</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_Toc36452411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109</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12" w:history="1">
        <w:r w:rsidR="00FC46C4" w:rsidRPr="000239D0">
          <w:rPr>
            <w:rStyle w:val="ab"/>
            <w:rFonts w:asciiTheme="minorEastAsia" w:eastAsiaTheme="minorEastAsia" w:hAnsiTheme="minorEastAsia" w:hint="eastAsia"/>
            <w:bCs/>
            <w:noProof/>
            <w:color w:val="auto"/>
            <w:u w:val="none"/>
          </w:rPr>
          <w:t>（二）基金的审计</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_Toc36452412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109</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13" w:history="1">
        <w:r w:rsidR="00FC46C4" w:rsidRPr="000239D0">
          <w:rPr>
            <w:rStyle w:val="ab"/>
            <w:rFonts w:asciiTheme="minorEastAsia" w:eastAsiaTheme="minorEastAsia" w:hAnsiTheme="minorEastAsia" w:hint="eastAsia"/>
            <w:b/>
            <w:bCs/>
            <w:color w:val="auto"/>
            <w:kern w:val="44"/>
            <w:u w:val="none"/>
          </w:rPr>
          <w:t>十五、基金的信息披露</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_Toc36452413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110</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14" w:history="1">
        <w:r w:rsidR="00FC46C4" w:rsidRPr="000239D0">
          <w:rPr>
            <w:rStyle w:val="ab"/>
            <w:rFonts w:asciiTheme="minorEastAsia" w:eastAsiaTheme="minorEastAsia" w:hAnsiTheme="minorEastAsia" w:hint="eastAsia"/>
            <w:bCs/>
            <w:noProof/>
            <w:color w:val="auto"/>
            <w:u w:val="none"/>
          </w:rPr>
          <w:t>（一）信息披露的形式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_Toc36452414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110</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15" w:history="1">
        <w:r w:rsidR="00FC46C4" w:rsidRPr="000239D0">
          <w:rPr>
            <w:rStyle w:val="ab"/>
            <w:rFonts w:asciiTheme="minorEastAsia" w:eastAsiaTheme="minorEastAsia" w:hAnsiTheme="minorEastAsia" w:hint="eastAsia"/>
            <w:bCs/>
            <w:noProof/>
            <w:color w:val="auto"/>
            <w:u w:val="none"/>
          </w:rPr>
          <w:t>（二）信息披露的种类、披露时间和披露形式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_Toc36452415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110</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16" w:history="1">
        <w:r w:rsidR="00FC46C4" w:rsidRPr="000239D0">
          <w:rPr>
            <w:rStyle w:val="ab"/>
            <w:rFonts w:asciiTheme="minorEastAsia" w:eastAsiaTheme="minorEastAsia" w:hAnsiTheme="minorEastAsia" w:hint="eastAsia"/>
            <w:bCs/>
            <w:noProof/>
            <w:color w:val="auto"/>
            <w:u w:val="none"/>
          </w:rPr>
          <w:t>（三）信息披露文件的存放与查阅</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_Toc36452416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112</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17" w:history="1">
        <w:r w:rsidR="00FC46C4" w:rsidRPr="000239D0">
          <w:rPr>
            <w:rStyle w:val="ab"/>
            <w:rFonts w:asciiTheme="minorEastAsia" w:eastAsiaTheme="minorEastAsia" w:hAnsiTheme="minorEastAsia" w:hint="eastAsia"/>
            <w:b/>
            <w:bCs/>
            <w:color w:val="auto"/>
            <w:kern w:val="44"/>
            <w:u w:val="none"/>
          </w:rPr>
          <w:t>十六、风险揭示</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_Toc36452417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113</w:t>
        </w:r>
        <w:r w:rsidR="00FC46C4" w:rsidRPr="000239D0">
          <w:rPr>
            <w:rFonts w:asciiTheme="minorEastAsia" w:eastAsiaTheme="minorEastAsia" w:hAnsiTheme="minorEastAsia"/>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18" w:history="1">
        <w:r w:rsidR="00FC46C4" w:rsidRPr="000239D0">
          <w:rPr>
            <w:rStyle w:val="ab"/>
            <w:rFonts w:asciiTheme="minorEastAsia" w:eastAsiaTheme="minorEastAsia" w:hAnsiTheme="minorEastAsia" w:hint="eastAsia"/>
            <w:b/>
            <w:bCs/>
            <w:color w:val="auto"/>
            <w:kern w:val="44"/>
            <w:u w:val="none"/>
          </w:rPr>
          <w:t>十七、基金合同的终止与清算</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_Toc36452418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117</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19" w:history="1">
        <w:r w:rsidR="00FC46C4" w:rsidRPr="000239D0">
          <w:rPr>
            <w:rStyle w:val="ab"/>
            <w:rFonts w:asciiTheme="minorEastAsia" w:eastAsiaTheme="minorEastAsia" w:hAnsiTheme="minorEastAsia" w:hint="eastAsia"/>
            <w:bCs/>
            <w:noProof/>
            <w:color w:val="auto"/>
            <w:u w:val="none"/>
          </w:rPr>
          <w:t>（一）基金合同的终止</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_Toc36452419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117</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20" w:history="1">
        <w:r w:rsidR="00FC46C4" w:rsidRPr="000239D0">
          <w:rPr>
            <w:rStyle w:val="ab"/>
            <w:rFonts w:asciiTheme="minorEastAsia" w:eastAsiaTheme="minorEastAsia" w:hAnsiTheme="minorEastAsia" w:hint="eastAsia"/>
            <w:bCs/>
            <w:noProof/>
            <w:color w:val="auto"/>
            <w:u w:val="none"/>
          </w:rPr>
          <w:t>（二）基金财产的清算</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_Toc36452420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117</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21" w:history="1">
        <w:r w:rsidR="00FC46C4" w:rsidRPr="000239D0">
          <w:rPr>
            <w:rStyle w:val="ab"/>
            <w:rFonts w:asciiTheme="minorEastAsia" w:eastAsiaTheme="minorEastAsia" w:hAnsiTheme="minorEastAsia" w:hint="eastAsia"/>
            <w:b/>
            <w:bCs/>
            <w:color w:val="auto"/>
            <w:kern w:val="44"/>
            <w:u w:val="none"/>
          </w:rPr>
          <w:t>十八、基金合同的内容摘要</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_Toc36452421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119</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22" w:history="1">
        <w:r w:rsidR="00FC46C4" w:rsidRPr="000239D0">
          <w:rPr>
            <w:rStyle w:val="ab"/>
            <w:rFonts w:asciiTheme="minorEastAsia" w:eastAsiaTheme="minorEastAsia" w:hAnsiTheme="minorEastAsia" w:hint="eastAsia"/>
            <w:bCs/>
            <w:noProof/>
            <w:color w:val="auto"/>
            <w:u w:val="none"/>
          </w:rPr>
          <w:t>（一）基金管理人的权利和义务</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_Toc36452422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119</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23" w:history="1">
        <w:r w:rsidR="00FC46C4" w:rsidRPr="000239D0">
          <w:rPr>
            <w:rStyle w:val="ab"/>
            <w:rFonts w:asciiTheme="minorEastAsia" w:eastAsiaTheme="minorEastAsia" w:hAnsiTheme="minorEastAsia" w:hint="eastAsia"/>
            <w:bCs/>
            <w:noProof/>
            <w:color w:val="auto"/>
            <w:u w:val="none"/>
          </w:rPr>
          <w:t>（二）基金托管人的权利和义务</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_Toc36452423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121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24" w:history="1">
        <w:r w:rsidR="00FC46C4" w:rsidRPr="000239D0">
          <w:rPr>
            <w:rStyle w:val="ab"/>
            <w:rFonts w:asciiTheme="minorEastAsia" w:eastAsiaTheme="minorEastAsia" w:hAnsiTheme="minorEastAsia" w:hint="eastAsia"/>
            <w:bCs/>
            <w:noProof/>
            <w:color w:val="auto"/>
            <w:u w:val="none"/>
          </w:rPr>
          <w:t>（三）基金份额持有人的权利和义务</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_Toc36452424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123</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25" w:history="1">
        <w:r w:rsidR="00FC46C4" w:rsidRPr="000239D0">
          <w:rPr>
            <w:rStyle w:val="ab"/>
            <w:rFonts w:asciiTheme="minorEastAsia" w:eastAsiaTheme="minorEastAsia" w:hAnsiTheme="minorEastAsia" w:hint="eastAsia"/>
            <w:bCs/>
            <w:noProof/>
            <w:color w:val="auto"/>
            <w:u w:val="none"/>
          </w:rPr>
          <w:t>（四）基金份额持有人大会</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_Toc36452425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124</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26" w:history="1">
        <w:r w:rsidR="00FC46C4" w:rsidRPr="000239D0">
          <w:rPr>
            <w:rStyle w:val="ab"/>
            <w:rFonts w:asciiTheme="minorEastAsia" w:eastAsiaTheme="minorEastAsia" w:hAnsiTheme="minorEastAsia" w:hint="eastAsia"/>
            <w:bCs/>
            <w:noProof/>
            <w:color w:val="auto"/>
            <w:u w:val="none"/>
          </w:rPr>
          <w:t>（五）基金合同的终止</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_Toc36452426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129</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27" w:history="1">
        <w:r w:rsidR="00FC46C4" w:rsidRPr="000239D0">
          <w:rPr>
            <w:rStyle w:val="ab"/>
            <w:rFonts w:asciiTheme="minorEastAsia" w:eastAsiaTheme="minorEastAsia" w:hAnsiTheme="minorEastAsia" w:hint="eastAsia"/>
            <w:bCs/>
            <w:noProof/>
            <w:color w:val="auto"/>
            <w:u w:val="none"/>
          </w:rPr>
          <w:t>（六）争议的处理</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_Toc36452427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129</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28" w:history="1">
        <w:r w:rsidR="00FC46C4" w:rsidRPr="000239D0">
          <w:rPr>
            <w:rStyle w:val="ab"/>
            <w:rFonts w:asciiTheme="minorEastAsia" w:eastAsiaTheme="minorEastAsia" w:hAnsiTheme="minorEastAsia" w:hint="eastAsia"/>
            <w:bCs/>
            <w:noProof/>
            <w:color w:val="auto"/>
            <w:u w:val="none"/>
          </w:rPr>
          <w:t>（七）基金合同存放地和投资者取得基金合同的方式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_Toc36452428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130</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29" w:history="1">
        <w:r w:rsidR="00FC46C4" w:rsidRPr="000239D0">
          <w:rPr>
            <w:rStyle w:val="ab"/>
            <w:rFonts w:asciiTheme="minorEastAsia" w:eastAsiaTheme="minorEastAsia" w:hAnsiTheme="minorEastAsia" w:hint="eastAsia"/>
            <w:b/>
            <w:bCs/>
            <w:color w:val="auto"/>
            <w:kern w:val="44"/>
            <w:u w:val="none"/>
          </w:rPr>
          <w:t>十九、基金托管协议的内容摘要</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_Toc36452429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131</w:t>
        </w:r>
        <w:r w:rsidR="00FC46C4" w:rsidRPr="000239D0">
          <w:rPr>
            <w:rFonts w:asciiTheme="minorEastAsia" w:eastAsiaTheme="minorEastAsia" w:hAnsiTheme="minorEastAsia"/>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30" w:history="1">
        <w:r w:rsidR="00FC46C4" w:rsidRPr="000239D0">
          <w:rPr>
            <w:rStyle w:val="ab"/>
            <w:rFonts w:asciiTheme="minorEastAsia" w:eastAsiaTheme="minorEastAsia" w:hAnsiTheme="minorEastAsia" w:hint="eastAsia"/>
            <w:bCs/>
            <w:noProof/>
            <w:color w:val="auto"/>
            <w:u w:val="none"/>
          </w:rPr>
          <w:t>（一）托管协议当事人</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_Toc36452430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131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31" w:history="1">
        <w:r w:rsidR="00FC46C4" w:rsidRPr="000239D0">
          <w:rPr>
            <w:rStyle w:val="ab"/>
            <w:rFonts w:asciiTheme="minorEastAsia" w:eastAsiaTheme="minorEastAsia" w:hAnsiTheme="minorEastAsia" w:hint="eastAsia"/>
            <w:bCs/>
            <w:noProof/>
            <w:color w:val="auto"/>
            <w:u w:val="none"/>
          </w:rPr>
          <w:t>（二）基金托管人与基金管理人之间的业务监督、核查</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_Toc36452431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131</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32" w:history="1">
        <w:r w:rsidR="00FC46C4" w:rsidRPr="000239D0">
          <w:rPr>
            <w:rStyle w:val="ab"/>
            <w:rFonts w:asciiTheme="minorEastAsia" w:eastAsiaTheme="minorEastAsia" w:hAnsiTheme="minorEastAsia" w:hint="eastAsia"/>
            <w:bCs/>
            <w:noProof/>
            <w:color w:val="auto"/>
            <w:u w:val="none"/>
          </w:rPr>
          <w:t>（三）基金财产的保管</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_Toc36452432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133</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33" w:history="1">
        <w:r w:rsidR="00FC46C4" w:rsidRPr="000239D0">
          <w:rPr>
            <w:rStyle w:val="ab"/>
            <w:rFonts w:asciiTheme="minorEastAsia" w:eastAsiaTheme="minorEastAsia" w:hAnsiTheme="minorEastAsia" w:hint="eastAsia"/>
            <w:bCs/>
            <w:noProof/>
            <w:color w:val="auto"/>
            <w:u w:val="none"/>
          </w:rPr>
          <w:t>（四）基金资产净值计算与复核</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_Toc36452433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135</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34" w:history="1">
        <w:r w:rsidR="00FC46C4" w:rsidRPr="000239D0">
          <w:rPr>
            <w:rStyle w:val="ab"/>
            <w:rFonts w:asciiTheme="minorEastAsia" w:eastAsiaTheme="minorEastAsia" w:hAnsiTheme="minorEastAsia" w:hint="eastAsia"/>
            <w:bCs/>
            <w:noProof/>
            <w:color w:val="auto"/>
            <w:u w:val="none"/>
          </w:rPr>
          <w:t>（五）基金份额持有人名册的登记与保管</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_Toc36452434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135</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35" w:history="1">
        <w:r w:rsidR="00FC46C4" w:rsidRPr="000239D0">
          <w:rPr>
            <w:rStyle w:val="ab"/>
            <w:rFonts w:asciiTheme="minorEastAsia" w:eastAsiaTheme="minorEastAsia" w:hAnsiTheme="minorEastAsia" w:hint="eastAsia"/>
            <w:bCs/>
            <w:noProof/>
            <w:color w:val="auto"/>
            <w:u w:val="none"/>
          </w:rPr>
          <w:t>（六）争议解决方式</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_Toc36452435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135</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21"/>
        <w:rPr>
          <w:rFonts w:asciiTheme="minorEastAsia" w:eastAsiaTheme="minorEastAsia" w:hAnsiTheme="minorEastAsia" w:cstheme="minorBidi"/>
          <w:noProof/>
          <w:szCs w:val="22"/>
        </w:rPr>
      </w:pPr>
      <w:hyperlink w:anchor="_Toc36452436" w:history="1">
        <w:r w:rsidR="00FC46C4" w:rsidRPr="000239D0">
          <w:rPr>
            <w:rStyle w:val="ab"/>
            <w:rFonts w:asciiTheme="minorEastAsia" w:eastAsiaTheme="minorEastAsia" w:hAnsiTheme="minorEastAsia" w:hint="eastAsia"/>
            <w:bCs/>
            <w:noProof/>
            <w:color w:val="auto"/>
            <w:u w:val="none"/>
          </w:rPr>
          <w:t>（七）托管协议的修改与终止</w:t>
        </w:r>
        <w:r w:rsidR="00FC46C4" w:rsidRPr="000239D0">
          <w:rPr>
            <w:rFonts w:asciiTheme="minorEastAsia" w:eastAsiaTheme="minorEastAsia" w:hAnsiTheme="minorEastAsia"/>
            <w:noProof/>
            <w:webHidden/>
          </w:rPr>
          <w:tab/>
        </w:r>
        <w:r w:rsidR="00FC46C4" w:rsidRPr="000239D0">
          <w:rPr>
            <w:rFonts w:asciiTheme="minorEastAsia" w:eastAsiaTheme="minorEastAsia" w:hAnsiTheme="minorEastAsia"/>
            <w:noProof/>
            <w:webHidden/>
          </w:rPr>
          <w:fldChar w:fldCharType="begin"/>
        </w:r>
        <w:r w:rsidR="00FC46C4" w:rsidRPr="000239D0">
          <w:rPr>
            <w:rFonts w:asciiTheme="minorEastAsia" w:eastAsiaTheme="minorEastAsia" w:hAnsiTheme="minorEastAsia"/>
            <w:noProof/>
            <w:webHidden/>
          </w:rPr>
          <w:instrText xml:space="preserve"> PAGEREF _Toc36452436 \h </w:instrText>
        </w:r>
        <w:r w:rsidR="00FC46C4" w:rsidRPr="000239D0">
          <w:rPr>
            <w:rFonts w:asciiTheme="minorEastAsia" w:eastAsiaTheme="minorEastAsia" w:hAnsiTheme="minorEastAsia"/>
            <w:noProof/>
            <w:webHidden/>
          </w:rPr>
        </w:r>
        <w:r w:rsidR="00FC46C4" w:rsidRPr="000239D0">
          <w:rPr>
            <w:rFonts w:asciiTheme="minorEastAsia" w:eastAsiaTheme="minorEastAsia" w:hAnsiTheme="minorEastAsia"/>
            <w:noProof/>
            <w:webHidden/>
          </w:rPr>
          <w:fldChar w:fldCharType="separate"/>
        </w:r>
        <w:r w:rsidR="008E4E47">
          <w:rPr>
            <w:rFonts w:asciiTheme="minorEastAsia" w:eastAsiaTheme="minorEastAsia" w:hAnsiTheme="minorEastAsia"/>
            <w:noProof/>
            <w:webHidden/>
          </w:rPr>
          <w:t>135</w:t>
        </w:r>
        <w:r w:rsidR="00FC46C4" w:rsidRPr="000239D0">
          <w:rPr>
            <w:rFonts w:asciiTheme="minorEastAsia" w:eastAsiaTheme="minorEastAsia" w:hAnsiTheme="minorEastAsia"/>
            <w:noProof/>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37" w:history="1">
        <w:r w:rsidR="00FC46C4" w:rsidRPr="000239D0">
          <w:rPr>
            <w:rStyle w:val="ab"/>
            <w:rFonts w:asciiTheme="minorEastAsia" w:eastAsiaTheme="minorEastAsia" w:hAnsiTheme="minorEastAsia" w:hint="eastAsia"/>
            <w:b/>
            <w:bCs/>
            <w:color w:val="auto"/>
            <w:kern w:val="44"/>
            <w:u w:val="none"/>
          </w:rPr>
          <w:t>二十、对基金份额持有人的服务</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_Toc36452437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137</w:t>
        </w:r>
        <w:r w:rsidR="00FC46C4" w:rsidRPr="000239D0">
          <w:rPr>
            <w:rFonts w:asciiTheme="minorEastAsia" w:eastAsiaTheme="minorEastAsia" w:hAnsiTheme="minorEastAsia"/>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38" w:history="1">
        <w:r w:rsidR="00FC46C4" w:rsidRPr="000239D0">
          <w:rPr>
            <w:rStyle w:val="ab"/>
            <w:rFonts w:asciiTheme="minorEastAsia" w:eastAsiaTheme="minorEastAsia" w:hAnsiTheme="minorEastAsia" w:hint="eastAsia"/>
            <w:b/>
            <w:bCs/>
            <w:color w:val="auto"/>
            <w:kern w:val="44"/>
            <w:u w:val="none"/>
          </w:rPr>
          <w:t>二十一、其他应披露事项</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_Toc36452438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138</w:t>
        </w:r>
        <w:r w:rsidR="00FC46C4" w:rsidRPr="000239D0">
          <w:rPr>
            <w:rFonts w:asciiTheme="minorEastAsia" w:eastAsiaTheme="minorEastAsia" w:hAnsiTheme="minorEastAsia"/>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39" w:history="1">
        <w:r w:rsidR="00FC46C4" w:rsidRPr="000239D0">
          <w:rPr>
            <w:rStyle w:val="ab"/>
            <w:rFonts w:asciiTheme="minorEastAsia" w:eastAsiaTheme="minorEastAsia" w:hAnsiTheme="minorEastAsia" w:hint="eastAsia"/>
            <w:b/>
            <w:bCs/>
            <w:color w:val="auto"/>
            <w:kern w:val="44"/>
            <w:u w:val="none"/>
          </w:rPr>
          <w:t>二十二、招募说明书的存放及查阅方式</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_Toc36452439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141</w:t>
        </w:r>
        <w:r w:rsidR="00FC46C4" w:rsidRPr="000239D0">
          <w:rPr>
            <w:rFonts w:asciiTheme="minorEastAsia" w:eastAsiaTheme="minorEastAsia" w:hAnsiTheme="minorEastAsia"/>
            <w:webHidden/>
          </w:rPr>
          <w:fldChar w:fldCharType="end"/>
        </w:r>
      </w:hyperlink>
    </w:p>
    <w:p w:rsidR="00FC46C4" w:rsidRPr="000239D0" w:rsidRDefault="00F52756" w:rsidP="0036321F">
      <w:pPr>
        <w:pStyle w:val="10"/>
        <w:rPr>
          <w:rFonts w:asciiTheme="minorEastAsia" w:eastAsiaTheme="minorEastAsia" w:hAnsiTheme="minorEastAsia" w:cstheme="minorBidi"/>
          <w:sz w:val="21"/>
          <w:szCs w:val="22"/>
        </w:rPr>
      </w:pPr>
      <w:hyperlink w:anchor="_Toc36452440" w:history="1">
        <w:r w:rsidR="00FC46C4" w:rsidRPr="000239D0">
          <w:rPr>
            <w:rStyle w:val="ab"/>
            <w:rFonts w:asciiTheme="minorEastAsia" w:eastAsiaTheme="minorEastAsia" w:hAnsiTheme="minorEastAsia" w:hint="eastAsia"/>
            <w:b/>
            <w:bCs/>
            <w:color w:val="auto"/>
            <w:kern w:val="44"/>
            <w:u w:val="none"/>
          </w:rPr>
          <w:t>二十三、备</w:t>
        </w:r>
        <w:r w:rsidR="00FC46C4" w:rsidRPr="000239D0">
          <w:rPr>
            <w:rStyle w:val="ab"/>
            <w:rFonts w:asciiTheme="minorEastAsia" w:eastAsiaTheme="minorEastAsia" w:hAnsiTheme="minorEastAsia" w:hint="eastAsia"/>
            <w:b/>
            <w:bCs/>
            <w:color w:val="auto"/>
            <w:kern w:val="44"/>
            <w:u w:val="none"/>
          </w:rPr>
          <w:t>查</w:t>
        </w:r>
        <w:r w:rsidR="00FC46C4" w:rsidRPr="000239D0">
          <w:rPr>
            <w:rStyle w:val="ab"/>
            <w:rFonts w:asciiTheme="minorEastAsia" w:eastAsiaTheme="minorEastAsia" w:hAnsiTheme="minorEastAsia" w:hint="eastAsia"/>
            <w:b/>
            <w:bCs/>
            <w:color w:val="auto"/>
            <w:kern w:val="44"/>
            <w:u w:val="none"/>
          </w:rPr>
          <w:t>文件</w:t>
        </w:r>
        <w:r w:rsidR="00FC46C4" w:rsidRPr="000239D0">
          <w:rPr>
            <w:rFonts w:asciiTheme="minorEastAsia" w:eastAsiaTheme="minorEastAsia" w:hAnsiTheme="minorEastAsia"/>
            <w:webHidden/>
          </w:rPr>
          <w:tab/>
        </w:r>
        <w:r w:rsidR="00FC46C4" w:rsidRPr="000239D0">
          <w:rPr>
            <w:rFonts w:asciiTheme="minorEastAsia" w:eastAsiaTheme="minorEastAsia" w:hAnsiTheme="minorEastAsia"/>
            <w:webHidden/>
          </w:rPr>
          <w:fldChar w:fldCharType="begin"/>
        </w:r>
        <w:r w:rsidR="00FC46C4" w:rsidRPr="000239D0">
          <w:rPr>
            <w:rFonts w:asciiTheme="minorEastAsia" w:eastAsiaTheme="minorEastAsia" w:hAnsiTheme="minorEastAsia"/>
            <w:webHidden/>
          </w:rPr>
          <w:instrText xml:space="preserve"> PAGEREF _Toc36452440 \h </w:instrText>
        </w:r>
        <w:r w:rsidR="00FC46C4" w:rsidRPr="000239D0">
          <w:rPr>
            <w:rFonts w:asciiTheme="minorEastAsia" w:eastAsiaTheme="minorEastAsia" w:hAnsiTheme="minorEastAsia"/>
            <w:webHidden/>
          </w:rPr>
        </w:r>
        <w:r w:rsidR="00FC46C4" w:rsidRPr="000239D0">
          <w:rPr>
            <w:rFonts w:asciiTheme="minorEastAsia" w:eastAsiaTheme="minorEastAsia" w:hAnsiTheme="minorEastAsia"/>
            <w:webHidden/>
          </w:rPr>
          <w:fldChar w:fldCharType="separate"/>
        </w:r>
        <w:r w:rsidR="008E4E47">
          <w:rPr>
            <w:rFonts w:asciiTheme="minorEastAsia" w:eastAsiaTheme="minorEastAsia" w:hAnsiTheme="minorEastAsia"/>
            <w:webHidden/>
          </w:rPr>
          <w:t>142</w:t>
        </w:r>
        <w:r w:rsidR="00FC46C4" w:rsidRPr="000239D0">
          <w:rPr>
            <w:rFonts w:asciiTheme="minorEastAsia" w:eastAsiaTheme="minorEastAsia" w:hAnsiTheme="minorEastAsia"/>
            <w:webHidden/>
          </w:rPr>
          <w:fldChar w:fldCharType="end"/>
        </w:r>
      </w:hyperlink>
    </w:p>
    <w:p w:rsidR="008E29DC" w:rsidRPr="000239D0" w:rsidRDefault="00856DC8" w:rsidP="000B1E9F">
      <w:pPr>
        <w:snapToGrid w:val="0"/>
        <w:spacing w:line="360" w:lineRule="auto"/>
        <w:ind w:firstLine="420"/>
        <w:rPr>
          <w:rFonts w:asciiTheme="minorEastAsia" w:eastAsiaTheme="minorEastAsia" w:hAnsiTheme="minorEastAsia"/>
          <w:b/>
          <w:bCs/>
          <w:kern w:val="44"/>
          <w:sz w:val="21"/>
        </w:rPr>
      </w:pPr>
      <w:r w:rsidRPr="000239D0">
        <w:rPr>
          <w:rFonts w:asciiTheme="minorEastAsia" w:eastAsiaTheme="minorEastAsia" w:hAnsiTheme="minorEastAsia"/>
          <w:bCs/>
          <w:caps/>
          <w:noProof/>
          <w:kern w:val="44"/>
          <w:sz w:val="21"/>
          <w:szCs w:val="28"/>
        </w:rPr>
        <w:fldChar w:fldCharType="end"/>
      </w:r>
    </w:p>
    <w:p w:rsidR="008E29DC" w:rsidRPr="000239D0" w:rsidRDefault="008E29DC" w:rsidP="000B1E9F">
      <w:pPr>
        <w:snapToGrid w:val="0"/>
        <w:spacing w:line="360" w:lineRule="auto"/>
        <w:ind w:firstLine="422"/>
        <w:rPr>
          <w:rFonts w:asciiTheme="minorEastAsia" w:eastAsiaTheme="minorEastAsia" w:hAnsiTheme="minorEastAsia"/>
          <w:b/>
          <w:bCs/>
          <w:kern w:val="44"/>
          <w:sz w:val="21"/>
        </w:rPr>
      </w:pPr>
    </w:p>
    <w:p w:rsidR="008E29DC" w:rsidRPr="000239D0" w:rsidRDefault="008E29DC" w:rsidP="000B1E9F">
      <w:pPr>
        <w:snapToGrid w:val="0"/>
        <w:spacing w:line="360" w:lineRule="auto"/>
        <w:ind w:firstLine="480"/>
        <w:rPr>
          <w:rFonts w:asciiTheme="minorEastAsia" w:eastAsiaTheme="minorEastAsia" w:hAnsiTheme="minorEastAsia"/>
        </w:rPr>
        <w:sectPr w:rsidR="008E29DC" w:rsidRPr="000239D0" w:rsidSect="007D09C8">
          <w:footerReference w:type="default" r:id="rId15"/>
          <w:pgSz w:w="11906" w:h="16838" w:code="9"/>
          <w:pgMar w:top="1701" w:right="1301" w:bottom="1701" w:left="2268" w:header="1134" w:footer="1247" w:gutter="0"/>
          <w:pgNumType w:fmt="upperRoman" w:start="1"/>
          <w:cols w:space="425"/>
          <w:docGrid w:type="lines" w:linePitch="447"/>
        </w:sectPr>
      </w:pPr>
    </w:p>
    <w:p w:rsidR="002D4D15" w:rsidRPr="000239D0" w:rsidRDefault="002D4D15" w:rsidP="000B1E9F">
      <w:pPr>
        <w:pStyle w:val="1"/>
        <w:keepLines/>
        <w:snapToGrid w:val="0"/>
        <w:spacing w:beforeLines="0" w:afterLines="0" w:line="360" w:lineRule="auto"/>
        <w:ind w:firstLineChars="0" w:firstLine="0"/>
        <w:rPr>
          <w:rFonts w:asciiTheme="minorEastAsia" w:eastAsiaTheme="minorEastAsia" w:hAnsiTheme="minorEastAsia"/>
          <w:b/>
        </w:rPr>
      </w:pPr>
      <w:bookmarkStart w:id="0" w:name="_Toc219695770"/>
      <w:bookmarkStart w:id="1" w:name="_Toc36452347"/>
      <w:bookmarkStart w:id="2" w:name="_Toc219695771"/>
      <w:r w:rsidRPr="000239D0">
        <w:rPr>
          <w:rFonts w:asciiTheme="minorEastAsia" w:eastAsiaTheme="minorEastAsia" w:hAnsiTheme="minorEastAsia"/>
          <w:b/>
          <w:bCs/>
          <w:kern w:val="44"/>
          <w:sz w:val="28"/>
          <w:szCs w:val="44"/>
        </w:rPr>
        <w:lastRenderedPageBreak/>
        <w:t>一、</w:t>
      </w:r>
      <w:r w:rsidRPr="000239D0">
        <w:rPr>
          <w:rFonts w:asciiTheme="minorEastAsia" w:eastAsiaTheme="minorEastAsia" w:hAnsiTheme="minorEastAsia" w:hint="eastAsia"/>
          <w:b/>
          <w:bCs/>
          <w:kern w:val="44"/>
          <w:sz w:val="28"/>
          <w:szCs w:val="44"/>
        </w:rPr>
        <w:t>绪言</w:t>
      </w:r>
      <w:bookmarkEnd w:id="0"/>
      <w:bookmarkEnd w:id="1"/>
    </w:p>
    <w:p w:rsidR="002D4D15" w:rsidRPr="000239D0" w:rsidRDefault="002D4D15" w:rsidP="000B1E9F">
      <w:pPr>
        <w:autoSpaceDE w:val="0"/>
        <w:autoSpaceDN w:val="0"/>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招募说明书依据《中华人民共和国证券投资基金法》（以下简称《基金法》）、《证券投资基金运作管理办法》（以下简称《运作办法》）、《公开募集开放式证券投资基金流动性风险管理规定》（以下简称“《管理规定》”）、《证券投资基金销售管理办法》（以下简称《销售办法》）、《公开募集证券投资基金信息披露管理办法》（以下简称《信息披露办法》）、《证券投资基金信息披露内容与格式准则第</w:t>
      </w:r>
      <w:r w:rsidRPr="000239D0">
        <w:rPr>
          <w:rFonts w:asciiTheme="minorEastAsia" w:eastAsiaTheme="minorEastAsia" w:hAnsiTheme="minorEastAsia"/>
          <w:sz w:val="21"/>
        </w:rPr>
        <w:t>5</w:t>
      </w:r>
      <w:r w:rsidRPr="000239D0">
        <w:rPr>
          <w:rFonts w:asciiTheme="minorEastAsia" w:eastAsiaTheme="minorEastAsia" w:hAnsiTheme="minorEastAsia" w:hint="eastAsia"/>
          <w:sz w:val="21"/>
        </w:rPr>
        <w:t>号</w:t>
      </w:r>
      <w:r w:rsidRPr="000239D0">
        <w:rPr>
          <w:rFonts w:asciiTheme="minorEastAsia" w:eastAsiaTheme="minorEastAsia" w:hAnsiTheme="minorEastAsia"/>
          <w:sz w:val="21"/>
        </w:rPr>
        <w:t>&lt;</w:t>
      </w:r>
      <w:r w:rsidRPr="000239D0">
        <w:rPr>
          <w:rFonts w:asciiTheme="minorEastAsia" w:eastAsiaTheme="minorEastAsia" w:hAnsiTheme="minorEastAsia" w:hint="eastAsia"/>
          <w:sz w:val="21"/>
        </w:rPr>
        <w:t>招募说明书的内容与格式</w:t>
      </w:r>
      <w:r w:rsidRPr="000239D0">
        <w:rPr>
          <w:rFonts w:asciiTheme="minorEastAsia" w:eastAsiaTheme="minorEastAsia" w:hAnsiTheme="minorEastAsia"/>
          <w:sz w:val="21"/>
        </w:rPr>
        <w:t>&gt;</w:t>
      </w:r>
      <w:r w:rsidRPr="000239D0">
        <w:rPr>
          <w:rFonts w:asciiTheme="minorEastAsia" w:eastAsiaTheme="minorEastAsia" w:hAnsiTheme="minorEastAsia" w:hint="eastAsia"/>
          <w:sz w:val="21"/>
        </w:rPr>
        <w:t>》、《易方达策略成长证券投资基金基金合同》（以下简称基金合同）及其它有关规定等编写。</w:t>
      </w:r>
    </w:p>
    <w:p w:rsidR="002D4D15" w:rsidRPr="000239D0" w:rsidRDefault="002D4D15" w:rsidP="000B1E9F">
      <w:pPr>
        <w:snapToGrid w:val="0"/>
        <w:spacing w:line="360" w:lineRule="auto"/>
        <w:ind w:firstLine="420"/>
        <w:rPr>
          <w:rFonts w:asciiTheme="minorEastAsia" w:eastAsiaTheme="minorEastAsia" w:hAnsiTheme="minorEastAsia"/>
          <w:sz w:val="21"/>
        </w:rPr>
      </w:pPr>
      <w:r w:rsidRPr="000239D0">
        <w:rPr>
          <w:rStyle w:val="da"/>
          <w:rFonts w:asciiTheme="minorEastAsia" w:eastAsiaTheme="minorEastAsia" w:hAnsiTheme="minorEastAsia"/>
          <w:sz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0239D0">
        <w:rPr>
          <w:rStyle w:val="da"/>
          <w:rFonts w:asciiTheme="minorEastAsia" w:eastAsiaTheme="minorEastAsia" w:hAnsiTheme="minorEastAsia" w:hint="eastAsia"/>
          <w:sz w:val="21"/>
        </w:rPr>
        <w:t>，</w:t>
      </w:r>
      <w:r w:rsidRPr="000239D0">
        <w:rPr>
          <w:rStyle w:val="da"/>
          <w:rFonts w:asciiTheme="minorEastAsia" w:eastAsiaTheme="minorEastAsia" w:hAnsiTheme="minorEastAsia"/>
          <w:sz w:val="21"/>
        </w:rPr>
        <w:t>或对本招募说明书作任何解释或者说明。</w:t>
      </w:r>
    </w:p>
    <w:p w:rsidR="002D4D15" w:rsidRPr="000239D0" w:rsidRDefault="002D4D15" w:rsidP="000B1E9F">
      <w:pPr>
        <w:snapToGrid w:val="0"/>
        <w:spacing w:line="360" w:lineRule="auto"/>
        <w:ind w:firstLine="420"/>
        <w:rPr>
          <w:rFonts w:asciiTheme="minorEastAsia" w:eastAsiaTheme="minorEastAsia" w:hAnsiTheme="minorEastAsia"/>
          <w:sz w:val="21"/>
        </w:rPr>
      </w:pPr>
      <w:r w:rsidRPr="000239D0">
        <w:rPr>
          <w:rStyle w:val="da"/>
          <w:rFonts w:asciiTheme="minorEastAsia" w:eastAsiaTheme="minorEastAsia" w:hAnsiTheme="minorEastAsia"/>
          <w:sz w:val="21"/>
        </w:rPr>
        <w:t>本招募说明书根据本基金的基金合同编写</w:t>
      </w:r>
      <w:r w:rsidRPr="000239D0">
        <w:rPr>
          <w:rStyle w:val="da"/>
          <w:rFonts w:asciiTheme="minorEastAsia" w:eastAsiaTheme="minorEastAsia" w:hAnsiTheme="minorEastAsia" w:hint="eastAsia"/>
          <w:sz w:val="21"/>
        </w:rPr>
        <w:t>，</w:t>
      </w:r>
      <w:r w:rsidRPr="000239D0">
        <w:rPr>
          <w:rStyle w:val="da"/>
          <w:rFonts w:asciiTheme="minorEastAsia" w:eastAsiaTheme="minorEastAsia" w:hAnsiTheme="minorEastAsia"/>
          <w:sz w:val="21"/>
        </w:rPr>
        <w:t>并经中国证监会核准。基金合同是约定基金当事人之间权利、义务的法律文件。基金投资人自依基金合同取得基金份额</w:t>
      </w:r>
      <w:r w:rsidRPr="000239D0">
        <w:rPr>
          <w:rStyle w:val="da"/>
          <w:rFonts w:asciiTheme="minorEastAsia" w:eastAsiaTheme="minorEastAsia" w:hAnsiTheme="minorEastAsia" w:hint="eastAsia"/>
          <w:sz w:val="21"/>
        </w:rPr>
        <w:t>，</w:t>
      </w:r>
      <w:r w:rsidRPr="000239D0">
        <w:rPr>
          <w:rStyle w:val="da"/>
          <w:rFonts w:asciiTheme="minorEastAsia" w:eastAsiaTheme="minorEastAsia" w:hAnsiTheme="minorEastAsia"/>
          <w:sz w:val="21"/>
        </w:rPr>
        <w:t>即成为基金份额持有人和本基金合同的当事人</w:t>
      </w:r>
      <w:r w:rsidRPr="000239D0">
        <w:rPr>
          <w:rStyle w:val="da"/>
          <w:rFonts w:asciiTheme="minorEastAsia" w:eastAsiaTheme="minorEastAsia" w:hAnsiTheme="minorEastAsia" w:hint="eastAsia"/>
          <w:sz w:val="21"/>
        </w:rPr>
        <w:t>，</w:t>
      </w:r>
      <w:r w:rsidRPr="000239D0">
        <w:rPr>
          <w:rStyle w:val="da"/>
          <w:rFonts w:asciiTheme="minorEastAsia" w:eastAsiaTheme="minorEastAsia" w:hAnsiTheme="minorEastAsia"/>
          <w:sz w:val="21"/>
        </w:rPr>
        <w:t>其持有基金份额的行为本身即表明其对基金合同的承认和接受</w:t>
      </w:r>
      <w:r w:rsidRPr="000239D0">
        <w:rPr>
          <w:rStyle w:val="da"/>
          <w:rFonts w:asciiTheme="minorEastAsia" w:eastAsiaTheme="minorEastAsia" w:hAnsiTheme="minorEastAsia" w:hint="eastAsia"/>
          <w:sz w:val="21"/>
        </w:rPr>
        <w:t>，</w:t>
      </w:r>
      <w:r w:rsidRPr="000239D0">
        <w:rPr>
          <w:rStyle w:val="da"/>
          <w:rFonts w:asciiTheme="minorEastAsia" w:eastAsiaTheme="minorEastAsia" w:hAnsiTheme="minorEastAsia"/>
          <w:sz w:val="21"/>
        </w:rPr>
        <w:t>并按照《基金法》、基金合同及其他有关规定享有权利、承担义务。基金投资人欲了解基金份额持有人的权利和义务</w:t>
      </w:r>
      <w:r w:rsidRPr="000239D0">
        <w:rPr>
          <w:rStyle w:val="da"/>
          <w:rFonts w:asciiTheme="minorEastAsia" w:eastAsiaTheme="minorEastAsia" w:hAnsiTheme="minorEastAsia" w:hint="eastAsia"/>
          <w:sz w:val="21"/>
        </w:rPr>
        <w:t>，</w:t>
      </w:r>
      <w:r w:rsidRPr="000239D0">
        <w:rPr>
          <w:rStyle w:val="da"/>
          <w:rFonts w:asciiTheme="minorEastAsia" w:eastAsiaTheme="minorEastAsia" w:hAnsiTheme="minorEastAsia"/>
          <w:sz w:val="21"/>
        </w:rPr>
        <w:t>应详细查阅基金合同。</w:t>
      </w:r>
    </w:p>
    <w:p w:rsidR="002D4D15" w:rsidRPr="000239D0" w:rsidRDefault="002D4D15" w:rsidP="000B1E9F">
      <w:pPr>
        <w:snapToGrid w:val="0"/>
        <w:spacing w:line="360" w:lineRule="auto"/>
        <w:ind w:firstLine="562"/>
        <w:rPr>
          <w:rFonts w:asciiTheme="minorEastAsia" w:eastAsiaTheme="minorEastAsia" w:hAnsiTheme="minorEastAsia"/>
          <w:b/>
          <w:sz w:val="28"/>
        </w:rPr>
      </w:pPr>
    </w:p>
    <w:p w:rsidR="002D4D15" w:rsidRPr="000239D0" w:rsidRDefault="002D4D15" w:rsidP="000B1E9F">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r w:rsidRPr="000239D0">
        <w:rPr>
          <w:rFonts w:asciiTheme="minorEastAsia" w:eastAsiaTheme="minorEastAsia" w:hAnsiTheme="minorEastAsia"/>
          <w:b/>
          <w:bCs/>
          <w:kern w:val="44"/>
          <w:sz w:val="28"/>
          <w:szCs w:val="44"/>
        </w:rPr>
        <w:br w:type="page"/>
      </w: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
        </w:rPr>
      </w:pPr>
      <w:bookmarkStart w:id="3" w:name="_Toc36452348"/>
      <w:r w:rsidRPr="000239D0">
        <w:rPr>
          <w:rFonts w:asciiTheme="minorEastAsia" w:eastAsiaTheme="minorEastAsia" w:hAnsiTheme="minorEastAsia" w:hint="eastAsia"/>
          <w:b/>
          <w:bCs/>
          <w:kern w:val="44"/>
          <w:sz w:val="28"/>
          <w:szCs w:val="44"/>
        </w:rPr>
        <w:lastRenderedPageBreak/>
        <w:t>二、释义</w:t>
      </w:r>
      <w:bookmarkEnd w:id="2"/>
      <w:bookmarkEnd w:id="3"/>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本招募说明书中除非文意另有所指</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下列词语有如下含义：</w:t>
      </w:r>
    </w:p>
    <w:tbl>
      <w:tblPr>
        <w:tblW w:w="0" w:type="auto"/>
        <w:tblInd w:w="250" w:type="dxa"/>
        <w:tblLayout w:type="fixed"/>
        <w:tblLook w:val="0000" w:firstRow="0" w:lastRow="0" w:firstColumn="0" w:lastColumn="0" w:noHBand="0" w:noVBand="0"/>
      </w:tblPr>
      <w:tblGrid>
        <w:gridCol w:w="2552"/>
        <w:gridCol w:w="5601"/>
        <w:gridCol w:w="119"/>
      </w:tblGrid>
      <w:tr w:rsidR="008E4E47" w:rsidRPr="000239D0">
        <w:trPr>
          <w:gridAfter w:val="1"/>
          <w:wAfter w:w="119" w:type="dxa"/>
          <w:trHeight w:val="762"/>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《基金合同》：</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指《易方达策略成长证券投资基金基金合同》及对该合同的任何修订和补充</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《托管协议》</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指《易方达策略成长证券投资基金托管协议》及对该协议的任何修订和补充</w:t>
            </w:r>
          </w:p>
        </w:tc>
      </w:tr>
      <w:tr w:rsidR="008E4E47" w:rsidRPr="000239D0">
        <w:trPr>
          <w:gridAfter w:val="1"/>
          <w:wAfter w:w="119" w:type="dxa"/>
        </w:trPr>
        <w:tc>
          <w:tcPr>
            <w:tcW w:w="2552" w:type="dxa"/>
          </w:tcPr>
          <w:p w:rsidR="00EF5D91" w:rsidRPr="000239D0" w:rsidRDefault="00EF5D91"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基金产品资料概要</w:t>
            </w:r>
          </w:p>
        </w:tc>
        <w:tc>
          <w:tcPr>
            <w:tcW w:w="5601" w:type="dxa"/>
          </w:tcPr>
          <w:p w:rsidR="00EF5D91" w:rsidRPr="000239D0" w:rsidRDefault="00EF5D91"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指《易方达策略成长证券投资基金基金产品资料概要》及其更新</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Style w:val="da"/>
                <w:rFonts w:asciiTheme="minorEastAsia" w:eastAsiaTheme="minorEastAsia" w:hAnsiTheme="minorEastAsia"/>
                <w:sz w:val="21"/>
                <w:szCs w:val="21"/>
              </w:rPr>
            </w:pPr>
            <w:r w:rsidRPr="000239D0">
              <w:rPr>
                <w:rFonts w:asciiTheme="minorEastAsia" w:eastAsiaTheme="minorEastAsia" w:hAnsiTheme="minorEastAsia" w:hint="eastAsia"/>
                <w:sz w:val="21"/>
                <w:szCs w:val="21"/>
              </w:rPr>
              <w:t>《信托法》</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指2001年4月28日第九届全国人民代表大会常务委员会第二十一次会议通过，自2001年10月1日起施行的《中华人民共和国信托法》</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《证券法》：</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指《中华人民共和国证券法》</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Style w:val="da"/>
                <w:rFonts w:asciiTheme="minorEastAsia" w:eastAsiaTheme="minorEastAsia" w:hAnsiTheme="minorEastAsia"/>
                <w:sz w:val="21"/>
                <w:szCs w:val="21"/>
              </w:rPr>
              <w:t>《基金法》</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指2003</w:t>
            </w:r>
            <w:r w:rsidRPr="000239D0">
              <w:rPr>
                <w:rFonts w:asciiTheme="minorEastAsia" w:eastAsiaTheme="minorEastAsia" w:hAnsiTheme="minorEastAsia"/>
                <w:sz w:val="21"/>
                <w:szCs w:val="21"/>
              </w:rPr>
              <w:t>年</w:t>
            </w:r>
            <w:r w:rsidRPr="000239D0">
              <w:rPr>
                <w:rFonts w:asciiTheme="minorEastAsia" w:eastAsiaTheme="minorEastAsia" w:hAnsiTheme="minorEastAsia" w:hint="eastAsia"/>
                <w:sz w:val="21"/>
                <w:szCs w:val="21"/>
              </w:rPr>
              <w:t>10</w:t>
            </w:r>
            <w:r w:rsidRPr="000239D0">
              <w:rPr>
                <w:rFonts w:asciiTheme="minorEastAsia" w:eastAsiaTheme="minorEastAsia" w:hAnsiTheme="minorEastAsia"/>
                <w:sz w:val="21"/>
                <w:szCs w:val="21"/>
              </w:rPr>
              <w:t>月</w:t>
            </w:r>
            <w:r w:rsidRPr="000239D0">
              <w:rPr>
                <w:rFonts w:asciiTheme="minorEastAsia" w:eastAsiaTheme="minorEastAsia" w:hAnsiTheme="minorEastAsia" w:hint="eastAsia"/>
                <w:sz w:val="21"/>
                <w:szCs w:val="21"/>
              </w:rPr>
              <w:t>28</w:t>
            </w:r>
            <w:r w:rsidRPr="000239D0">
              <w:rPr>
                <w:rFonts w:asciiTheme="minorEastAsia" w:eastAsiaTheme="minorEastAsia" w:hAnsiTheme="minorEastAsia"/>
                <w:sz w:val="21"/>
                <w:szCs w:val="21"/>
              </w:rPr>
              <w:t>日第十届全国人民代表大会常务委员会第五次会议通过</w:t>
            </w:r>
            <w:r w:rsidRPr="000239D0">
              <w:rPr>
                <w:rFonts w:asciiTheme="minorEastAsia" w:eastAsiaTheme="minorEastAsia" w:hAnsiTheme="minorEastAsia" w:hint="eastAsia"/>
                <w:sz w:val="21"/>
                <w:szCs w:val="21"/>
              </w:rPr>
              <w:t>，自2004</w:t>
            </w:r>
            <w:r w:rsidRPr="000239D0">
              <w:rPr>
                <w:rFonts w:asciiTheme="minorEastAsia" w:eastAsiaTheme="minorEastAsia" w:hAnsiTheme="minorEastAsia"/>
                <w:sz w:val="21"/>
                <w:szCs w:val="21"/>
              </w:rPr>
              <w:t>年６月１日起施行</w:t>
            </w:r>
            <w:r w:rsidRPr="000239D0">
              <w:rPr>
                <w:rFonts w:asciiTheme="minorEastAsia" w:eastAsiaTheme="minorEastAsia" w:hAnsiTheme="minorEastAsia" w:hint="eastAsia"/>
                <w:sz w:val="21"/>
                <w:szCs w:val="21"/>
              </w:rPr>
              <w:t>的《</w:t>
            </w:r>
            <w:bookmarkStart w:id="4" w:name="_Toc78339150"/>
            <w:r w:rsidRPr="000239D0">
              <w:rPr>
                <w:rFonts w:asciiTheme="minorEastAsia" w:eastAsiaTheme="minorEastAsia" w:hAnsiTheme="minorEastAsia"/>
                <w:sz w:val="21"/>
                <w:szCs w:val="21"/>
              </w:rPr>
              <w:t>中华人民共和国证券投资基金法</w:t>
            </w:r>
            <w:bookmarkEnd w:id="4"/>
            <w:r w:rsidRPr="000239D0">
              <w:rPr>
                <w:rFonts w:asciiTheme="minorEastAsia" w:eastAsiaTheme="minorEastAsia" w:hAnsiTheme="minorEastAsia" w:hint="eastAsia"/>
                <w:sz w:val="21"/>
                <w:szCs w:val="21"/>
              </w:rPr>
              <w:t>》</w:t>
            </w:r>
            <w:r w:rsidR="003D606A" w:rsidRPr="000239D0">
              <w:rPr>
                <w:rFonts w:asciiTheme="minorEastAsia" w:eastAsiaTheme="minorEastAsia" w:hAnsiTheme="minorEastAsia" w:hint="eastAsia"/>
                <w:kern w:val="0"/>
                <w:sz w:val="21"/>
                <w:szCs w:val="21"/>
              </w:rPr>
              <w:t>及不时做出的修订</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《运作办法》：</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指《证券投资基金运作管理办法》</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《销售办法》：</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指《证券投资基金销售管理办法》</w:t>
            </w:r>
          </w:p>
        </w:tc>
      </w:tr>
      <w:tr w:rsidR="008E4E47" w:rsidRPr="000239D0">
        <w:trPr>
          <w:gridAfter w:val="1"/>
          <w:wAfter w:w="119" w:type="dxa"/>
        </w:trPr>
        <w:tc>
          <w:tcPr>
            <w:tcW w:w="2552" w:type="dxa"/>
          </w:tcPr>
          <w:p w:rsidR="00EF5D91" w:rsidRPr="000239D0" w:rsidRDefault="00EF5D91"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《信息披露办法》：</w:t>
            </w:r>
          </w:p>
        </w:tc>
        <w:tc>
          <w:tcPr>
            <w:tcW w:w="5601" w:type="dxa"/>
          </w:tcPr>
          <w:p w:rsidR="00EF5D91" w:rsidRPr="000239D0" w:rsidRDefault="00EF5D91"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指中国证监会2019年7月26日颁布、同年9月1日实施的《公开募集证券投资基金信息披露管理办法》及颁布机关对其不时做出的修订</w:t>
            </w:r>
          </w:p>
        </w:tc>
      </w:tr>
      <w:tr w:rsidR="008E4E47" w:rsidRPr="000239D0">
        <w:trPr>
          <w:gridAfter w:val="1"/>
          <w:wAfter w:w="119" w:type="dxa"/>
        </w:trPr>
        <w:tc>
          <w:tcPr>
            <w:tcW w:w="2552" w:type="dxa"/>
          </w:tcPr>
          <w:p w:rsidR="003276F3" w:rsidRPr="000239D0" w:rsidRDefault="0047210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《管理规定》：</w:t>
            </w:r>
          </w:p>
        </w:tc>
        <w:tc>
          <w:tcPr>
            <w:tcW w:w="5601" w:type="dxa"/>
          </w:tcPr>
          <w:p w:rsidR="003276F3"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w:t>
            </w:r>
            <w:r w:rsidR="003276F3" w:rsidRPr="000239D0">
              <w:rPr>
                <w:rFonts w:asciiTheme="minorEastAsia" w:eastAsiaTheme="minorEastAsia" w:hAnsiTheme="minorEastAsia" w:hint="eastAsia"/>
                <w:sz w:val="21"/>
                <w:szCs w:val="21"/>
              </w:rPr>
              <w:t>指中国证监会2017年8月31日颁布、同年10月1日实施的《公开募集开放式证券投资基金流动性风险管理规定》及颁布机关对其不时做出的修订</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元：</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指人民币元</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基金或本基金：</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指依据《基金合同》所募集的易方达策略成长证券投资基金</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中国证监会：</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指中国证券监督管理委员会</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基金管理人：</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指易方达基金管理有限公司</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基金发起人：</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指易方达基金管理有限公司</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基金托管人：</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指中国银行股份有限公司</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基金注册登记机构：</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指基金管理人或接受基金管理人委托代为办理本基金注册与过户登记业务的机构</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个人投资者：</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指依据中华人民共和国有关法律法规及其他有关规定可以</w:t>
            </w:r>
            <w:r w:rsidRPr="000239D0">
              <w:rPr>
                <w:rFonts w:asciiTheme="minorEastAsia" w:eastAsiaTheme="minorEastAsia" w:hAnsiTheme="minorEastAsia" w:hint="eastAsia"/>
                <w:sz w:val="21"/>
                <w:szCs w:val="21"/>
              </w:rPr>
              <w:lastRenderedPageBreak/>
              <w:t>投资于证券投资基金的自然人投资者</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lastRenderedPageBreak/>
              <w:t>机构投资者：</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指依据中华人民共和国有关法律法规及其他有关规定可以投资于证券投资基金的法人、社会团体、其它组织或投资主体</w:t>
            </w:r>
          </w:p>
        </w:tc>
      </w:tr>
      <w:tr w:rsidR="008E4E47" w:rsidRPr="000239D0">
        <w:trPr>
          <w:gridAfter w:val="1"/>
          <w:wAfter w:w="119" w:type="dxa"/>
          <w:trHeight w:val="779"/>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募集期：</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指自《招募说明书》公告的份额发售开始之日起到基金合同生效日止的时间段，最长不超过3个月</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基金合同生效日：</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指基金合同达到生效条件后，基金管理人宣布基金合同生效的日期</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存续期限：</w:t>
            </w:r>
          </w:p>
        </w:tc>
        <w:tc>
          <w:tcPr>
            <w:tcW w:w="5601"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指基金合同生效并存续的不定期之期限</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工作日：</w:t>
            </w:r>
          </w:p>
        </w:tc>
        <w:tc>
          <w:tcPr>
            <w:tcW w:w="5601"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指上海证券交易所和深圳证券交易所的正常交易日</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开放日：</w:t>
            </w:r>
          </w:p>
        </w:tc>
        <w:tc>
          <w:tcPr>
            <w:tcW w:w="5601"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指为投资者办理基金申购、赎回等业务的工作日</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T日：</w:t>
            </w:r>
          </w:p>
        </w:tc>
        <w:tc>
          <w:tcPr>
            <w:tcW w:w="5601"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指申购、赎回或其他交易的申请日</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认购：</w:t>
            </w:r>
          </w:p>
        </w:tc>
        <w:tc>
          <w:tcPr>
            <w:tcW w:w="5601"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指在募集期内购买基金份额的行为</w:t>
            </w:r>
          </w:p>
        </w:tc>
      </w:tr>
      <w:tr w:rsidR="008E4E47" w:rsidRPr="000239D0">
        <w:trPr>
          <w:gridAfter w:val="1"/>
          <w:wAfter w:w="119" w:type="dxa"/>
        </w:trPr>
        <w:tc>
          <w:tcPr>
            <w:tcW w:w="2552" w:type="dxa"/>
          </w:tcPr>
          <w:p w:rsidR="005336CC" w:rsidRPr="000239D0" w:rsidRDefault="005336CC" w:rsidP="000B1E9F">
            <w:pPr>
              <w:autoSpaceDE w:val="0"/>
              <w:autoSpaceDN w:val="0"/>
              <w:snapToGrid w:val="0"/>
              <w:spacing w:line="360" w:lineRule="auto"/>
              <w:ind w:firstLineChars="0" w:firstLine="0"/>
              <w:jc w:val="lef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申购：</w:t>
            </w:r>
          </w:p>
        </w:tc>
        <w:tc>
          <w:tcPr>
            <w:tcW w:w="5601" w:type="dxa"/>
          </w:tcPr>
          <w:p w:rsidR="005336CC" w:rsidRPr="000239D0" w:rsidRDefault="005336CC" w:rsidP="000B1E9F">
            <w:pPr>
              <w:autoSpaceDE w:val="0"/>
              <w:autoSpaceDN w:val="0"/>
              <w:snapToGrid w:val="0"/>
              <w:spacing w:line="360" w:lineRule="auto"/>
              <w:ind w:firstLineChars="0" w:firstLine="0"/>
              <w:jc w:val="lef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指在基金合同生效后，基金投资者购买基金份额的行为</w:t>
            </w:r>
          </w:p>
        </w:tc>
      </w:tr>
      <w:tr w:rsidR="008E4E47" w:rsidRPr="000239D0">
        <w:tc>
          <w:tcPr>
            <w:tcW w:w="2552"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转换：</w:t>
            </w:r>
          </w:p>
        </w:tc>
        <w:tc>
          <w:tcPr>
            <w:tcW w:w="5720" w:type="dxa"/>
            <w:gridSpan w:val="2"/>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是指基金份额持有人按基金管理人规定的条件将其持有的某一基金的基金份额转为同一基金管理人管理的另一只基金的基金份额的行为。</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赎回：</w:t>
            </w:r>
          </w:p>
        </w:tc>
        <w:tc>
          <w:tcPr>
            <w:tcW w:w="5601"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指在基金合同生效后，基金投资者卖出基金份额的行为</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基金收益：</w:t>
            </w:r>
          </w:p>
        </w:tc>
        <w:tc>
          <w:tcPr>
            <w:tcW w:w="5601"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指基金投资所得红利、股息、债券利息、买卖证券差价、银行存款利息以及其他收益</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基金资产总值：</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指基金所购买的各类证券价值、银行存款本息和基金应收的申购款项以及其他投资所形成的价值总和</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基金资产净值：</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指基金资产总值减去负债后的价值</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基金资产估值：</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指计算评估基金资产和负债的价值，以确定基金资产净值和基金份额净值的过程</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更新的招募说明书：</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指基金合同生效后，基金管理人每六个月</w:t>
            </w:r>
            <w:r w:rsidRPr="000239D0">
              <w:rPr>
                <w:rFonts w:asciiTheme="minorEastAsia" w:eastAsiaTheme="minorEastAsia" w:hAnsiTheme="minorEastAsia"/>
                <w:sz w:val="21"/>
                <w:szCs w:val="21"/>
              </w:rPr>
              <w:t>对</w:t>
            </w:r>
            <w:r w:rsidRPr="000239D0">
              <w:rPr>
                <w:rFonts w:asciiTheme="minorEastAsia" w:eastAsiaTheme="minorEastAsia" w:hAnsiTheme="minorEastAsia" w:hint="eastAsia"/>
                <w:sz w:val="21"/>
                <w:szCs w:val="21"/>
              </w:rPr>
              <w:t>原</w:t>
            </w:r>
            <w:r w:rsidRPr="000239D0">
              <w:rPr>
                <w:rFonts w:asciiTheme="minorEastAsia" w:eastAsiaTheme="minorEastAsia" w:hAnsiTheme="minorEastAsia"/>
                <w:sz w:val="21"/>
                <w:szCs w:val="21"/>
              </w:rPr>
              <w:t>招募说明书</w:t>
            </w:r>
            <w:r w:rsidRPr="000239D0">
              <w:rPr>
                <w:rFonts w:asciiTheme="minorEastAsia" w:eastAsiaTheme="minorEastAsia" w:hAnsiTheme="minorEastAsia" w:hint="eastAsia"/>
                <w:sz w:val="21"/>
                <w:szCs w:val="21"/>
              </w:rPr>
              <w:t>进行的内容</w:t>
            </w:r>
            <w:r w:rsidRPr="000239D0">
              <w:rPr>
                <w:rFonts w:asciiTheme="minorEastAsia" w:eastAsiaTheme="minorEastAsia" w:hAnsiTheme="minorEastAsia"/>
                <w:sz w:val="21"/>
                <w:szCs w:val="21"/>
              </w:rPr>
              <w:t>更新</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基金份额持有人服务：</w:t>
            </w:r>
          </w:p>
        </w:tc>
        <w:tc>
          <w:tcPr>
            <w:tcW w:w="5601"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指基金管理人承诺为基金份额持有人提供的一系列服务</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销售机构：</w:t>
            </w:r>
          </w:p>
        </w:tc>
        <w:tc>
          <w:tcPr>
            <w:tcW w:w="5601" w:type="dxa"/>
          </w:tcPr>
          <w:p w:rsidR="005336CC" w:rsidRPr="000239D0" w:rsidRDefault="00885A76"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指直销机构和非直销销售机构</w:t>
            </w:r>
          </w:p>
        </w:tc>
      </w:tr>
      <w:tr w:rsidR="008E4E47" w:rsidRPr="000239D0">
        <w:trPr>
          <w:gridAfter w:val="1"/>
          <w:wAfter w:w="119" w:type="dxa"/>
        </w:trPr>
        <w:tc>
          <w:tcPr>
            <w:tcW w:w="2552" w:type="dxa"/>
          </w:tcPr>
          <w:p w:rsidR="00885A76" w:rsidRPr="000239D0" w:rsidRDefault="00885A76"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非直销销售机构：</w:t>
            </w:r>
          </w:p>
        </w:tc>
        <w:tc>
          <w:tcPr>
            <w:tcW w:w="5601" w:type="dxa"/>
          </w:tcPr>
          <w:p w:rsidR="00885A76" w:rsidRPr="000239D0" w:rsidRDefault="00885A76"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指符合《销售办法》和中国证监会规定的其他条件，取得基金销售业务资格并</w:t>
            </w:r>
            <w:r w:rsidR="00215A8F" w:rsidRPr="000239D0">
              <w:rPr>
                <w:rFonts w:asciiTheme="minorEastAsia" w:eastAsiaTheme="minorEastAsia" w:hAnsiTheme="minorEastAsia" w:hint="eastAsia"/>
                <w:sz w:val="21"/>
                <w:szCs w:val="21"/>
              </w:rPr>
              <w:t>与基金管理人签订了基金销售服务协议</w:t>
            </w:r>
            <w:r w:rsidRPr="000239D0">
              <w:rPr>
                <w:rFonts w:asciiTheme="minorEastAsia" w:eastAsiaTheme="minorEastAsia" w:hAnsiTheme="minorEastAsia" w:hint="eastAsia"/>
                <w:sz w:val="21"/>
                <w:szCs w:val="21"/>
              </w:rPr>
              <w:t>，办理基金销售业务的机构；</w:t>
            </w:r>
          </w:p>
        </w:tc>
      </w:tr>
      <w:tr w:rsidR="008E4E47" w:rsidRPr="000239D0">
        <w:trPr>
          <w:gridAfter w:val="1"/>
          <w:wAfter w:w="119" w:type="dxa"/>
        </w:trPr>
        <w:tc>
          <w:tcPr>
            <w:tcW w:w="2552" w:type="dxa"/>
          </w:tcPr>
          <w:p w:rsidR="00885A76" w:rsidRPr="000239D0" w:rsidRDefault="00885A76"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lastRenderedPageBreak/>
              <w:t>直销机构：</w:t>
            </w:r>
          </w:p>
        </w:tc>
        <w:tc>
          <w:tcPr>
            <w:tcW w:w="5601" w:type="dxa"/>
          </w:tcPr>
          <w:p w:rsidR="00885A76" w:rsidRPr="000239D0" w:rsidRDefault="00885A76"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kern w:val="0"/>
                <w:sz w:val="21"/>
                <w:szCs w:val="21"/>
              </w:rPr>
              <w:t>指易方达基金管理有限公司</w:t>
            </w:r>
          </w:p>
        </w:tc>
      </w:tr>
      <w:tr w:rsidR="008E4E47" w:rsidRPr="000239D0">
        <w:trPr>
          <w:gridAfter w:val="1"/>
          <w:wAfter w:w="119" w:type="dxa"/>
        </w:trPr>
        <w:tc>
          <w:tcPr>
            <w:tcW w:w="2552" w:type="dxa"/>
          </w:tcPr>
          <w:p w:rsidR="005336CC" w:rsidRPr="000239D0" w:rsidRDefault="005336CC"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基金销售网点：</w:t>
            </w:r>
          </w:p>
        </w:tc>
        <w:tc>
          <w:tcPr>
            <w:tcW w:w="5601" w:type="dxa"/>
          </w:tcPr>
          <w:p w:rsidR="005336CC" w:rsidRPr="000239D0" w:rsidRDefault="00885A76"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指直销机构的直销网点及非直销销售机构的销售网点；</w:t>
            </w:r>
          </w:p>
        </w:tc>
      </w:tr>
      <w:tr w:rsidR="008E4E47" w:rsidRPr="000239D0">
        <w:trPr>
          <w:gridAfter w:val="1"/>
          <w:wAfter w:w="119" w:type="dxa"/>
        </w:trPr>
        <w:tc>
          <w:tcPr>
            <w:tcW w:w="2552" w:type="dxa"/>
          </w:tcPr>
          <w:p w:rsidR="005336CC" w:rsidRPr="000239D0" w:rsidRDefault="00EF5D91"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指定媒介</w:t>
            </w:r>
            <w:r w:rsidR="005336CC" w:rsidRPr="000239D0">
              <w:rPr>
                <w:rFonts w:asciiTheme="minorEastAsia" w:eastAsiaTheme="minorEastAsia" w:hAnsiTheme="minorEastAsia" w:hint="eastAsia"/>
                <w:sz w:val="21"/>
                <w:szCs w:val="21"/>
              </w:rPr>
              <w:t>：</w:t>
            </w:r>
          </w:p>
          <w:p w:rsidR="004B5D37" w:rsidRPr="000239D0" w:rsidRDefault="004B5D37" w:rsidP="000B1E9F">
            <w:pPr>
              <w:snapToGrid w:val="0"/>
              <w:spacing w:line="360" w:lineRule="auto"/>
              <w:ind w:firstLineChars="0" w:firstLine="0"/>
              <w:rPr>
                <w:rFonts w:asciiTheme="minorEastAsia" w:eastAsiaTheme="minorEastAsia" w:hAnsiTheme="minorEastAsia"/>
                <w:sz w:val="21"/>
                <w:szCs w:val="21"/>
              </w:rPr>
            </w:pPr>
          </w:p>
          <w:p w:rsidR="004B5D37" w:rsidRPr="000239D0" w:rsidRDefault="004B5D37"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流动性受限资产：</w:t>
            </w:r>
          </w:p>
        </w:tc>
        <w:tc>
          <w:tcPr>
            <w:tcW w:w="5601" w:type="dxa"/>
          </w:tcPr>
          <w:p w:rsidR="005336CC" w:rsidRPr="000239D0" w:rsidRDefault="00EF5D91"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指中国证监会指定的用以进行信息披露的全国性报刊及指定互联网网站（包括基金管理人网站、基金托管人网站、中国证监会基金电子披露网站）等媒介</w:t>
            </w:r>
          </w:p>
          <w:p w:rsidR="004B5D37" w:rsidRPr="000239D0" w:rsidRDefault="004B5D37" w:rsidP="000B1E9F">
            <w:pPr>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bl>
    <w:p w:rsidR="002D4D15"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
          <w:bCs/>
          <w:kern w:val="44"/>
          <w:szCs w:val="44"/>
        </w:rPr>
      </w:pPr>
      <w:r w:rsidRPr="000239D0">
        <w:rPr>
          <w:rFonts w:asciiTheme="minorEastAsia" w:eastAsiaTheme="minorEastAsia" w:hAnsiTheme="minorEastAsia"/>
          <w:b/>
          <w:bCs/>
          <w:kern w:val="44"/>
          <w:szCs w:val="44"/>
        </w:rPr>
        <w:br w:type="page"/>
      </w:r>
      <w:bookmarkStart w:id="5" w:name="_Toc219695772"/>
    </w:p>
    <w:p w:rsidR="005336CC" w:rsidRPr="000239D0" w:rsidRDefault="005336CC" w:rsidP="000B1E9F">
      <w:pPr>
        <w:pStyle w:val="1"/>
        <w:snapToGrid w:val="0"/>
        <w:spacing w:beforeLines="0" w:afterLines="0" w:line="360" w:lineRule="auto"/>
        <w:ind w:firstLineChars="62" w:firstLine="199"/>
        <w:rPr>
          <w:rFonts w:asciiTheme="minorEastAsia" w:eastAsiaTheme="minorEastAsia" w:hAnsiTheme="minorEastAsia"/>
          <w:b/>
          <w:bCs/>
          <w:kern w:val="44"/>
          <w:szCs w:val="44"/>
        </w:rPr>
      </w:pPr>
      <w:bookmarkStart w:id="6" w:name="_Toc36452349"/>
      <w:r w:rsidRPr="000239D0">
        <w:rPr>
          <w:rFonts w:asciiTheme="minorEastAsia" w:eastAsiaTheme="minorEastAsia" w:hAnsiTheme="minorEastAsia"/>
          <w:b/>
          <w:bCs/>
          <w:kern w:val="44"/>
          <w:szCs w:val="44"/>
        </w:rPr>
        <w:lastRenderedPageBreak/>
        <w:t>三、基金管理人</w:t>
      </w:r>
      <w:bookmarkEnd w:id="5"/>
      <w:bookmarkEnd w:id="6"/>
    </w:p>
    <w:p w:rsidR="00413530" w:rsidRPr="000239D0" w:rsidRDefault="00D53224"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7" w:name="_Toc219695773"/>
      <w:bookmarkStart w:id="8" w:name="_Toc36452350"/>
      <w:r w:rsidRPr="000239D0">
        <w:rPr>
          <w:rFonts w:asciiTheme="minorEastAsia" w:eastAsiaTheme="minorEastAsia" w:hAnsiTheme="minorEastAsia" w:hint="eastAsia"/>
          <w:b w:val="0"/>
          <w:bCs/>
          <w:szCs w:val="21"/>
        </w:rPr>
        <w:t>（一）</w:t>
      </w:r>
      <w:r w:rsidR="005336CC" w:rsidRPr="000239D0">
        <w:rPr>
          <w:rFonts w:asciiTheme="minorEastAsia" w:eastAsiaTheme="minorEastAsia" w:hAnsiTheme="minorEastAsia"/>
          <w:b w:val="0"/>
          <w:bCs/>
          <w:szCs w:val="21"/>
        </w:rPr>
        <w:t>基金管理人概况</w:t>
      </w:r>
      <w:bookmarkEnd w:id="7"/>
      <w:bookmarkEnd w:id="8"/>
    </w:p>
    <w:p w:rsidR="005336CC" w:rsidRPr="000239D0" w:rsidRDefault="005336CC" w:rsidP="000B1E9F">
      <w:pPr>
        <w:snapToGrid w:val="0"/>
        <w:spacing w:line="360" w:lineRule="auto"/>
        <w:ind w:firstLine="420"/>
        <w:rPr>
          <w:rFonts w:asciiTheme="minorEastAsia" w:eastAsiaTheme="minorEastAsia" w:hAnsiTheme="minorEastAsia"/>
          <w:bCs/>
          <w:sz w:val="21"/>
        </w:rPr>
      </w:pPr>
      <w:r w:rsidRPr="000239D0">
        <w:rPr>
          <w:rFonts w:asciiTheme="minorEastAsia" w:eastAsiaTheme="minorEastAsia" w:hAnsiTheme="minorEastAsia"/>
          <w:bCs/>
          <w:sz w:val="21"/>
        </w:rPr>
        <w:t>基金管理人：易方达基金管理有限公司</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bCs/>
          <w:sz w:val="21"/>
        </w:rPr>
        <w:t>注册地址：</w:t>
      </w:r>
      <w:r w:rsidR="00D026D9" w:rsidRPr="000239D0">
        <w:rPr>
          <w:rFonts w:asciiTheme="minorEastAsia" w:eastAsiaTheme="minorEastAsia" w:hAnsiTheme="minorEastAsia" w:hint="eastAsia"/>
          <w:sz w:val="21"/>
        </w:rPr>
        <w:t>广东省珠海市横琴新区宝华路6号105室－42891（集中办公区）</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bCs/>
          <w:sz w:val="21"/>
        </w:rPr>
        <w:t>办公地址：</w:t>
      </w:r>
      <w:r w:rsidRPr="000239D0">
        <w:rPr>
          <w:rFonts w:asciiTheme="minorEastAsia" w:eastAsiaTheme="minorEastAsia" w:hAnsiTheme="minorEastAsia"/>
          <w:sz w:val="21"/>
        </w:rPr>
        <w:t>广州市</w:t>
      </w:r>
      <w:r w:rsidR="00A42E96" w:rsidRPr="000239D0">
        <w:rPr>
          <w:rFonts w:asciiTheme="minorEastAsia" w:eastAsiaTheme="minorEastAsia" w:hAnsiTheme="minorEastAsia" w:hint="eastAsia"/>
          <w:sz w:val="21"/>
        </w:rPr>
        <w:t>天河区珠江新城珠江东路30号广州银行大厦40-43楼</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bCs/>
          <w:sz w:val="21"/>
        </w:rPr>
        <w:t>设立日期：</w:t>
      </w:r>
      <w:r w:rsidRPr="000239D0">
        <w:rPr>
          <w:rFonts w:asciiTheme="minorEastAsia" w:eastAsiaTheme="minorEastAsia" w:hAnsiTheme="minorEastAsia" w:hint="eastAsia"/>
          <w:sz w:val="21"/>
        </w:rPr>
        <w:t>2001年4月17日</w:t>
      </w:r>
      <w:r w:rsidRPr="000239D0">
        <w:rPr>
          <w:rFonts w:asciiTheme="minorEastAsia" w:eastAsiaTheme="minorEastAsia" w:hAnsiTheme="minorEastAsia"/>
          <w:sz w:val="21"/>
        </w:rPr>
        <w:tab/>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bCs/>
          <w:sz w:val="21"/>
        </w:rPr>
        <w:t>法定代表人：</w:t>
      </w:r>
      <w:r w:rsidR="00645328" w:rsidRPr="000239D0">
        <w:rPr>
          <w:rFonts w:asciiTheme="minorEastAsia" w:eastAsiaTheme="minorEastAsia" w:hAnsiTheme="minorEastAsia" w:hint="eastAsia"/>
          <w:sz w:val="21"/>
        </w:rPr>
        <w:t>刘晓艳</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bCs/>
          <w:sz w:val="21"/>
        </w:rPr>
        <w:t>联系</w:t>
      </w:r>
      <w:r w:rsidRPr="000239D0">
        <w:rPr>
          <w:rFonts w:asciiTheme="minorEastAsia" w:eastAsiaTheme="minorEastAsia" w:hAnsiTheme="minorEastAsia"/>
          <w:bCs/>
          <w:sz w:val="21"/>
        </w:rPr>
        <w:t>电话：</w:t>
      </w:r>
      <w:r w:rsidRPr="000239D0">
        <w:rPr>
          <w:rFonts w:asciiTheme="minorEastAsia" w:eastAsiaTheme="minorEastAsia" w:hAnsiTheme="minorEastAsia"/>
          <w:sz w:val="21"/>
        </w:rPr>
        <w:t>40088</w:t>
      </w:r>
      <w:r w:rsidRPr="000239D0">
        <w:rPr>
          <w:rFonts w:asciiTheme="minorEastAsia" w:eastAsiaTheme="minorEastAsia" w:hAnsiTheme="minorEastAsia" w:hint="eastAsia"/>
          <w:sz w:val="21"/>
        </w:rPr>
        <w:t>18088</w:t>
      </w:r>
    </w:p>
    <w:p w:rsidR="005336CC" w:rsidRPr="000239D0" w:rsidRDefault="00A15EB3" w:rsidP="000B1E9F">
      <w:pPr>
        <w:snapToGrid w:val="0"/>
        <w:spacing w:line="360" w:lineRule="auto"/>
        <w:ind w:firstLine="420"/>
        <w:rPr>
          <w:rFonts w:asciiTheme="minorEastAsia" w:eastAsiaTheme="minorEastAsia" w:hAnsiTheme="minorEastAsia"/>
        </w:rPr>
      </w:pPr>
      <w:r w:rsidRPr="000239D0">
        <w:rPr>
          <w:rFonts w:asciiTheme="minorEastAsia" w:eastAsiaTheme="minorEastAsia" w:hAnsiTheme="minorEastAsia" w:hint="eastAsia"/>
          <w:bCs/>
          <w:sz w:val="21"/>
        </w:rPr>
        <w:t>联系人：李红枫</w:t>
      </w:r>
    </w:p>
    <w:p w:rsidR="005336CC" w:rsidRPr="000239D0" w:rsidRDefault="002818BE"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bCs/>
          <w:sz w:val="21"/>
        </w:rPr>
        <w:t>注册资本：13,244.2万元人民币</w:t>
      </w:r>
    </w:p>
    <w:p w:rsidR="0081663B" w:rsidRPr="000239D0" w:rsidRDefault="0081663B" w:rsidP="00FC46C4">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批准设立机关及文号：</w:t>
      </w:r>
      <w:r w:rsidRPr="000239D0">
        <w:rPr>
          <w:rFonts w:asciiTheme="minorEastAsia" w:eastAsiaTheme="minorEastAsia" w:hAnsiTheme="minorEastAsia" w:hint="eastAsia"/>
          <w:sz w:val="21"/>
          <w:szCs w:val="24"/>
        </w:rPr>
        <w:t>中国证券监督管理委员会</w:t>
      </w:r>
      <w:r w:rsidRPr="000239D0">
        <w:rPr>
          <w:rFonts w:asciiTheme="minorEastAsia" w:eastAsiaTheme="minorEastAsia" w:hAnsiTheme="minorEastAsia" w:hint="eastAsia"/>
          <w:sz w:val="21"/>
          <w:szCs w:val="21"/>
        </w:rPr>
        <w:t>，证监基金字[2001]4号</w:t>
      </w:r>
    </w:p>
    <w:p w:rsidR="0081663B" w:rsidRPr="000239D0" w:rsidRDefault="0081663B" w:rsidP="000B1E9F">
      <w:pPr>
        <w:snapToGrid w:val="0"/>
        <w:spacing w:line="360" w:lineRule="auto"/>
        <w:ind w:firstLine="420"/>
        <w:rPr>
          <w:rFonts w:asciiTheme="minorEastAsia" w:eastAsiaTheme="minorEastAsia" w:hAnsiTheme="minorEastAsia"/>
          <w:sz w:val="21"/>
          <w:szCs w:val="24"/>
        </w:rPr>
      </w:pPr>
      <w:r w:rsidRPr="000239D0">
        <w:rPr>
          <w:rFonts w:asciiTheme="minorEastAsia" w:eastAsiaTheme="minorEastAsia" w:hAnsiTheme="minorEastAsia" w:hint="eastAsia"/>
          <w:sz w:val="21"/>
          <w:szCs w:val="21"/>
        </w:rPr>
        <w:t>经营范围：</w:t>
      </w:r>
      <w:r w:rsidR="00D026D9" w:rsidRPr="000239D0">
        <w:rPr>
          <w:rFonts w:asciiTheme="minorEastAsia" w:eastAsiaTheme="minorEastAsia" w:hAnsiTheme="minorEastAsia" w:hint="eastAsia"/>
          <w:sz w:val="21"/>
          <w:szCs w:val="21"/>
        </w:rPr>
        <w:t>公开募集证券投资基金管理、基金销售、特定客户资产管理</w:t>
      </w:r>
    </w:p>
    <w:p w:rsidR="005336CC" w:rsidRPr="000239D0" w:rsidRDefault="005336CC" w:rsidP="000B1E9F">
      <w:pPr>
        <w:snapToGrid w:val="0"/>
        <w:spacing w:line="360" w:lineRule="auto"/>
        <w:ind w:firstLine="420"/>
        <w:rPr>
          <w:rFonts w:asciiTheme="minorEastAsia" w:eastAsiaTheme="minorEastAsia" w:hAnsiTheme="minorEastAsia"/>
          <w:bCs/>
          <w:sz w:val="21"/>
        </w:rPr>
      </w:pPr>
      <w:r w:rsidRPr="000239D0">
        <w:rPr>
          <w:rFonts w:asciiTheme="minorEastAsia" w:eastAsiaTheme="minorEastAsia" w:hAnsiTheme="minorEastAsia" w:hint="eastAsia"/>
          <w:bCs/>
          <w:sz w:val="21"/>
        </w:rPr>
        <w:t>股权结构：</w:t>
      </w:r>
    </w:p>
    <w:tbl>
      <w:tblPr>
        <w:tblW w:w="5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371"/>
      </w:tblGrid>
      <w:tr w:rsidR="00E50975" w:rsidRPr="000239D0" w:rsidTr="00717E44">
        <w:trPr>
          <w:jc w:val="center"/>
        </w:trPr>
        <w:tc>
          <w:tcPr>
            <w:tcW w:w="4410" w:type="dxa"/>
          </w:tcPr>
          <w:p w:rsidR="005336CC" w:rsidRPr="000239D0" w:rsidRDefault="005336CC" w:rsidP="000B1E9F">
            <w:pPr>
              <w:snapToGrid w:val="0"/>
              <w:spacing w:line="360" w:lineRule="auto"/>
              <w:ind w:firstLineChars="1" w:firstLine="2"/>
              <w:jc w:val="center"/>
              <w:rPr>
                <w:rFonts w:asciiTheme="minorEastAsia" w:eastAsiaTheme="minorEastAsia" w:hAnsiTheme="minorEastAsia"/>
                <w:sz w:val="21"/>
              </w:rPr>
            </w:pPr>
            <w:r w:rsidRPr="000239D0">
              <w:rPr>
                <w:rFonts w:asciiTheme="minorEastAsia" w:eastAsiaTheme="minorEastAsia" w:hAnsiTheme="minorEastAsia" w:hint="eastAsia"/>
                <w:sz w:val="21"/>
              </w:rPr>
              <w:t>股东名称</w:t>
            </w:r>
          </w:p>
        </w:tc>
        <w:tc>
          <w:tcPr>
            <w:tcW w:w="1371" w:type="dxa"/>
          </w:tcPr>
          <w:p w:rsidR="005336CC" w:rsidRPr="000239D0" w:rsidRDefault="005336CC" w:rsidP="000B1E9F">
            <w:pPr>
              <w:snapToGrid w:val="0"/>
              <w:spacing w:line="360" w:lineRule="auto"/>
              <w:ind w:leftChars="-5" w:left="1" w:hangingChars="6" w:hanging="13"/>
              <w:jc w:val="center"/>
              <w:rPr>
                <w:rFonts w:asciiTheme="minorEastAsia" w:eastAsiaTheme="minorEastAsia" w:hAnsiTheme="minorEastAsia"/>
                <w:sz w:val="21"/>
              </w:rPr>
            </w:pPr>
            <w:r w:rsidRPr="000239D0">
              <w:rPr>
                <w:rFonts w:asciiTheme="minorEastAsia" w:eastAsiaTheme="minorEastAsia" w:hAnsiTheme="minorEastAsia" w:hint="eastAsia"/>
                <w:sz w:val="21"/>
              </w:rPr>
              <w:t>出资比例</w:t>
            </w:r>
          </w:p>
        </w:tc>
      </w:tr>
      <w:tr w:rsidR="00E50975" w:rsidRPr="000239D0" w:rsidTr="00717E44">
        <w:trPr>
          <w:jc w:val="center"/>
        </w:trPr>
        <w:tc>
          <w:tcPr>
            <w:tcW w:w="4410" w:type="dxa"/>
          </w:tcPr>
          <w:p w:rsidR="005336CC"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广东粤财信托有限公司</w:t>
            </w:r>
          </w:p>
        </w:tc>
        <w:tc>
          <w:tcPr>
            <w:tcW w:w="1371" w:type="dxa"/>
          </w:tcPr>
          <w:p w:rsidR="005336CC"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22.6514％</w:t>
            </w:r>
          </w:p>
        </w:tc>
      </w:tr>
      <w:tr w:rsidR="00E50975" w:rsidRPr="000239D0" w:rsidTr="00717E44">
        <w:trPr>
          <w:jc w:val="center"/>
        </w:trPr>
        <w:tc>
          <w:tcPr>
            <w:tcW w:w="4410" w:type="dxa"/>
          </w:tcPr>
          <w:p w:rsidR="005336CC"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广发证券股份有限公司</w:t>
            </w:r>
          </w:p>
        </w:tc>
        <w:tc>
          <w:tcPr>
            <w:tcW w:w="1371" w:type="dxa"/>
          </w:tcPr>
          <w:p w:rsidR="005336CC"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22.6514％</w:t>
            </w:r>
          </w:p>
        </w:tc>
      </w:tr>
      <w:tr w:rsidR="00E50975" w:rsidRPr="000239D0" w:rsidTr="00717E44">
        <w:trPr>
          <w:jc w:val="center"/>
        </w:trPr>
        <w:tc>
          <w:tcPr>
            <w:tcW w:w="4410" w:type="dxa"/>
          </w:tcPr>
          <w:p w:rsidR="005336CC"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盈峰控股集团有限公司</w:t>
            </w:r>
          </w:p>
        </w:tc>
        <w:tc>
          <w:tcPr>
            <w:tcW w:w="1371" w:type="dxa"/>
          </w:tcPr>
          <w:p w:rsidR="005336CC"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22.6514％</w:t>
            </w:r>
          </w:p>
        </w:tc>
      </w:tr>
      <w:tr w:rsidR="00E50975" w:rsidRPr="000239D0" w:rsidTr="00717E44">
        <w:trPr>
          <w:jc w:val="center"/>
        </w:trPr>
        <w:tc>
          <w:tcPr>
            <w:tcW w:w="4410" w:type="dxa"/>
          </w:tcPr>
          <w:p w:rsidR="005336CC"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广东省广晟资产经营有限公司</w:t>
            </w:r>
          </w:p>
        </w:tc>
        <w:tc>
          <w:tcPr>
            <w:tcW w:w="1371" w:type="dxa"/>
          </w:tcPr>
          <w:p w:rsidR="005336CC"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15.1010％</w:t>
            </w:r>
          </w:p>
        </w:tc>
      </w:tr>
      <w:tr w:rsidR="00E50975" w:rsidRPr="000239D0" w:rsidTr="00717E44">
        <w:trPr>
          <w:jc w:val="center"/>
        </w:trPr>
        <w:tc>
          <w:tcPr>
            <w:tcW w:w="4410" w:type="dxa"/>
          </w:tcPr>
          <w:p w:rsidR="005336CC"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广州市广永国有资产经营有限公司</w:t>
            </w:r>
          </w:p>
        </w:tc>
        <w:tc>
          <w:tcPr>
            <w:tcW w:w="1371" w:type="dxa"/>
            <w:vAlign w:val="center"/>
          </w:tcPr>
          <w:p w:rsidR="005336CC"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7.5505％</w:t>
            </w:r>
          </w:p>
        </w:tc>
      </w:tr>
      <w:tr w:rsidR="00E50975" w:rsidRPr="000239D0" w:rsidTr="00717E44">
        <w:trPr>
          <w:jc w:val="center"/>
        </w:trPr>
        <w:tc>
          <w:tcPr>
            <w:tcW w:w="4410" w:type="dxa"/>
          </w:tcPr>
          <w:p w:rsidR="005336CC"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珠海祺荣宝股权投资合伙企业（有限合伙）</w:t>
            </w:r>
          </w:p>
        </w:tc>
        <w:tc>
          <w:tcPr>
            <w:tcW w:w="1371" w:type="dxa"/>
          </w:tcPr>
          <w:p w:rsidR="005336CC"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1.5087％</w:t>
            </w:r>
          </w:p>
        </w:tc>
      </w:tr>
      <w:tr w:rsidR="00E50975" w:rsidRPr="000239D0" w:rsidTr="00717E44">
        <w:trPr>
          <w:jc w:val="center"/>
        </w:trPr>
        <w:tc>
          <w:tcPr>
            <w:tcW w:w="4410" w:type="dxa"/>
          </w:tcPr>
          <w:p w:rsidR="002818BE"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珠海祺泰宝股权投资合伙企业（有限合伙）</w:t>
            </w:r>
          </w:p>
        </w:tc>
        <w:tc>
          <w:tcPr>
            <w:tcW w:w="1371" w:type="dxa"/>
          </w:tcPr>
          <w:p w:rsidR="002818BE"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1.6205％</w:t>
            </w:r>
          </w:p>
        </w:tc>
      </w:tr>
      <w:tr w:rsidR="00E50975" w:rsidRPr="000239D0" w:rsidTr="00717E44">
        <w:trPr>
          <w:jc w:val="center"/>
        </w:trPr>
        <w:tc>
          <w:tcPr>
            <w:tcW w:w="4410" w:type="dxa"/>
          </w:tcPr>
          <w:p w:rsidR="002818BE"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珠海祺丰宝股权投资合伙企业（有限合伙）</w:t>
            </w:r>
          </w:p>
        </w:tc>
        <w:tc>
          <w:tcPr>
            <w:tcW w:w="1371" w:type="dxa"/>
          </w:tcPr>
          <w:p w:rsidR="002818BE"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1.5309％</w:t>
            </w:r>
          </w:p>
        </w:tc>
      </w:tr>
      <w:tr w:rsidR="00E50975" w:rsidRPr="000239D0" w:rsidTr="00717E44">
        <w:trPr>
          <w:jc w:val="center"/>
        </w:trPr>
        <w:tc>
          <w:tcPr>
            <w:tcW w:w="4410" w:type="dxa"/>
          </w:tcPr>
          <w:p w:rsidR="002818BE"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珠海聚莱康股权投资合伙企业（有限合伙）</w:t>
            </w:r>
          </w:p>
        </w:tc>
        <w:tc>
          <w:tcPr>
            <w:tcW w:w="1371" w:type="dxa"/>
          </w:tcPr>
          <w:p w:rsidR="002818BE"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1.7558％</w:t>
            </w:r>
          </w:p>
        </w:tc>
      </w:tr>
      <w:tr w:rsidR="00E50975" w:rsidRPr="000239D0" w:rsidTr="00717E44">
        <w:trPr>
          <w:jc w:val="center"/>
        </w:trPr>
        <w:tc>
          <w:tcPr>
            <w:tcW w:w="4410" w:type="dxa"/>
          </w:tcPr>
          <w:p w:rsidR="002818BE"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珠海聚宁康股权投资合伙企业（有限合伙）</w:t>
            </w:r>
          </w:p>
        </w:tc>
        <w:tc>
          <w:tcPr>
            <w:tcW w:w="1371" w:type="dxa"/>
          </w:tcPr>
          <w:p w:rsidR="002818BE"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1.4396％</w:t>
            </w:r>
          </w:p>
        </w:tc>
      </w:tr>
      <w:tr w:rsidR="00E50975" w:rsidRPr="000239D0" w:rsidTr="00717E44">
        <w:trPr>
          <w:jc w:val="center"/>
        </w:trPr>
        <w:tc>
          <w:tcPr>
            <w:tcW w:w="4410" w:type="dxa"/>
          </w:tcPr>
          <w:p w:rsidR="002818BE"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珠海聚弘康股权投资合伙企业（有限合伙）</w:t>
            </w:r>
          </w:p>
        </w:tc>
        <w:tc>
          <w:tcPr>
            <w:tcW w:w="1371" w:type="dxa"/>
          </w:tcPr>
          <w:p w:rsidR="002818BE"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1.5388％</w:t>
            </w:r>
          </w:p>
        </w:tc>
      </w:tr>
      <w:tr w:rsidR="00E50975" w:rsidRPr="000239D0" w:rsidTr="00717E44">
        <w:trPr>
          <w:jc w:val="center"/>
        </w:trPr>
        <w:tc>
          <w:tcPr>
            <w:tcW w:w="4410" w:type="dxa"/>
          </w:tcPr>
          <w:p w:rsidR="002818BE" w:rsidRPr="000239D0" w:rsidRDefault="002818BE" w:rsidP="000B1E9F">
            <w:pPr>
              <w:snapToGrid w:val="0"/>
              <w:spacing w:line="360" w:lineRule="auto"/>
              <w:ind w:firstLineChars="1" w:firstLine="2"/>
              <w:rPr>
                <w:rFonts w:asciiTheme="minorEastAsia" w:eastAsiaTheme="minorEastAsia" w:hAnsiTheme="minorEastAsia"/>
                <w:sz w:val="21"/>
              </w:rPr>
            </w:pPr>
            <w:r w:rsidRPr="000239D0">
              <w:rPr>
                <w:rFonts w:asciiTheme="minorEastAsia" w:eastAsiaTheme="minorEastAsia" w:hAnsiTheme="minorEastAsia" w:hint="eastAsia"/>
                <w:sz w:val="21"/>
              </w:rPr>
              <w:t>总</w:t>
            </w:r>
            <w:r w:rsidRPr="000239D0">
              <w:rPr>
                <w:rFonts w:asciiTheme="minorEastAsia" w:eastAsiaTheme="minorEastAsia" w:hAnsiTheme="minorEastAsia"/>
                <w:sz w:val="21"/>
              </w:rPr>
              <w:t>计</w:t>
            </w:r>
          </w:p>
        </w:tc>
        <w:tc>
          <w:tcPr>
            <w:tcW w:w="1371" w:type="dxa"/>
          </w:tcPr>
          <w:p w:rsidR="002818BE" w:rsidRPr="000239D0" w:rsidRDefault="002818BE" w:rsidP="000B1E9F">
            <w:pPr>
              <w:snapToGrid w:val="0"/>
              <w:spacing w:line="360" w:lineRule="auto"/>
              <w:ind w:leftChars="-5" w:left="1" w:hangingChars="6" w:hanging="13"/>
              <w:jc w:val="right"/>
              <w:rPr>
                <w:rFonts w:asciiTheme="minorEastAsia" w:eastAsiaTheme="minorEastAsia" w:hAnsiTheme="minorEastAsia"/>
                <w:sz w:val="21"/>
              </w:rPr>
            </w:pPr>
            <w:r w:rsidRPr="000239D0">
              <w:rPr>
                <w:rFonts w:asciiTheme="minorEastAsia" w:eastAsiaTheme="minorEastAsia" w:hAnsiTheme="minorEastAsia"/>
                <w:sz w:val="21"/>
              </w:rPr>
              <w:t>100％</w:t>
            </w:r>
          </w:p>
        </w:tc>
      </w:tr>
    </w:tbl>
    <w:p w:rsidR="005336CC" w:rsidRPr="000239D0" w:rsidRDefault="00D53224"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9" w:name="_Toc219695774"/>
      <w:bookmarkStart w:id="10" w:name="_Toc36452351"/>
      <w:r w:rsidRPr="000239D0">
        <w:rPr>
          <w:rFonts w:asciiTheme="minorEastAsia" w:eastAsiaTheme="minorEastAsia" w:hAnsiTheme="minorEastAsia" w:hint="eastAsia"/>
          <w:b w:val="0"/>
          <w:bCs/>
          <w:szCs w:val="21"/>
        </w:rPr>
        <w:t>（二）</w:t>
      </w:r>
      <w:r w:rsidR="005336CC" w:rsidRPr="000239D0">
        <w:rPr>
          <w:rFonts w:asciiTheme="minorEastAsia" w:eastAsiaTheme="minorEastAsia" w:hAnsiTheme="minorEastAsia"/>
          <w:b w:val="0"/>
          <w:bCs/>
          <w:szCs w:val="21"/>
        </w:rPr>
        <w:t>主要人员情况</w:t>
      </w:r>
      <w:bookmarkEnd w:id="9"/>
      <w:bookmarkEnd w:id="10"/>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bCs/>
          <w:sz w:val="21"/>
        </w:rPr>
      </w:pPr>
      <w:r w:rsidRPr="000239D0">
        <w:rPr>
          <w:rFonts w:asciiTheme="minorEastAsia" w:eastAsiaTheme="minorEastAsia" w:hAnsiTheme="minorEastAsia" w:cs="仿宋_GB2312"/>
          <w:bCs/>
          <w:kern w:val="0"/>
          <w:sz w:val="21"/>
          <w:szCs w:val="24"/>
        </w:rPr>
        <w:t>1、</w:t>
      </w:r>
      <w:r w:rsidR="005336CC" w:rsidRPr="000239D0">
        <w:rPr>
          <w:rFonts w:asciiTheme="minorEastAsia" w:eastAsiaTheme="minorEastAsia" w:hAnsiTheme="minorEastAsia" w:cs="仿宋_GB2312" w:hint="eastAsia"/>
          <w:bCs/>
          <w:kern w:val="0"/>
          <w:sz w:val="21"/>
          <w:szCs w:val="24"/>
        </w:rPr>
        <w:t>董事、监事及高级管理人员</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w:t>
      </w:r>
      <w:r w:rsidRPr="000239D0">
        <w:rPr>
          <w:rFonts w:asciiTheme="minorEastAsia" w:eastAsiaTheme="minorEastAsia" w:hAnsiTheme="minorEastAsia" w:hint="eastAsia"/>
          <w:kern w:val="0"/>
          <w:sz w:val="21"/>
        </w:rPr>
        <w:lastRenderedPageBreak/>
        <w:t>总经理（主持工作），全国社会保障基金理事会投资部资产配置处处长、投资部副主任、境外投资部主任、投资部主任、证券投资部主任。现任易方达基金管理有限公司董事长，易方达国际控股有限公司董事长。</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6" w:tgtFrame="_blank" w:history="1">
        <w:r w:rsidRPr="000239D0">
          <w:rPr>
            <w:rFonts w:asciiTheme="minorEastAsia" w:eastAsiaTheme="minorEastAsia" w:hAnsiTheme="minorEastAsia" w:hint="eastAsia"/>
            <w:kern w:val="0"/>
            <w:sz w:val="21"/>
          </w:rPr>
          <w:t>上海汇招信息技术</w:t>
        </w:r>
        <w:r w:rsidRPr="000239D0">
          <w:rPr>
            <w:rFonts w:asciiTheme="minorEastAsia" w:eastAsiaTheme="minorEastAsia" w:hAnsiTheme="minorEastAsia" w:hint="eastAsia"/>
            <w:kern w:val="0"/>
            <w:sz w:val="21"/>
          </w:rPr>
          <w:lastRenderedPageBreak/>
          <w:t>有限公司</w:t>
        </w:r>
      </w:hyperlink>
      <w:r w:rsidRPr="000239D0">
        <w:rPr>
          <w:rFonts w:asciiTheme="minorEastAsia" w:eastAsiaTheme="minorEastAsia" w:hAnsiTheme="minorEastAsia" w:hint="eastAsia"/>
          <w:kern w:val="0"/>
          <w:sz w:val="21"/>
        </w:rPr>
        <w:t>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邓志盛先生，经济学研究生，监事。曾任广东证监会信息部部长，中国证监会广州证管</w:t>
      </w:r>
      <w:r w:rsidRPr="000239D0">
        <w:rPr>
          <w:rFonts w:asciiTheme="minorEastAsia" w:eastAsiaTheme="minorEastAsia" w:hAnsiTheme="minorEastAsia" w:hint="eastAsia"/>
          <w:kern w:val="0"/>
          <w:sz w:val="21"/>
        </w:rPr>
        <w:lastRenderedPageBreak/>
        <w:t>办机构二处处长，金鹰基金管理有限公司副总经理，易方达基金管理有限公司综合管理部总经理、董事会秘书。现任易方达基金管理有限公司监事、行政总监、党群工作部总经理。</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0239D0">
        <w:rPr>
          <w:rFonts w:asciiTheme="minorEastAsia" w:eastAsiaTheme="minorEastAsia" w:hAnsiTheme="minorEastAsia"/>
          <w:kern w:val="0"/>
          <w:sz w:val="21"/>
        </w:rPr>
        <w:t>RQFII</w:t>
      </w:r>
      <w:r w:rsidRPr="000239D0">
        <w:rPr>
          <w:rFonts w:asciiTheme="minorEastAsia" w:eastAsiaTheme="minorEastAsia" w:hAnsiTheme="minorEastAsia" w:hint="eastAsia"/>
          <w:kern w:val="0"/>
          <w:sz w:val="21"/>
        </w:rPr>
        <w:t>）业务负责人、证券交易负责人员（</w:t>
      </w:r>
      <w:r w:rsidRPr="000239D0">
        <w:rPr>
          <w:rFonts w:asciiTheme="minorEastAsia" w:eastAsiaTheme="minorEastAsia" w:hAnsiTheme="minorEastAsia"/>
          <w:kern w:val="0"/>
          <w:sz w:val="21"/>
        </w:rPr>
        <w:t>RO</w:t>
      </w:r>
      <w:r w:rsidRPr="000239D0">
        <w:rPr>
          <w:rFonts w:asciiTheme="minorEastAsia" w:eastAsiaTheme="minorEastAsia" w:hAnsiTheme="minorEastAsia" w:hint="eastAsia"/>
          <w:kern w:val="0"/>
          <w:sz w:val="21"/>
        </w:rPr>
        <w:t>）、就证券提供意见负责人员（</w:t>
      </w:r>
      <w:r w:rsidRPr="000239D0">
        <w:rPr>
          <w:rFonts w:asciiTheme="minorEastAsia" w:eastAsiaTheme="minorEastAsia" w:hAnsiTheme="minorEastAsia"/>
          <w:kern w:val="0"/>
          <w:sz w:val="21"/>
        </w:rPr>
        <w:t>RO</w:t>
      </w:r>
      <w:r w:rsidRPr="000239D0">
        <w:rPr>
          <w:rFonts w:asciiTheme="minorEastAsia" w:eastAsiaTheme="minorEastAsia" w:hAnsiTheme="minorEastAsia" w:hint="eastAsia"/>
          <w:kern w:val="0"/>
          <w:sz w:val="21"/>
        </w:rPr>
        <w:t>）、提供资产管理负责人员（</w:t>
      </w:r>
      <w:r w:rsidRPr="000239D0">
        <w:rPr>
          <w:rFonts w:asciiTheme="minorEastAsia" w:eastAsiaTheme="minorEastAsia" w:hAnsiTheme="minorEastAsia"/>
          <w:kern w:val="0"/>
          <w:sz w:val="21"/>
        </w:rPr>
        <w:t>RO</w:t>
      </w:r>
      <w:r w:rsidRPr="000239D0">
        <w:rPr>
          <w:rFonts w:asciiTheme="minorEastAsia" w:eastAsiaTheme="minorEastAsia" w:hAnsiTheme="minorEastAsia" w:hint="eastAsia"/>
          <w:kern w:val="0"/>
          <w:sz w:val="21"/>
        </w:rPr>
        <w:t>）、固定收益投资决策委员会委员、产品审批委员会委员。</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张南女士，经济学博士，督察长。曾任广东省经济贸易委员会主任科员、副处长，易方达基金管理有限公司市场拓展部副总经理、监察部总经理。现任易方达基金管理有限公司督察长。</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sz w:val="21"/>
        </w:rPr>
      </w:pPr>
      <w:r w:rsidRPr="000239D0">
        <w:rPr>
          <w:rFonts w:asciiTheme="minorEastAsia" w:eastAsiaTheme="minorEastAsia" w:hAnsiTheme="minorEastAsia" w:hint="eastAsia"/>
          <w:kern w:val="0"/>
          <w:sz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高松凡先生，工商管理硕士（</w:t>
      </w:r>
      <w:r w:rsidRPr="000239D0">
        <w:rPr>
          <w:rFonts w:asciiTheme="minorEastAsia" w:eastAsiaTheme="minorEastAsia" w:hAnsiTheme="minorEastAsia"/>
          <w:kern w:val="0"/>
          <w:sz w:val="21"/>
        </w:rPr>
        <w:t>EMBA</w:t>
      </w:r>
      <w:r w:rsidRPr="000239D0">
        <w:rPr>
          <w:rFonts w:asciiTheme="minorEastAsia" w:eastAsiaTheme="minorEastAsia" w:hAnsiTheme="minorEastAsia" w:hint="eastAsia"/>
          <w:kern w:val="0"/>
          <w:sz w:val="21"/>
        </w:rPr>
        <w:t>），副总经理级高级管理人员。曾任招商银行总行人事部高级经理、企业年金中心副主任，浦东发展银行总行企业年金部总经理，长江养老保险</w:t>
      </w:r>
      <w:r w:rsidRPr="000239D0">
        <w:rPr>
          <w:rFonts w:asciiTheme="minorEastAsia" w:eastAsiaTheme="minorEastAsia" w:hAnsiTheme="minorEastAsia" w:hint="eastAsia"/>
          <w:kern w:val="0"/>
          <w:sz w:val="21"/>
        </w:rPr>
        <w:lastRenderedPageBreak/>
        <w:t>公司首席市场总监，易方达基金管理有限公司养老金业务总监。现任易方达基金管理有限公司副总经理级高级管理人员。</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关秀霞女士，工商管理硕士、金融学硕士，副总经理级高级管理人员。曾任中国银行（香港）有限公司分析员，</w:t>
      </w:r>
      <w:r w:rsidRPr="000239D0">
        <w:rPr>
          <w:rFonts w:asciiTheme="minorEastAsia" w:eastAsiaTheme="minorEastAsia" w:hAnsiTheme="minorEastAsia"/>
          <w:kern w:val="0"/>
          <w:sz w:val="21"/>
        </w:rPr>
        <w:t>Daniel Dennis高级审计师，美国道富银行公司内部审计部高级审计师、美国共同基金业务风险经理、亚洲区（除日本外）机构服务主管、亚洲区（除日本外）副总裁、大中华地区</w:t>
      </w:r>
      <w:r w:rsidRPr="000239D0">
        <w:rPr>
          <w:rFonts w:asciiTheme="minorEastAsia" w:eastAsiaTheme="minorEastAsia" w:hAnsiTheme="minorEastAsia" w:hint="eastAsia"/>
          <w:kern w:val="0"/>
          <w:sz w:val="21"/>
        </w:rPr>
        <w:t>董事总经理、大中华地区高级副总裁、中国区行长。现任易方达基金管理有限公司副总经理级高级管理人员。</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025B37" w:rsidRPr="000239D0" w:rsidRDefault="00025B37" w:rsidP="000239D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2、基金经理</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蔡荣成先生，金融硕士。曾任易方达基金管理有限公司易方达科技创新混合型证券投资基金基金经理（自2019年4月29日至2020年6月5日）、易方达新丝路灵活配置混合型证券投资基金基金经理助理。现任易方达基金管理有限公司易方达策略成长证券投资基金基金经理（自2020年6月6日起任职）、易方达策略成长二号混合型证券投资基金基金经理（自2020年6月6日起任职）、行业研究员。</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本基金历任基金经理情况：付浩先生，管理时间为2004年2月14日至2005年12月31日；肖坚先生，管理时间为2003年12月9日至2007年12月31日；刘志奇先生，管理</w:t>
      </w:r>
      <w:r w:rsidRPr="000239D0">
        <w:rPr>
          <w:rFonts w:asciiTheme="minorEastAsia" w:eastAsiaTheme="minorEastAsia" w:hAnsiTheme="minorEastAsia" w:hint="eastAsia"/>
          <w:kern w:val="0"/>
          <w:sz w:val="21"/>
        </w:rPr>
        <w:lastRenderedPageBreak/>
        <w:t>时间为2007年7月12日至2009年12月31日；伍卫先生，管理时间为2010年1月1日至2011年9月29日；蔡海洪先生，管理时间为2011年9月30日至2015年7月8日；王勇先生，管理时间为2015年7月9日至2017年2月16日；武阳先生，管理时间为2015年8月5日至2017年12月29日；梁裕宁先生，管理时间为2017年2月17日至2020年6月5日。</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3、权益投资决策委员会成员</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本公司权益投资决策委员会成员包括：吴欣荣先生、冯波先生、陈皓先生、张坤先生、孙松先生、付浩先生。</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吴欣荣先生，同上。</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张坤先生，</w:t>
      </w:r>
      <w:r w:rsidR="000239D0" w:rsidRPr="000239D0">
        <w:rPr>
          <w:rFonts w:asciiTheme="minorEastAsia" w:eastAsiaTheme="minorEastAsia" w:hAnsiTheme="minorEastAsia" w:hint="eastAsia"/>
          <w:kern w:val="0"/>
          <w:sz w:val="21"/>
        </w:rPr>
        <w:t>同上</w:t>
      </w:r>
      <w:r w:rsidRPr="000239D0">
        <w:rPr>
          <w:rFonts w:asciiTheme="minorEastAsia" w:eastAsiaTheme="minorEastAsia" w:hAnsiTheme="minorEastAsia" w:hint="eastAsia"/>
          <w:kern w:val="0"/>
          <w:sz w:val="21"/>
        </w:rPr>
        <w:t>。</w:t>
      </w:r>
    </w:p>
    <w:p w:rsidR="003606F0" w:rsidRPr="000239D0" w:rsidRDefault="003606F0" w:rsidP="003606F0">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0B1E9F" w:rsidRPr="000239D0" w:rsidRDefault="003606F0"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w:t>
      </w:r>
      <w:r w:rsidRPr="000239D0">
        <w:rPr>
          <w:rFonts w:asciiTheme="minorEastAsia" w:eastAsiaTheme="minorEastAsia" w:hAnsiTheme="minorEastAsia" w:hint="eastAsia"/>
          <w:kern w:val="0"/>
          <w:sz w:val="21"/>
        </w:rPr>
        <w:lastRenderedPageBreak/>
        <w:t>达科汇灵活配置混合型证券投资基金基金经理。现任易方达基金管理有限公司权益投资管理部总经理、投资经理、易方达3年封闭运作战略配售灵活配置混合型证券投资基金（LOF）基金经理。</w:t>
      </w:r>
    </w:p>
    <w:p w:rsidR="00E57A2B" w:rsidRPr="000239D0" w:rsidRDefault="005336CC" w:rsidP="000B1E9F">
      <w:pPr>
        <w:pStyle w:val="a7"/>
        <w:adjustRightInd w:val="0"/>
        <w:snapToGrid w:val="0"/>
        <w:spacing w:line="360" w:lineRule="auto"/>
        <w:ind w:firstLine="420"/>
        <w:textAlignment w:val="baseline"/>
        <w:rPr>
          <w:rFonts w:asciiTheme="minorEastAsia" w:eastAsiaTheme="minorEastAsia" w:hAnsiTheme="minorEastAsia"/>
        </w:rPr>
      </w:pPr>
      <w:r w:rsidRPr="000239D0">
        <w:rPr>
          <w:rFonts w:asciiTheme="minorEastAsia" w:eastAsiaTheme="minorEastAsia" w:hAnsiTheme="minorEastAsia" w:cs="仿宋_GB2312"/>
          <w:bCs/>
          <w:kern w:val="0"/>
          <w:sz w:val="21"/>
        </w:rPr>
        <w:t>4</w:t>
      </w:r>
      <w:r w:rsidR="00AD684A" w:rsidRPr="000239D0">
        <w:rPr>
          <w:rFonts w:asciiTheme="minorEastAsia" w:eastAsiaTheme="minorEastAsia" w:hAnsiTheme="minorEastAsia" w:cs="仿宋_GB2312" w:hint="eastAsia"/>
          <w:bCs/>
          <w:kern w:val="0"/>
          <w:sz w:val="21"/>
        </w:rPr>
        <w:t>、</w:t>
      </w:r>
      <w:r w:rsidRPr="000239D0">
        <w:rPr>
          <w:rFonts w:asciiTheme="minorEastAsia" w:eastAsiaTheme="minorEastAsia" w:hAnsiTheme="minorEastAsia" w:cs="仿宋_GB2312" w:hint="eastAsia"/>
          <w:bCs/>
          <w:kern w:val="0"/>
          <w:sz w:val="21"/>
        </w:rPr>
        <w:t>上述人员之间均不存在近亲属关系。</w:t>
      </w:r>
    </w:p>
    <w:p w:rsidR="005336CC" w:rsidRPr="000239D0" w:rsidRDefault="00D53224"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11" w:name="_Toc219695775"/>
      <w:bookmarkStart w:id="12" w:name="_Toc36452352"/>
      <w:r w:rsidRPr="000239D0">
        <w:rPr>
          <w:rFonts w:asciiTheme="minorEastAsia" w:eastAsiaTheme="minorEastAsia" w:hAnsiTheme="minorEastAsia" w:hint="eastAsia"/>
          <w:b w:val="0"/>
          <w:bCs/>
          <w:szCs w:val="21"/>
        </w:rPr>
        <w:t>（三）</w:t>
      </w:r>
      <w:r w:rsidR="005336CC" w:rsidRPr="000239D0">
        <w:rPr>
          <w:rFonts w:asciiTheme="minorEastAsia" w:eastAsiaTheme="minorEastAsia" w:hAnsiTheme="minorEastAsia"/>
          <w:b w:val="0"/>
          <w:bCs/>
          <w:szCs w:val="21"/>
        </w:rPr>
        <w:t>基金管理人的职责</w:t>
      </w:r>
      <w:bookmarkEnd w:id="11"/>
      <w:bookmarkEnd w:id="12"/>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1、</w:t>
      </w:r>
      <w:r w:rsidR="005F2D6B" w:rsidRPr="000239D0">
        <w:rPr>
          <w:rFonts w:asciiTheme="minorEastAsia" w:eastAsiaTheme="minorEastAsia" w:hAnsiTheme="minorEastAsia" w:hint="eastAsia"/>
          <w:kern w:val="0"/>
          <w:sz w:val="21"/>
        </w:rPr>
        <w:t>依法募集资金，办理基金份额的发售和登记事宜；</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2、</w:t>
      </w:r>
      <w:r w:rsidR="005336CC" w:rsidRPr="000239D0">
        <w:rPr>
          <w:rFonts w:asciiTheme="minorEastAsia" w:eastAsiaTheme="minorEastAsia" w:hAnsiTheme="minorEastAsia"/>
          <w:kern w:val="0"/>
          <w:sz w:val="21"/>
        </w:rPr>
        <w:t>办理基金备案手续；</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3、</w:t>
      </w:r>
      <w:r w:rsidR="005336CC" w:rsidRPr="000239D0">
        <w:rPr>
          <w:rFonts w:asciiTheme="minorEastAsia" w:eastAsiaTheme="minorEastAsia" w:hAnsiTheme="minorEastAsia"/>
          <w:kern w:val="0"/>
          <w:sz w:val="21"/>
        </w:rPr>
        <w:t>对所管理的不同基金财产分别管理、分别记账，进行证券投资；</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4、</w:t>
      </w:r>
      <w:r w:rsidR="005336CC" w:rsidRPr="000239D0">
        <w:rPr>
          <w:rFonts w:asciiTheme="minorEastAsia" w:eastAsiaTheme="minorEastAsia" w:hAnsiTheme="minorEastAsia"/>
          <w:kern w:val="0"/>
          <w:sz w:val="21"/>
        </w:rPr>
        <w:t>按照基金合同的约定确定基金收益分配方案，及时向基金份额持有人分配收益；</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5、</w:t>
      </w:r>
      <w:r w:rsidR="005336CC" w:rsidRPr="000239D0">
        <w:rPr>
          <w:rFonts w:asciiTheme="minorEastAsia" w:eastAsiaTheme="minorEastAsia" w:hAnsiTheme="minorEastAsia"/>
          <w:kern w:val="0"/>
          <w:sz w:val="21"/>
        </w:rPr>
        <w:t>进行基金会计核算并编制基金财务会计报告；</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6、</w:t>
      </w:r>
      <w:r w:rsidR="005336CC" w:rsidRPr="000239D0">
        <w:rPr>
          <w:rFonts w:asciiTheme="minorEastAsia" w:eastAsiaTheme="minorEastAsia" w:hAnsiTheme="minorEastAsia"/>
          <w:kern w:val="0"/>
          <w:sz w:val="21"/>
        </w:rPr>
        <w:t>编制</w:t>
      </w:r>
      <w:r w:rsidR="00EF5D91" w:rsidRPr="000239D0">
        <w:rPr>
          <w:rFonts w:asciiTheme="minorEastAsia" w:eastAsiaTheme="minorEastAsia" w:hAnsiTheme="minorEastAsia" w:hint="eastAsia"/>
          <w:kern w:val="0"/>
          <w:sz w:val="21"/>
        </w:rPr>
        <w:t>季度报告、中期报告和年度报告</w:t>
      </w:r>
      <w:r w:rsidR="005336CC" w:rsidRPr="000239D0">
        <w:rPr>
          <w:rFonts w:asciiTheme="minorEastAsia" w:eastAsiaTheme="minorEastAsia" w:hAnsiTheme="minorEastAsia"/>
          <w:kern w:val="0"/>
          <w:sz w:val="21"/>
        </w:rPr>
        <w:t>；</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7、</w:t>
      </w:r>
      <w:r w:rsidR="005336CC" w:rsidRPr="000239D0">
        <w:rPr>
          <w:rFonts w:asciiTheme="minorEastAsia" w:eastAsiaTheme="minorEastAsia" w:hAnsiTheme="minorEastAsia"/>
          <w:kern w:val="0"/>
          <w:sz w:val="21"/>
        </w:rPr>
        <w:t>计算并公告基金</w:t>
      </w:r>
      <w:r w:rsidR="00EF5D91" w:rsidRPr="000239D0">
        <w:rPr>
          <w:rFonts w:asciiTheme="minorEastAsia" w:eastAsiaTheme="minorEastAsia" w:hAnsiTheme="minorEastAsia" w:hint="eastAsia"/>
          <w:kern w:val="0"/>
          <w:sz w:val="21"/>
        </w:rPr>
        <w:t>净值信息</w:t>
      </w:r>
      <w:r w:rsidR="005336CC" w:rsidRPr="000239D0">
        <w:rPr>
          <w:rFonts w:asciiTheme="minorEastAsia" w:eastAsiaTheme="minorEastAsia" w:hAnsiTheme="minorEastAsia"/>
          <w:kern w:val="0"/>
          <w:sz w:val="21"/>
        </w:rPr>
        <w:t>，确定基金份额申购、赎回价格；</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8、</w:t>
      </w:r>
      <w:r w:rsidR="005336CC" w:rsidRPr="000239D0">
        <w:rPr>
          <w:rFonts w:asciiTheme="minorEastAsia" w:eastAsiaTheme="minorEastAsia" w:hAnsiTheme="minorEastAsia"/>
          <w:kern w:val="0"/>
          <w:sz w:val="21"/>
        </w:rPr>
        <w:t>办理与基金财产管理业务活动有关的信息披露事项；</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9、</w:t>
      </w:r>
      <w:r w:rsidR="005F2D6B" w:rsidRPr="000239D0">
        <w:rPr>
          <w:rFonts w:asciiTheme="minorEastAsia" w:eastAsiaTheme="minorEastAsia" w:hAnsiTheme="minorEastAsia" w:hint="eastAsia"/>
          <w:kern w:val="0"/>
          <w:sz w:val="21"/>
        </w:rPr>
        <w:t>按照规定</w:t>
      </w:r>
      <w:r w:rsidR="005336CC" w:rsidRPr="000239D0">
        <w:rPr>
          <w:rFonts w:asciiTheme="minorEastAsia" w:eastAsiaTheme="minorEastAsia" w:hAnsiTheme="minorEastAsia"/>
          <w:kern w:val="0"/>
          <w:sz w:val="21"/>
        </w:rPr>
        <w:t>召集基金份额持有人大会；</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10、</w:t>
      </w:r>
      <w:r w:rsidR="005336CC" w:rsidRPr="000239D0">
        <w:rPr>
          <w:rFonts w:asciiTheme="minorEastAsia" w:eastAsiaTheme="minorEastAsia" w:hAnsiTheme="minorEastAsia"/>
          <w:kern w:val="0"/>
          <w:sz w:val="21"/>
        </w:rPr>
        <w:t>保存基金财产管理业务活动的记录、账册、报表和其他相关资料；</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11、</w:t>
      </w:r>
      <w:r w:rsidR="005336CC" w:rsidRPr="000239D0">
        <w:rPr>
          <w:rFonts w:asciiTheme="minorEastAsia" w:eastAsiaTheme="minorEastAsia" w:hAnsiTheme="minorEastAsia"/>
          <w:kern w:val="0"/>
          <w:sz w:val="21"/>
        </w:rPr>
        <w:t>以基金管理人名义，代表基金份额持有人利益行使诉讼权利或者实施其他法律行为；</w:t>
      </w:r>
    </w:p>
    <w:p w:rsidR="005336CC" w:rsidRPr="000239D0" w:rsidRDefault="00AD684A" w:rsidP="000B1E9F">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12、</w:t>
      </w:r>
      <w:r w:rsidR="005336CC" w:rsidRPr="000239D0">
        <w:rPr>
          <w:rFonts w:asciiTheme="minorEastAsia" w:eastAsiaTheme="minorEastAsia" w:hAnsiTheme="minorEastAsia"/>
          <w:kern w:val="0"/>
          <w:sz w:val="21"/>
        </w:rPr>
        <w:t>国务院证券监督管理机构规定的其他职责。</w:t>
      </w:r>
    </w:p>
    <w:p w:rsidR="005336CC" w:rsidRPr="000239D0" w:rsidRDefault="00D53224"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13" w:name="_Toc219695776"/>
      <w:bookmarkStart w:id="14" w:name="_Toc36452353"/>
      <w:r w:rsidRPr="000239D0">
        <w:rPr>
          <w:rFonts w:asciiTheme="minorEastAsia" w:eastAsiaTheme="minorEastAsia" w:hAnsiTheme="minorEastAsia" w:hint="eastAsia"/>
          <w:b w:val="0"/>
          <w:bCs/>
          <w:szCs w:val="21"/>
        </w:rPr>
        <w:t>（四）</w:t>
      </w:r>
      <w:r w:rsidR="005336CC" w:rsidRPr="000239D0">
        <w:rPr>
          <w:rFonts w:asciiTheme="minorEastAsia" w:eastAsiaTheme="minorEastAsia" w:hAnsiTheme="minorEastAsia"/>
          <w:b w:val="0"/>
          <w:bCs/>
          <w:szCs w:val="21"/>
        </w:rPr>
        <w:t>基金管理人的承诺</w:t>
      </w:r>
      <w:bookmarkEnd w:id="13"/>
      <w:bookmarkEnd w:id="14"/>
    </w:p>
    <w:p w:rsidR="005336CC" w:rsidRPr="000239D0" w:rsidRDefault="00AD684A" w:rsidP="00AF28A3">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1、</w:t>
      </w:r>
      <w:r w:rsidR="005336CC" w:rsidRPr="000239D0">
        <w:rPr>
          <w:rFonts w:asciiTheme="minorEastAsia" w:eastAsiaTheme="minorEastAsia" w:hAnsiTheme="minorEastAsia" w:hint="eastAsia"/>
          <w:kern w:val="0"/>
          <w:sz w:val="2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5336CC" w:rsidRPr="000239D0" w:rsidRDefault="00AD684A" w:rsidP="00AF28A3">
      <w:pPr>
        <w:pStyle w:val="a7"/>
        <w:adjustRightInd w:val="0"/>
        <w:snapToGrid w:val="0"/>
        <w:spacing w:line="360" w:lineRule="auto"/>
        <w:ind w:firstLine="420"/>
        <w:textAlignment w:val="baseline"/>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2、</w:t>
      </w:r>
      <w:r w:rsidR="005336CC" w:rsidRPr="000239D0">
        <w:rPr>
          <w:rFonts w:asciiTheme="minorEastAsia" w:eastAsiaTheme="minorEastAsia" w:hAnsiTheme="minorEastAsia" w:hint="eastAsia"/>
          <w:kern w:val="0"/>
          <w:sz w:val="21"/>
        </w:rPr>
        <w:t>本基金管理人承诺严格遵守《证券法》、《基金法》及有关法律法规，建立健全内部控制制度，采取有效措施，防止下列行为发生：</w:t>
      </w:r>
    </w:p>
    <w:p w:rsidR="005336CC" w:rsidRPr="000239D0" w:rsidRDefault="005336CC" w:rsidP="00AF28A3">
      <w:pPr>
        <w:numPr>
          <w:ilvl w:val="1"/>
          <w:numId w:val="7"/>
        </w:numPr>
        <w:tabs>
          <w:tab w:val="clear" w:pos="1134"/>
          <w:tab w:val="left" w:pos="735"/>
          <w:tab w:val="num" w:pos="945"/>
        </w:tabs>
        <w:snapToGrid w:val="0"/>
        <w:spacing w:line="360" w:lineRule="auto"/>
        <w:ind w:left="0" w:firstLineChars="0" w:firstLine="200"/>
        <w:rPr>
          <w:rFonts w:asciiTheme="minorEastAsia" w:eastAsiaTheme="minorEastAsia" w:hAnsiTheme="minorEastAsia"/>
          <w:sz w:val="21"/>
        </w:rPr>
      </w:pPr>
      <w:r w:rsidRPr="000239D0">
        <w:rPr>
          <w:rFonts w:asciiTheme="minorEastAsia" w:eastAsiaTheme="minorEastAsia" w:hAnsiTheme="minorEastAsia" w:hint="eastAsia"/>
          <w:sz w:val="21"/>
        </w:rPr>
        <w:t>将其固有财产或者他人财产混同于基金财产从事证券投资；</w:t>
      </w:r>
    </w:p>
    <w:p w:rsidR="005336CC" w:rsidRPr="000239D0" w:rsidRDefault="005336CC" w:rsidP="00AF28A3">
      <w:pPr>
        <w:numPr>
          <w:ilvl w:val="1"/>
          <w:numId w:val="7"/>
        </w:numPr>
        <w:tabs>
          <w:tab w:val="clear" w:pos="1134"/>
          <w:tab w:val="left" w:pos="735"/>
          <w:tab w:val="num" w:pos="945"/>
        </w:tabs>
        <w:snapToGrid w:val="0"/>
        <w:spacing w:line="360" w:lineRule="auto"/>
        <w:ind w:left="0" w:firstLineChars="0" w:firstLine="200"/>
        <w:rPr>
          <w:rFonts w:asciiTheme="minorEastAsia" w:eastAsiaTheme="minorEastAsia" w:hAnsiTheme="minorEastAsia"/>
          <w:sz w:val="21"/>
        </w:rPr>
      </w:pPr>
      <w:r w:rsidRPr="000239D0">
        <w:rPr>
          <w:rFonts w:asciiTheme="minorEastAsia" w:eastAsiaTheme="minorEastAsia" w:hAnsiTheme="minorEastAsia" w:hint="eastAsia"/>
          <w:sz w:val="21"/>
        </w:rPr>
        <w:t>不公平地对待其管理的不同基金财产；</w:t>
      </w:r>
    </w:p>
    <w:p w:rsidR="005336CC" w:rsidRPr="000239D0" w:rsidRDefault="005336CC" w:rsidP="00AF28A3">
      <w:pPr>
        <w:numPr>
          <w:ilvl w:val="1"/>
          <w:numId w:val="7"/>
        </w:numPr>
        <w:tabs>
          <w:tab w:val="clear" w:pos="1134"/>
          <w:tab w:val="left" w:pos="735"/>
          <w:tab w:val="num" w:pos="945"/>
        </w:tabs>
        <w:snapToGrid w:val="0"/>
        <w:spacing w:line="360" w:lineRule="auto"/>
        <w:ind w:left="0" w:firstLineChars="0" w:firstLine="200"/>
        <w:rPr>
          <w:rFonts w:asciiTheme="minorEastAsia" w:eastAsiaTheme="minorEastAsia" w:hAnsiTheme="minorEastAsia"/>
          <w:sz w:val="21"/>
        </w:rPr>
      </w:pPr>
      <w:r w:rsidRPr="000239D0">
        <w:rPr>
          <w:rFonts w:asciiTheme="minorEastAsia" w:eastAsiaTheme="minorEastAsia" w:hAnsiTheme="minorEastAsia" w:hint="eastAsia"/>
          <w:sz w:val="21"/>
        </w:rPr>
        <w:t>利用基金财产</w:t>
      </w:r>
      <w:r w:rsidR="005F2D6B" w:rsidRPr="000239D0">
        <w:rPr>
          <w:rFonts w:asciiTheme="minorEastAsia" w:eastAsiaTheme="minorEastAsia" w:hAnsiTheme="minorEastAsia" w:hint="eastAsia"/>
          <w:sz w:val="21"/>
        </w:rPr>
        <w:t>或者职务之便</w:t>
      </w:r>
      <w:r w:rsidRPr="000239D0">
        <w:rPr>
          <w:rFonts w:asciiTheme="minorEastAsia" w:eastAsiaTheme="minorEastAsia" w:hAnsiTheme="minorEastAsia" w:hint="eastAsia"/>
          <w:sz w:val="21"/>
        </w:rPr>
        <w:t>为基金份额持有人以外的第三人谋取利益；</w:t>
      </w:r>
    </w:p>
    <w:p w:rsidR="005336CC" w:rsidRPr="000239D0" w:rsidRDefault="005336CC" w:rsidP="00AF28A3">
      <w:pPr>
        <w:numPr>
          <w:ilvl w:val="1"/>
          <w:numId w:val="7"/>
        </w:numPr>
        <w:tabs>
          <w:tab w:val="clear" w:pos="1134"/>
          <w:tab w:val="left" w:pos="735"/>
          <w:tab w:val="num" w:pos="945"/>
        </w:tabs>
        <w:snapToGrid w:val="0"/>
        <w:spacing w:line="360" w:lineRule="auto"/>
        <w:ind w:left="0" w:firstLineChars="0" w:firstLine="200"/>
        <w:rPr>
          <w:rFonts w:asciiTheme="minorEastAsia" w:eastAsiaTheme="minorEastAsia" w:hAnsiTheme="minorEastAsia"/>
          <w:sz w:val="21"/>
        </w:rPr>
      </w:pPr>
      <w:r w:rsidRPr="000239D0">
        <w:rPr>
          <w:rFonts w:asciiTheme="minorEastAsia" w:eastAsiaTheme="minorEastAsia" w:hAnsiTheme="minorEastAsia" w:hint="eastAsia"/>
          <w:sz w:val="21"/>
        </w:rPr>
        <w:t>向基金份额持有人违规承诺收益或者承担损失；</w:t>
      </w:r>
    </w:p>
    <w:p w:rsidR="005F2D6B" w:rsidRPr="000239D0" w:rsidRDefault="005F2D6B" w:rsidP="00AF28A3">
      <w:pPr>
        <w:numPr>
          <w:ilvl w:val="1"/>
          <w:numId w:val="7"/>
        </w:numPr>
        <w:tabs>
          <w:tab w:val="clear" w:pos="1134"/>
          <w:tab w:val="left" w:pos="735"/>
          <w:tab w:val="num" w:pos="945"/>
          <w:tab w:val="num" w:pos="998"/>
        </w:tabs>
        <w:snapToGrid w:val="0"/>
        <w:spacing w:line="360" w:lineRule="auto"/>
        <w:ind w:left="0" w:firstLineChars="0" w:firstLine="200"/>
        <w:rPr>
          <w:rFonts w:asciiTheme="minorEastAsia" w:eastAsiaTheme="minorEastAsia" w:hAnsiTheme="minorEastAsia"/>
          <w:sz w:val="21"/>
        </w:rPr>
      </w:pPr>
      <w:r w:rsidRPr="000239D0">
        <w:rPr>
          <w:rFonts w:asciiTheme="minorEastAsia" w:eastAsiaTheme="minorEastAsia" w:hAnsiTheme="minorEastAsia" w:hint="eastAsia"/>
          <w:sz w:val="21"/>
        </w:rPr>
        <w:t>侵占、挪用基金财产；</w:t>
      </w:r>
    </w:p>
    <w:p w:rsidR="005F2D6B" w:rsidRPr="000239D0" w:rsidRDefault="005F2D6B" w:rsidP="00AF28A3">
      <w:pPr>
        <w:numPr>
          <w:ilvl w:val="1"/>
          <w:numId w:val="7"/>
        </w:numPr>
        <w:tabs>
          <w:tab w:val="clear" w:pos="1134"/>
          <w:tab w:val="left" w:pos="735"/>
          <w:tab w:val="num" w:pos="945"/>
          <w:tab w:val="num" w:pos="998"/>
        </w:tabs>
        <w:snapToGrid w:val="0"/>
        <w:spacing w:line="360" w:lineRule="auto"/>
        <w:ind w:left="0" w:firstLineChars="0" w:firstLine="200"/>
        <w:rPr>
          <w:rFonts w:asciiTheme="minorEastAsia" w:eastAsiaTheme="minorEastAsia" w:hAnsiTheme="minorEastAsia"/>
          <w:sz w:val="21"/>
        </w:rPr>
      </w:pPr>
      <w:r w:rsidRPr="000239D0">
        <w:rPr>
          <w:rFonts w:asciiTheme="minorEastAsia" w:eastAsiaTheme="minorEastAsia" w:hAnsiTheme="minorEastAsia" w:hint="eastAsia"/>
          <w:sz w:val="21"/>
        </w:rPr>
        <w:t>泄露因职务便利获取的未公开信息、利用该信息从事或者明示、暗示他人从事相关的交易活动；</w:t>
      </w:r>
    </w:p>
    <w:p w:rsidR="005F2D6B" w:rsidRPr="000239D0" w:rsidRDefault="00AD684A" w:rsidP="00AF28A3">
      <w:pPr>
        <w:tabs>
          <w:tab w:val="left" w:pos="735"/>
          <w:tab w:val="num" w:pos="998"/>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（7）</w:t>
      </w:r>
      <w:r w:rsidR="005F2D6B" w:rsidRPr="000239D0">
        <w:rPr>
          <w:rFonts w:asciiTheme="minorEastAsia" w:eastAsiaTheme="minorEastAsia" w:hAnsiTheme="minorEastAsia" w:hint="eastAsia"/>
          <w:sz w:val="21"/>
        </w:rPr>
        <w:t>玩忽职守，不按照规定履行职责；</w:t>
      </w:r>
    </w:p>
    <w:p w:rsidR="005336CC" w:rsidRPr="000239D0" w:rsidRDefault="00AD684A" w:rsidP="00AF28A3">
      <w:pPr>
        <w:tabs>
          <w:tab w:val="left" w:pos="735"/>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（8）</w:t>
      </w:r>
      <w:r w:rsidR="005F2D6B" w:rsidRPr="000239D0">
        <w:rPr>
          <w:rFonts w:asciiTheme="minorEastAsia" w:eastAsiaTheme="minorEastAsia" w:hAnsiTheme="minorEastAsia" w:hint="eastAsia"/>
          <w:sz w:val="21"/>
        </w:rPr>
        <w:t>法律、行政法规和中国证监会规定禁止的其他行为。</w:t>
      </w:r>
    </w:p>
    <w:p w:rsidR="005336CC" w:rsidRPr="000239D0" w:rsidRDefault="005336CC" w:rsidP="00AF28A3">
      <w:pPr>
        <w:tabs>
          <w:tab w:val="left" w:pos="735"/>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3</w:t>
      </w:r>
      <w:r w:rsidR="00AD684A"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本基金管理人禁止利用基金资产从事以下投资或活动：</w:t>
      </w:r>
    </w:p>
    <w:p w:rsidR="005336CC" w:rsidRPr="000239D0" w:rsidRDefault="005336CC" w:rsidP="00AF28A3">
      <w:pPr>
        <w:tabs>
          <w:tab w:val="left" w:pos="735"/>
          <w:tab w:val="num" w:pos="1050"/>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（1）</w:t>
      </w:r>
      <w:r w:rsidRPr="000239D0">
        <w:rPr>
          <w:rFonts w:asciiTheme="minorEastAsia" w:eastAsiaTheme="minorEastAsia" w:hAnsiTheme="minorEastAsia"/>
          <w:sz w:val="21"/>
        </w:rPr>
        <w:t>承销证券；</w:t>
      </w:r>
    </w:p>
    <w:p w:rsidR="005336CC" w:rsidRPr="000239D0" w:rsidRDefault="005336CC" w:rsidP="00AF28A3">
      <w:pPr>
        <w:tabs>
          <w:tab w:val="left" w:pos="735"/>
          <w:tab w:val="num" w:pos="1050"/>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（2）</w:t>
      </w:r>
      <w:r w:rsidRPr="000239D0">
        <w:rPr>
          <w:rFonts w:asciiTheme="minorEastAsia" w:eastAsiaTheme="minorEastAsia" w:hAnsiTheme="minorEastAsia"/>
          <w:sz w:val="21"/>
        </w:rPr>
        <w:t>向他人贷款或者提供担保；</w:t>
      </w:r>
    </w:p>
    <w:p w:rsidR="005336CC" w:rsidRPr="000239D0" w:rsidRDefault="005336CC" w:rsidP="00AF28A3">
      <w:pPr>
        <w:tabs>
          <w:tab w:val="left" w:pos="735"/>
          <w:tab w:val="num" w:pos="1050"/>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（3）</w:t>
      </w:r>
      <w:r w:rsidRPr="000239D0">
        <w:rPr>
          <w:rFonts w:asciiTheme="minorEastAsia" w:eastAsiaTheme="minorEastAsia" w:hAnsiTheme="minorEastAsia"/>
          <w:sz w:val="21"/>
        </w:rPr>
        <w:t>从事承担无限责任的投资；</w:t>
      </w:r>
    </w:p>
    <w:p w:rsidR="005336CC" w:rsidRPr="000239D0" w:rsidRDefault="005336CC" w:rsidP="00AF28A3">
      <w:pPr>
        <w:tabs>
          <w:tab w:val="left" w:pos="735"/>
          <w:tab w:val="num" w:pos="1050"/>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（4）</w:t>
      </w:r>
      <w:r w:rsidRPr="000239D0">
        <w:rPr>
          <w:rFonts w:asciiTheme="minorEastAsia" w:eastAsiaTheme="minorEastAsia" w:hAnsiTheme="minorEastAsia"/>
          <w:sz w:val="21"/>
        </w:rPr>
        <w:t>买卖其他基金份额，但是国务院另有规定的除外；</w:t>
      </w:r>
    </w:p>
    <w:p w:rsidR="005336CC" w:rsidRPr="000239D0" w:rsidRDefault="005336CC" w:rsidP="00AF28A3">
      <w:pPr>
        <w:tabs>
          <w:tab w:val="left" w:pos="735"/>
          <w:tab w:val="num" w:pos="1050"/>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（5）</w:t>
      </w:r>
      <w:r w:rsidRPr="000239D0">
        <w:rPr>
          <w:rFonts w:asciiTheme="minorEastAsia" w:eastAsiaTheme="minorEastAsia" w:hAnsiTheme="minorEastAsia"/>
          <w:sz w:val="21"/>
        </w:rPr>
        <w:t>向其基金管理人、基金托管人出资或者买卖其基金管理人、基金托管人发行的股票或者债券；</w:t>
      </w:r>
    </w:p>
    <w:p w:rsidR="005336CC" w:rsidRPr="000239D0" w:rsidRDefault="005336CC" w:rsidP="00AF28A3">
      <w:pPr>
        <w:tabs>
          <w:tab w:val="left" w:pos="735"/>
          <w:tab w:val="num" w:pos="1050"/>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（6）</w:t>
      </w:r>
      <w:r w:rsidRPr="000239D0">
        <w:rPr>
          <w:rFonts w:asciiTheme="minorEastAsia" w:eastAsiaTheme="minorEastAsia" w:hAnsiTheme="minorEastAsia"/>
          <w:sz w:val="21"/>
        </w:rPr>
        <w:t>买卖与其基金管理人、基金托管人有控股关系的股东或者与其基金管理人、基金托管人有其他重大利害关系的公司发行的证券或者承销期内承销的证券；</w:t>
      </w:r>
    </w:p>
    <w:p w:rsidR="005336CC" w:rsidRPr="000239D0" w:rsidRDefault="005336CC" w:rsidP="00AF28A3">
      <w:pPr>
        <w:tabs>
          <w:tab w:val="left" w:pos="735"/>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（7）</w:t>
      </w:r>
      <w:r w:rsidRPr="000239D0">
        <w:rPr>
          <w:rFonts w:asciiTheme="minorEastAsia" w:eastAsiaTheme="minorEastAsia" w:hAnsiTheme="minorEastAsia"/>
          <w:sz w:val="21"/>
        </w:rPr>
        <w:t>从事内幕交易、操纵证券交易价格及其他不正当的证券交易活动；</w:t>
      </w:r>
    </w:p>
    <w:p w:rsidR="005336CC" w:rsidRPr="000239D0" w:rsidRDefault="005336CC" w:rsidP="00AF28A3">
      <w:pPr>
        <w:tabs>
          <w:tab w:val="left" w:pos="735"/>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（8）</w:t>
      </w:r>
      <w:r w:rsidRPr="000239D0">
        <w:rPr>
          <w:rFonts w:asciiTheme="minorEastAsia" w:eastAsiaTheme="minorEastAsia" w:hAnsiTheme="minorEastAsia"/>
          <w:sz w:val="21"/>
        </w:rPr>
        <w:t>依照法律、行政法规有关规定，由国务院证券监督管理机构规定禁止的其他活动。</w:t>
      </w:r>
    </w:p>
    <w:p w:rsidR="005336CC" w:rsidRPr="000239D0" w:rsidRDefault="00AD684A" w:rsidP="00AF28A3">
      <w:pPr>
        <w:tabs>
          <w:tab w:val="left" w:pos="735"/>
        </w:tabs>
        <w:snapToGrid w:val="0"/>
        <w:spacing w:line="360" w:lineRule="auto"/>
        <w:ind w:firstLineChars="0"/>
        <w:rPr>
          <w:rFonts w:asciiTheme="minorEastAsia" w:eastAsiaTheme="minorEastAsia" w:hAnsiTheme="minorEastAsia"/>
          <w:bCs/>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基金经理承诺</w:t>
      </w:r>
    </w:p>
    <w:p w:rsidR="005336CC" w:rsidRPr="000239D0" w:rsidRDefault="005336CC" w:rsidP="00AF28A3">
      <w:pPr>
        <w:tabs>
          <w:tab w:val="left" w:pos="735"/>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（1）依照有关法律、法规和《基金合同》的规定，本着谨慎的原则为基金份额持有人谋取最大利益；</w:t>
      </w:r>
    </w:p>
    <w:p w:rsidR="005336CC" w:rsidRPr="000239D0" w:rsidRDefault="005336CC" w:rsidP="00AF28A3">
      <w:pPr>
        <w:tabs>
          <w:tab w:val="left" w:pos="735"/>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（2）不利用职务之便为自己及其代理人、受雇人或任何第三人谋取利益；</w:t>
      </w:r>
    </w:p>
    <w:p w:rsidR="005336CC" w:rsidRPr="000239D0" w:rsidRDefault="005336CC" w:rsidP="00AF28A3">
      <w:pPr>
        <w:tabs>
          <w:tab w:val="left" w:pos="735"/>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（3）不违反现行有效的有关法律、法规、规章、基金合同和中国证监会的有关规定，不泄漏在任职期间知悉的有关证券、基金的商业秘密、尚未依法公开的基金投资内容、基金投资计划等信息；</w:t>
      </w:r>
    </w:p>
    <w:p w:rsidR="005336CC" w:rsidRPr="000239D0" w:rsidRDefault="005336CC" w:rsidP="00AF28A3">
      <w:pPr>
        <w:tabs>
          <w:tab w:val="left" w:pos="735"/>
        </w:tabs>
        <w:snapToGrid w:val="0"/>
        <w:spacing w:line="360" w:lineRule="auto"/>
        <w:ind w:firstLineChars="0"/>
        <w:rPr>
          <w:rFonts w:asciiTheme="minorEastAsia" w:eastAsiaTheme="minorEastAsia" w:hAnsiTheme="minorEastAsia"/>
          <w:sz w:val="21"/>
        </w:rPr>
      </w:pPr>
      <w:r w:rsidRPr="000239D0">
        <w:rPr>
          <w:rFonts w:asciiTheme="minorEastAsia" w:eastAsiaTheme="minorEastAsia" w:hAnsiTheme="minorEastAsia" w:hint="eastAsia"/>
          <w:sz w:val="21"/>
        </w:rPr>
        <w:t>（4）不</w:t>
      </w:r>
      <w:r w:rsidRPr="000239D0">
        <w:rPr>
          <w:rFonts w:asciiTheme="minorEastAsia" w:eastAsiaTheme="minorEastAsia" w:hAnsiTheme="minorEastAsia"/>
          <w:sz w:val="21"/>
        </w:rPr>
        <w:t>从事损害基金财产和基金份额持有人利益的证券交易及其他活动。</w:t>
      </w:r>
    </w:p>
    <w:p w:rsidR="005336CC" w:rsidRPr="000239D0" w:rsidRDefault="00D53224"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15" w:name="_Toc219695777"/>
      <w:bookmarkStart w:id="16" w:name="_Toc36452354"/>
      <w:r w:rsidRPr="000239D0">
        <w:rPr>
          <w:rFonts w:asciiTheme="minorEastAsia" w:eastAsiaTheme="minorEastAsia" w:hAnsiTheme="minorEastAsia" w:hint="eastAsia"/>
          <w:b w:val="0"/>
          <w:bCs/>
          <w:szCs w:val="21"/>
        </w:rPr>
        <w:t>（五）</w:t>
      </w:r>
      <w:r w:rsidR="005336CC" w:rsidRPr="000239D0">
        <w:rPr>
          <w:rFonts w:asciiTheme="minorEastAsia" w:eastAsiaTheme="minorEastAsia" w:hAnsiTheme="minorEastAsia"/>
          <w:b w:val="0"/>
          <w:bCs/>
          <w:szCs w:val="21"/>
        </w:rPr>
        <w:t>基金管理人的内部控制制度</w:t>
      </w:r>
      <w:bookmarkEnd w:id="15"/>
      <w:bookmarkEnd w:id="16"/>
    </w:p>
    <w:p w:rsidR="005336CC" w:rsidRPr="000239D0" w:rsidRDefault="005336CC"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5336CC" w:rsidRPr="000239D0" w:rsidRDefault="00AD684A" w:rsidP="000B1E9F">
      <w:pPr>
        <w:tabs>
          <w:tab w:val="left" w:pos="735"/>
        </w:tabs>
        <w:snapToGrid w:val="0"/>
        <w:spacing w:line="360" w:lineRule="auto"/>
        <w:ind w:firstLineChars="0" w:firstLine="0"/>
        <w:rPr>
          <w:rFonts w:asciiTheme="minorEastAsia" w:eastAsiaTheme="minorEastAsia" w:hAnsiTheme="minorEastAsia"/>
          <w:b/>
          <w:bCs/>
          <w:szCs w:val="21"/>
        </w:rPr>
      </w:pPr>
      <w:bookmarkStart w:id="17" w:name="_Toc79238480"/>
      <w:r w:rsidRPr="000239D0">
        <w:rPr>
          <w:rFonts w:asciiTheme="minorEastAsia" w:eastAsiaTheme="minorEastAsia" w:hAnsiTheme="minorEastAsia" w:hint="eastAsia"/>
          <w:b/>
          <w:bCs/>
          <w:sz w:val="21"/>
        </w:rPr>
        <w:t>1、</w:t>
      </w:r>
      <w:r w:rsidR="005336CC" w:rsidRPr="000239D0">
        <w:rPr>
          <w:rFonts w:asciiTheme="minorEastAsia" w:eastAsiaTheme="minorEastAsia" w:hAnsiTheme="minorEastAsia" w:hint="eastAsia"/>
          <w:b/>
          <w:bCs/>
          <w:sz w:val="21"/>
        </w:rPr>
        <w:t>公司内部控制的总体目标</w:t>
      </w:r>
      <w:bookmarkEnd w:id="17"/>
    </w:p>
    <w:p w:rsidR="005336CC" w:rsidRPr="000239D0" w:rsidRDefault="005336CC" w:rsidP="00AF28A3">
      <w:pPr>
        <w:numPr>
          <w:ilvl w:val="1"/>
          <w:numId w:val="8"/>
        </w:numPr>
        <w:tabs>
          <w:tab w:val="clear" w:pos="851"/>
        </w:tabs>
        <w:snapToGrid w:val="0"/>
        <w:spacing w:line="360" w:lineRule="auto"/>
        <w:ind w:leftChars="177" w:left="426" w:firstLineChars="0" w:hanging="1"/>
        <w:rPr>
          <w:rFonts w:asciiTheme="minorEastAsia" w:eastAsiaTheme="minorEastAsia" w:hAnsiTheme="minorEastAsia"/>
          <w:sz w:val="21"/>
        </w:rPr>
      </w:pPr>
      <w:r w:rsidRPr="000239D0">
        <w:rPr>
          <w:rFonts w:asciiTheme="minorEastAsia" w:eastAsiaTheme="minorEastAsia" w:hAnsiTheme="minorEastAsia" w:hint="eastAsia"/>
          <w:sz w:val="21"/>
        </w:rPr>
        <w:t>保证公司经营管理活动的合法合规性；</w:t>
      </w:r>
    </w:p>
    <w:p w:rsidR="005336CC" w:rsidRPr="000239D0" w:rsidRDefault="005336CC" w:rsidP="00AF28A3">
      <w:pPr>
        <w:numPr>
          <w:ilvl w:val="1"/>
          <w:numId w:val="8"/>
        </w:numPr>
        <w:tabs>
          <w:tab w:val="clear" w:pos="851"/>
        </w:tabs>
        <w:snapToGrid w:val="0"/>
        <w:spacing w:line="360" w:lineRule="auto"/>
        <w:ind w:leftChars="177" w:left="426" w:firstLineChars="0" w:hanging="1"/>
        <w:rPr>
          <w:rFonts w:asciiTheme="minorEastAsia" w:eastAsiaTheme="minorEastAsia" w:hAnsiTheme="minorEastAsia"/>
          <w:sz w:val="21"/>
        </w:rPr>
      </w:pPr>
      <w:r w:rsidRPr="000239D0">
        <w:rPr>
          <w:rFonts w:asciiTheme="minorEastAsia" w:eastAsiaTheme="minorEastAsia" w:hAnsiTheme="minorEastAsia" w:hint="eastAsia"/>
          <w:sz w:val="21"/>
        </w:rPr>
        <w:t>保证基金份额持有人的合法权益不受侵犯；</w:t>
      </w:r>
    </w:p>
    <w:p w:rsidR="005336CC" w:rsidRPr="000239D0" w:rsidRDefault="005336CC" w:rsidP="00AF28A3">
      <w:pPr>
        <w:numPr>
          <w:ilvl w:val="1"/>
          <w:numId w:val="8"/>
        </w:numPr>
        <w:tabs>
          <w:tab w:val="clear" w:pos="851"/>
        </w:tabs>
        <w:snapToGrid w:val="0"/>
        <w:spacing w:line="360" w:lineRule="auto"/>
        <w:ind w:leftChars="177" w:left="426" w:firstLineChars="0" w:hanging="1"/>
        <w:rPr>
          <w:rFonts w:asciiTheme="minorEastAsia" w:eastAsiaTheme="minorEastAsia" w:hAnsiTheme="minorEastAsia"/>
          <w:sz w:val="21"/>
        </w:rPr>
      </w:pPr>
      <w:r w:rsidRPr="000239D0">
        <w:rPr>
          <w:rFonts w:asciiTheme="minorEastAsia" w:eastAsiaTheme="minorEastAsia" w:hAnsiTheme="minorEastAsia" w:hint="eastAsia"/>
          <w:sz w:val="21"/>
        </w:rPr>
        <w:t>实现公司稳健、持续发展，维护股东权益；</w:t>
      </w:r>
    </w:p>
    <w:p w:rsidR="005336CC" w:rsidRPr="000239D0" w:rsidRDefault="005336CC" w:rsidP="00AF28A3">
      <w:pPr>
        <w:numPr>
          <w:ilvl w:val="1"/>
          <w:numId w:val="8"/>
        </w:numPr>
        <w:tabs>
          <w:tab w:val="clear" w:pos="851"/>
        </w:tabs>
        <w:snapToGrid w:val="0"/>
        <w:spacing w:line="360" w:lineRule="auto"/>
        <w:ind w:leftChars="177" w:left="426" w:firstLineChars="0" w:hanging="1"/>
        <w:rPr>
          <w:rFonts w:asciiTheme="minorEastAsia" w:eastAsiaTheme="minorEastAsia" w:hAnsiTheme="minorEastAsia"/>
          <w:sz w:val="21"/>
        </w:rPr>
      </w:pPr>
      <w:r w:rsidRPr="000239D0">
        <w:rPr>
          <w:rFonts w:asciiTheme="minorEastAsia" w:eastAsiaTheme="minorEastAsia" w:hAnsiTheme="minorEastAsia" w:hint="eastAsia"/>
          <w:sz w:val="21"/>
        </w:rPr>
        <w:t>促进公司全体员工恪守职业操守，正直诚信，廉洁自律，勤勉尽责；</w:t>
      </w:r>
    </w:p>
    <w:p w:rsidR="005336CC" w:rsidRPr="000239D0" w:rsidRDefault="005336CC" w:rsidP="00AF28A3">
      <w:pPr>
        <w:numPr>
          <w:ilvl w:val="1"/>
          <w:numId w:val="8"/>
        </w:numPr>
        <w:tabs>
          <w:tab w:val="clear" w:pos="851"/>
        </w:tabs>
        <w:snapToGrid w:val="0"/>
        <w:spacing w:line="360" w:lineRule="auto"/>
        <w:ind w:leftChars="177" w:left="426" w:firstLineChars="0" w:hanging="1"/>
        <w:rPr>
          <w:rFonts w:asciiTheme="minorEastAsia" w:eastAsiaTheme="minorEastAsia" w:hAnsiTheme="minorEastAsia"/>
          <w:sz w:val="21"/>
        </w:rPr>
      </w:pPr>
      <w:r w:rsidRPr="000239D0">
        <w:rPr>
          <w:rFonts w:asciiTheme="minorEastAsia" w:eastAsiaTheme="minorEastAsia" w:hAnsiTheme="minorEastAsia" w:hint="eastAsia"/>
          <w:sz w:val="21"/>
        </w:rPr>
        <w:t>保护公司最重要的资本：公司声誉。</w:t>
      </w:r>
    </w:p>
    <w:p w:rsidR="005336CC" w:rsidRPr="000239D0" w:rsidRDefault="00AD684A" w:rsidP="000B1E9F">
      <w:pPr>
        <w:tabs>
          <w:tab w:val="left" w:pos="735"/>
        </w:tabs>
        <w:snapToGrid w:val="0"/>
        <w:spacing w:line="360" w:lineRule="auto"/>
        <w:ind w:firstLineChars="0" w:firstLine="0"/>
        <w:rPr>
          <w:rFonts w:asciiTheme="minorEastAsia" w:eastAsiaTheme="minorEastAsia" w:hAnsiTheme="minorEastAsia"/>
          <w:b/>
          <w:bCs/>
          <w:szCs w:val="21"/>
        </w:rPr>
      </w:pPr>
      <w:bookmarkStart w:id="18" w:name="_Toc79238481"/>
      <w:r w:rsidRPr="000239D0">
        <w:rPr>
          <w:rFonts w:asciiTheme="minorEastAsia" w:eastAsiaTheme="minorEastAsia" w:hAnsiTheme="minorEastAsia" w:hint="eastAsia"/>
          <w:b/>
          <w:bCs/>
          <w:sz w:val="21"/>
        </w:rPr>
        <w:t>2、</w:t>
      </w:r>
      <w:r w:rsidR="005336CC" w:rsidRPr="000239D0">
        <w:rPr>
          <w:rFonts w:asciiTheme="minorEastAsia" w:eastAsiaTheme="minorEastAsia" w:hAnsiTheme="minorEastAsia" w:hint="eastAsia"/>
          <w:b/>
          <w:bCs/>
          <w:sz w:val="21"/>
        </w:rPr>
        <w:t>公司内部控制遵循的原则</w:t>
      </w:r>
      <w:bookmarkEnd w:id="18"/>
    </w:p>
    <w:p w:rsidR="005336CC" w:rsidRPr="000239D0" w:rsidRDefault="00AD684A"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（1）</w:t>
      </w:r>
      <w:r w:rsidR="005336CC" w:rsidRPr="000239D0">
        <w:rPr>
          <w:rFonts w:asciiTheme="minorEastAsia" w:eastAsiaTheme="minorEastAsia" w:hAnsiTheme="minorEastAsia" w:hint="eastAsia"/>
          <w:szCs w:val="21"/>
        </w:rPr>
        <w:t>全面性原则：内部控制必须覆盖公司的所有部门和岗位，渗透各项业务过程和业务环节，并普遍适用于公司每一位职员；</w:t>
      </w:r>
    </w:p>
    <w:p w:rsidR="005336CC" w:rsidRPr="000239D0" w:rsidRDefault="00AD684A"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lastRenderedPageBreak/>
        <w:t>（2）</w:t>
      </w:r>
      <w:r w:rsidR="005336CC" w:rsidRPr="000239D0">
        <w:rPr>
          <w:rFonts w:asciiTheme="minorEastAsia" w:eastAsiaTheme="minorEastAsia" w:hAnsiTheme="minorEastAsia" w:hint="eastAsia"/>
          <w:szCs w:val="21"/>
        </w:rPr>
        <w:t>审慎性原则：内部控制的核心是有效防范各种风险，公司组织体系的构成、内部管理制度的建立都要以防范风险、审慎经营为出发点；</w:t>
      </w:r>
    </w:p>
    <w:p w:rsidR="005336CC" w:rsidRPr="000239D0" w:rsidRDefault="00AD684A"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（3）</w:t>
      </w:r>
      <w:r w:rsidR="005336CC" w:rsidRPr="000239D0">
        <w:rPr>
          <w:rFonts w:asciiTheme="minorEastAsia" w:eastAsiaTheme="minorEastAsia" w:hAnsiTheme="minorEastAsia" w:hint="eastAsia"/>
          <w:szCs w:val="21"/>
        </w:rPr>
        <w:t>相互制约原则：公司设置的各部门、各岗位权责分明、相互制衡；</w:t>
      </w:r>
    </w:p>
    <w:p w:rsidR="005336CC" w:rsidRPr="000239D0" w:rsidRDefault="00AD684A"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（4）</w:t>
      </w:r>
      <w:r w:rsidR="005336CC" w:rsidRPr="000239D0">
        <w:rPr>
          <w:rFonts w:asciiTheme="minorEastAsia" w:eastAsiaTheme="minorEastAsia" w:hAnsiTheme="minorEastAsia" w:hint="eastAsia"/>
          <w:szCs w:val="21"/>
        </w:rPr>
        <w:t>独立性原则：公司根据业务的需要设立相对独立的机构、部门和岗位；公司内部部门和岗位的设置必须权责分明；</w:t>
      </w:r>
    </w:p>
    <w:p w:rsidR="005336CC" w:rsidRPr="000239D0" w:rsidRDefault="00AD684A"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（5）</w:t>
      </w:r>
      <w:r w:rsidR="005336CC" w:rsidRPr="000239D0">
        <w:rPr>
          <w:rFonts w:asciiTheme="minorEastAsia" w:eastAsiaTheme="minorEastAsia" w:hAnsiTheme="minorEastAsia" w:hint="eastAsia"/>
          <w:szCs w:val="21"/>
        </w:rPr>
        <w:t>有效性原则：各种内部管理制度具有高度的权威性，应是所有员工严格遵守的行动指南；执行内部管理制度不能有任何例外，任何人不得拥有超越制度或违反规章的权力；</w:t>
      </w:r>
    </w:p>
    <w:p w:rsidR="005336CC" w:rsidRPr="000239D0" w:rsidRDefault="00AD684A"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（6）</w:t>
      </w:r>
      <w:r w:rsidR="005336CC" w:rsidRPr="000239D0">
        <w:rPr>
          <w:rFonts w:asciiTheme="minorEastAsia" w:eastAsiaTheme="minorEastAsia" w:hAnsiTheme="minorEastAsia" w:hint="eastAsia"/>
          <w:szCs w:val="21"/>
        </w:rPr>
        <w:t>适时性原则：内部控制应具有前瞻性，并且必须随着公司经营战略、经营方针、经营理念等内部环境的变化和国家法律、法规、政策制度等外部环境的改变及时进行相应的修改和完善；</w:t>
      </w:r>
    </w:p>
    <w:p w:rsidR="005336CC" w:rsidRPr="000239D0" w:rsidRDefault="00AD684A"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（7）</w:t>
      </w:r>
      <w:r w:rsidR="005336CC" w:rsidRPr="000239D0">
        <w:rPr>
          <w:rFonts w:asciiTheme="minorEastAsia" w:eastAsiaTheme="minorEastAsia" w:hAnsiTheme="minorEastAsia" w:hint="eastAsia"/>
          <w:szCs w:val="21"/>
        </w:rPr>
        <w:t>成本效益原则：公司运用科学化的经营管理方法降低运作成本，提高经济效益，力争以合理的控制成本达到最佳的内部控制效果。</w:t>
      </w:r>
    </w:p>
    <w:p w:rsidR="005336CC" w:rsidRPr="000239D0" w:rsidRDefault="00AD684A" w:rsidP="000B1E9F">
      <w:pPr>
        <w:tabs>
          <w:tab w:val="left" w:pos="735"/>
        </w:tabs>
        <w:snapToGrid w:val="0"/>
        <w:spacing w:line="360" w:lineRule="auto"/>
        <w:ind w:firstLineChars="0" w:firstLine="0"/>
        <w:rPr>
          <w:rFonts w:asciiTheme="minorEastAsia" w:eastAsiaTheme="minorEastAsia" w:hAnsiTheme="minorEastAsia"/>
          <w:b/>
          <w:bCs/>
        </w:rPr>
      </w:pPr>
      <w:bookmarkStart w:id="19" w:name="_Toc79238482"/>
      <w:r w:rsidRPr="000239D0">
        <w:rPr>
          <w:rFonts w:asciiTheme="minorEastAsia" w:eastAsiaTheme="minorEastAsia" w:hAnsiTheme="minorEastAsia" w:hint="eastAsia"/>
          <w:b/>
          <w:bCs/>
          <w:sz w:val="21"/>
        </w:rPr>
        <w:t>3、</w:t>
      </w:r>
      <w:r w:rsidR="005336CC" w:rsidRPr="000239D0">
        <w:rPr>
          <w:rFonts w:asciiTheme="minorEastAsia" w:eastAsiaTheme="minorEastAsia" w:hAnsiTheme="minorEastAsia" w:hint="eastAsia"/>
          <w:b/>
          <w:bCs/>
          <w:sz w:val="21"/>
        </w:rPr>
        <w:t>内部控制的制度体系</w:t>
      </w:r>
      <w:bookmarkEnd w:id="19"/>
    </w:p>
    <w:p w:rsidR="005336CC" w:rsidRPr="000239D0" w:rsidRDefault="005336CC"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5336CC" w:rsidRPr="000239D0" w:rsidRDefault="00AD684A" w:rsidP="000B1E9F">
      <w:pPr>
        <w:tabs>
          <w:tab w:val="left" w:pos="735"/>
        </w:tabs>
        <w:snapToGrid w:val="0"/>
        <w:spacing w:line="360" w:lineRule="auto"/>
        <w:ind w:firstLineChars="0" w:firstLine="0"/>
        <w:rPr>
          <w:rFonts w:asciiTheme="minorEastAsia" w:eastAsiaTheme="minorEastAsia" w:hAnsiTheme="minorEastAsia"/>
          <w:b/>
          <w:bCs/>
          <w:sz w:val="21"/>
        </w:rPr>
      </w:pPr>
      <w:bookmarkStart w:id="20" w:name="_Toc79238483"/>
      <w:r w:rsidRPr="000239D0">
        <w:rPr>
          <w:rFonts w:asciiTheme="minorEastAsia" w:eastAsiaTheme="minorEastAsia" w:hAnsiTheme="minorEastAsia" w:hint="eastAsia"/>
          <w:b/>
          <w:szCs w:val="21"/>
        </w:rPr>
        <w:t>4、</w:t>
      </w:r>
      <w:r w:rsidR="005336CC" w:rsidRPr="000239D0">
        <w:rPr>
          <w:rFonts w:asciiTheme="minorEastAsia" w:eastAsiaTheme="minorEastAsia" w:hAnsiTheme="minorEastAsia" w:hint="eastAsia"/>
          <w:b/>
          <w:bCs/>
          <w:sz w:val="21"/>
        </w:rPr>
        <w:t>关于授权、研究、投资、交易等方面的控制点</w:t>
      </w:r>
      <w:bookmarkEnd w:id="20"/>
    </w:p>
    <w:p w:rsidR="005336CC" w:rsidRPr="000239D0" w:rsidRDefault="00AD684A" w:rsidP="00AF28A3">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（1）</w:t>
      </w:r>
      <w:r w:rsidR="005336CC" w:rsidRPr="000239D0">
        <w:rPr>
          <w:rFonts w:asciiTheme="minorEastAsia" w:eastAsiaTheme="minorEastAsia" w:hAnsiTheme="minorEastAsia" w:hint="eastAsia"/>
          <w:szCs w:val="21"/>
        </w:rPr>
        <w:t>授权制度</w:t>
      </w:r>
    </w:p>
    <w:p w:rsidR="005336CC" w:rsidRPr="000239D0" w:rsidRDefault="005336CC"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5336CC" w:rsidRPr="000239D0" w:rsidRDefault="00AD684A" w:rsidP="00AF28A3">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（2）</w:t>
      </w:r>
      <w:r w:rsidR="005336CC" w:rsidRPr="000239D0">
        <w:rPr>
          <w:rFonts w:asciiTheme="minorEastAsia" w:eastAsiaTheme="minorEastAsia" w:hAnsiTheme="minorEastAsia" w:hint="eastAsia"/>
          <w:szCs w:val="21"/>
        </w:rPr>
        <w:t>公司研究业务</w:t>
      </w:r>
    </w:p>
    <w:p w:rsidR="005336CC" w:rsidRPr="000239D0" w:rsidRDefault="005336CC"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5336CC" w:rsidRPr="000239D0" w:rsidRDefault="00AD684A" w:rsidP="00AF28A3">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lastRenderedPageBreak/>
        <w:t>（3）</w:t>
      </w:r>
      <w:r w:rsidR="005336CC" w:rsidRPr="000239D0">
        <w:rPr>
          <w:rFonts w:asciiTheme="minorEastAsia" w:eastAsiaTheme="minorEastAsia" w:hAnsiTheme="minorEastAsia" w:hint="eastAsia"/>
          <w:szCs w:val="21"/>
        </w:rPr>
        <w:t>基金投资业务</w:t>
      </w:r>
    </w:p>
    <w:p w:rsidR="005336CC" w:rsidRPr="000239D0" w:rsidRDefault="005336CC"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rsidR="005336CC" w:rsidRPr="000239D0" w:rsidRDefault="00AD684A" w:rsidP="00AF28A3">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（4）</w:t>
      </w:r>
      <w:r w:rsidR="005336CC" w:rsidRPr="000239D0">
        <w:rPr>
          <w:rFonts w:asciiTheme="minorEastAsia" w:eastAsiaTheme="minorEastAsia" w:hAnsiTheme="minorEastAsia" w:hint="eastAsia"/>
          <w:szCs w:val="21"/>
        </w:rPr>
        <w:t>交易业务</w:t>
      </w:r>
    </w:p>
    <w:p w:rsidR="005336CC" w:rsidRPr="000239D0" w:rsidRDefault="005336CC" w:rsidP="00AF28A3">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5336CC" w:rsidRPr="000239D0" w:rsidRDefault="00AD684A" w:rsidP="00AF28A3">
      <w:pPr>
        <w:tabs>
          <w:tab w:val="left" w:pos="735"/>
        </w:tabs>
        <w:snapToGrid w:val="0"/>
        <w:spacing w:line="360" w:lineRule="auto"/>
        <w:ind w:firstLineChars="0"/>
        <w:rPr>
          <w:rFonts w:asciiTheme="minorEastAsia" w:eastAsiaTheme="minorEastAsia" w:hAnsiTheme="minorEastAsia"/>
          <w:sz w:val="21"/>
          <w:szCs w:val="21"/>
        </w:rPr>
      </w:pPr>
      <w:r w:rsidRPr="000239D0">
        <w:rPr>
          <w:rFonts w:asciiTheme="minorEastAsia" w:eastAsiaTheme="minorEastAsia" w:hAnsiTheme="minorEastAsia" w:hint="eastAsia"/>
          <w:sz w:val="21"/>
        </w:rPr>
        <w:t>（5）</w:t>
      </w:r>
      <w:r w:rsidR="005336CC" w:rsidRPr="000239D0">
        <w:rPr>
          <w:rFonts w:asciiTheme="minorEastAsia" w:eastAsiaTheme="minorEastAsia" w:hAnsiTheme="minorEastAsia" w:hint="eastAsia"/>
          <w:sz w:val="21"/>
        </w:rPr>
        <w:t>基金会计核算</w:t>
      </w:r>
    </w:p>
    <w:p w:rsidR="005336CC" w:rsidRPr="000239D0" w:rsidRDefault="005336CC" w:rsidP="00AF28A3">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5336CC" w:rsidRPr="000239D0" w:rsidRDefault="005336CC" w:rsidP="00AF28A3">
      <w:pPr>
        <w:numPr>
          <w:ilvl w:val="1"/>
          <w:numId w:val="8"/>
        </w:numPr>
        <w:tabs>
          <w:tab w:val="left" w:pos="735"/>
        </w:tabs>
        <w:snapToGrid w:val="0"/>
        <w:spacing w:line="360" w:lineRule="auto"/>
        <w:ind w:left="0" w:firstLineChars="0" w:firstLine="200"/>
        <w:rPr>
          <w:rFonts w:asciiTheme="minorEastAsia" w:eastAsiaTheme="minorEastAsia" w:hAnsiTheme="minorEastAsia"/>
          <w:sz w:val="21"/>
          <w:szCs w:val="21"/>
        </w:rPr>
      </w:pPr>
      <w:r w:rsidRPr="000239D0">
        <w:rPr>
          <w:rFonts w:asciiTheme="minorEastAsia" w:eastAsiaTheme="minorEastAsia" w:hAnsiTheme="minorEastAsia" w:hint="eastAsia"/>
          <w:sz w:val="21"/>
        </w:rPr>
        <w:t>信息披露</w:t>
      </w:r>
    </w:p>
    <w:p w:rsidR="005336CC" w:rsidRPr="000239D0" w:rsidRDefault="005336CC" w:rsidP="00AF28A3">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5336CC" w:rsidRPr="000239D0" w:rsidRDefault="00A15EB3" w:rsidP="00AF28A3">
      <w:pPr>
        <w:numPr>
          <w:ilvl w:val="1"/>
          <w:numId w:val="8"/>
        </w:numPr>
        <w:tabs>
          <w:tab w:val="left" w:pos="735"/>
        </w:tabs>
        <w:snapToGrid w:val="0"/>
        <w:spacing w:line="360" w:lineRule="auto"/>
        <w:ind w:left="0" w:firstLineChars="0" w:firstLine="200"/>
        <w:rPr>
          <w:rFonts w:asciiTheme="minorEastAsia" w:eastAsiaTheme="minorEastAsia" w:hAnsiTheme="minorEastAsia"/>
          <w:sz w:val="21"/>
          <w:szCs w:val="21"/>
        </w:rPr>
      </w:pPr>
      <w:r w:rsidRPr="000239D0">
        <w:rPr>
          <w:rFonts w:asciiTheme="minorEastAsia" w:eastAsiaTheme="minorEastAsia" w:hAnsiTheme="minorEastAsia" w:hint="eastAsia"/>
          <w:sz w:val="21"/>
        </w:rPr>
        <w:t>监察与合规管理</w:t>
      </w:r>
    </w:p>
    <w:p w:rsidR="0097439D" w:rsidRPr="000239D0" w:rsidRDefault="0097439D" w:rsidP="00AF28A3">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97439D" w:rsidRPr="000239D0" w:rsidRDefault="0097439D" w:rsidP="00AF28A3">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97439D" w:rsidRPr="000239D0" w:rsidRDefault="0097439D" w:rsidP="00FC46C4">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rsidR="005336CC" w:rsidRPr="000239D0" w:rsidRDefault="0097439D"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rsidR="005336CC" w:rsidRPr="000239D0" w:rsidRDefault="00AD684A" w:rsidP="000B1E9F">
      <w:pPr>
        <w:tabs>
          <w:tab w:val="left" w:pos="735"/>
        </w:tabs>
        <w:snapToGrid w:val="0"/>
        <w:spacing w:line="360" w:lineRule="auto"/>
        <w:ind w:firstLineChars="0" w:firstLine="0"/>
        <w:rPr>
          <w:rFonts w:asciiTheme="minorEastAsia" w:eastAsiaTheme="minorEastAsia" w:hAnsiTheme="minorEastAsia"/>
          <w:b/>
          <w:bCs/>
        </w:rPr>
      </w:pPr>
      <w:bookmarkStart w:id="21" w:name="_Toc79238484"/>
      <w:r w:rsidRPr="000239D0">
        <w:rPr>
          <w:rFonts w:asciiTheme="minorEastAsia" w:eastAsiaTheme="minorEastAsia" w:hAnsiTheme="minorEastAsia" w:hint="eastAsia"/>
          <w:b/>
          <w:bCs/>
          <w:sz w:val="21"/>
        </w:rPr>
        <w:lastRenderedPageBreak/>
        <w:t>5、</w:t>
      </w:r>
      <w:r w:rsidR="005336CC" w:rsidRPr="000239D0">
        <w:rPr>
          <w:rFonts w:asciiTheme="minorEastAsia" w:eastAsiaTheme="minorEastAsia" w:hAnsiTheme="minorEastAsia" w:hint="eastAsia"/>
          <w:b/>
          <w:bCs/>
          <w:sz w:val="21"/>
        </w:rPr>
        <w:t>基金管理人关于内部控制制度声明书</w:t>
      </w:r>
      <w:bookmarkEnd w:id="21"/>
    </w:p>
    <w:p w:rsidR="005336CC" w:rsidRPr="000239D0" w:rsidRDefault="00AD684A" w:rsidP="00AF28A3">
      <w:pPr>
        <w:tabs>
          <w:tab w:val="left" w:pos="735"/>
        </w:tabs>
        <w:snapToGrid w:val="0"/>
        <w:spacing w:line="360" w:lineRule="auto"/>
        <w:ind w:firstLineChars="150" w:firstLine="315"/>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本公司承诺以上关于内部控制制度的披露真实、准确；</w:t>
      </w:r>
    </w:p>
    <w:p w:rsidR="005336CC" w:rsidRPr="000239D0" w:rsidRDefault="00AD684A" w:rsidP="000B1E9F">
      <w:pPr>
        <w:tabs>
          <w:tab w:val="left" w:pos="735"/>
        </w:tabs>
        <w:snapToGrid w:val="0"/>
        <w:spacing w:line="360" w:lineRule="auto"/>
        <w:ind w:firstLineChars="150" w:firstLine="315"/>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本公司承诺根据市场变化和公司业务发展不断完善内部控制制度。</w:t>
      </w:r>
    </w:p>
    <w:p w:rsidR="001B63A4" w:rsidRPr="000239D0" w:rsidRDefault="001B63A4" w:rsidP="00AF28A3">
      <w:pPr>
        <w:tabs>
          <w:tab w:val="left" w:pos="735"/>
        </w:tabs>
        <w:snapToGrid w:val="0"/>
        <w:spacing w:line="360" w:lineRule="auto"/>
        <w:ind w:firstLineChars="150" w:firstLine="315"/>
        <w:rPr>
          <w:rFonts w:asciiTheme="minorEastAsia" w:eastAsiaTheme="minorEastAsia" w:hAnsiTheme="minorEastAsia"/>
          <w:sz w:val="21"/>
        </w:rPr>
        <w:sectPr w:rsidR="001B63A4" w:rsidRPr="000239D0" w:rsidSect="007D09C8">
          <w:headerReference w:type="even" r:id="rId17"/>
          <w:footerReference w:type="default" r:id="rId18"/>
          <w:pgSz w:w="11906" w:h="16838" w:code="9"/>
          <w:pgMar w:top="1701" w:right="1301" w:bottom="1701" w:left="2268" w:header="1134" w:footer="1247" w:gutter="0"/>
          <w:pgNumType w:start="1"/>
          <w:cols w:space="425"/>
          <w:docGrid w:type="lines" w:linePitch="447"/>
        </w:sect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
          <w:bCs/>
          <w:kern w:val="44"/>
          <w:szCs w:val="44"/>
        </w:rPr>
      </w:pPr>
      <w:bookmarkStart w:id="22" w:name="_Toc219695778"/>
      <w:bookmarkStart w:id="23" w:name="_Toc36452355"/>
      <w:r w:rsidRPr="000239D0">
        <w:rPr>
          <w:rFonts w:asciiTheme="minorEastAsia" w:eastAsiaTheme="minorEastAsia" w:hAnsiTheme="minorEastAsia"/>
          <w:b/>
          <w:bCs/>
          <w:kern w:val="44"/>
          <w:sz w:val="28"/>
          <w:szCs w:val="44"/>
        </w:rPr>
        <w:lastRenderedPageBreak/>
        <w:t>四、基金托管人</w:t>
      </w:r>
      <w:bookmarkEnd w:id="22"/>
      <w:bookmarkEnd w:id="23"/>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bookmarkStart w:id="24" w:name="_Toc212950403"/>
      <w:bookmarkStart w:id="25" w:name="_Toc219695779"/>
      <w:bookmarkStart w:id="26" w:name="_Toc279736057"/>
      <w:bookmarkStart w:id="27" w:name="_Toc280963982"/>
      <w:r w:rsidRPr="000239D0">
        <w:rPr>
          <w:rFonts w:asciiTheme="minorEastAsia" w:eastAsiaTheme="minorEastAsia" w:hAnsiTheme="minorEastAsia" w:hint="eastAsia"/>
          <w:szCs w:val="21"/>
        </w:rPr>
        <w:t>（一）基本情况</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名称：中国银行股份有限公司（简称</w:t>
      </w:r>
      <w:r w:rsidRPr="000239D0">
        <w:rPr>
          <w:rFonts w:asciiTheme="minorEastAsia" w:eastAsiaTheme="minorEastAsia" w:hAnsiTheme="minorEastAsia"/>
          <w:szCs w:val="21"/>
        </w:rPr>
        <w:t>“</w:t>
      </w:r>
      <w:r w:rsidRPr="000239D0">
        <w:rPr>
          <w:rFonts w:asciiTheme="minorEastAsia" w:eastAsiaTheme="minorEastAsia" w:hAnsiTheme="minorEastAsia" w:hint="eastAsia"/>
          <w:szCs w:val="21"/>
        </w:rPr>
        <w:t>中国银行</w:t>
      </w:r>
      <w:r w:rsidRPr="000239D0">
        <w:rPr>
          <w:rFonts w:asciiTheme="minorEastAsia" w:eastAsiaTheme="minorEastAsia" w:hAnsiTheme="minorEastAsia"/>
          <w:szCs w:val="21"/>
        </w:rPr>
        <w:t>”</w:t>
      </w:r>
      <w:r w:rsidRPr="000239D0">
        <w:rPr>
          <w:rFonts w:asciiTheme="minorEastAsia" w:eastAsiaTheme="minorEastAsia" w:hAnsiTheme="minorEastAsia" w:hint="eastAsia"/>
          <w:szCs w:val="21"/>
        </w:rPr>
        <w:t>）</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住所及办公地址：北京市西城区复兴门内大街</w:t>
      </w:r>
      <w:r w:rsidRPr="000239D0">
        <w:rPr>
          <w:rFonts w:asciiTheme="minorEastAsia" w:eastAsiaTheme="minorEastAsia" w:hAnsiTheme="minorEastAsia"/>
          <w:szCs w:val="21"/>
        </w:rPr>
        <w:t>1</w:t>
      </w:r>
      <w:r w:rsidRPr="000239D0">
        <w:rPr>
          <w:rFonts w:asciiTheme="minorEastAsia" w:eastAsiaTheme="minorEastAsia" w:hAnsiTheme="minorEastAsia" w:hint="eastAsia"/>
          <w:szCs w:val="21"/>
        </w:rPr>
        <w:t>号</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首次注册登记日期：</w:t>
      </w:r>
      <w:smartTag w:uri="urn:schemas-microsoft-com:office:smarttags" w:element="chsdate">
        <w:smartTagPr>
          <w:attr w:name="IsROCDate" w:val="False"/>
          <w:attr w:name="IsLunarDate" w:val="False"/>
          <w:attr w:name="Day" w:val="31"/>
          <w:attr w:name="Month" w:val="10"/>
          <w:attr w:name="Year" w:val="1983"/>
        </w:smartTagPr>
        <w:r w:rsidRPr="000239D0">
          <w:rPr>
            <w:rFonts w:asciiTheme="minorEastAsia" w:eastAsiaTheme="minorEastAsia" w:hAnsiTheme="minorEastAsia"/>
            <w:szCs w:val="21"/>
          </w:rPr>
          <w:t>1983</w:t>
        </w:r>
        <w:r w:rsidRPr="000239D0">
          <w:rPr>
            <w:rFonts w:asciiTheme="minorEastAsia" w:eastAsiaTheme="minorEastAsia" w:hAnsiTheme="minorEastAsia" w:hint="eastAsia"/>
            <w:szCs w:val="21"/>
          </w:rPr>
          <w:t>年</w:t>
        </w:r>
        <w:r w:rsidRPr="000239D0">
          <w:rPr>
            <w:rFonts w:asciiTheme="minorEastAsia" w:eastAsiaTheme="minorEastAsia" w:hAnsiTheme="minorEastAsia"/>
            <w:szCs w:val="21"/>
          </w:rPr>
          <w:t>10</w:t>
        </w:r>
        <w:r w:rsidRPr="000239D0">
          <w:rPr>
            <w:rFonts w:asciiTheme="minorEastAsia" w:eastAsiaTheme="minorEastAsia" w:hAnsiTheme="minorEastAsia" w:hint="eastAsia"/>
            <w:szCs w:val="21"/>
          </w:rPr>
          <w:t>月</w:t>
        </w:r>
        <w:r w:rsidRPr="000239D0">
          <w:rPr>
            <w:rFonts w:asciiTheme="minorEastAsia" w:eastAsiaTheme="minorEastAsia" w:hAnsiTheme="minorEastAsia"/>
            <w:szCs w:val="21"/>
          </w:rPr>
          <w:t>31</w:t>
        </w:r>
        <w:r w:rsidRPr="000239D0">
          <w:rPr>
            <w:rFonts w:asciiTheme="minorEastAsia" w:eastAsiaTheme="minorEastAsia" w:hAnsiTheme="minorEastAsia" w:hint="eastAsia"/>
            <w:szCs w:val="21"/>
          </w:rPr>
          <w:t>日</w:t>
        </w:r>
      </w:smartTag>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注册资本：人民币贰仟玖佰肆拾叁亿捌仟柒佰柒拾玖万壹仟贰佰肆拾壹元整</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法定代表人：刘连舸</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基金托管业务批准文号：中国证监会证监基字【</w:t>
      </w:r>
      <w:r w:rsidRPr="000239D0">
        <w:rPr>
          <w:rFonts w:asciiTheme="minorEastAsia" w:eastAsiaTheme="minorEastAsia" w:hAnsiTheme="minorEastAsia"/>
          <w:szCs w:val="21"/>
        </w:rPr>
        <w:t>1998</w:t>
      </w:r>
      <w:r w:rsidRPr="000239D0">
        <w:rPr>
          <w:rFonts w:asciiTheme="minorEastAsia" w:eastAsiaTheme="minorEastAsia" w:hAnsiTheme="minorEastAsia" w:hint="eastAsia"/>
          <w:szCs w:val="21"/>
        </w:rPr>
        <w:t>】</w:t>
      </w:r>
      <w:r w:rsidRPr="000239D0">
        <w:rPr>
          <w:rFonts w:asciiTheme="minorEastAsia" w:eastAsiaTheme="minorEastAsia" w:hAnsiTheme="minorEastAsia"/>
          <w:szCs w:val="21"/>
        </w:rPr>
        <w:t xml:space="preserve">24 </w:t>
      </w:r>
      <w:r w:rsidRPr="000239D0">
        <w:rPr>
          <w:rFonts w:asciiTheme="minorEastAsia" w:eastAsiaTheme="minorEastAsia" w:hAnsiTheme="minorEastAsia" w:hint="eastAsia"/>
          <w:szCs w:val="21"/>
        </w:rPr>
        <w:t>号</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托管部门信息披露联系人：许俊</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传真：（</w:t>
      </w:r>
      <w:r w:rsidRPr="000239D0">
        <w:rPr>
          <w:rFonts w:asciiTheme="minorEastAsia" w:eastAsiaTheme="minorEastAsia" w:hAnsiTheme="minorEastAsia"/>
          <w:szCs w:val="21"/>
        </w:rPr>
        <w:t>010</w:t>
      </w:r>
      <w:r w:rsidRPr="000239D0">
        <w:rPr>
          <w:rFonts w:asciiTheme="minorEastAsia" w:eastAsiaTheme="minorEastAsia" w:hAnsiTheme="minorEastAsia" w:hint="eastAsia"/>
          <w:szCs w:val="21"/>
        </w:rPr>
        <w:t>）</w:t>
      </w:r>
      <w:r w:rsidRPr="000239D0">
        <w:rPr>
          <w:rFonts w:asciiTheme="minorEastAsia" w:eastAsiaTheme="minorEastAsia" w:hAnsiTheme="minorEastAsia"/>
          <w:szCs w:val="21"/>
        </w:rPr>
        <w:t>66594942</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中国银行客服电话：</w:t>
      </w:r>
      <w:r w:rsidRPr="000239D0">
        <w:rPr>
          <w:rFonts w:asciiTheme="minorEastAsia" w:eastAsiaTheme="minorEastAsia" w:hAnsiTheme="minorEastAsia"/>
          <w:szCs w:val="21"/>
        </w:rPr>
        <w:t>95566</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（二）基金托管部门及主要人员情况</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中国银行托管业务部设立于</w:t>
      </w:r>
      <w:r w:rsidRPr="000239D0">
        <w:rPr>
          <w:rFonts w:asciiTheme="minorEastAsia" w:eastAsiaTheme="minorEastAsia" w:hAnsiTheme="minorEastAsia"/>
          <w:szCs w:val="21"/>
        </w:rPr>
        <w:t>1998</w:t>
      </w:r>
      <w:r w:rsidRPr="000239D0">
        <w:rPr>
          <w:rFonts w:asciiTheme="minorEastAsia" w:eastAsiaTheme="minorEastAsia" w:hAnsiTheme="minorEastAsia" w:hint="eastAsia"/>
          <w:szCs w:val="21"/>
        </w:rPr>
        <w:t>年，现有员工</w:t>
      </w:r>
      <w:r w:rsidRPr="000239D0">
        <w:rPr>
          <w:rFonts w:asciiTheme="minorEastAsia" w:eastAsiaTheme="minorEastAsia" w:hAnsiTheme="minorEastAsia"/>
          <w:szCs w:val="21"/>
        </w:rPr>
        <w:t>110</w:t>
      </w:r>
      <w:r w:rsidRPr="000239D0">
        <w:rPr>
          <w:rFonts w:asciiTheme="minorEastAsia" w:eastAsiaTheme="minorEastAsia" w:hAnsiTheme="minorEastAsia" w:hint="eastAsia"/>
          <w:szCs w:val="21"/>
        </w:rPr>
        <w:t>余人，大部分员工具有丰富的银行、证券、基金、信托从业经验，且具有海外工作、学习或培训经历，</w:t>
      </w:r>
      <w:r w:rsidRPr="000239D0">
        <w:rPr>
          <w:rFonts w:asciiTheme="minorEastAsia" w:eastAsiaTheme="minorEastAsia" w:hAnsiTheme="minorEastAsia"/>
          <w:szCs w:val="21"/>
        </w:rPr>
        <w:t>60</w:t>
      </w:r>
      <w:r w:rsidRPr="000239D0">
        <w:rPr>
          <w:rFonts w:asciiTheme="minorEastAsia" w:eastAsiaTheme="minorEastAsia" w:hAnsiTheme="minorEastAsia" w:hint="eastAsia"/>
          <w:szCs w:val="21"/>
        </w:rPr>
        <w:t>％以上的员工具有硕士以上学位或高级职称。为给客户提供专业化的托管服务，中国银行已在境内、外分行开展托管业务。</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作为国内首批开展证券投资基金托管业务的商业银行，中国银行拥有证券投资基金、基金（一对多、一对一）、社保基金、保险资金、</w:t>
      </w:r>
      <w:r w:rsidRPr="000239D0">
        <w:rPr>
          <w:rFonts w:asciiTheme="minorEastAsia" w:eastAsiaTheme="minorEastAsia" w:hAnsiTheme="minorEastAsia"/>
          <w:szCs w:val="21"/>
        </w:rPr>
        <w:t>QFII</w:t>
      </w:r>
      <w:r w:rsidRPr="000239D0">
        <w:rPr>
          <w:rFonts w:asciiTheme="minorEastAsia" w:eastAsiaTheme="minorEastAsia" w:hAnsiTheme="minorEastAsia" w:hint="eastAsia"/>
          <w:szCs w:val="21"/>
        </w:rPr>
        <w:t>、</w:t>
      </w:r>
      <w:r w:rsidRPr="000239D0">
        <w:rPr>
          <w:rFonts w:asciiTheme="minorEastAsia" w:eastAsiaTheme="minorEastAsia" w:hAnsiTheme="minorEastAsia"/>
          <w:szCs w:val="21"/>
        </w:rPr>
        <w:t>RQFII</w:t>
      </w:r>
      <w:r w:rsidRPr="000239D0">
        <w:rPr>
          <w:rFonts w:asciiTheme="minorEastAsia" w:eastAsiaTheme="minorEastAsia" w:hAnsiTheme="minorEastAsia" w:hint="eastAsia"/>
          <w:szCs w:val="21"/>
        </w:rPr>
        <w:t>、</w:t>
      </w:r>
      <w:r w:rsidRPr="000239D0">
        <w:rPr>
          <w:rFonts w:asciiTheme="minorEastAsia" w:eastAsiaTheme="minorEastAsia" w:hAnsiTheme="minorEastAsia"/>
          <w:szCs w:val="21"/>
        </w:rPr>
        <w:t>QDII</w:t>
      </w:r>
      <w:r w:rsidRPr="000239D0">
        <w:rPr>
          <w:rFonts w:asciiTheme="minorEastAsia" w:eastAsiaTheme="minorEastAsia" w:hAnsiTheme="minorEastAsia" w:hint="eastAsia"/>
          <w:szCs w:val="21"/>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（三）证券投资基金托管情况</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截至</w:t>
      </w:r>
      <w:r w:rsidRPr="000239D0">
        <w:rPr>
          <w:rFonts w:asciiTheme="minorEastAsia" w:eastAsiaTheme="minorEastAsia" w:hAnsiTheme="minorEastAsia"/>
          <w:szCs w:val="21"/>
        </w:rPr>
        <w:t>2019年12月31日，中国银行已托管764只证券投资基金，其中境内基金722只，QDII基金42只，覆盖了股票型、债券型、混合型、货币型、指数型、FOF等多种类型的基金，满足了不同客户多元化的投资理财需求，基金托管规模位居同业前列。</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（四）托管业务的内部控制制度</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szCs w:val="21"/>
        </w:rPr>
        <w:t>2007</w:t>
      </w:r>
      <w:r w:rsidRPr="000239D0">
        <w:rPr>
          <w:rFonts w:asciiTheme="minorEastAsia" w:eastAsiaTheme="minorEastAsia" w:hAnsiTheme="minorEastAsia" w:hint="eastAsia"/>
          <w:szCs w:val="21"/>
        </w:rPr>
        <w:t>年起，中国银行连续聘请外部会计会计师事务所开展托管业务内部控制审阅工作。先后获得基于</w:t>
      </w:r>
      <w:r w:rsidRPr="000239D0">
        <w:rPr>
          <w:rFonts w:asciiTheme="minorEastAsia" w:eastAsiaTheme="minorEastAsia" w:hAnsiTheme="minorEastAsia"/>
          <w:szCs w:val="21"/>
        </w:rPr>
        <w:t xml:space="preserve"> </w:t>
      </w:r>
      <w:r w:rsidRPr="000239D0">
        <w:rPr>
          <w:rFonts w:asciiTheme="minorEastAsia" w:eastAsiaTheme="minorEastAsia" w:hAnsiTheme="minorEastAsia" w:hint="eastAsia"/>
          <w:szCs w:val="21"/>
        </w:rPr>
        <w:t>“</w:t>
      </w:r>
      <w:r w:rsidRPr="000239D0">
        <w:rPr>
          <w:rFonts w:asciiTheme="minorEastAsia" w:eastAsiaTheme="minorEastAsia" w:hAnsiTheme="minorEastAsia"/>
          <w:szCs w:val="21"/>
        </w:rPr>
        <w:t>SAS70</w:t>
      </w:r>
      <w:r w:rsidRPr="000239D0">
        <w:rPr>
          <w:rFonts w:asciiTheme="minorEastAsia" w:eastAsiaTheme="minorEastAsia" w:hAnsiTheme="minorEastAsia" w:hint="eastAsia"/>
          <w:szCs w:val="21"/>
        </w:rPr>
        <w:t>”、“</w:t>
      </w:r>
      <w:r w:rsidRPr="000239D0">
        <w:rPr>
          <w:rFonts w:asciiTheme="minorEastAsia" w:eastAsiaTheme="minorEastAsia" w:hAnsiTheme="minorEastAsia"/>
          <w:szCs w:val="21"/>
        </w:rPr>
        <w:t>AAF01/06</w:t>
      </w:r>
      <w:r w:rsidRPr="000239D0">
        <w:rPr>
          <w:rFonts w:asciiTheme="minorEastAsia" w:eastAsiaTheme="minorEastAsia" w:hAnsiTheme="minorEastAsia" w:hint="eastAsia"/>
          <w:szCs w:val="21"/>
        </w:rPr>
        <w:t>”</w:t>
      </w:r>
      <w:r w:rsidRPr="000239D0">
        <w:rPr>
          <w:rFonts w:asciiTheme="minorEastAsia" w:eastAsiaTheme="minorEastAsia" w:hAnsiTheme="minorEastAsia"/>
          <w:szCs w:val="21"/>
        </w:rPr>
        <w:t xml:space="preserve"> </w:t>
      </w:r>
      <w:r w:rsidRPr="000239D0">
        <w:rPr>
          <w:rFonts w:asciiTheme="minorEastAsia" w:eastAsiaTheme="minorEastAsia" w:hAnsiTheme="minorEastAsia" w:hint="eastAsia"/>
          <w:szCs w:val="21"/>
        </w:rPr>
        <w:t>“</w:t>
      </w:r>
      <w:r w:rsidRPr="000239D0">
        <w:rPr>
          <w:rFonts w:asciiTheme="minorEastAsia" w:eastAsiaTheme="minorEastAsia" w:hAnsiTheme="minorEastAsia"/>
          <w:szCs w:val="21"/>
        </w:rPr>
        <w:t>ISAE3402</w:t>
      </w:r>
      <w:r w:rsidRPr="000239D0">
        <w:rPr>
          <w:rFonts w:asciiTheme="minorEastAsia" w:eastAsiaTheme="minorEastAsia" w:hAnsiTheme="minorEastAsia" w:hint="eastAsia"/>
          <w:szCs w:val="21"/>
        </w:rPr>
        <w:t>”和“</w:t>
      </w:r>
      <w:r w:rsidRPr="000239D0">
        <w:rPr>
          <w:rFonts w:asciiTheme="minorEastAsia" w:eastAsiaTheme="minorEastAsia" w:hAnsiTheme="minorEastAsia"/>
          <w:szCs w:val="21"/>
        </w:rPr>
        <w:t>SSAE16</w:t>
      </w:r>
      <w:r w:rsidRPr="000239D0">
        <w:rPr>
          <w:rFonts w:asciiTheme="minorEastAsia" w:eastAsiaTheme="minorEastAsia" w:hAnsiTheme="minorEastAsia" w:hint="eastAsia"/>
          <w:szCs w:val="21"/>
        </w:rPr>
        <w:t>”等国际主流内控审阅准</w:t>
      </w:r>
      <w:r w:rsidRPr="000239D0">
        <w:rPr>
          <w:rFonts w:asciiTheme="minorEastAsia" w:eastAsiaTheme="minorEastAsia" w:hAnsiTheme="minorEastAsia" w:hint="eastAsia"/>
          <w:szCs w:val="21"/>
        </w:rPr>
        <w:lastRenderedPageBreak/>
        <w:t>则的无保留意见的审阅报告。</w:t>
      </w:r>
      <w:r w:rsidRPr="000239D0">
        <w:rPr>
          <w:rFonts w:asciiTheme="minorEastAsia" w:eastAsiaTheme="minorEastAsia" w:hAnsiTheme="minorEastAsia"/>
          <w:szCs w:val="21"/>
        </w:rPr>
        <w:t>2017</w:t>
      </w:r>
      <w:r w:rsidRPr="000239D0">
        <w:rPr>
          <w:rFonts w:asciiTheme="minorEastAsia" w:eastAsiaTheme="minorEastAsia" w:hAnsiTheme="minorEastAsia" w:hint="eastAsia"/>
          <w:szCs w:val="21"/>
        </w:rPr>
        <w:t>年，中国银行继续获得了基于“</w:t>
      </w:r>
      <w:r w:rsidRPr="000239D0">
        <w:rPr>
          <w:rFonts w:asciiTheme="minorEastAsia" w:eastAsiaTheme="minorEastAsia" w:hAnsiTheme="minorEastAsia"/>
          <w:szCs w:val="21"/>
        </w:rPr>
        <w:t>ISAE3402</w:t>
      </w:r>
      <w:r w:rsidRPr="000239D0">
        <w:rPr>
          <w:rFonts w:asciiTheme="minorEastAsia" w:eastAsiaTheme="minorEastAsia" w:hAnsiTheme="minorEastAsia" w:hint="eastAsia"/>
          <w:szCs w:val="21"/>
        </w:rPr>
        <w:t>”和“</w:t>
      </w:r>
      <w:r w:rsidRPr="000239D0">
        <w:rPr>
          <w:rFonts w:asciiTheme="minorEastAsia" w:eastAsiaTheme="minorEastAsia" w:hAnsiTheme="minorEastAsia"/>
          <w:szCs w:val="21"/>
        </w:rPr>
        <w:t>SSAE16</w:t>
      </w:r>
      <w:r w:rsidRPr="000239D0">
        <w:rPr>
          <w:rFonts w:asciiTheme="minorEastAsia" w:eastAsiaTheme="minorEastAsia" w:hAnsiTheme="minorEastAsia" w:hint="eastAsia"/>
          <w:szCs w:val="21"/>
        </w:rPr>
        <w:t>”双准则的内部控制审计报告。中国银行托管业务内控制度完善，内控措施严密，能够有效保证托管资产的安全。</w:t>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（五）托管人对管理人运作基金进行监督的方法和程序</w:t>
      </w:r>
    </w:p>
    <w:p w:rsidR="000B1E9F" w:rsidRPr="000239D0" w:rsidRDefault="00D82F63" w:rsidP="000B1E9F">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0239D0">
        <w:rPr>
          <w:rFonts w:asciiTheme="minorEastAsia" w:eastAsiaTheme="minorEastAsia" w:hAnsiTheme="minorEastAsia"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0239D0">
        <w:rPr>
          <w:rFonts w:asciiTheme="minorEastAsia" w:eastAsiaTheme="minorEastAsia" w:hAnsiTheme="minorEastAsia"/>
          <w:szCs w:val="21"/>
        </w:rPr>
        <w:t>,</w:t>
      </w:r>
      <w:r w:rsidRPr="000239D0">
        <w:rPr>
          <w:rFonts w:asciiTheme="minorEastAsia" w:eastAsiaTheme="minorEastAsia" w:hAnsiTheme="minorEastAsia" w:hint="eastAsia"/>
          <w:szCs w:val="21"/>
        </w:rPr>
        <w:t>应当及时通知基金管理人，并及时向国务院证券监督管理机构报告。</w:t>
      </w:r>
    </w:p>
    <w:p w:rsidR="000B1E9F" w:rsidRPr="000239D0" w:rsidRDefault="000B1E9F">
      <w:pPr>
        <w:widowControl/>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szCs w:val="21"/>
        </w:rPr>
        <w:br w:type="page"/>
      </w:r>
    </w:p>
    <w:p w:rsidR="00D82F63" w:rsidRPr="000239D0" w:rsidRDefault="00D82F63" w:rsidP="007D09C8">
      <w:pPr>
        <w:pStyle w:val="af1"/>
        <w:autoSpaceDE w:val="0"/>
        <w:autoSpaceDN w:val="0"/>
        <w:adjustRightInd w:val="0"/>
        <w:snapToGrid w:val="0"/>
        <w:spacing w:line="360" w:lineRule="auto"/>
        <w:ind w:firstLineChars="200"/>
        <w:rPr>
          <w:rFonts w:asciiTheme="minorEastAsia" w:eastAsiaTheme="minorEastAsia" w:hAnsiTheme="minorEastAsia"/>
          <w:szCs w:val="21"/>
        </w:r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bookmarkStart w:id="28" w:name="_Toc219695785"/>
      <w:bookmarkStart w:id="29" w:name="_Toc36452356"/>
      <w:bookmarkEnd w:id="24"/>
      <w:bookmarkEnd w:id="25"/>
      <w:bookmarkEnd w:id="26"/>
      <w:bookmarkEnd w:id="27"/>
      <w:r w:rsidRPr="000239D0">
        <w:rPr>
          <w:rFonts w:asciiTheme="minorEastAsia" w:eastAsiaTheme="minorEastAsia" w:hAnsiTheme="minorEastAsia"/>
          <w:b/>
          <w:bCs/>
          <w:kern w:val="44"/>
          <w:sz w:val="28"/>
          <w:szCs w:val="44"/>
        </w:rPr>
        <w:t>五、相关服务机构</w:t>
      </w:r>
      <w:bookmarkEnd w:id="28"/>
      <w:bookmarkEnd w:id="29"/>
    </w:p>
    <w:p w:rsidR="005336CC" w:rsidRPr="000239D0" w:rsidRDefault="00DD4F2E"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30" w:name="_Toc219695786"/>
      <w:bookmarkStart w:id="31" w:name="_Toc36452357"/>
      <w:r w:rsidRPr="000239D0">
        <w:rPr>
          <w:rFonts w:asciiTheme="minorEastAsia" w:eastAsiaTheme="minorEastAsia" w:hAnsiTheme="minorEastAsia" w:hint="eastAsia"/>
          <w:b w:val="0"/>
          <w:bCs/>
          <w:szCs w:val="21"/>
        </w:rPr>
        <w:t>（一）</w:t>
      </w:r>
      <w:r w:rsidR="005336CC" w:rsidRPr="000239D0">
        <w:rPr>
          <w:rFonts w:asciiTheme="minorEastAsia" w:eastAsiaTheme="minorEastAsia" w:hAnsiTheme="minorEastAsia" w:hint="eastAsia"/>
          <w:b w:val="0"/>
          <w:bCs/>
          <w:szCs w:val="21"/>
        </w:rPr>
        <w:t>基金份额</w:t>
      </w:r>
      <w:r w:rsidR="008608F3" w:rsidRPr="000239D0">
        <w:rPr>
          <w:rFonts w:asciiTheme="minorEastAsia" w:eastAsiaTheme="minorEastAsia" w:hAnsiTheme="minorEastAsia" w:hint="eastAsia"/>
          <w:b w:val="0"/>
          <w:bCs/>
          <w:szCs w:val="21"/>
        </w:rPr>
        <w:t>销售</w:t>
      </w:r>
      <w:r w:rsidR="005336CC" w:rsidRPr="000239D0">
        <w:rPr>
          <w:rFonts w:asciiTheme="minorEastAsia" w:eastAsiaTheme="minorEastAsia" w:hAnsiTheme="minorEastAsia" w:hint="eastAsia"/>
          <w:b w:val="0"/>
          <w:bCs/>
          <w:szCs w:val="21"/>
        </w:rPr>
        <w:t>机构</w:t>
      </w:r>
      <w:bookmarkEnd w:id="30"/>
      <w:bookmarkEnd w:id="31"/>
    </w:p>
    <w:p w:rsidR="005336CC" w:rsidRPr="000239D0" w:rsidRDefault="00AD684A" w:rsidP="000B1E9F">
      <w:pPr>
        <w:tabs>
          <w:tab w:val="left" w:pos="735"/>
        </w:tabs>
        <w:snapToGrid w:val="0"/>
        <w:spacing w:line="360" w:lineRule="auto"/>
        <w:ind w:firstLineChars="0" w:firstLine="0"/>
        <w:rPr>
          <w:rFonts w:asciiTheme="minorEastAsia" w:eastAsiaTheme="minorEastAsia" w:hAnsiTheme="minorEastAsia"/>
          <w:bCs/>
          <w:sz w:val="21"/>
          <w:szCs w:val="21"/>
        </w:rPr>
      </w:pPr>
      <w:r w:rsidRPr="000239D0">
        <w:rPr>
          <w:rFonts w:asciiTheme="minorEastAsia" w:eastAsiaTheme="minorEastAsia" w:hAnsiTheme="minorEastAsia" w:hint="eastAsia"/>
          <w:b/>
          <w:bCs/>
          <w:sz w:val="21"/>
          <w:szCs w:val="21"/>
        </w:rPr>
        <w:t>1、</w:t>
      </w:r>
      <w:r w:rsidR="005336CC" w:rsidRPr="000239D0">
        <w:rPr>
          <w:rFonts w:asciiTheme="minorEastAsia" w:eastAsiaTheme="minorEastAsia" w:hAnsiTheme="minorEastAsia" w:hint="eastAsia"/>
          <w:b/>
          <w:bCs/>
          <w:sz w:val="21"/>
          <w:szCs w:val="21"/>
        </w:rPr>
        <w:t>直销机构：</w:t>
      </w:r>
      <w:r w:rsidR="005336CC" w:rsidRPr="000239D0">
        <w:rPr>
          <w:rFonts w:asciiTheme="minorEastAsia" w:eastAsiaTheme="minorEastAsia" w:hAnsiTheme="minorEastAsia" w:hint="eastAsia"/>
          <w:bCs/>
          <w:sz w:val="21"/>
          <w:szCs w:val="21"/>
        </w:rPr>
        <w:t>易方达基金管理有限公司</w:t>
      </w:r>
    </w:p>
    <w:p w:rsidR="00BD7D7F" w:rsidRPr="000239D0" w:rsidRDefault="00BD7D7F" w:rsidP="00AF28A3">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注册地址：</w:t>
      </w:r>
      <w:r w:rsidR="00D026D9" w:rsidRPr="000239D0">
        <w:rPr>
          <w:rFonts w:asciiTheme="minorEastAsia" w:eastAsiaTheme="minorEastAsia" w:hAnsiTheme="minorEastAsia" w:hint="eastAsia"/>
          <w:sz w:val="21"/>
          <w:szCs w:val="21"/>
        </w:rPr>
        <w:t>广东省珠海市横琴新区宝华路6号105室－42891（集中办公区）</w:t>
      </w:r>
    </w:p>
    <w:p w:rsidR="0046169A" w:rsidRPr="000239D0" w:rsidRDefault="0046169A"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办公地址：</w:t>
      </w:r>
      <w:r w:rsidR="00E40E54" w:rsidRPr="000239D0">
        <w:rPr>
          <w:rFonts w:asciiTheme="minorEastAsia" w:eastAsiaTheme="minorEastAsia" w:hAnsiTheme="minorEastAsia" w:hint="eastAsia"/>
          <w:sz w:val="21"/>
          <w:szCs w:val="21"/>
        </w:rPr>
        <w:t>广州市天河区珠江新城珠江东路30号广州银行大厦40-43</w:t>
      </w:r>
      <w:r w:rsidR="00C5539D" w:rsidRPr="000239D0">
        <w:rPr>
          <w:rFonts w:asciiTheme="minorEastAsia" w:eastAsiaTheme="minorEastAsia" w:hAnsiTheme="minorEastAsia" w:hint="eastAsia"/>
          <w:sz w:val="21"/>
          <w:szCs w:val="21"/>
        </w:rPr>
        <w:t>楼</w:t>
      </w:r>
    </w:p>
    <w:p w:rsidR="0046169A" w:rsidRPr="000239D0" w:rsidRDefault="0046169A"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法定代表人：</w:t>
      </w:r>
      <w:r w:rsidR="00841D12" w:rsidRPr="000239D0">
        <w:rPr>
          <w:rFonts w:asciiTheme="minorEastAsia" w:eastAsiaTheme="minorEastAsia" w:hAnsiTheme="minorEastAsia" w:hint="eastAsia"/>
          <w:sz w:val="21"/>
          <w:szCs w:val="21"/>
        </w:rPr>
        <w:t>刘晓艳</w:t>
      </w:r>
    </w:p>
    <w:p w:rsidR="0046169A" w:rsidRPr="000239D0" w:rsidRDefault="0046169A"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电话：</w:t>
      </w:r>
      <w:r w:rsidRPr="000239D0">
        <w:rPr>
          <w:rFonts w:asciiTheme="minorEastAsia" w:eastAsiaTheme="minorEastAsia" w:hAnsiTheme="minorEastAsia"/>
          <w:sz w:val="21"/>
          <w:szCs w:val="21"/>
        </w:rPr>
        <w:t>020</w:t>
      </w:r>
      <w:r w:rsidRPr="000239D0">
        <w:rPr>
          <w:rFonts w:asciiTheme="minorEastAsia" w:eastAsiaTheme="minorEastAsia" w:hAnsiTheme="minorEastAsia" w:hint="eastAsia"/>
          <w:sz w:val="21"/>
          <w:szCs w:val="21"/>
        </w:rPr>
        <w:t>-</w:t>
      </w:r>
      <w:r w:rsidR="00BD7D7F" w:rsidRPr="000239D0">
        <w:rPr>
          <w:rFonts w:asciiTheme="minorEastAsia" w:eastAsiaTheme="minorEastAsia" w:hAnsiTheme="minorEastAsia" w:hint="eastAsia"/>
          <w:sz w:val="21"/>
          <w:szCs w:val="21"/>
        </w:rPr>
        <w:t>85102506</w:t>
      </w:r>
    </w:p>
    <w:p w:rsidR="0046169A" w:rsidRPr="000239D0" w:rsidRDefault="0046169A"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传真：4008818099</w:t>
      </w:r>
    </w:p>
    <w:p w:rsidR="0046169A" w:rsidRPr="000239D0" w:rsidRDefault="0046169A"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联系人：</w:t>
      </w:r>
      <w:r w:rsidR="0097439D" w:rsidRPr="000239D0">
        <w:rPr>
          <w:rFonts w:asciiTheme="minorEastAsia" w:eastAsiaTheme="minorEastAsia" w:hAnsiTheme="minorEastAsia" w:hint="eastAsia"/>
          <w:sz w:val="21"/>
          <w:szCs w:val="21"/>
        </w:rPr>
        <w:t>王峰</w:t>
      </w:r>
    </w:p>
    <w:p w:rsidR="00BD7D7F" w:rsidRPr="000239D0" w:rsidRDefault="0046169A"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网址：</w:t>
      </w:r>
      <w:hyperlink r:id="rId19" w:history="1">
        <w:r w:rsidRPr="000239D0">
          <w:rPr>
            <w:rFonts w:asciiTheme="minorEastAsia" w:eastAsiaTheme="minorEastAsia" w:hAnsiTheme="minorEastAsia" w:hint="eastAsia"/>
            <w:sz w:val="21"/>
            <w:szCs w:val="21"/>
          </w:rPr>
          <w:t>www.efunds.com.cn</w:t>
        </w:r>
      </w:hyperlink>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直销机构网点信息：</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1</w:t>
      </w:r>
      <w:r w:rsidRPr="000239D0">
        <w:rPr>
          <w:rFonts w:asciiTheme="minorEastAsia" w:eastAsiaTheme="minorEastAsia" w:hAnsiTheme="minorEastAsia" w:hint="eastAsia"/>
          <w:sz w:val="21"/>
          <w:szCs w:val="21"/>
        </w:rPr>
        <w:t>）易方达基金管理有限公司广州直销中心</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办公地址：</w:t>
      </w:r>
      <w:r w:rsidR="00E40E54" w:rsidRPr="000239D0">
        <w:rPr>
          <w:rFonts w:asciiTheme="minorEastAsia" w:eastAsiaTheme="minorEastAsia" w:hAnsiTheme="minorEastAsia" w:hint="eastAsia"/>
          <w:sz w:val="21"/>
          <w:szCs w:val="21"/>
        </w:rPr>
        <w:t>广州市天河区珠江新城珠江东路30号广州银行大厦40</w:t>
      </w:r>
      <w:r w:rsidR="00C5539D" w:rsidRPr="000239D0">
        <w:rPr>
          <w:rFonts w:asciiTheme="minorEastAsia" w:eastAsiaTheme="minorEastAsia" w:hAnsiTheme="minorEastAsia" w:hint="eastAsia"/>
          <w:sz w:val="21"/>
          <w:szCs w:val="21"/>
        </w:rPr>
        <w:t>楼</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电话：</w:t>
      </w:r>
      <w:r w:rsidRPr="000239D0">
        <w:rPr>
          <w:rFonts w:asciiTheme="minorEastAsia" w:eastAsiaTheme="minorEastAsia" w:hAnsiTheme="minorEastAsia"/>
          <w:sz w:val="21"/>
          <w:szCs w:val="21"/>
        </w:rPr>
        <w:t>020-85102506</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传真：</w:t>
      </w:r>
      <w:r w:rsidRPr="000239D0">
        <w:rPr>
          <w:rFonts w:asciiTheme="minorEastAsia" w:eastAsiaTheme="minorEastAsia" w:hAnsiTheme="minorEastAsia"/>
          <w:sz w:val="21"/>
          <w:szCs w:val="21"/>
        </w:rPr>
        <w:t>4008818099</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联系人：</w:t>
      </w:r>
      <w:r w:rsidR="0097439D" w:rsidRPr="000239D0">
        <w:rPr>
          <w:rFonts w:asciiTheme="minorEastAsia" w:eastAsiaTheme="minorEastAsia" w:hAnsiTheme="minorEastAsia" w:hint="eastAsia"/>
          <w:sz w:val="21"/>
          <w:szCs w:val="21"/>
        </w:rPr>
        <w:t>王峰</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2</w:t>
      </w:r>
      <w:r w:rsidRPr="000239D0">
        <w:rPr>
          <w:rFonts w:asciiTheme="minorEastAsia" w:eastAsiaTheme="minorEastAsia" w:hAnsiTheme="minorEastAsia" w:hint="eastAsia"/>
          <w:sz w:val="21"/>
          <w:szCs w:val="21"/>
        </w:rPr>
        <w:t>）易方达基金管理有限公司北京直销中心</w:t>
      </w:r>
    </w:p>
    <w:p w:rsidR="00B57F43"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办公地址：</w:t>
      </w:r>
      <w:r w:rsidR="00A15EB3" w:rsidRPr="000239D0">
        <w:rPr>
          <w:rFonts w:asciiTheme="minorEastAsia" w:eastAsiaTheme="minorEastAsia" w:hAnsiTheme="minorEastAsia" w:hint="eastAsia"/>
          <w:sz w:val="21"/>
          <w:szCs w:val="21"/>
        </w:rPr>
        <w:t>北京市西城区武定侯街2号泰康国际大厦18层</w:t>
      </w:r>
    </w:p>
    <w:p w:rsidR="00BD7D7F" w:rsidRPr="000239D0" w:rsidRDefault="00B57F43"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电话：</w:t>
      </w:r>
      <w:r w:rsidRPr="000239D0">
        <w:rPr>
          <w:rFonts w:asciiTheme="minorEastAsia" w:eastAsiaTheme="minorEastAsia" w:hAnsiTheme="minorEastAsia"/>
          <w:sz w:val="21"/>
          <w:szCs w:val="21"/>
        </w:rPr>
        <w:t>010-63213377</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传真：</w:t>
      </w:r>
      <w:r w:rsidRPr="000239D0">
        <w:rPr>
          <w:rFonts w:asciiTheme="minorEastAsia" w:eastAsiaTheme="minorEastAsia" w:hAnsiTheme="minorEastAsia"/>
          <w:sz w:val="21"/>
          <w:szCs w:val="21"/>
        </w:rPr>
        <w:t>4008818099</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联系人：</w:t>
      </w:r>
      <w:r w:rsidR="00C65AAA" w:rsidRPr="000239D0">
        <w:rPr>
          <w:rFonts w:asciiTheme="minorEastAsia" w:eastAsiaTheme="minorEastAsia" w:hAnsiTheme="minorEastAsia" w:hint="eastAsia"/>
          <w:sz w:val="21"/>
          <w:szCs w:val="21"/>
        </w:rPr>
        <w:t>刘蕾</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3</w:t>
      </w:r>
      <w:r w:rsidRPr="000239D0">
        <w:rPr>
          <w:rFonts w:asciiTheme="minorEastAsia" w:eastAsiaTheme="minorEastAsia" w:hAnsiTheme="minorEastAsia" w:hint="eastAsia"/>
          <w:sz w:val="21"/>
          <w:szCs w:val="21"/>
        </w:rPr>
        <w:t>）易方达基金管理有限公司上海直销中心</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办公地址：</w:t>
      </w:r>
      <w:r w:rsidR="001B63A4" w:rsidRPr="000239D0">
        <w:rPr>
          <w:rFonts w:asciiTheme="minorEastAsia" w:eastAsiaTheme="minorEastAsia" w:hAnsiTheme="minorEastAsia" w:hint="eastAsia"/>
          <w:sz w:val="21"/>
          <w:szCs w:val="21"/>
        </w:rPr>
        <w:t>上海市浦东新区世纪大道88号金茂大厦46楼</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电话：</w:t>
      </w:r>
      <w:r w:rsidRPr="000239D0">
        <w:rPr>
          <w:rFonts w:asciiTheme="minorEastAsia" w:eastAsiaTheme="minorEastAsia" w:hAnsiTheme="minorEastAsia"/>
          <w:sz w:val="21"/>
          <w:szCs w:val="21"/>
        </w:rPr>
        <w:t>021-50476668</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传真：</w:t>
      </w:r>
      <w:r w:rsidRPr="000239D0">
        <w:rPr>
          <w:rFonts w:asciiTheme="minorEastAsia" w:eastAsiaTheme="minorEastAsia" w:hAnsiTheme="minorEastAsia"/>
          <w:sz w:val="21"/>
          <w:szCs w:val="21"/>
        </w:rPr>
        <w:t>4008818099</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联系人：</w:t>
      </w:r>
      <w:r w:rsidR="00C63D6B" w:rsidRPr="000239D0">
        <w:rPr>
          <w:rFonts w:asciiTheme="minorEastAsia" w:eastAsiaTheme="minorEastAsia" w:hAnsiTheme="minorEastAsia" w:hint="eastAsia"/>
          <w:sz w:val="21"/>
          <w:szCs w:val="21"/>
        </w:rPr>
        <w:t>于楠</w:t>
      </w:r>
    </w:p>
    <w:p w:rsidR="00BD7D7F"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(4</w:t>
      </w:r>
      <w:r w:rsidRPr="000239D0">
        <w:rPr>
          <w:rFonts w:asciiTheme="minorEastAsia" w:eastAsiaTheme="minorEastAsia" w:hAnsiTheme="minorEastAsia" w:hint="eastAsia"/>
          <w:sz w:val="21"/>
          <w:szCs w:val="21"/>
        </w:rPr>
        <w:t>）易方达基金管理有限公司网上交易系统</w:t>
      </w:r>
    </w:p>
    <w:p w:rsidR="004542A3" w:rsidRPr="000239D0" w:rsidRDefault="00BD7D7F" w:rsidP="000B1E9F">
      <w:pPr>
        <w:tabs>
          <w:tab w:val="num"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网址：</w:t>
      </w:r>
      <w:hyperlink r:id="rId20" w:history="1">
        <w:r w:rsidRPr="000239D0">
          <w:rPr>
            <w:rFonts w:asciiTheme="minorEastAsia" w:eastAsiaTheme="minorEastAsia" w:hAnsiTheme="minorEastAsia"/>
            <w:sz w:val="21"/>
            <w:szCs w:val="21"/>
          </w:rPr>
          <w:t>www.efunds.com.cn</w:t>
        </w:r>
      </w:hyperlink>
    </w:p>
    <w:p w:rsidR="00D82F63" w:rsidRPr="000239D0" w:rsidRDefault="00AD684A" w:rsidP="007D09C8">
      <w:pPr>
        <w:tabs>
          <w:tab w:val="left" w:pos="735"/>
        </w:tabs>
        <w:snapToGrid w:val="0"/>
        <w:spacing w:line="360" w:lineRule="auto"/>
        <w:ind w:firstLineChars="0" w:firstLine="0"/>
        <w:rPr>
          <w:rFonts w:asciiTheme="minorEastAsia" w:eastAsiaTheme="minorEastAsia" w:hAnsiTheme="minorEastAsia"/>
          <w:b/>
          <w:bCs/>
          <w:sz w:val="21"/>
          <w:szCs w:val="21"/>
        </w:rPr>
      </w:pPr>
      <w:r w:rsidRPr="000239D0">
        <w:rPr>
          <w:rFonts w:asciiTheme="minorEastAsia" w:eastAsiaTheme="minorEastAsia" w:hAnsiTheme="minorEastAsia" w:hint="eastAsia"/>
          <w:b/>
          <w:bCs/>
          <w:sz w:val="21"/>
          <w:szCs w:val="21"/>
        </w:rPr>
        <w:t>2、</w:t>
      </w:r>
      <w:r w:rsidR="00885A76" w:rsidRPr="000239D0">
        <w:rPr>
          <w:rFonts w:asciiTheme="minorEastAsia" w:eastAsiaTheme="minorEastAsia" w:hAnsiTheme="minorEastAsia" w:hint="eastAsia"/>
          <w:b/>
          <w:bCs/>
          <w:sz w:val="21"/>
          <w:szCs w:val="21"/>
        </w:rPr>
        <w:t>非直销销售</w:t>
      </w:r>
      <w:r w:rsidR="005336CC" w:rsidRPr="000239D0">
        <w:rPr>
          <w:rFonts w:asciiTheme="minorEastAsia" w:eastAsiaTheme="minorEastAsia" w:hAnsiTheme="minorEastAsia" w:hint="eastAsia"/>
          <w:b/>
          <w:bCs/>
          <w:sz w:val="21"/>
          <w:szCs w:val="21"/>
        </w:rPr>
        <w:t>机构（以下排序不</w:t>
      </w:r>
      <w:r w:rsidR="007D09C8" w:rsidRPr="000239D0">
        <w:rPr>
          <w:rFonts w:asciiTheme="minorEastAsia" w:eastAsiaTheme="minorEastAsia" w:hAnsiTheme="minorEastAsia" w:hint="eastAsia"/>
          <w:b/>
          <w:bCs/>
          <w:sz w:val="21"/>
          <w:szCs w:val="21"/>
        </w:rPr>
        <w:t>分先后</w:t>
      </w:r>
      <w:r w:rsidR="007D09C8" w:rsidRPr="000239D0">
        <w:rPr>
          <w:rFonts w:asciiTheme="minorEastAsia" w:eastAsiaTheme="minorEastAsia" w:hAnsiTheme="minorEastAsia"/>
          <w:b/>
          <w:bCs/>
          <w:sz w:val="21"/>
          <w:szCs w:val="21"/>
        </w:rPr>
        <w:t>）</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 中国银行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注册地址：北京市西城区复兴门内大街1号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办公地址：北京市西城区复兴门内大街1号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法定代表人：刘连舸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网址：www.boc.cn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 渤海银行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注册地址：天津市河东区海河东路218号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办公地址：天津市河东区海河东路218号渤海银行大厦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法定代表人：李伏安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联系电话：022-58316666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客户服务电话：95541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传真：022-58316569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网址：www.cbhb.com.cn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 广发银行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注册地址：广东省广州市越秀区东风东路713号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办公地址：广东省广州市越秀区东风东路713号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法定代表人：王滨</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客户服务电话：400-830-8003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网址：www.cgbchina.com.cn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 华夏银行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注册地址：北京市东城区建国门内大街22号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办公地址：北京市东城区建国门内大街22号华夏银行大厦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法定代表人：李民吉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联系人：王者凡</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传真：010-85238680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网址：www.hxb.com.cn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 交通银行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注册地址：中国（上海）自由贸易试验区银城中路188号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办公地址：中国（上海）自由贸易试验区银城中路188号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法定代表人：任德奇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联系人：王菁</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联系电话：021-58781234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客户服务电话：95559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网址：www.bankcomm.com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 平安银行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注册地址：广东省深圳市罗湖区深南东路5047号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办公地址：广东省深圳市罗湖区深南东路5047号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法定代表人：谢永林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联系人：赵杨</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联系电话：0755-22166574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客户服务电话：95511-3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传真：021-50979507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网址：bank.pingan.com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 浦发银行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注册地址：上海市中山东一路12号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办公地址：上海市中山东一路12号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法定代表人：郑杨</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联系人：赵守良</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联系电话：021-61618888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客户服务电话：95528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传真：021-63604196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网址：www.spdb.com.cn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 兴业银行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注册地址：福州市湖东路154号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办公地址：上海市静安区江宁路168号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法定代表人：高建平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联系人：李博</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联系电话：021-52629999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客户服务电话：95561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网址：www.cib.com.cn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 招商银行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注册地址：深圳市福田区深南大道7088号招商银行大厦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办公地址：深圳市福田区深南大道7088号招商银行大厦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法定代表人：李建红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联系人：季平伟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客户服务电话：95555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网址：www.cmbchina.com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 浙商银行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注册地址：浙江省杭州市萧山区鸿宁路1788号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办公地址：浙江杭州市庆春路288号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法定代表人：沈仁康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联系人：沈崟杰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联系电话：0571- 88261822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客户服务电话：95527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传真：0571-87659954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网址：www.czbank.com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 中国工商银行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注册地址：北京西城区复兴门内大街55号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办公地址：北京西城区复兴门内大街55号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法定代表人：陈四清</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联系人：杨菲</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网址：www.icbc.com.cn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 中国光大银行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注册地址：北京市西城区太平桥大街25号、甲25号中国光大中心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办公地址：北京市西城区太平桥大街25号金融街F3大厦（中国光大中心）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法定代表人：李晓鹏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联系人：朱红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联系电话：010-63636153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传真：010-63639709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网址：www.cebbank.com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 中国建设银行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注册地址：北京市西城区金融大街25号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办公地址：北京市西城区闹市口大街1号院1号楼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法定代表人：田国立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联系人：王未雨</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客户服务电话：95533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网址：www.ccb.com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 中国民生银行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注册地址：北京市西城区复兴门内大街2号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办公地址：北京市西城区复兴门内大街2号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法定代表人：洪崎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联系人：穆婷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客户服务电话：95568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网址：www.cmbc.com.cn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 中国农业银行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注册地址：北京市东城区建国门内大街69号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办公地址：北京市东城区建国门内大街69号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法定代表人：周慕冰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联系人：李紫钰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传真：010-85109219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网址：www.abchina.com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 中国邮政储蓄银行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注册地址：北京市西城区金融大街3号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办公地址：北京市西城区金融大街3号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法定代表人：张金良</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联系人：王硕</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客户服务电话：95580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传真：010-68858057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网址：www.psbc.com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 中信银行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注册地址：北京市东城区朝阳门北大街9号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办公地址：北京市东城区朝阳门北大街9号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法定代表人：李庆萍</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联系人：王晓琳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客户服务电话：95558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传真：010-85230049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网址：bank.ecitic.com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 包商银行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注册地址：内蒙古自治区包头市青山区钢铁大街6号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办公地址：内蒙古自治区包头市青山区钢铁大街6号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法定代表人：周学东</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联系人：张晶</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联系电话：0472-5189165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客户服务电话：95352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传真：010-84596546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网址：www.bsb.com.cn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 北京银行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注册地址：北京市西城区金融大街甲17号首层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办公地址：北京市西城区金融大街丙17号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法定代表人：张东宁</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联系人：周黎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客户服务电话：95526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传真：010-66226045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网址：www.bankofbeijing.com.cn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 长安银行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注册地址：西安市高新技术产业开发区高新四路13号1幢1单元10101室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办公地址：西安市高新技术产业开发区高新四路13号朗臣大厦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法定代表人：赵永军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联系人：闫石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客户服务电话：400-05-96669；（029）96669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传真：029-88609566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网址：http://www.ccabchina.com/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 成都农商银行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注册地址：成都市武侯区科华中路88号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办公地址：成都市武侯区科华中路88号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法定代表人：陈萍</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联系人：杨琪</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联系电话：028-85315412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客户服务电话：95392   4006-028-666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传真：028-85390961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网址：http://www.cdrcb.com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(22) 大连银行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注册地址：辽宁省大连市中山区中山路88号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办公地址：大连市中山区中山路88号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法定代表人：崔磊</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联系人：朱珠</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联系电话：0411-82356695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客户服务电话：400-664-0099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网址：www.bankofdl.com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(23) 东莞农村商业银行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注册地址：广东省东莞市东城区鸿福东路2号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办公地址：广东省东莞市东城区鸿福东路2号东莞农商银行大厦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法定代表人：王耀球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联系人：洪晓琳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客户服务电话：0769-961122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网址：www.drcbank.com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(24) 东莞银行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注册地址：东莞市莞城区体育路21号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办公地址：东莞市莞城区体育路21号东莞银行大厦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法定代表人：卢国锋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联系人：朱杰霞</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联系电话：0769-22111802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客户服务电话：956033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网址：www.dongguanbank.cn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(25) 佛山农商银行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注册地址：佛山市禅城区华远东路5号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办公地址：佛山市禅城区华远东路5号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法定代表人：李川</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联系人：曾敏琪</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客户服务电话：96138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网址：www.foshanbank.cn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(26) 福建海峡银行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注册地址：福建省福州市台江区江滨中大道358号海峡银行大厦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办公地址：福建省福州市台江区江滨中大道358号福建海峡银行8楼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法定代表人：俞敏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联系人：黄钰雯</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联系电话：0591-87332762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客户服务电话：400-893-9999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传真：0591-87330926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网址：www.fjhxbank.com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(27) 富滇银行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注册地址：云南省昆明市拓东路41号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办公地址：云南省昆明市拓东路41号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法定代表人：洪维智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联系人：杨翊琳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电话：0871-63140324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客户服务电话：400-88-96533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传真：0871-63194471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网址：http://www.fudian-bank.com/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(28) 富阳农商银行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注册地址：杭州市富阳区鹿山街道依江路501号第1幢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办公地址：杭州市富阳区鹿山街道依江路501号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法定代表人：丁松茂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联系人：陈硕</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联系电话：0571-63280253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客户服务电话：96596、4008896596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网址：www.fyrcbk.com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(29) 广东华兴银行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注册地址：广东省汕头市龙湖区黄山路28号四层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办公地址：广州市天河区天河路533号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法定代表人：周泽荣</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联系人：许悦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联系电话：020-38173552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客户服务电话：4008308001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传真：020-38173857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网址：www.ghbank.com.cn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(30) 广东南粤银行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注册地址：广东省湛江市经济技术开发区乐山大道60号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办公地址：广东省湛江市经济技术开发区乐山大道60号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法定代表人：蒋丹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联系人：陈静</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联系电话：020-28308757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客户服务电话：4000-961818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网址：www.gdnybank.com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(31) 广州农商银行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注册地址：广州市黄埔区映日路9号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办公地址：广州市天河区珠江新城华夏路1号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法定代表人：王继康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联系人：刘强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联系电话：020-22389067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传真：020-22389031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网址：www.grcbank.com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(32) 广州银行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注册地址：广州市天河区珠江东路30号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办公地址：广州市天河区珠江东路30号广州银行大厦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法定代表人：黄子励</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联系人：唐荟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客户服务电话：96699（广东）400-83-96699（全国）</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网址：www.gzcb.com.cn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(33) 哈尔滨银行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注册地址：哈尔滨市道里区尚志大街160号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办公地址：哈尔滨市道里区上江街888号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法定代表人：郭志文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联系人：何岩岩</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电话：0451-87792450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客户服务电话：95537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传真：0451-87792682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网址：www.hrbb.com.cn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(34) 杭州联合银行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注册地址：浙江省杭州市上城区建国中路99号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办公地址：杭州市建国中路99号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法定代表人：张海林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联系人：胡莹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联系电话：0571-87923324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客户服务电话：96596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传真：0571-87923214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网址：www.urcb.com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(35) 杭州银行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注册地址：浙江省杭州市下城区庆春路46号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办公地址：杭州市下城区庆春路46号杭州银行大厦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法定代表人：陈震山</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联系人：陈振峰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联系电话：0571-85872972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客户服务电话：95398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传真：0571-85106576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网址：www.hzbank.com.cn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(36) 河北银行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注册地址：石家庄市平安北大街28号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办公地址：石家庄市平安北大街28号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法定代表人：乔志强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联系人：王丽辉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联系电话：0311-67807030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客户服务电话：400-612-9999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传真：0311-67806407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网址：www.hebbank.com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(37) 华融湘江银行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注册地址：长沙市天心区芙蓉南路一段828号杰座大厦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办公地址：湖南省长沙市湘府东路二段208号万境财智中心南栋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法定代表人：张永宏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联系人：闾娇蓉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联系电话：0731-89828182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客户服务电话：0731-96599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传真：0731-89828806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网址：www.hrxjbank.com.cn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(38) 吉林银行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注册地址：吉林省长春市经济技术开发区东南湖大路1817号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办公地址：吉林省长春市经济技术开发区东南湖大路1817号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法定代表人：陈宇龙</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联系人：孙琦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联系电话：0431-84999627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客户服务电话：400-88-96666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传真：0431-84992649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网址：www.jlbank.com.cn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(39) 嘉兴银行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注册地址：浙江省嘉兴市昌盛南路1001号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办公地址：浙江省嘉兴市昌盛南路1001号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法定代表人：夏林生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联系人：余舟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联系电话：0573-82080201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客户服务电话：0573-96528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网址：http://www.bojx.com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(40) 江南农村商业银行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注册地址：常州市和平中路413号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办公地址：常州市和平中路413号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法定代表人：陆向阳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联系人：李仙</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电话：0519-80585939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客户服务电话：0519-96005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传真：0519-89995170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网址：http://www.jnbank.com.cn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(41) 江苏银行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注册地址：南京市中华路26号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办公地址：南京市中华路26号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法定代表人：夏平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联系人：张洪玮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联系电话：025-58587036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客户服务电话：95319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传真：025-58587820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网址：www.jsbchina.cn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(42) 江西银行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注册地址：江西省南昌市红谷滩新区金融大街699号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办公地址：江西省南昌市红谷滩新区金融大街699号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法定代表人：陈晓明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联系人：陈云波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联系电话：0791-86796029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客户服务电话：956055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传真：0791-86790795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网址：www.jx-bank.com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(43) 金华银行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注册地址：浙江省金华市丹溪路1388号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办公地址：浙江省金华市金东区光南路668号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法定代表人：徐雅清</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联系人：何赛丽、陈霞</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联系电话：0579-82178270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客户服务电话：400-711-6668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传真：0579-82178321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网址：www.jhccb.com.cn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(44) 锦州银行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注册地址：辽宁省锦州市科技路68号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办公地址：辽宁省锦州市科技路68号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法定代表人：魏学坤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联系人：庞璐璐</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客户服务电话：400-66-96178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网址：www.jinzhoubank.com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(45) 九台农商银行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注册地址：吉林省长春市九台区新华大街504号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办公地址：吉林省长春市高新开发区蔚山路2559号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法定代表人：高兵</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联系人：曲凌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客户服务电话：0431-96888-0-2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网址：http://www.jtnsh.com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(46) 昆仑银行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注册地址：新疆克拉玛依市世纪大道7号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办公地址：北京市西城区金融大街1号B座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法定代表人：蒋尚军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联系人：张碧华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联系电话：010-89026813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客户服务电话：95379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传真：010-89025421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网址：www.klb.cn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(47) 昆山农村商业银行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注册地址：江苏省昆山市前进东路828号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办公地址：江苏省昆山市前进东路828号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法定代表人：张哲清</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联系人：黄怡</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客户服务电话：0512-96079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网址：www.ksrcb.com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(48) 乐清农商银行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注册地址：浙江省乐清市城南街道伯乐西路99号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办公地址：浙江省乐清市城南街道伯乐西路99号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法定代表人：高剑飞</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联系人：金晓娇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联系电话：0577-61566028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客户服务电话：4008896596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传真：0577-61566063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网址：www.yqbank.com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(49) 龙江银行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注册地址：黑龙江省哈尔滨市道里区友谊路436号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办公地址：黑龙江省哈尔滨市道里区友谊路436号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法定代表人：张建辉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联系人：闫勇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联系电话：0451-85706107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客户服务电话：400-645-8888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传真：0451-85706036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网址：http://www.lj-bank.com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(50) 龙湾农商银行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注册地址：浙江省温州市龙湾区永中街道永宁西路555号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办公地址：浙江省温州市龙湾区永中街道永宁西路555号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法定代表人：朱朋远</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联系人：胡俊杰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联系电话：0577-86923223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客户服务电话：4008296596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传真：0577-86921250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网址：www.lwrcb.com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(51) 鹿城农商银行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注册地址：浙江省温州市鹿城区会展路1500号富银大厦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办公地址：温州市车站大道547号信合大厦A幢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法定代表人：陈宏强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联系人：董雷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联系电话：0577-88077675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客户服务电话：96526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网址：http://www.lcrcbank.com/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(52) 洛阳银行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注册地址：洛阳市洛阳新区开元大道与通济街交叉口</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办公地址：河南省洛阳市开元大道256号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法定代表人：王建甫</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联系人：郭文博</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联系电话：0379-65921977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客户服务电话：0379-96699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传真：0379-65938595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网址：www.bankofluoyang.com.cn/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(53) 南海农商银行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注册地址：广东省佛山市南海区桂城街道南海大道北26号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办公地址：广东省佛山市南海区桂城街道南海大道北26号农商银行大厦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法定代表人：李宜心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联系人：廖雪</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电话：0757-86266566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客户服务电话：96138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传真：0757-86250627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网址：www.nanhaibank.com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(54) 宁波银行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注册地址：浙江省宁波市鄞州区宁东路345号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办公地址：浙江省宁波市鄞州区宁东路345号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法定代表人：陆华裕</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联系人：施豪迪</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客户服务电话：95574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网址：www.nbcb.com.cn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(55) 齐商银行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注册地址：淄博市张店区中心路105号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办公地址：山东省淄博市张店区金晶大道105号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法定代表人：杲传勇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联系人：焦浦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联系电话：0533-2178888-9907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客户服务电话：400-86-96588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传真：0533-2180303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网址：www.qsbank.cc</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(56) 青岛银行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注册地址：山东省青岛市崂山区秦岭路6号3号楼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办公地址：山东省青岛市崂山区秦岭路6号3号楼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法定代表人：郭少泉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联系人：徐伟静</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联系电话：0532-68629925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客户服务电话：96588（青岛）400-66-96588（全国）</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网址：http://www.qdccb.com/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(57) 泉州银行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注册地址：泉州市丰泽区云鹿路3号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办公地址：泉州市丰泽区云鹿路3号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法定代表人：傅子能</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联系人：董培姗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联系电话：0595-22551071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客户服务电话：400-88-96312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传真：0595-22578871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网址：www.qzccbank.com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(58) 日照银行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注册地址：山东省日照市烟台路197号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办公地址：山东省日照市烟台路197号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联系人：孔颖</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联系电话：0633-8081590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客户服务电话：400-68-96588（全国）、0633-96588（日照）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传真：0633-8081276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网址：http://www.bankofrizhao.com.cn/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(59) 瑞安农商银行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注册地址：瑞安市安阳街道万松东路148号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办公地址：瑞安市安阳街道万松东路148号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法定代表人：王光领</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联系人：吴清萍</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联系电话：0577-66816501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客户服务电话：4008057702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网址：https://www.rarcbank.com/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(60) 瑞丰银行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注册地址：浙江省绍兴市柯桥区笛扬路1363号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办公地址：浙江省绍兴市柯桥区笛扬路1363号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法定代表人：章伟东</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联系人：孟建潮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联系电话：0575-81105323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客户服务电话：400-88-96596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传真：0575-84788134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网址：www.borf.cn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(61) 上海农村商业银行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注册地址：上海市黄浦区中山东二路70号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办公地址：上海市黄浦区中山东二路70号上海农商银行大厦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法定代表人：徐力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联系人：施传荣</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联系电话：021-61899999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客户服务电话：021-962999、4006962999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开放式基金业务传真：021-50105124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网址：www.srcb.com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(62) 上海银行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注册地址：中国（上海）自由贸易试验区银城中路168号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办公地址：上海市浦东新区银城中路168号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法定代表人：金煜</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联系电话：021-68475732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客户服务电话：95594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网址：http://www.bosc.cn/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(63) 顺德农村商业银行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注册地址：佛山市顺德区大良德和居委会拥翠路2号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办公地址：佛山市顺德区大良德和居委会拥翠路2号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法定代表人：姚真勇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联系人：陈素莹、区敏欣</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联系电话：0757-22385879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客户服务电话：0757-22223388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传真：0757-22388235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网址：www.sdebank.com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(64) 苏州银行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注册地址：江苏省苏州市工业园区钟园路728号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办公地址：江苏省苏州市工业园区钟园路728号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法定代表人：王兰凤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联系人：吴骏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联系电话：0512-69868373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客户服务电话：96067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传真：0512-69868373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网址：www.suzhoubank.com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(65) 天津银行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注册地址：天津市河西区友谊路15号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办公地址：天津市河西区友谊路15号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法定代表人：李宗唐</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联系人：李岩</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联系电话：022-28405684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客户服务电话：956056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传真：022-28405631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网址：www.bank-of-tianjin.com.cn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(66) 威海市商业银行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注册地址：威海市宝泉路9号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办公地址：威海市宝泉路9号财政大厦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法定代表人：谭先国</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联系人：冯十卉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联系电话：0531-68978175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客户服务电话：山东省内96636、中国境内40000-96636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传真：0531-68978176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网址：www.whccb.com，www.whccb.com.cn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(67) 潍坊银行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注册地址：山东省潍坊市奎文区胜利东街5139号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办公地址：山东省潍坊市奎文区胜利东街5139号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法定代表人：郭虎英</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联系人：井靖</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联系电话：0536-8051904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客户服务电话：400-61-96588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传真：0536-8056061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网址：www.wfccb.com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(68) 萧山农商银行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注册地址：萧山区人民路258号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办公地址：浙江省杭州市萧山区人民路258号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法定代表人：王云龙</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联系人：朱光锋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联系电话：0571-82739513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客户服务电话：96596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网址：http://www.zjxsbank.com/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(69) 烟台银行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注册地址：山东省烟台市芝罘区海港路25号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办公地址：山东省烟台市芝罘区海港路25号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法定代表人：吴明理</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联系人：张卓智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联系电话：0535-6699671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客户服务电话：4008-311-777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传真：0535-6699884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网址：www.yantaibank.net</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(70) 鄞州银行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注册地址：宁波市鄞州区民惠西路88号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办公地址：宁波市鄞州区民惠西路88号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法定代表人：周建斌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联系人：朱霓虹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联系电话：0574-87412569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客户服务电话：956058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网址：www.beeb.com.cn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(71) 余杭农村商业银行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注册地址：杭州市余杭区南苑街道南大街72号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办公地址：杭州市余杭区南苑街道南大街72号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法定代表人：来煜标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联系人：蔡亮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联系电话：0571-86209980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客户服务电话：96596，4008896596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网址：www.yhrcb.com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(72) 云南红塔银行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注册地址：云南省玉溪市东风南路2号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办公地址：云南省昆明市盘龙区世博路低碳中心A座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法定代表人：李光林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联系人：马杰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联系电话：0871-65236624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客户服务电话：0877-96522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网址：www.ynhtbank.com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(73) 浙江稠州商业银行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注册地址：浙江省义乌市江滨路义乌乐园东侧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办公地址：杭州市上城区望潮路158号稠银大厦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法定代表人：金子军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联系人：谢圆圆</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联系电话：0571-87117661/13777805250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客户服务电话：0571-96527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传真：0571-87117607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网址：http://www.czcb.com.cn/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(74) 浙江泰隆商业银行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注册地址：浙江省台州市路桥区南官大道188号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办公地址：浙江省台州市路桥区南官大道188号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联系人：陈妍宇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联系电话：0571-87219677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客户服务电话：95347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网址：www.zjtlcb.com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(75) 郑州银行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注册地址：河南省郑州市郑东新区商务外环路22号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办公地址：河南省郑州市郑东新区商务外环路22号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法定代表人：王天宇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联系人：焦明飞</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联系电话：0371-67009917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客户服务电话：95097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传真：0371-67009097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网址：http://www.zzbank.cn/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(76) 中原银行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注册地址：河南省郑州市郑东新区CBD商务外环路23号中科金座大厦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办公地址：河南省郑州市郑东新区CBD商务外环路23号中科金座大厦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法定代表人：窦荣兴</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联系人：张星强  联系电话：0371-85517713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客户服务电话：95186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网址：www.zybank.com.cn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(77) 重庆农村商业银行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注册地址：重庆市江北区金沙门路36号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办公地址：重庆市江北区金沙门路36号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法定代表人：刘建忠</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联系人：范亮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联系电话：023-61110146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客户服务电话：95389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传真：023-61110146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网址：www.cqrcb.com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(78) 珠海华润银行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注册地址：广东省珠海市吉大九洲大道东1346号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办公地址：广东省珠海市吉大九洲大道东1346号珠海华润银行大厦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法定代表人：刘晓勇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联系电话：4008800338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客户服务电话：96588（广东省外请加拨0756），400-8800-338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网址：www.crbank.com.cn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(79) 安信证券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注册地址：深圳市福田区金田路4018号安联大厦35层、28层A02单元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办公地址：深圳市福田区金田路4018号安联大厦35层、28层A02单元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          深圳市福田区深南大道2008号中国凤凰大厦1栋9层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法定代表人：王连志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联系人：陈剑虹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联系电话：0755-82825551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客户服务电话：95517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传真：0755-82558355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网址：www.essence.com.cn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(80) 渤海证券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注册地址：天津市经济技术开发区第二大街42号写字楼101室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办公地址：天津市南开区宾水西道8号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法定代表人：安志勇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联系电话：022-28451922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客户服务电话：400-651-5988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传真：022-28451892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网址：www.ewww.com.cn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(81) 财达证券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注册地址：河北省石家庄市桥西区自强路35号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办公地址：河北省石家庄市桥西区自强路35号庄家金融大厦23-26层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法定代表人：翟建强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联系人：李卓颖</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联系电话：0311-66008561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客户服务电话：95363（河北省内）；0311-95363（河北省外）</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传真：0311-66006414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网址：www.s10000.com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(82) 财富证券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注册地址：长沙市芙蓉中路二段80号顺天国际财富中心26层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办公地址：长沙市芙蓉中路二段80号顺天国际财富中心26-28层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法定代表人：刘宛晨</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联系人：郭静</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联系电话：0731-84403347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客户服务电话：95317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传真：0731-84403439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网址：www.cfzq.com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(83) 财通证券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注册地址：浙江省杭州市杭大路15号嘉华国际商务中心201，501，502，1103，1601-1615，1701-1716室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办公地址：浙江省杭州市杭大路15号嘉华国际商务中心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法定代表人：陆建强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联系人：陶志华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联系电话：0571－87789160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客户服务电话：95336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网址：www.ctsec.com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(84) 长城国瑞证券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注册地址：厦门市思明区莲前西路2号莲富大厦17楼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办公地址：厦门市思明区深田路46号深田国际大厦20楼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联系人：邱震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联系电话：0592-2079259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客户服务电话：400-0099-886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传真：0592-2079602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网址：www.gwgsc.com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(85) 长城证券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注册地址：深圳市福田区福田街道金田路2026号能源大厦南塔楼10-19层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办公地址：深圳市福田区福田街道金田路2026号能源大厦南塔楼10-19层长城证券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法定代表人：曹宏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联系人：梁浩</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联系电话：0755-83530715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客户服务电话：400-6666-888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传真：0755-83516199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网址：www.cgws.com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(86) 长江证券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注册地址：湖北省武汉市新华路特8号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办公地址：湖北省武汉市新华路特8号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法定代表人：李新华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联系人：奚博宇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联系电话：027-65799999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客户服务电话：95579或4008-888-999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传真：027-85481900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网址：www.95579.com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(87) 川财证券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注册地址：中国（四川）自由贸易试验区成都高新区交子大道177号中海国际中心B座17楼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办公地址：四川省成都高新区交子大道177号中海国际中心B座17楼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法定代表人：孟建军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联系人：匡婷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联系电话：028-86583053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客户服务电话：028-962708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网址：www.cczq.com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(88) 大通证券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注册地址：辽宁省大连市沙河口区会展路129号大连国际金融中心A座-大连期货大厦38、39层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办公地址：辽宁省大连市沙河口区会展路129号大连国际金融中心A座-大连期货大厦38、39层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法定代表人：赵玺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联系人：谢立军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联系电话：0411-39991807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客户服务电话：4008-169-169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传真：0411-39673214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网址：www.daton.com.cn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(89) 大同证券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注册地址：山西省大同市城区迎宾街15号桐城中央21层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办公地址：山西省太原市小店区长治路111号山西世贸中心A座F12、F13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法定代表人：董祥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联系人：薛津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联系电话：0351-4130322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客户服务电话：4007121212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传真：0351-7219891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网址：www.dtsbc.com.cn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(90) 德邦证券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注册地址：上海市普陀区曹杨路510号南半幢9楼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办公地址：上海市福山路500号城建国际中心29楼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法定代表人：武晓春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联系人：刘熠</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联系电话：021-68761616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客户服务电话：400-8888-128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传真：021-68767880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网址：http://www.tebon.com.cn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(91) 第一创业证券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注册地址：深圳市福田区福华一路115号投行大厦20楼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办公地址：深圳市福田区福华一路115号投行大厦20楼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法定代表人：刘学民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联系人：毛诗莉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联系电话：0755-23838750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客户服务电话：95358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网址：www.firstcapital.com.cn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(92) 东北证券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注册地址：长春市生态大街6666号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办公地址：长春市生态大街6666号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法定代表人：李福春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联系人：安岩岩</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联系电话：0431-85096517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客户服务电话：95360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传真：0431-85096795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网址：www.nesc.cn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(93) 东方证券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注册地址：上海市中山南路318号2号楼22层、23层、25层-29层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办公地址：上海市中山南路318号2号楼13层、21层-23层、25-29层、32 层、36 层、39 层、40 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法定代表人：潘鑫军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联系人：朱琼玉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联系电话：021-63325888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客户服务电话：95503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传真：021-63326729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网址：http://www.dfzq.com.cn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(94) 东莞证券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注册地址：东莞市莞城区可园南路一号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办公地址：东莞市莞城区可园南路1号金源中心30楼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法定代表人：陈照星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联系人：李荣</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联系电话：0769-22115712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客户服务电话：95328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传真：0769-22115712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网址：www.dgzq.com.cn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(95) 东海证券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注册地址：江苏省常州市延陵西路23号投资广场18层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办公地址：上海市浦东新区东方路1928号东海证券大厦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法定代表人：钱俊文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联系人：王一彦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联系电话：021-20333333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客户服务电话：95531、400-8888-588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传真：021-50498825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网址：www.longone.com.cn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(96) 东吴证券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注册地址：苏州工业园区星阳街5号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办公地址：苏州工业园区星阳街5号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法定代表人：范力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联系人：陆晓</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联系电话：0512-62938521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客户服务电话：95330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传真：0512-65588021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网址：www.dwzq.com.cn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(97) 东兴证券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注册地址：北京市西城区金融大街5号（新盛大厦）12、15层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办公地址：北京市西城区金融大街5号新盛大厦B座12-15层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法定代表人：魏庆华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联系人：和志鹏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联系电话：010-66559371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客户服务电话：95309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传真：010-66555133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网址：www.dxzq.net</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(98) 方正证券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注册地址：长沙市天心区湘江中路二段36号华远华中心4、5号楼3701-3717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办公地址：北京市朝阳区北四环中路27号盘古大观A座40F</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法定代表人：施华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联系人：程博怡</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联系电话：010-56437060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客户服务电话：95571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传真：010-56437013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网址：www.foundersc.com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(99) 光大证券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注册地址：上海市静安区新闸路1508号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办公地址：上海市静安区新闸路1508号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法定代表人：周健男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联系人：龚俊涛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联系电话：021-22169999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客户服务电话：95525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传真：021-22169134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网址：www.ebscn.com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(100) 广发证券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注册地址：广东省广州市黄埔区中新广州知识城腾飞一街2号618室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办公地址：广州市天河区马场路26号广发证券大厦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法定代表人：孙树明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联系人：黄岚</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客户服务电话：95575或02095575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网址：www.gf.com.cn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(101) 国都证券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注册地址：北京市东城区东直门南大街3号国华投资大厦9层10层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办公地址：北京市东城区东直门南大街3号国华投资大厦9层10层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法定代表人：王少华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联系人：黄静</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联系电话：010-84183389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客户服务电话：400-818-8118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传真：010-84183311-3122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网址：www.guodu.com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(102) 国海证券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注册地址：广西桂林市辅星路13号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办公地址：深圳市福田区竹子林四路光大银行大厦3楼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法定代表人：何春梅</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联系人：田密</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联系电话：0755-83716916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客户服务电话：95563或0771-95563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网址：www.ghzq.com.cn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(103) 国金证券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注册地址：成都市青羊区东城根上街95号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办公地址：成都市青羊区东城根上街95号成证大厦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法定代表人：冉云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联系人：杜晶、黎建平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联系电话：028-86690057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客户服务电话：95310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传真：028-86690126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网址：www.gjzq.com.cn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(104) 国联证券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注册地址：江苏省无锡市太湖新城金融一街8号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办公地址：江苏省无锡市太湖新城金融一街8号国联金融大厦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法定代表人：姚志勇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联系人：祁昊</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联系电话：0510-82831662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客户服务电话：95570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传真：0510-82830162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网址：www.glsc.com.cn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(105) 国融证券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注册地址：内蒙古自治区呼和浩特市武川县腾飞大道1号4楼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办公地址：内蒙古自治区呼和浩特市武川县腾飞大道与呈祥路交汇处武川立农村镇银行股份有限公司四楼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法定代表人：张智河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联系人：郭一非</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联系电话：010-83991777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客户服务电话：95385或400-660-9839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传真：010-66412537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网址：www.grzq.com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(106) 国盛证券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注册地址：江西省南昌市新建区子实路1589号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办公地址：江西省南昌市红谷滩新区凤凰中大道1115号北京银行大厦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法定代表人：徐丽峰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联系人：占文驰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联系电话：0791-86283372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客户服务电话：956080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传真：0791-86281305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网址：www.gszq.com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(107) 国泰君安证券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注册地址：中国（上海）自由贸易试验区商城路618号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办公地址：上海市静安区南京西路768号国泰君安大厦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法定代表人：杨德红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联系人：芮敏祺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客户服务电话：95521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传真：021-38670666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网址：www.gtja.com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(108) 国信证券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注册地址：深圳市罗湖区红岭中路1012号国信证券大厦十六层至二十六层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办公地址：深圳市罗湖区红岭中路1012号国信证券大厦十六层至二十六层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法定代表人：何如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联系人：李颖</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联系电话：0755-82130833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客户服务电话：95536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传真：0755-82133952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网址：www.guosen.com.cn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(109) 国元证券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注册地址：安徽省合肥市梅山路18号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办公地址：安徽省合肥市梅山路18号安徽国际金融中心A座国元证券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法定代表人：俞仕新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联系人：李蔡</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客户服务电话：95578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传真：0551-2272100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网址：www.gyzq.com.cn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(110) 海通证券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注册地址：上海市广东路689号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办公地址：上海市广东路689号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法定代表人：周杰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联系人：金芸、李笑鸣</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联系电话：021-23219000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客户服务电话：95553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传真：021-23219100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网址：www.htsec.com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(111) 红塔证券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注册地址：云南省昆明市北京路155号附1号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办公地址：云南省昆明市北京路155号附1号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法定代表人：李素明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联系人：罗德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联系电话：0871-63582843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客户服务电话：956060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传真：0871-63578827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网址：http://www.hongtastock.com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(112) 华安证券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注册地址：安徽省合肥市政务文化新区天鹅湖路198号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办公地址：安徽省合肥市政务文化新区天鹅湖路198号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法定代表人：章宏韬</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联系人：范超</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联系电话：0551-65161821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传真：0551-65161825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网址：www.hazq.com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(113) 华宝证券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注册地址：中国（上海）自由贸易试验区世纪大道100号57层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办公地址：中国（上海）自由贸易试验区世纪大道100号57层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法定代表人：刘加海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联系人：刘闻川</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联系电话：021-20657517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客户服务电话：400-820-9898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传真：021-20515593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网址：www.cnhbstock.com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(114) 华福证券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注册地址：福建省福州市鼓楼区鼓屏路27号1#楼3层、4层、5层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办公地址：上海市浦东新区陆家嘴环路1088号招商银行大厦18-19楼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法定代表人：黄金琳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联系电话：021-20655183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客户服务电话：95547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传真：021-20655196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网址：www.hfzq.com.cn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(115) 华林证券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注册地址：拉萨市柳梧新区国际总部城3幢1单元5-5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办公地址：深圳市福田区民田路178号华融大厦6楼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法定代表人：林立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联系人：胡倩</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联系电话：0755-83255199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客户服务电话：400-188-3888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网址：www.chinalin.com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(116) 华龙证券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注册地址：兰州市城关区东岗西路638号兰州财富中心21楼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办公地址：兰州市城关区东岗西路638号兰州财富中心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法定代表人：陈牧原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联系人：范坤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联系电话：0931-4890208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客户服务电话：95368、400-689-8888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传真：0931-4890628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网址：www.hlzq.com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(117) 华融证券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注册地址：北京市西城区金融大街8号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办公地址：北京市朝阳区朝阳门北大街18号中国人保寿险大厦11至18层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法定代表人：张海文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联系人：孙燕波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联系电话：010-85556048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客户服务电话：95390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传真：010-85556088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网址：www.hrsec.com.cn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(118) 华泰证券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注册地址：南京市江东中路228号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办公地址：南京市建邺区江东中路228号华泰证券广场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联系人：庞晓芸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联系电话：0755-82492193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客户服务电话：95597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传真：025-83387523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网址：www.htsc.com.cn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(119) 华西证券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注册地址：四川省成都市高新区天府二街198号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办公地址：四川省成都市高新区天府二街198号华西证券大厦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法定代表人：杨炯洋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联系人：张彬</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联系电话：010-58124967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客户服务电话：95584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传真：028-86150040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网址：www.hx168.com.cn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(120) 华鑫证券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注册地址：深圳市福田区莲花街道福中社区深南大道2008号中国凤凰大厦1栋20C-1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办公地址：上海市徐汇区宛平南路8号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法定代表人：俞洋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联系人：杨莉娟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联系电话：021-54967552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客户服务电话：95323（全国）、400-109-9918（全国）、029-68918888（西安）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传真：021-54967293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网址：www.cfsc.com.cn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(121) 华信证券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注册地址：上海浦东新区世纪大道100号环球金融中心9楼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办公地址：上海市黄浦区南京西路399号明天广场23楼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法定代表人：陈灿辉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联系人：徐璐</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联系电话：021-63898952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客户服务电话：400-820-5999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传真：021-68776977转8952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网址：www.shhxzq.com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(122) 江海证券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注册地址：黑龙江省哈尔滨市香坊区赣水路56号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办公地址：黑龙江省哈尔滨市松北区创新三路833号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法定代表人：赵洪波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联系人：姜志伟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联系电话：0451-87765732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客户服务电话：956007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传真：0451-82337279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网址：www.jhzq.com.cn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(123) 金元证券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注册地址：海口市南宝路36号证券大厦4楼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办公地址：深圳市深南大道4001号时代金融中心大厦17楼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法定代表人：王作义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联系人：刘萍</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联系电话：0755-83025693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客户服务电话：95372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传真：0755-83025625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网址：www.jyzq.cn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(124) 九州证券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注册地址：青海省西宁市南川工业园区创业路108号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办公地址：北京市朝阳区安立路30号仰山公园东一门2号楼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法定代表人：魏先锋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联系人：张思思</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联系电话：010-57672272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客户服务电话：95305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传真：010-57672296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网址：www.jzsec.com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(125) 开源证券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注册地址：陕西省西安市高新区锦业路1号都市之门B座5层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办公地址：陕西省西安市高新区锦业路1号都市之门B座5层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法定代表人：李刚</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联系人：张蕊</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联系电话：029-88365809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客户服务电话：95325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网址：www.kysec.cn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(126) 联储证券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注册地址：广东省深圳市福田区福田街道岗厦社区深南大道南侧金地中心大厦9楼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办公地址：上海市浦东新区陆家嘴环路333号金砖大厦8楼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法定代表人：吕春卫</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联系人：张婉婷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联系电话：010-86499765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客户服务电话：400-620-6868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网址：www.lczq.com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(127) 南京证券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注册地址：南京市江东中路389号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办公地址：南京市江东中路389号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法定代表人：步国旬</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联系人：王万君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联系电话：025-58519523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客户服务电话：95386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传真：025-83369725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网址：www.njzq.com.cn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(128) 平安证券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注册地址：深圳市福田区福田街道益田路5023号平安金融中心B座第22-25层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办公地址：深圳市福田区金田路4036号荣超大厦16-20层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法定代表人：何之江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联系人：周驰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联系电话：021-38643230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客户服务电话：95511-8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传真：021-58991896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网址：stock.pingan.com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(129) 瑞银证券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注册地址：北京市西城区金融大街7号英蓝国际金融中心12层、15层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办公地址：北京市西城区金融大街7号英蓝国际金融中心12层、15层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法定代表人：钱于军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联系人：谢丹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联系电话：0755-22158878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客户服务电话：400-887-8827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传真：010-58328170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网址：https://www.ubs.com/ubssecurities</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(130) 山西证券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注册地址：太原市府西街69号山西国际贸易中心东塔楼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办公地址：太原市府西街69号山西国际贸易中心东塔楼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法定代表人：侯巍</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联系人：谢武兵</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联系电话：0351-8686721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客户服务电话：95573或400-666-1618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传真：0351-8686619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网址：www.i618.com.cn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(131) 上海证券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注册地址：上海市黄浦区四川中路213号7楼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办公地址：上海市四川中路213号久事商务大厦7楼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法定代表人：李俊杰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联系人：邵珍珍</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联系电话：021-53686888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客户服务电话：4008-918-918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传真：021-53686100、021-53686200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网址：https://www.shzq.com/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(132) 申万宏源西部证券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注册地址：新疆乌鲁木齐市高新区（新市区）北京南路358号大成国际大厦20楼2005</w:t>
      </w:r>
      <w:r w:rsidRPr="000239D0">
        <w:rPr>
          <w:rFonts w:asciiTheme="minorEastAsia" w:eastAsiaTheme="minorEastAsia" w:hAnsiTheme="minorEastAsia" w:hint="eastAsia"/>
          <w:sz w:val="21"/>
        </w:rPr>
        <w:lastRenderedPageBreak/>
        <w:t>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办公地址：新疆乌鲁木齐市高新区（新市区）北京南路358号大成国际大厦20楼2005室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联系人：王怀春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联系电话：0991-2307105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客户服务电话：4008-000-562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传真：010-88085195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网址：www.hysec.com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(133) 申万宏源证券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注册地址：上海市徐汇区长乐路989号45层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办公地址：上海市徐汇区长乐路989号世纪商贸广场45层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法定代表人：杨玉成</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联系人：余敏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联系电话：021-33388252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客户服务电话：95523、4008895523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传真：021-33388224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网址：www.swhysc.com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(134) 世纪证券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注册地址：深圳市前海深港合作区南山街道桂湾五路128号前海深港基金小镇对冲基金中心406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办公地址：深圳市福田区深南大道招商银行大厦40-42层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联系人：王雯</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联系电话：0755-83199511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客户服务电话：4008323000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网址：www.csco.com.cn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(135) 首创证券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注册地址：北京市西城区德胜门外大街115号德胜尚城E座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办公地址：北京市西城区德胜门外大街115号德胜尚城E座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法定代表人：毕劲松</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联系人：刘宇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联系电话：010-59366070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客户服务电话：400-620-0620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传真：010-59366055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网址：http://www.sczq.com.cn/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(136) 天风证券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注册地址：湖北省武汉市东湖新技术开发区关东园路2号高科大厦四楼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办公地址：湖北省武汉市武昌区中南路99号保利广场A座37楼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法定代表人：余磊</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联系人：程晓英</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联系电话：027-87617017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客户服务电话：4008005000、95391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传真：027-87618863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网址：http://www.tfzq.com/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(137) 万联证券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注册地址：广州市天河区珠江东路11号18、19楼全层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办公地址：广州市天河区珠江东路13号高德置地广场E栋12层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法定代表人：罗钦城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联系人：甘蕾</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联系电话：020-38286026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客户服务电话：95322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传真：020-38286588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网址：www.wlzq.cn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(138) 西部证券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注册地址：陕西省西安市新城区东新街319号8幢10000室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办公地址：陕西省西安市新城区东新街319号8幢10000室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法定代表人：徐朝晖</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联系人：梁承华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联系电话：029-87211526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客户服务电话：95582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传真：029-87211478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网址：www.westsecu.com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(139) 西南证券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注册地址：重庆市江北区桥北苑8号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办公地址：重庆市江北区桥北苑8号西南证券大厦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法定代表人：廖庆轩</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联系人：周青</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联系电话：023-63786633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客户服务电话：4008096096或95355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传真：023-63786212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网址：www.swsc.com.cn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(140) 湘财证券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注册地址：湖南省长沙市天心区湘府中路198号新南城商务中心A栋11楼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办公地址：湖南省长沙市天心区湘府中路198号新南城商务中心A栋11楼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法定代表人：孙永祥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联系人：李欣</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联系电话：021-38784580-8918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客户服务电话：95351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传真：021-68865680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网址：www.xcsc.com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(141) 新时代证券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注册地址：北京市海淀区北三环西路99号院1号楼15层1501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办公地址：北京市海淀区北三环西路99号院1号楼15层1501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法定代表人：叶顺德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联系人：田芳芳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联系电话：010-83561146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网址：www.xsdzq.cn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(142) 信达证券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注册地址：北京市西城区闹市口大街9号院1号楼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办公地址：北京市西城区闹市口大街9号院1号楼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法定代表人：肖林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联系人：尹旭航</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联系电话：010-63081000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客户服务电话：95321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传真：010-63080978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网址：www.cindasc.com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(143) 兴业证券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注册地址：福州市湖东路268号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办公地址：上海浦东新区长柳路36号兴业证券大厦20楼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法定代表人：杨华辉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联系人：乔琳雪</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联系电话：021-38565547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客户服务电话：95562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网址：www.xyzq.com.cn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(144) 银河证券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注册地址：北京市西城区金融大街35号2-6层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办公地址：北京市西城区金融大街35号国际企业大厦C座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法定代表人：陈共炎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联系人：辛国政</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联系电话：010-83574507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客户服务电话：4008-888-888或95551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网址：www.chinastock.com.cn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(145) 粤开证券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注册地址：惠州市江北东江三路55号广播电视新闻中心西面一层大堂和三、四层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办公地址：深圳市福田区深南中路2002号中广核大厦北楼10层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法定代表人：严亦斌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联系人：彭莲</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联系电话：0755-83331195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客户服务电话：95564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公司网址：http://www.ykzq.com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(146) 招商证券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注册地址：深圳市福田区福田街道福华一路111号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办公地址：深圳市福田区福田街道福华一路111号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法定代表人：霍达</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联系人：黄婵君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联系电话：0755-82943666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客户服务电话：95565、400-8888-111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传真：0755-82943636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网址：www.newone.com.cn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(147) 浙商证券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注册地址：浙江省杭州市江干区五星路201号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办公地址：浙江省杭州市江干区五星路201号浙商证券大楼8楼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法定代表人：吴承根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联系人：高扬</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联系电话：0571-87902974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客户服务电话：95345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传真：0571-87901913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网址：www.stocke.com.cn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(148) 中航证券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注册地址：江西省南昌市红谷滩新区红谷中大道1619号南昌国际金融大厦A栋41层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办公地址：江西省南昌市红谷滩新区红谷中大道1619号南昌国际金融大厦A栋41层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法定代表人：王晓峰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联系人：王紫雯</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联系电话：15611538682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客户服务电话：95335或400-88-95335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传真：010-59562637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网址：www.avicsec.com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(149) 中金财富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注册地址：深圳市福田区益田路与福中路交界处荣超商务中心A栋第18-21层及第04层01.02.03.05.11.12.13.15.16.18.19.20.21.22.23单元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办公地址：深圳福田区益田路6003号荣超商务中心A座4层、18-21层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法定代表人：高涛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联系人：万玉琳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联系电话：0755-82026907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客户服务电话：95532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网址：https://www.ciccwm.com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(150) 中金公司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注册地址：北京市朝阳区建国门外大街1号国贸大厦2座27层及28层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办公地址：北京市朝阳区建国门外大街1号国贸大厦2座27层及28层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法定代表人：沈如军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联系人：杨涵宇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联系电话：010-65051166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客户服务电话：4009101166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网址：www.cicc.com.cn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(151) 中山证券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注册地址：深圳市南山区粤海街道蔚蓝海岸社区创业路1777号海信南方大厦21、22层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办公地址：深圳市南山区创业路1777号海信南方大厦21、22层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法定代表人：林炳城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联系人：罗艺琳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电话：0755-82943755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传真：0755-82960582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客户服务电话：95329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网址：www.zszq.com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(152) 中泰证券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注册地址：济南市市中区经七路86号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办公地址：山东省济南市经七路86号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联系人：许曼华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联系电话：021-20315290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客户服务电话：95538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传真：0531-68889095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网址：www.zts.com.cn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(153) 中天证券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注册地址：辽宁省沈阳市和平区光荣街23甲</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办公地址：辽宁省沈阳市和平区光荣街23甲</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法定代表人：马功勋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联系人：李泓灏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联系电话：024-23255256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客户服务电话：024-95346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传真：024-23255606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网址：www.iztzq.com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(154) 中信建投证券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注册地址：北京市朝阳区安立路66号4号楼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办公地址：北京市朝阳门内大街188号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法定代表人：王常青</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联系人：刘芸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联系电话：010－85130554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客户服务电话：95587或4008-888-108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网址：http://www.csc108.com/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(155) 中信证券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注册地址：广东省深圳市福田区中心三路8号卓越时代广场（二期）北座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办公地址：北京市朝阳区亮马桥路48号中信证券大厦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法定代表人：张佑君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联系人：王一通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联系电话：010-60838888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客户服务电话：95548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传真：010-60836029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网址：www.cs.ecitic.com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(156) 中信证券（华南）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注册地址：广州市天河区珠江西路5号广州国际金融中心主塔19层、20层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办公地址：广州市天河区珠江西路5号广州国际金融中心主塔19层、20层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法定代表人：胡伏云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联系人：梁微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联系电话：020-88836999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传真：020-88836984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网址：www.gzs.com.cn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(157) 中信证券（山东）</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注册地址：青岛市崂山区深圳路222号1号楼2001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办公地址：青岛市市南区东海西路28号龙翔广场东座5层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法定代表人：姜晓林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联系人：焦刚</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联系电话：0531-89606166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客户服务电话：95548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传真：0532-85022605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网址：http://sd.citics.com/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(158) 中银国际证券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注册地址：上海市浦东新区银城中路200号中银大厦39层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办公地址：上海市浦东新区银城中路200号中银大厦39-40层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法定代表人：宁敏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联系人：王炜哲</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客户服务电话：400-620-8888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传真：021-50372474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网址：www.bocichina.com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(159) 中邮证券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注册地址：陕西省西安市唐延路5号（陕西邮政信息大厦9-11层）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办公地址：北京市东城区珠市口东大街17号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法定代表人：丁奇文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联系人：岳帅</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 010-67017788-6068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客户服务电话：4008-888-005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传真：010-67017788-9696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网址：www.cnpsec.com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(160) 中原证券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注册地址：郑州市郑东新区商务外环路10号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办公地址：河南省郑州市郑东新区商务外环路10号中原广发金融大厦19楼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法定代表人：菅明军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联系人：程月艳  李盼盼 党静</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联系电话：0371-69099882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客户服务电话：95377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传真：0371-65585899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网址：www.ccnew.com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(161) 百度百盈</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注册地址：北京市海淀区西北旺东路10号院西区4号楼1层103室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办公地址：北京市海淀区西北旺东路10号院西区4号楼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法定代表人：葛新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联系人：孙博超</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联系电话：010-59403028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客户服务电话：95055-4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网址：www.baiyingfund.com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(162) 长量基金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注册地址：上海市浦东新区高翔路526号2幢220室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办公地址：上海市浦东新区东方路1267号陆家嘴金融服务广场二期11层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法定代表人：张跃伟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联系人：党敏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联系电话：021-20691935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客户服务电话：400-820-2899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传真：021-20691861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网址：www.erichfund.com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(163) 朝阳永续</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注册地址：浦东新区上丰路977号1幢B座812室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办公地址：上海市浦东新区碧波路690号4号楼2楼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法人代表：廖冰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联系人：陆纪青</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联系电话：021-80234888-6813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客户服务电话：400-699-1888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网址：www.998fund.com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(164) 创金启富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注册地址：北京市西城区白纸坊东街2号院6号楼712室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办公地址：北京市西城区白纸坊东街2号院6号楼712室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法定代表人：梁蓉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联系人：李慧慧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联系电话：010-66154828-8047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客户服务电话：400-6262-818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传真：010-63583991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网址：www.5irich.com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(165) 大泰金石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注册地址：南京市建邺区江东中路102号708室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办公地址：上海市浦东新区峨山路505号东方纯一大厦15楼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法定代表人：陈达伟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联系人：孟召社</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联系电话：021-20324176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客户服务电话：400-995-9220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传真：021-20324199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网址：www.dtfunds.com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(166) 大智慧基金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注册地址：中国（上海）自由贸易试验区杨高南路428号1号楼1102单元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办公地址：中国（上海）自由贸易试验区杨高南路428号1号楼1102单元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法定代表人：申健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联系人：张蜓</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联系电话：021-20219988-35374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客户服务电话：021-20292031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传真：021-20219923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网址：https://www.wg.com.cn/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(167) 蛋卷基金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注册地址：北京市朝阳区创远路34号院6号楼15层1501室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办公地址：北京市朝阳区创远路 34 号院融新科技中心 C 座 17 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法定代表人：钟斐斐</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联系人：侯芳芳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联系电话：010-61840688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客户服务电话：4001599288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网址：https://danjuanapp.com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(168) 鼎信汇金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注册地址：北京市海淀区太月园3号楼5层521室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办公地址：北京市海淀区太月园3号楼5层521室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法定代表人：齐凌峰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联系人：阮志凌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联系电话：010-82050520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客户服务电话：400-886-3311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传真：010-82086110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网址：www.9ifund.com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(169) 东证期货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注册地址：中国（上海）自由贸易试验区浦电路500号上海期货大厦14层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办公地址：上海市黄浦区中山南路318号2号楼22楼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法定代表人：卢大印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联系人：张敏圆</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联系电话：021-63325888-4259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客户服务电话：4008859999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传真：021-63326752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网址：www.dzqh.com.cn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(170) 泛华普益</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注册地址：四川省成都市成华区建设路9号高地中心1101室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办公地址：四川省成都市锦江区东大街99号平安金融中心1501室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法定代表人：于海锋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联系人：陈金红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联系电话：028-86758820-803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客户服务电话：400-080-3388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网址：www.puyifund.com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(171) 富济基金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注册地址：深圳市福田区福田街道岗厦社区金田路3088号中洲大厦3203A单元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办公地址：深圳市福田区福田街道岗厦社区金田路3088号中洲大厦3203A单元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法定代表人：祝中村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联系人：曾瑶敏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联系电话：0755-83999907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客户服务电话：0755-83999907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传真：0755-83999926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网址：www.fujifund.cn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(172) 海银基金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注册地址：中国（上海）自由贸易试验区银城中路8号402室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办公地址：上海市浦东新区银城中路8号海银金融中心4楼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法定代表人：巩巧丽</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联系人：毛林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联系电话：021-80133597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客户服务电话：400-808-1016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传真：021-80133413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网址：www.fundhaiyin.com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(173) 好买基金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注册地址：上海市虹口区欧阳路196号26号楼2楼41号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办公地址：上海市浦东南路1118号鄂尔多斯国际大厦903～906室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法定代表人：杨文斌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联系人：高源</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联系电话：021-36696312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客户服务电话：400-700-9665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传真：021-68596919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网址：www.ehowbuy.com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(174) 和讯信息</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注册地址：北京市朝阳区朝外大街22号1002室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办公地址：北京市朝阳区朝外大街22号泛利大厦10层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联系人：陈慧慧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联系电话：010-85657353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客户服务电话：400-920-0022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传真：010-65884788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网址：http://licaike.hexun.com/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(175) 恒天明泽</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注册地址：北京市经济技术开发区宏达北路10号五层5122室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办公地址：北京市朝阳区东三环北路甲19号SOHO嘉盛中心30层3001室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法定代表人：周斌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联系人：陈霞</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联系电话：010-59313555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客户服务电话：4008980618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传真：010-59313586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网址：www.chtwm.com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(176) 弘业期货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注册地址：江苏省南京市秦淮区中华路50号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办公地址：江苏省南京市秦淮区中华路50号弘业大厦9楼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法人代表：周剑秋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联系人：孙朝旺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联系电话：025-52278870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客户服务电话：400-828-1288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网址：www.ftol.com.cn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(177) 虹点基金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注册地址：北京市朝阳区东三环北路17号10层1015室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办公地址：北京市朝阳区工体北路甲2号盈科中心东门2层216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法定代表人：何静</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联系人：牛亚楠</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联系电话：010-65951887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客户服务电话：400-618-0707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网址：www.hongdianfund.com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(178) 华夏财富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注册地址：上海市虹口区东大名路687号1幢2楼268室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办公地址：北京市西城区金融大街33号通泰大厦B座8层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法定代表人：毛淮平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联系人：张静怡</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联系电话：010-88066632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客户服务电话：400-817-5666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传真：010-63136184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网址：www.amcfortune.com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(179) 徽商期货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注册地址：安徽省合肥市芜湖路258号3号楼6-7层，6号楼1-2层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办公地址：合肥市芜湖路258号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法人代表：吴国华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联系人：申倩倩</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联系电话：0551-62865215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客户服务电话：400-887-8707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网址：www.hsqh.net</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(180) 汇成基金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注册地址：北京市海淀区中关村大街11号11层1108号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办公地址：北京市西城区西直门外大街1号院2号楼 19层 19C13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法定代表人：王伟刚</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联系人：王骁骁</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联系电话：010-56251471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客户服务电话：400-619-9059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网址：www.hcjijin.com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(181) 汇付基金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注册地址：上海市黄浦区黄河路333号201室A区056单元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办公地址：上海市徐汇区宜山路700号普天信息产业园2期C5栋 汇付天下总部大楼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法定代表人：金佶</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联系人：甄宝林</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联系电话：021-34013996-3011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客户服务电话：021-34013999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传真：021-33323837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网址：www.hotjijin.com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(182) 济安财富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注册地址：北京市朝阳区太阳宫中路16号院1号楼3层307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办公地址：北京市朝阳区太阳宫中路16号院1号楼冠捷大厦3层307单元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法定代表人：杨健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联系人：李海燕</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联系电话：010-65309516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客户服务电话：400-673-7010（济安财富官网）  400-071-6766（腾讯财经）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传真：010-65330699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网址：www.jianfortune.com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(183) 加和基金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注册地址：北京市西城区德胜门外大街13号院1号楼5层505室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办公地址：北京市西城区德胜门外大街13号院1号楼5层505室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法定代表人：曲阳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联系人：王梓骄</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联系电话：010-80456756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客户服务电话：400-803-1188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传真：010-80456278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网址：www.bzfunds.com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(184) 嘉实财富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注册地址：中国（上海）自由贸易试验区世纪大道8号上海国金中心办公楼二期53层5312-15单元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办公地址：北京市朝阳区建国路91号金地中心A座6层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法定代表人：赵学军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联系人：李雯</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联系电话：010-60842306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客户服务电话：400-021-8850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传真：010-85712195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网址：www.harvestwm.cn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(185) 金百临</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注册地址：无锡市滨湖区锦溪路99号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办公地址：江苏省无锡市太湖新城锦溪道楝泽路9号楼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法人代表：费晓燕</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联系人：邹云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联系电话：0510-81188088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客户服务电话：0510-9688988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网址：www.jsjbl.com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(186) 金观诚</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注册地址：杭州拱墅区登云路45号金诚集团（锦昌大厦）1幢10楼1001室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办公地址：杭州拱墅区登云路55号金诚集团（锦昌大厦）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法定代表人：蒋雪琦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联系人：来舒岚</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联系电话：0571-88337888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客户服务电话：4000680058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传真：0571-88337666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网址：http://www.jincheng-fund.com/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(187) 久富财富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注册地址：上海市浦东新区莱阳路2819号1幢109室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办公地址：上海市浦东新区民生路1403号上海信息大厦1215室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法定代表人：赵惠蓉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联系人：赵惠蓉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联系电话：021-68682279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客户服务电话：400-102-1813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传真：021-68682297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网址：www.jfcta.com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(188) 凯石财富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注册地址：上海市黄浦区西藏南路765号602-115室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办公地址：上海市黄浦区延安东路1号凯石大厦4楼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法定代表人：陈继武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联系人：冯强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联系电话：021-63333389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客户服务电话：4006-433-389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传真：021-63333390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网址：www.vstonewealth.com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(189) 肯特瑞基金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注册地址：北京市海淀区西三旗建材城中路12号17号平房157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办公地址：北京市大兴区亦庄经济开发区科创十一街十八号院京东集团总部A座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法定代表人：王苏宁</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联系人：娄云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联系电话：010-89189291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客户服务电话：95118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网址：http://fund.jd.com/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(190) 利得基金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注册地址：上海市宝山区蕴川路5475号1033室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办公地址：上海市虹口区东大名路1098号浦江国际金融广场53层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法定代表人：李兴春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联系人：陈孜明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联系电话：86-021-50583533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客户服务电话：95733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传真：86-21-61101630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网址：www.leadfund.com.cn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(191) 联泰基金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注册地址：中国（上海）自由贸易试验区富特北路277号3层310室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办公地址：上海市长宁区福泉北路518号8座3楼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法定代表人：尹彬彬</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联系人：陈东</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联系电话：021-52822063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客户服务电话：400-118-1188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传真：021-52975270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网址：www.66zichan.com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(192) 陆基金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注册地址：中国（上海）自由贸易试验区陆家嘴环路1333号14楼09单元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办公地址：中国（上海）自由贸易试验区陆家嘴环路1333号14楼09单元</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法定代表人：王之光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联系人：宁博宇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联系电话：021-20665952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客户服务电话：4008219031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传真：021-22066653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网址：www.lufunds.com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(193) 蚂蚁基金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注册地址：浙江省杭州市余杭区五常街道文一西路969号3幢5层599室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办公地址：浙江省杭州市西湖区万塘路18号黄龙时代广场B座6F</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法定代表人：祖国明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联系人：韩爱彬</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联系电话：0571-26888888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客户服务电话：4000-766-123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网址：http://www.fund123.cn/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(194) 民商基金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注册地址：上海黄浦区北京东路666号H区（东座）6楼A31室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办公地址：上海市浦东新区张杨路707号生命人寿大厦32楼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法定代表人：贲惠琴</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联系人：杨一新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联系电话：021-50206003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客户服务电话：021-50206003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传真：021-50206001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网址：http://www.msftec.com/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(195) 诺亚正行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注册地址：上海市虹口区飞虹路360弄9号3724室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办公地址：上海杨浦区秦皇岛路32号C栋 2楼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法定代表人：汪静波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联系人：余翼飞</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联系电话：021-80358749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客户服务电话：400-821-5399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传真：021-38509777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网址：www.noah-fund.com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(196) 浦领基金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注册地址：北京市朝阳区望京东园四区13号楼A座9层908室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办公地址：北京市朝阳区望京浦项中心A座9层04-08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法定代表人：聂婉君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联系电话：010-59497361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客户服务电话：400-012-5899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传真：010-64788016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网址：www.zscffund.com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(197) 钱景基金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注册地址：北京市海淀区中关村东路18号1号楼11层B-1108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办公地址：北京市海淀区中关村东路18号财智国际大厦B-1108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法定代表人：王利刚</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联系人：姚付景</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联系电话：010-62565181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客户服务电话：400-893-6885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传真：010-57569671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网址：www.qianjing.com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(198) 深圳新兰德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注册地址：深圳市福田区福田街道民田路178号华融大厦27层2704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办公地址：北京市西城区宣武门外大街28号富卓大厦A座7层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法定代表人：洪弘</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联系人：张燕</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联系电话：010-83363099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客户服务电话：400-166-1188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传真：010-83363010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网址：http://8.jrj.com.cn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(199) 晟视天下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注册地址：北京市怀柔区九渡河镇黄坎村735号03室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办公地址：北京市朝阳区朝外大街甲六号万通中心D座21层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法定代表人：蒋煜</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联系人：史俊杰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联系电话：010-58170936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客户服务电话：010-58170761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传真：010-58170800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网址：www.shengshiview.com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(200) 苏宁基金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注册地址：南京市玄武区苏宁大道1-5号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办公地址：南京市玄武区苏宁大道1-5号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联系人：张云飞</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联系电话：025-66996699-882796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客户服务电话：95177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网址：www.snjijin.com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(201) 天天基金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注册地址：上海市徐汇区龙田路190号2号楼2层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办公地址：上海市徐汇区宛平南路88号东方财富大厦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法定代表人：其实</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联系人：屠彦洋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联系电话：021-54509977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客户服务电话：95021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传真：021-64385308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网址：www.1234567.com.cn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(202) 通华财富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注册地址：上海市虹口区同丰路667弄107号201室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办公地址：上海市浦东新区金沪路55号通华科技大厦7楼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法定代表人：沈丹义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联系人：杨涛、庄洁茹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联系电话：021-60810586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客户服务电话：400-101-9301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传真：021-60810695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网址：www.tonghuafund.com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(203) 同花顺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注册地址：浙江省杭州市文二西路1号903室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办公地址：杭州市余杭区五常街道同顺街18号同花顺大楼4层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法定代表人：吴强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联系人：吴强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联系电话：0571-88911818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客户服务电话：952555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传真：0571-86800423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网址：www.5ifund.com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(204) 途牛基金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注册地址：江苏省南京市玄武区玄武大道699-1号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办公地址：江苏省南京市玄武区玄武大道699-32号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法人代表：宋时琳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联系人：贺杰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联系电话：025-86853960-66727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客户服务电话：4007-999-999转3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网址：http://jr.tuniu.com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(205) 挖财基金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注册地址：中国(上海)自由贸易试验区杨高南路799号5楼04室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办公地址：上海市浦东新区杨高南路799号陆家嘴世纪金融广场3号楼5层01、02、03层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法定代表人：吕柳霞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联系人：李娟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联系电话：021-50810687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客户服务电话：021-50810673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网址：www.wacaijijin.com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(206) 万得基金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注册地址：中国（上海）自由贸易试验区福山路33号11楼B座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办公地址：上海市浦东新区浦明路1500号万得大厦11楼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法定代表人：黄祎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联系人：徐亚丹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联系电话：021-50712782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客户服务电话：400-799-1888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网址：www.520fund.com.cn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(207) 万家财富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注册地址：天津自贸区（中心商务区）迎宾大道1988号滨海浙商大厦公寓2-2413室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办公地址：北京市西城区丰盛胡同28号太平洋保险大厦A座5层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联系人：王芳芳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联系电话：010-59013828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客户服务电话：010-59013895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网址：http://www.wanjiawealth.com/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(208) 新浪仓石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注册地址：北京市海淀区东北旺西路中关村软件园二期（西扩）N-1、N-2地块新浪总部科研楼5层518室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办公地址：北京市海淀区西北旺东路10号院东区3号楼为明大厦C座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法定代表人：赵芯蕊</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联系人：赵芯蕊</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联系电话：010-62625768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客户服务电话：010-62675369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传真：010-62676582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网址：www.xincai.com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(209) 鑫鼎盛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注册地址：厦门市思明区鹭江道2号厦门第一广场西座1501-1502室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办公地址：厦门市思明区鹭江道2号厦门第一广场西座1501-1502室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 xml:space="preserve">法定代表人：陈洪生 </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联系人：梁云波</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联系电话：0592-3122757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客户服务电话：400-6533-789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网址：www.xds.com.cn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(210) 阳光人寿保险</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注册地址：海南省三亚市迎宾路360-1号三亚阳光金融广场16层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办公地址：北京市朝阳区朝外大街20号联合大厦701A室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法定代表人：李科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联系人：龙尧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联系电话：010-59053779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客户服务电话：95510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传真：010-59053700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网址：http://fund.sinosig.com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(211) 一路财富</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注册地址：北京市海淀区宝盛南路1号院20号楼9层101-14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办公地址：北京市海淀区宝盛南路奥北科技园20号楼国泰大厦9层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法定代表人：吴雪秀</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联系人：刘栋栋</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联系电话：010-88312877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客户服务电话：400-001-1566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传真：010-88312099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网址：www.yilucaifu.com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(212) 宜投基金销售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注册地址：深圳市前海深港合作区前湾一路1号A栋201室（入驻深圳市前海商务秘书有限公司）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办公地址：深圳市福田区嘉里建设广场2座15楼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法定代表人：雷凤潮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联系人：梁菲菲</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联系电话：0755-88603874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客户服务电话：4008-955-811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网址：www.yitfund.com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(213) 宜信普泽</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注册地址：北京市朝阳区西大望路1号9层公寓1008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办公地址：北京市朝阳区建国路88号楼SOHO现代城C座18层1809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法定代表人：戎兵</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联系人：魏晨</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联系电话：010-52413385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客户服务电话：400-6099-200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传真：010-85800047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网址：www.yixinfund.com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(214) 奕丰金融</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注册地址：深圳市前海深港合作区前湾一路1号A栋201室（入驻深圳市前海商务秘书有限公司）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办公地址：深圳市南山区海德三道航天科技广场A座17楼1704室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法定代表人：TEO WEE HOWE</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联系人：叶健</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联系电话：0755-89460507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客户服务电话：400-684-0500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传真：0755-21674453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网址：www.ifastps.com.cn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(215) 盈米基金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注册地址：珠海市横琴新区宝华路6号105室-3491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办公地址：广州市海珠区琶洲大道东路1号保利国际广场南塔1201-1203室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法定代表人：肖雯</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联系人：邱湘湘</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联系电话：020-89629099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客户服务电话：020-89629066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传真：020-89629011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网址：www.yingmi.cn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(216) 云湾基金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注册地址：中国（上海）自由贸易试验区新金桥路27号、明月路1257号1幢1层103-1、103-2办公区</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办公地址：上海市浦东新区新金桥路27号1号楼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法定代表人：冯轶明</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联系人：范泽杰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联系电话：021-20530186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客户服务电话：400-820-1515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传真：021-20539999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网址：http://www.zhengtongfunds.com/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(217) 增财基金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注册地址：北京市西城区南礼士路66号建威大厦1208室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办公地址：北京市西城区南礼士路66号建威大厦1208-1209室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法定代表人：罗细安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联系人：闫丽敏</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联系电话：010-67000988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客户服务电话：400-001-8811</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传真：010-67000988-6000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网址：www.zcvc.com.cn</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(218) 展恒基金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注册地址：北京市朝阳区安苑路11号西楼6层604、607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办公地址：北京市朝阳区安苑路15-1号邮电新闻大厦6层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法定代表人：闫振杰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联系人：李晓芳</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联系电话：010-59601366-7167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客户服务电话：400-818-8000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传真：0351-4110714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网址：www.myfund.com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(219) 中国国际期货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注册地址：北京市朝阳区建国门外光华路14号1幢6层609号、610号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办公地址：北京市朝阳区建国门外光华路14号1幢1层、2层、9层、11层、12层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法定代表人：王兵</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联系人：霍丽文</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联系电话：010-65807827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客户服务电话：95162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传真：010-59539806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网址：http://www.cifco.net/</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(220) 中期时代基金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注册地址：北京市朝阳区建国门外光华路14号1幢11层1103号</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办公地址：北京市朝阳区建国门外光华路14号1幢4层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法定代表人：田宏莉</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联系人：尹庆</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联系电话：010-65807865</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客户服务电话：95162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传真：010-65807864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网址：www.jrtoo.com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(221) 中信建投期货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注册地址：重庆市渝中区中山三路107号上站大楼平街11-B，名义层11-A，8-B4，9-B、C</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办公地址：重庆市渝中区中山三路107号皇冠大厦11楼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法定代表人：王广学</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联系人：刘芸</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联系电话：023-86769637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客户服务电话：400-8877-780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传真：023-86769629</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网址：www.cfc108.com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(222) 中信期货</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注册地址：广东省深圳市福田区中心三路8号卓越时代广场（二期）北座13层1301-1305室、14层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办公地址：深圳市福田区中心三路8号卓越时代广场（二期）北座13层1301-1305室、14层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法定代表人：张皓</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联系人：刘宏莹</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联系电话：010-6083 3754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客户服务电话：400-990-8826</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传真：021-60819988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网址：www.citicsf.com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(223) 中正达广</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注册地址：上海市徐汇区龙腾大道2815号302室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办公地址：上海市徐汇区龙腾大道2815号302室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法定代表人：黄欣</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联系人：戴珉微</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联系电话：021-33768132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客户服务电话：400-6767-523</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传真：021-33768132-802</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网址：www.zhongzhengfund.com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(224) 中证金牛</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注册地址：北京市丰台区东管头1号2号楼2-45室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办公地址：北京市西城区宣武门外大街甲1号环球财讯中心A座5层</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法定代表人：钱昊旻</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联系人：沈晨</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联系电话：010-59336544</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客户服务电话：4008-909-998</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网址：www.jnlc.com</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(225) 众禄基金</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注册地址：深圳市罗湖区笋岗街道笋西社区梨园路8号HALO广场一期四层12-13室</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办公地址：深圳市罗湖区梨园路HALO广场4楼</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法定代表人：薛峰</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联系人：龚江江</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联系电话：0755-33227950</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客户服务电话：4006-788-887</w:t>
      </w:r>
    </w:p>
    <w:p w:rsidR="00546243" w:rsidRPr="000239D0" w:rsidRDefault="00546243" w:rsidP="0054624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传真：0755-33227951</w:t>
      </w:r>
    </w:p>
    <w:p w:rsidR="000F26F8" w:rsidRPr="000239D0" w:rsidRDefault="00546243" w:rsidP="00FC46C4">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网址：www.zlfund.cn    www.jjmmw.com</w:t>
      </w:r>
    </w:p>
    <w:p w:rsidR="005336CC" w:rsidRPr="000239D0" w:rsidRDefault="00DD4F2E"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32" w:name="_Toc219695787"/>
      <w:bookmarkStart w:id="33" w:name="_Toc36452358"/>
      <w:r w:rsidRPr="000239D0">
        <w:rPr>
          <w:rFonts w:asciiTheme="minorEastAsia" w:eastAsiaTheme="minorEastAsia" w:hAnsiTheme="minorEastAsia" w:hint="eastAsia"/>
          <w:b w:val="0"/>
          <w:bCs/>
          <w:szCs w:val="21"/>
        </w:rPr>
        <w:t>（二）</w:t>
      </w:r>
      <w:r w:rsidR="005336CC" w:rsidRPr="000239D0">
        <w:rPr>
          <w:rFonts w:asciiTheme="minorEastAsia" w:eastAsiaTheme="minorEastAsia" w:hAnsiTheme="minorEastAsia" w:hint="eastAsia"/>
          <w:b w:val="0"/>
          <w:bCs/>
          <w:szCs w:val="21"/>
        </w:rPr>
        <w:t>注册登记机构</w:t>
      </w:r>
      <w:bookmarkEnd w:id="32"/>
      <w:bookmarkEnd w:id="33"/>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注册地址：</w:t>
      </w:r>
      <w:r w:rsidR="00D026D9" w:rsidRPr="000239D0">
        <w:rPr>
          <w:rFonts w:asciiTheme="minorEastAsia" w:eastAsiaTheme="minorEastAsia" w:hAnsiTheme="minorEastAsia" w:hint="eastAsia"/>
          <w:sz w:val="21"/>
        </w:rPr>
        <w:t>广东省珠海市横琴新区宝华路6号105室－42891（集中办公区）</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办公地址：</w:t>
      </w:r>
      <w:r w:rsidR="00585A19" w:rsidRPr="000239D0">
        <w:rPr>
          <w:rFonts w:asciiTheme="minorEastAsia" w:eastAsiaTheme="minorEastAsia" w:hAnsiTheme="minorEastAsia" w:hint="eastAsia"/>
          <w:sz w:val="21"/>
          <w:szCs w:val="21"/>
        </w:rPr>
        <w:t>广州市天河区珠江新城珠江东路30号广州银行大厦40-43</w:t>
      </w:r>
      <w:r w:rsidR="00C5539D" w:rsidRPr="000239D0">
        <w:rPr>
          <w:rFonts w:asciiTheme="minorEastAsia" w:eastAsiaTheme="minorEastAsia" w:hAnsiTheme="minorEastAsia" w:hint="eastAsia"/>
          <w:sz w:val="21"/>
          <w:szCs w:val="21"/>
        </w:rPr>
        <w:t>楼</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法定代表人：</w:t>
      </w:r>
      <w:r w:rsidR="00C02B53" w:rsidRPr="000239D0">
        <w:rPr>
          <w:rFonts w:asciiTheme="minorEastAsia" w:eastAsiaTheme="minorEastAsia" w:hAnsiTheme="minorEastAsia" w:hint="eastAsia"/>
          <w:sz w:val="21"/>
          <w:szCs w:val="21"/>
        </w:rPr>
        <w:t>刘晓艳</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电话：</w:t>
      </w:r>
      <w:r w:rsidR="00BC4173" w:rsidRPr="000239D0">
        <w:rPr>
          <w:rFonts w:asciiTheme="minorEastAsia" w:eastAsiaTheme="minorEastAsia" w:hAnsiTheme="minorEastAsia" w:hint="eastAsia"/>
          <w:sz w:val="21"/>
          <w:szCs w:val="21"/>
        </w:rPr>
        <w:t>4008818088</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传真：</w:t>
      </w:r>
      <w:r w:rsidRPr="000239D0">
        <w:rPr>
          <w:rFonts w:asciiTheme="minorEastAsia" w:eastAsiaTheme="minorEastAsia" w:hAnsiTheme="minorEastAsia"/>
          <w:sz w:val="21"/>
          <w:szCs w:val="21"/>
        </w:rPr>
        <w:t>020</w:t>
      </w:r>
      <w:r w:rsidRPr="000239D0">
        <w:rPr>
          <w:rFonts w:asciiTheme="minorEastAsia" w:eastAsiaTheme="minorEastAsia" w:hAnsiTheme="minorEastAsia" w:hint="eastAsia"/>
          <w:sz w:val="21"/>
          <w:szCs w:val="21"/>
        </w:rPr>
        <w:t>-38799249</w:t>
      </w:r>
    </w:p>
    <w:p w:rsidR="005336CC" w:rsidRPr="000239D0" w:rsidRDefault="005336CC" w:rsidP="000B1E9F">
      <w:pPr>
        <w:pStyle w:val="a7"/>
        <w:snapToGrid w:val="0"/>
        <w:spacing w:line="360" w:lineRule="auto"/>
        <w:ind w:firstLineChars="195" w:firstLine="409"/>
        <w:rPr>
          <w:rFonts w:asciiTheme="minorEastAsia" w:eastAsiaTheme="minorEastAsia" w:hAnsiTheme="minorEastAsia"/>
          <w:sz w:val="21"/>
        </w:rPr>
      </w:pPr>
      <w:r w:rsidRPr="000239D0">
        <w:rPr>
          <w:rFonts w:asciiTheme="minorEastAsia" w:eastAsiaTheme="minorEastAsia" w:hAnsiTheme="minorEastAsia" w:hint="eastAsia"/>
          <w:sz w:val="21"/>
        </w:rPr>
        <w:t>联系人：余贤高</w:t>
      </w:r>
    </w:p>
    <w:p w:rsidR="005336CC" w:rsidRPr="000239D0" w:rsidRDefault="00DD4F2E"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34" w:name="_Toc219695788"/>
      <w:bookmarkStart w:id="35" w:name="_Toc36452359"/>
      <w:r w:rsidRPr="000239D0">
        <w:rPr>
          <w:rFonts w:asciiTheme="minorEastAsia" w:eastAsiaTheme="minorEastAsia" w:hAnsiTheme="minorEastAsia" w:hint="eastAsia"/>
          <w:b w:val="0"/>
          <w:bCs/>
          <w:szCs w:val="21"/>
        </w:rPr>
        <w:t>（三）</w:t>
      </w:r>
      <w:r w:rsidR="005336CC" w:rsidRPr="000239D0">
        <w:rPr>
          <w:rFonts w:asciiTheme="minorEastAsia" w:eastAsiaTheme="minorEastAsia" w:hAnsiTheme="minorEastAsia" w:hint="eastAsia"/>
          <w:b w:val="0"/>
          <w:bCs/>
          <w:szCs w:val="21"/>
        </w:rPr>
        <w:t>律师事务所和经办律师</w:t>
      </w:r>
      <w:bookmarkEnd w:id="34"/>
      <w:bookmarkEnd w:id="35"/>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律师事务所：北京市天元律师事务所</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地址：</w:t>
      </w:r>
      <w:r w:rsidR="00042A4A" w:rsidRPr="000239D0">
        <w:rPr>
          <w:rFonts w:asciiTheme="minorEastAsia" w:eastAsiaTheme="minorEastAsia" w:hAnsiTheme="minorEastAsia" w:hint="eastAsia"/>
          <w:sz w:val="21"/>
        </w:rPr>
        <w:t>北京市西城区丰盛胡同</w:t>
      </w:r>
      <w:r w:rsidR="00042A4A" w:rsidRPr="000239D0">
        <w:rPr>
          <w:rFonts w:asciiTheme="minorEastAsia" w:eastAsiaTheme="minorEastAsia" w:hAnsiTheme="minorEastAsia"/>
          <w:sz w:val="21"/>
        </w:rPr>
        <w:t>28</w:t>
      </w:r>
      <w:r w:rsidR="00042A4A" w:rsidRPr="000239D0">
        <w:rPr>
          <w:rFonts w:asciiTheme="minorEastAsia" w:eastAsiaTheme="minorEastAsia" w:hAnsiTheme="minorEastAsia" w:hint="eastAsia"/>
          <w:sz w:val="21"/>
        </w:rPr>
        <w:t>号太平洋保险大厦</w:t>
      </w:r>
      <w:r w:rsidR="00042A4A" w:rsidRPr="000239D0">
        <w:rPr>
          <w:rFonts w:asciiTheme="minorEastAsia" w:eastAsiaTheme="minorEastAsia" w:hAnsiTheme="minorEastAsia"/>
          <w:sz w:val="21"/>
        </w:rPr>
        <w:t>10</w:t>
      </w:r>
      <w:r w:rsidR="00042A4A" w:rsidRPr="000239D0">
        <w:rPr>
          <w:rFonts w:asciiTheme="minorEastAsia" w:eastAsiaTheme="minorEastAsia" w:hAnsiTheme="minorEastAsia" w:hint="eastAsia"/>
          <w:sz w:val="21"/>
        </w:rPr>
        <w:t>层</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负责人：</w:t>
      </w:r>
      <w:r w:rsidR="003456BA" w:rsidRPr="000239D0">
        <w:rPr>
          <w:rFonts w:asciiTheme="minorEastAsia" w:eastAsiaTheme="minorEastAsia" w:hAnsiTheme="minorEastAsia" w:hint="eastAsia"/>
          <w:sz w:val="21"/>
        </w:rPr>
        <w:t>王立华</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电话：010-88092188</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传真：010-88092150</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经办律师：朱小辉、陈华</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w:t>
      </w:r>
      <w:r w:rsidR="003456BA" w:rsidRPr="000239D0">
        <w:rPr>
          <w:rFonts w:asciiTheme="minorEastAsia" w:eastAsiaTheme="minorEastAsia" w:hAnsiTheme="minorEastAsia" w:hint="eastAsia"/>
          <w:sz w:val="21"/>
        </w:rPr>
        <w:t>王立华</w:t>
      </w:r>
    </w:p>
    <w:p w:rsidR="005336CC" w:rsidRPr="000239D0" w:rsidRDefault="00DD4F2E"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36" w:name="_Toc219695789"/>
      <w:bookmarkStart w:id="37" w:name="_Toc36452360"/>
      <w:r w:rsidRPr="000239D0">
        <w:rPr>
          <w:rFonts w:asciiTheme="minorEastAsia" w:eastAsiaTheme="minorEastAsia" w:hAnsiTheme="minorEastAsia" w:hint="eastAsia"/>
          <w:b w:val="0"/>
          <w:bCs/>
          <w:szCs w:val="21"/>
        </w:rPr>
        <w:t>（四）</w:t>
      </w:r>
      <w:r w:rsidR="005336CC" w:rsidRPr="000239D0">
        <w:rPr>
          <w:rFonts w:asciiTheme="minorEastAsia" w:eastAsiaTheme="minorEastAsia" w:hAnsiTheme="minorEastAsia" w:hint="eastAsia"/>
          <w:b w:val="0"/>
          <w:bCs/>
          <w:szCs w:val="21"/>
        </w:rPr>
        <w:t>会计师事务所和经办注册会计师</w:t>
      </w:r>
      <w:bookmarkEnd w:id="36"/>
      <w:bookmarkEnd w:id="37"/>
    </w:p>
    <w:p w:rsidR="007B3B8D" w:rsidRPr="000239D0" w:rsidRDefault="007B3B8D"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会计师事务所：</w:t>
      </w:r>
      <w:r w:rsidR="00AC0017" w:rsidRPr="000239D0">
        <w:rPr>
          <w:rFonts w:asciiTheme="minorEastAsia" w:eastAsiaTheme="minorEastAsia" w:hAnsiTheme="minorEastAsia" w:hint="eastAsia"/>
          <w:sz w:val="21"/>
        </w:rPr>
        <w:t>安永华明会计师事务所（特殊普通合伙）</w:t>
      </w:r>
    </w:p>
    <w:p w:rsidR="007B3B8D" w:rsidRPr="000239D0" w:rsidRDefault="007B3B8D"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w:t>
      </w:r>
      <w:r w:rsidR="00AC0017" w:rsidRPr="000239D0">
        <w:rPr>
          <w:rFonts w:asciiTheme="minorEastAsia" w:eastAsiaTheme="minorEastAsia" w:hAnsiTheme="minorEastAsia" w:hint="eastAsia"/>
          <w:sz w:val="21"/>
        </w:rPr>
        <w:t>北京市东城区东长安街</w:t>
      </w:r>
      <w:r w:rsidR="00AC0017" w:rsidRPr="000239D0">
        <w:rPr>
          <w:rFonts w:asciiTheme="minorEastAsia" w:eastAsiaTheme="minorEastAsia" w:hAnsiTheme="minorEastAsia"/>
          <w:sz w:val="21"/>
        </w:rPr>
        <w:t>1</w:t>
      </w:r>
      <w:r w:rsidR="00AC0017" w:rsidRPr="000239D0">
        <w:rPr>
          <w:rFonts w:asciiTheme="minorEastAsia" w:eastAsiaTheme="minorEastAsia" w:hAnsiTheme="minorEastAsia" w:hint="eastAsia"/>
          <w:sz w:val="21"/>
        </w:rPr>
        <w:t>号东方广场安永大楼</w:t>
      </w:r>
      <w:r w:rsidR="00AC0017" w:rsidRPr="000239D0">
        <w:rPr>
          <w:rFonts w:asciiTheme="minorEastAsia" w:eastAsiaTheme="minorEastAsia" w:hAnsiTheme="minorEastAsia"/>
          <w:sz w:val="21"/>
        </w:rPr>
        <w:t>17</w:t>
      </w:r>
      <w:r w:rsidR="00AC0017" w:rsidRPr="000239D0">
        <w:rPr>
          <w:rFonts w:asciiTheme="minorEastAsia" w:eastAsiaTheme="minorEastAsia" w:hAnsiTheme="minorEastAsia" w:hint="eastAsia"/>
          <w:sz w:val="21"/>
        </w:rPr>
        <w:t>层</w:t>
      </w:r>
      <w:r w:rsidR="00AC0017" w:rsidRPr="000239D0">
        <w:rPr>
          <w:rFonts w:asciiTheme="minorEastAsia" w:eastAsiaTheme="minorEastAsia" w:hAnsiTheme="minorEastAsia"/>
          <w:sz w:val="21"/>
        </w:rPr>
        <w:t>01-12</w:t>
      </w:r>
      <w:r w:rsidR="00AC0017" w:rsidRPr="000239D0">
        <w:rPr>
          <w:rFonts w:asciiTheme="minorEastAsia" w:eastAsiaTheme="minorEastAsia" w:hAnsiTheme="minorEastAsia" w:hint="eastAsia"/>
          <w:sz w:val="21"/>
        </w:rPr>
        <w:t>室</w:t>
      </w:r>
    </w:p>
    <w:p w:rsidR="007B3B8D" w:rsidRPr="000239D0" w:rsidRDefault="00AC0017"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执行事务合伙人：</w:t>
      </w:r>
      <w:r w:rsidR="006B562C" w:rsidRPr="000239D0">
        <w:rPr>
          <w:rFonts w:asciiTheme="minorEastAsia" w:eastAsiaTheme="minorEastAsia" w:hAnsiTheme="minorEastAsia" w:hint="eastAsia"/>
          <w:sz w:val="21"/>
        </w:rPr>
        <w:t>TonyMao毛鞍宁</w:t>
      </w:r>
    </w:p>
    <w:p w:rsidR="007B3B8D" w:rsidRPr="000239D0" w:rsidRDefault="007B3B8D"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电话：010-58153000</w:t>
      </w:r>
    </w:p>
    <w:p w:rsidR="007B3B8D" w:rsidRPr="000239D0" w:rsidRDefault="007B3B8D"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传真：010-85188298</w:t>
      </w:r>
    </w:p>
    <w:p w:rsidR="007B3B8D" w:rsidRPr="000239D0" w:rsidRDefault="007B3B8D"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经办注册会计师：</w:t>
      </w:r>
      <w:r w:rsidR="00E0276B" w:rsidRPr="000239D0">
        <w:rPr>
          <w:rFonts w:asciiTheme="minorEastAsia" w:eastAsiaTheme="minorEastAsia" w:hAnsiTheme="minorEastAsia" w:hint="eastAsia"/>
          <w:sz w:val="21"/>
        </w:rPr>
        <w:t>赵雅、马婧</w:t>
      </w:r>
    </w:p>
    <w:p w:rsidR="00EB196E" w:rsidRPr="000239D0" w:rsidRDefault="007B3B8D"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联系人：</w:t>
      </w:r>
      <w:r w:rsidR="006B562C" w:rsidRPr="000239D0">
        <w:rPr>
          <w:rFonts w:asciiTheme="minorEastAsia" w:eastAsiaTheme="minorEastAsia" w:hAnsiTheme="minorEastAsia" w:hint="eastAsia"/>
          <w:sz w:val="21"/>
        </w:rPr>
        <w:t>赵雅</w:t>
      </w:r>
    </w:p>
    <w:p w:rsidR="00AE6990" w:rsidRPr="000239D0" w:rsidRDefault="00AE6990" w:rsidP="000B1E9F">
      <w:pPr>
        <w:snapToGrid w:val="0"/>
        <w:spacing w:line="360" w:lineRule="auto"/>
        <w:ind w:firstLine="420"/>
        <w:rPr>
          <w:rFonts w:asciiTheme="minorEastAsia" w:eastAsiaTheme="minorEastAsia" w:hAnsiTheme="minorEastAsia"/>
          <w:sz w:val="21"/>
        </w:rPr>
      </w:pPr>
    </w:p>
    <w:p w:rsidR="003A50C8" w:rsidRPr="000239D0" w:rsidRDefault="003A50C8" w:rsidP="000B1E9F">
      <w:pPr>
        <w:snapToGrid w:val="0"/>
        <w:spacing w:line="360" w:lineRule="auto"/>
        <w:ind w:firstLine="420"/>
        <w:rPr>
          <w:rFonts w:asciiTheme="minorEastAsia" w:eastAsiaTheme="minorEastAsia" w:hAnsiTheme="minorEastAsia"/>
          <w:sz w:val="21"/>
        </w:rPr>
        <w:sectPr w:rsidR="003A50C8" w:rsidRPr="000239D0" w:rsidSect="007D09C8">
          <w:pgSz w:w="11906" w:h="16838" w:code="9"/>
          <w:pgMar w:top="1701" w:right="1301" w:bottom="1701" w:left="2268" w:header="1134" w:footer="1247" w:gutter="0"/>
          <w:cols w:space="425"/>
          <w:docGrid w:type="lines" w:linePitch="447"/>
        </w:sect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rPr>
      </w:pPr>
      <w:bookmarkStart w:id="38" w:name="_Toc219695790"/>
      <w:bookmarkStart w:id="39" w:name="_Toc36452361"/>
      <w:r w:rsidRPr="000239D0">
        <w:rPr>
          <w:rFonts w:asciiTheme="minorEastAsia" w:eastAsiaTheme="minorEastAsia" w:hAnsiTheme="minorEastAsia" w:hint="eastAsia"/>
          <w:b/>
          <w:bCs/>
          <w:kern w:val="44"/>
          <w:sz w:val="28"/>
          <w:szCs w:val="44"/>
        </w:rPr>
        <w:lastRenderedPageBreak/>
        <w:t>六、基金份额的申购、赎回和转换</w:t>
      </w:r>
      <w:bookmarkEnd w:id="38"/>
      <w:bookmarkEnd w:id="39"/>
    </w:p>
    <w:p w:rsidR="005336CC" w:rsidRPr="000239D0" w:rsidRDefault="00717956"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0" w:name="_Toc219695791"/>
      <w:bookmarkStart w:id="41" w:name="_Toc36452362"/>
      <w:r w:rsidRPr="000239D0">
        <w:rPr>
          <w:rFonts w:asciiTheme="minorEastAsia" w:eastAsiaTheme="minorEastAsia" w:hAnsiTheme="minorEastAsia" w:hint="eastAsia"/>
          <w:b w:val="0"/>
          <w:bCs/>
          <w:szCs w:val="21"/>
        </w:rPr>
        <w:t>（一）</w:t>
      </w:r>
      <w:r w:rsidR="005336CC" w:rsidRPr="000239D0">
        <w:rPr>
          <w:rFonts w:asciiTheme="minorEastAsia" w:eastAsiaTheme="minorEastAsia" w:hAnsiTheme="minorEastAsia" w:hint="eastAsia"/>
          <w:b w:val="0"/>
          <w:bCs/>
          <w:szCs w:val="21"/>
        </w:rPr>
        <w:t>投资者范围</w:t>
      </w:r>
      <w:bookmarkEnd w:id="40"/>
      <w:bookmarkEnd w:id="41"/>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依据中华人民共和国有关法律法规及其他有关规定可以投资于证券投资基金的个人投资者和机构投资者。</w:t>
      </w:r>
    </w:p>
    <w:p w:rsidR="005336CC" w:rsidRPr="000239D0" w:rsidRDefault="00717956"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2" w:name="_Toc219695792"/>
      <w:bookmarkStart w:id="43" w:name="_Toc36452363"/>
      <w:r w:rsidRPr="000239D0">
        <w:rPr>
          <w:rFonts w:asciiTheme="minorEastAsia" w:eastAsiaTheme="minorEastAsia" w:hAnsiTheme="minorEastAsia" w:hint="eastAsia"/>
          <w:b w:val="0"/>
          <w:bCs/>
          <w:szCs w:val="21"/>
        </w:rPr>
        <w:t>（二）</w:t>
      </w:r>
      <w:r w:rsidR="005336CC" w:rsidRPr="000239D0">
        <w:rPr>
          <w:rFonts w:asciiTheme="minorEastAsia" w:eastAsiaTheme="minorEastAsia" w:hAnsiTheme="minorEastAsia" w:hint="eastAsia"/>
          <w:b w:val="0"/>
          <w:bCs/>
          <w:szCs w:val="21"/>
        </w:rPr>
        <w:t>申购、赎回和转换场所</w:t>
      </w:r>
      <w:bookmarkEnd w:id="42"/>
      <w:bookmarkEnd w:id="43"/>
    </w:p>
    <w:p w:rsidR="005336CC" w:rsidRPr="000239D0" w:rsidRDefault="00AD684A" w:rsidP="000B1E9F">
      <w:pPr>
        <w:tabs>
          <w:tab w:val="left" w:pos="735"/>
        </w:tabs>
        <w:snapToGrid w:val="0"/>
        <w:spacing w:line="360" w:lineRule="auto"/>
        <w:ind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本公司直销</w:t>
      </w:r>
      <w:r w:rsidR="00D614D4" w:rsidRPr="000239D0">
        <w:rPr>
          <w:rFonts w:asciiTheme="minorEastAsia" w:eastAsiaTheme="minorEastAsia" w:hAnsiTheme="minorEastAsia" w:hint="eastAsia"/>
          <w:sz w:val="21"/>
        </w:rPr>
        <w:t>中心</w:t>
      </w:r>
      <w:r w:rsidR="00B47C4C" w:rsidRPr="000239D0">
        <w:rPr>
          <w:rFonts w:asciiTheme="minorEastAsia" w:eastAsiaTheme="minorEastAsia" w:hAnsiTheme="minorEastAsia" w:hint="eastAsia"/>
          <w:sz w:val="21"/>
        </w:rPr>
        <w:t>、</w:t>
      </w:r>
      <w:r w:rsidR="007D4F15" w:rsidRPr="000239D0">
        <w:rPr>
          <w:rFonts w:asciiTheme="minorEastAsia" w:eastAsiaTheme="minorEastAsia" w:hAnsiTheme="minorEastAsia" w:hint="eastAsia"/>
          <w:sz w:val="21"/>
        </w:rPr>
        <w:t>网上交易系统</w:t>
      </w:r>
      <w:r w:rsidR="005336CC" w:rsidRPr="000239D0">
        <w:rPr>
          <w:rFonts w:asciiTheme="minorEastAsia" w:eastAsiaTheme="minorEastAsia" w:hAnsiTheme="minorEastAsia" w:hint="eastAsia"/>
          <w:sz w:val="21"/>
        </w:rPr>
        <w:t>(www.efunds.com.cn)；</w:t>
      </w:r>
    </w:p>
    <w:p w:rsidR="005336CC" w:rsidRPr="000239D0" w:rsidRDefault="00AD684A" w:rsidP="000B1E9F">
      <w:pPr>
        <w:tabs>
          <w:tab w:val="left" w:pos="735"/>
        </w:tabs>
        <w:snapToGrid w:val="0"/>
        <w:spacing w:line="360" w:lineRule="auto"/>
        <w:ind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受本公司委托、具有销售本基金资格的</w:t>
      </w:r>
      <w:r w:rsidR="00885A76" w:rsidRPr="000239D0">
        <w:rPr>
          <w:rFonts w:asciiTheme="minorEastAsia" w:eastAsiaTheme="minorEastAsia" w:hAnsiTheme="minorEastAsia" w:hint="eastAsia"/>
          <w:sz w:val="21"/>
        </w:rPr>
        <w:t>非直销销售</w:t>
      </w:r>
      <w:r w:rsidR="005336CC" w:rsidRPr="000239D0">
        <w:rPr>
          <w:rFonts w:asciiTheme="minorEastAsia" w:eastAsiaTheme="minorEastAsia" w:hAnsiTheme="minorEastAsia" w:hint="eastAsia"/>
          <w:sz w:val="21"/>
        </w:rPr>
        <w:t>机构</w:t>
      </w:r>
      <w:r w:rsidR="005336CC" w:rsidRPr="000239D0">
        <w:rPr>
          <w:rFonts w:asciiTheme="minorEastAsia" w:eastAsiaTheme="minorEastAsia" w:hAnsiTheme="minorEastAsia"/>
          <w:sz w:val="21"/>
        </w:rPr>
        <w:t>的</w:t>
      </w:r>
      <w:r w:rsidR="00885A76" w:rsidRPr="000239D0">
        <w:rPr>
          <w:rFonts w:asciiTheme="minorEastAsia" w:eastAsiaTheme="minorEastAsia" w:hAnsiTheme="minorEastAsia" w:hint="eastAsia"/>
          <w:sz w:val="21"/>
        </w:rPr>
        <w:t>销售</w:t>
      </w:r>
      <w:r w:rsidR="005336CC" w:rsidRPr="000239D0">
        <w:rPr>
          <w:rFonts w:asciiTheme="minorEastAsia" w:eastAsiaTheme="minorEastAsia" w:hAnsiTheme="minorEastAsia"/>
          <w:sz w:val="21"/>
        </w:rPr>
        <w:t>网点</w:t>
      </w:r>
      <w:r w:rsidR="005336CC" w:rsidRPr="000239D0">
        <w:rPr>
          <w:rFonts w:asciiTheme="minorEastAsia" w:eastAsiaTheme="minorEastAsia" w:hAnsiTheme="minorEastAsia" w:hint="eastAsia"/>
          <w:sz w:val="21"/>
        </w:rPr>
        <w:t>。</w:t>
      </w:r>
    </w:p>
    <w:p w:rsidR="005336CC" w:rsidRPr="000239D0" w:rsidRDefault="005336CC" w:rsidP="000B1E9F">
      <w:pPr>
        <w:tabs>
          <w:tab w:val="left" w:pos="735"/>
        </w:tabs>
        <w:snapToGrid w:val="0"/>
        <w:spacing w:line="360" w:lineRule="auto"/>
        <w:ind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基金管理人可根据情况变更基金</w:t>
      </w:r>
      <w:r w:rsidR="00885A76" w:rsidRPr="000239D0">
        <w:rPr>
          <w:rFonts w:asciiTheme="minorEastAsia" w:eastAsiaTheme="minorEastAsia" w:hAnsiTheme="minorEastAsia" w:hint="eastAsia"/>
          <w:sz w:val="21"/>
        </w:rPr>
        <w:t>销售</w:t>
      </w:r>
      <w:r w:rsidRPr="000239D0">
        <w:rPr>
          <w:rFonts w:asciiTheme="minorEastAsia" w:eastAsiaTheme="minorEastAsia" w:hAnsiTheme="minorEastAsia" w:hint="eastAsia"/>
          <w:sz w:val="21"/>
        </w:rPr>
        <w:t>机构，</w:t>
      </w:r>
      <w:r w:rsidR="00EF5D91" w:rsidRPr="000239D0">
        <w:rPr>
          <w:rFonts w:asciiTheme="minorEastAsia" w:eastAsiaTheme="minorEastAsia" w:hAnsiTheme="minorEastAsia" w:hint="eastAsia"/>
          <w:sz w:val="21"/>
        </w:rPr>
        <w:t>并在基金管理人网站公示</w:t>
      </w:r>
      <w:r w:rsidRPr="000239D0">
        <w:rPr>
          <w:rFonts w:asciiTheme="minorEastAsia" w:eastAsiaTheme="minorEastAsia" w:hAnsiTheme="minorEastAsia" w:hint="eastAsia"/>
          <w:sz w:val="21"/>
        </w:rPr>
        <w:t>。</w:t>
      </w:r>
    </w:p>
    <w:p w:rsidR="005336CC" w:rsidRPr="000239D0" w:rsidRDefault="005336CC" w:rsidP="000B1E9F">
      <w:pPr>
        <w:pStyle w:val="af1"/>
        <w:tabs>
          <w:tab w:val="left" w:pos="735"/>
        </w:tabs>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投资者还可通过基金管理人或者指定的基金</w:t>
      </w:r>
      <w:r w:rsidR="00885A76" w:rsidRPr="000239D0">
        <w:rPr>
          <w:rFonts w:asciiTheme="minorEastAsia" w:eastAsiaTheme="minorEastAsia" w:hAnsiTheme="minorEastAsia" w:hint="eastAsia"/>
        </w:rPr>
        <w:t>销售</w:t>
      </w:r>
      <w:r w:rsidRPr="000239D0">
        <w:rPr>
          <w:rFonts w:asciiTheme="minorEastAsia" w:eastAsiaTheme="minorEastAsia" w:hAnsiTheme="minorEastAsia" w:hint="eastAsia"/>
        </w:rPr>
        <w:t>机构以电话或互联网</w:t>
      </w:r>
      <w:r w:rsidR="003F2843" w:rsidRPr="000239D0">
        <w:rPr>
          <w:rFonts w:asciiTheme="minorEastAsia" w:eastAsiaTheme="minorEastAsia" w:hAnsiTheme="minorEastAsia" w:hint="eastAsia"/>
        </w:rPr>
        <w:t>或</w:t>
      </w:r>
      <w:r w:rsidRPr="000239D0">
        <w:rPr>
          <w:rFonts w:asciiTheme="minorEastAsia" w:eastAsiaTheme="minorEastAsia" w:hAnsiTheme="minorEastAsia" w:hint="eastAsia"/>
        </w:rPr>
        <w:t>其他电子交易方式进行申购、赎回</w:t>
      </w:r>
      <w:r w:rsidR="002B22D3" w:rsidRPr="000239D0">
        <w:rPr>
          <w:rFonts w:asciiTheme="minorEastAsia" w:eastAsiaTheme="minorEastAsia" w:hAnsiTheme="minorEastAsia" w:hint="eastAsia"/>
        </w:rPr>
        <w:t>，具体以各销售机构的规定为准</w:t>
      </w:r>
      <w:r w:rsidRPr="000239D0">
        <w:rPr>
          <w:rFonts w:asciiTheme="minorEastAsia" w:eastAsiaTheme="minorEastAsia" w:hAnsiTheme="minorEastAsia" w:hint="eastAsia"/>
        </w:rPr>
        <w:t>。</w:t>
      </w:r>
    </w:p>
    <w:p w:rsidR="005336CC" w:rsidRPr="000239D0" w:rsidRDefault="00717956"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4" w:name="_Toc219695793"/>
      <w:bookmarkStart w:id="45" w:name="_Toc36452364"/>
      <w:r w:rsidRPr="000239D0">
        <w:rPr>
          <w:rFonts w:asciiTheme="minorEastAsia" w:eastAsiaTheme="minorEastAsia" w:hAnsiTheme="minorEastAsia" w:hint="eastAsia"/>
          <w:b w:val="0"/>
          <w:bCs/>
          <w:szCs w:val="21"/>
        </w:rPr>
        <w:t>（三）</w:t>
      </w:r>
      <w:r w:rsidR="005336CC" w:rsidRPr="000239D0">
        <w:rPr>
          <w:rFonts w:asciiTheme="minorEastAsia" w:eastAsiaTheme="minorEastAsia" w:hAnsiTheme="minorEastAsia" w:hint="eastAsia"/>
          <w:b w:val="0"/>
          <w:bCs/>
          <w:szCs w:val="21"/>
        </w:rPr>
        <w:t>申购、赎回和转换的开放日期及办理时间</w:t>
      </w:r>
      <w:bookmarkEnd w:id="44"/>
      <w:bookmarkEnd w:id="45"/>
    </w:p>
    <w:p w:rsidR="00730DBA"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本基金已于2003年12月30日开始办理日常申购</w:t>
      </w:r>
      <w:r w:rsidR="00580BE2"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2004年2月4日开始办理日常赎回业务</w:t>
      </w:r>
      <w:r w:rsidR="001E1663" w:rsidRPr="000239D0">
        <w:rPr>
          <w:rFonts w:asciiTheme="minorEastAsia" w:eastAsiaTheme="minorEastAsia" w:hAnsiTheme="minorEastAsia" w:hint="eastAsia"/>
          <w:sz w:val="21"/>
        </w:rPr>
        <w:t>，</w:t>
      </w:r>
      <w:r w:rsidR="00A1604D" w:rsidRPr="000239D0">
        <w:rPr>
          <w:rFonts w:asciiTheme="minorEastAsia" w:eastAsiaTheme="minorEastAsia" w:hAnsiTheme="minorEastAsia" w:hint="eastAsia"/>
          <w:sz w:val="21"/>
        </w:rPr>
        <w:t>200</w:t>
      </w:r>
      <w:r w:rsidR="004B73B8" w:rsidRPr="000239D0">
        <w:rPr>
          <w:rFonts w:asciiTheme="minorEastAsia" w:eastAsiaTheme="minorEastAsia" w:hAnsiTheme="minorEastAsia" w:hint="eastAsia"/>
          <w:sz w:val="21"/>
        </w:rPr>
        <w:t>4</w:t>
      </w:r>
      <w:r w:rsidR="00A1604D" w:rsidRPr="000239D0">
        <w:rPr>
          <w:rFonts w:asciiTheme="minorEastAsia" w:eastAsiaTheme="minorEastAsia" w:hAnsiTheme="minorEastAsia" w:hint="eastAsia"/>
          <w:sz w:val="21"/>
        </w:rPr>
        <w:t>年2月19日开始办理转换业务</w:t>
      </w:r>
      <w:r w:rsidR="001E1663" w:rsidRPr="000239D0">
        <w:rPr>
          <w:rFonts w:asciiTheme="minorEastAsia" w:eastAsiaTheme="minorEastAsia" w:hAnsiTheme="minorEastAsia" w:hint="eastAsia"/>
          <w:sz w:val="21"/>
        </w:rPr>
        <w:t>，</w:t>
      </w:r>
      <w:r w:rsidR="00730DBA" w:rsidRPr="000239D0">
        <w:rPr>
          <w:rFonts w:asciiTheme="minorEastAsia" w:eastAsiaTheme="minorEastAsia" w:hAnsiTheme="minorEastAsia" w:hint="eastAsia"/>
          <w:sz w:val="21"/>
        </w:rPr>
        <w:t>具体实施办法参见相关公告。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申购、赎回和转换的开放日为上海证券交易所、深圳证券交易所的交易日。具体业务办理时间为上海证券交易所、深圳证券交易所的交易时间。若出现新的证券交易市场或交易所交易时间更改或其它原因，基金管理人将视情况进行相应的调整并公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投资人在基金合同约定之外的日期和时间提出申购、赎回或者转换申请的，其基金份额申购、赎回</w:t>
      </w:r>
      <w:r w:rsidRPr="000239D0">
        <w:rPr>
          <w:rFonts w:asciiTheme="minorEastAsia" w:eastAsiaTheme="minorEastAsia" w:hAnsiTheme="minorEastAsia" w:hint="eastAsia"/>
          <w:sz w:val="21"/>
        </w:rPr>
        <w:t>或转换</w:t>
      </w:r>
      <w:r w:rsidRPr="000239D0">
        <w:rPr>
          <w:rFonts w:asciiTheme="minorEastAsia" w:eastAsiaTheme="minorEastAsia" w:hAnsiTheme="minorEastAsia"/>
          <w:sz w:val="21"/>
        </w:rPr>
        <w:t>价格为下次办理基金份额申购、赎回</w:t>
      </w:r>
      <w:r w:rsidRPr="000239D0">
        <w:rPr>
          <w:rFonts w:asciiTheme="minorEastAsia" w:eastAsiaTheme="minorEastAsia" w:hAnsiTheme="minorEastAsia" w:hint="eastAsia"/>
          <w:sz w:val="21"/>
        </w:rPr>
        <w:t>或转换</w:t>
      </w:r>
      <w:r w:rsidRPr="000239D0">
        <w:rPr>
          <w:rFonts w:asciiTheme="minorEastAsia" w:eastAsiaTheme="minorEastAsia" w:hAnsiTheme="minorEastAsia"/>
          <w:sz w:val="21"/>
        </w:rPr>
        <w:t>所在开放日的价格</w:t>
      </w:r>
      <w:r w:rsidRPr="000239D0">
        <w:rPr>
          <w:rFonts w:asciiTheme="minorEastAsia" w:eastAsiaTheme="minorEastAsia" w:hAnsiTheme="minorEastAsia" w:hint="eastAsia"/>
          <w:sz w:val="21"/>
        </w:rPr>
        <w:t>。</w:t>
      </w:r>
    </w:p>
    <w:p w:rsidR="005336CC" w:rsidRPr="000239D0" w:rsidRDefault="00717956"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6" w:name="_Toc219695794"/>
      <w:bookmarkStart w:id="47" w:name="_Toc36452365"/>
      <w:r w:rsidRPr="000239D0">
        <w:rPr>
          <w:rFonts w:asciiTheme="minorEastAsia" w:eastAsiaTheme="minorEastAsia" w:hAnsiTheme="minorEastAsia" w:hint="eastAsia"/>
          <w:b w:val="0"/>
          <w:bCs/>
          <w:szCs w:val="21"/>
        </w:rPr>
        <w:t>（四）</w:t>
      </w:r>
      <w:r w:rsidR="005336CC" w:rsidRPr="000239D0">
        <w:rPr>
          <w:rFonts w:asciiTheme="minorEastAsia" w:eastAsiaTheme="minorEastAsia" w:hAnsiTheme="minorEastAsia" w:hint="eastAsia"/>
          <w:b w:val="0"/>
          <w:bCs/>
          <w:szCs w:val="21"/>
        </w:rPr>
        <w:t>申购、赎回和转换的原则</w:t>
      </w:r>
      <w:bookmarkEnd w:id="46"/>
      <w:bookmarkEnd w:id="47"/>
    </w:p>
    <w:p w:rsidR="005336CC"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未知价原则，即本基金的申购与赎回价格以受理申请当日收市后计算的基金份额净值为基准进行计算；</w:t>
      </w:r>
      <w:r w:rsidR="005336CC" w:rsidRPr="000239D0">
        <w:rPr>
          <w:rFonts w:asciiTheme="minorEastAsia" w:eastAsiaTheme="minorEastAsia" w:hAnsiTheme="minorEastAsia"/>
          <w:sz w:val="21"/>
        </w:rPr>
        <w:t>转换价格以转换申请提出当日有关转出、转入基金的</w:t>
      </w:r>
      <w:r w:rsidR="005336CC" w:rsidRPr="000239D0">
        <w:rPr>
          <w:rFonts w:asciiTheme="minorEastAsia" w:eastAsiaTheme="minorEastAsia" w:hAnsiTheme="minorEastAsia" w:hint="eastAsia"/>
          <w:sz w:val="21"/>
        </w:rPr>
        <w:t>基金份额净值</w:t>
      </w:r>
      <w:r w:rsidR="005336CC" w:rsidRPr="000239D0">
        <w:rPr>
          <w:rFonts w:asciiTheme="minorEastAsia" w:eastAsiaTheme="minorEastAsia" w:hAnsiTheme="minorEastAsia"/>
          <w:sz w:val="21"/>
        </w:rPr>
        <w:t>为基准进行计算；</w:t>
      </w:r>
    </w:p>
    <w:p w:rsidR="005336CC"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本基金采用</w:t>
      </w:r>
      <w:r w:rsidR="005336CC" w:rsidRPr="000239D0">
        <w:rPr>
          <w:rFonts w:asciiTheme="minorEastAsia" w:eastAsiaTheme="minorEastAsia" w:hAnsiTheme="minorEastAsia"/>
          <w:sz w:val="21"/>
        </w:rPr>
        <w:t>金额申购、份额赎回、份额转换原则</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即申购以金额申请</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赎回和转换以份额申请；</w:t>
      </w:r>
    </w:p>
    <w:p w:rsidR="00137F9F"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137F9F" w:rsidRPr="000239D0">
        <w:rPr>
          <w:rFonts w:asciiTheme="minorEastAsia" w:eastAsiaTheme="minorEastAsia" w:hAnsiTheme="minorEastAsia" w:hint="eastAsia"/>
          <w:sz w:val="21"/>
        </w:rPr>
        <w:t>基金份额持有人赎回</w:t>
      </w:r>
      <w:r w:rsidR="00B47C4C" w:rsidRPr="000239D0">
        <w:rPr>
          <w:rFonts w:asciiTheme="minorEastAsia" w:eastAsiaTheme="minorEastAsia" w:hAnsiTheme="minorEastAsia" w:hint="eastAsia"/>
          <w:sz w:val="21"/>
        </w:rPr>
        <w:t>（除指定赎回外）</w:t>
      </w:r>
      <w:r w:rsidR="00137F9F" w:rsidRPr="000239D0">
        <w:rPr>
          <w:rFonts w:asciiTheme="minorEastAsia" w:eastAsiaTheme="minorEastAsia" w:hAnsiTheme="minorEastAsia" w:hint="eastAsia"/>
          <w:sz w:val="21"/>
        </w:rPr>
        <w:t>或转换时，基金管理人按先进先出的原则，对该持有人账户在该销售机构托管的基金份额进行处理，即</w:t>
      </w:r>
      <w:r w:rsidR="00B47C4C" w:rsidRPr="000239D0">
        <w:rPr>
          <w:rFonts w:asciiTheme="minorEastAsia" w:eastAsiaTheme="minorEastAsia" w:hAnsiTheme="minorEastAsia" w:hint="eastAsia"/>
          <w:sz w:val="21"/>
        </w:rPr>
        <w:t>注册日期在先的基金份额</w:t>
      </w:r>
      <w:r w:rsidR="00137F9F" w:rsidRPr="000239D0">
        <w:rPr>
          <w:rFonts w:asciiTheme="minorEastAsia" w:eastAsiaTheme="minorEastAsia" w:hAnsiTheme="minorEastAsia" w:hint="eastAsia"/>
          <w:sz w:val="21"/>
        </w:rPr>
        <w:t>先赎回或转出，后</w:t>
      </w:r>
      <w:r w:rsidR="00B47C4C" w:rsidRPr="000239D0">
        <w:rPr>
          <w:rFonts w:asciiTheme="minorEastAsia" w:eastAsiaTheme="minorEastAsia" w:hAnsiTheme="minorEastAsia" w:hint="eastAsia"/>
          <w:sz w:val="21"/>
        </w:rPr>
        <w:t>注册日期在后的基金份额</w:t>
      </w:r>
      <w:r w:rsidR="00137F9F" w:rsidRPr="000239D0">
        <w:rPr>
          <w:rFonts w:asciiTheme="minorEastAsia" w:eastAsiaTheme="minorEastAsia" w:hAnsiTheme="minorEastAsia" w:hint="eastAsia"/>
          <w:sz w:val="21"/>
        </w:rPr>
        <w:t>后赎回或转出；</w:t>
      </w:r>
      <w:r w:rsidR="00137F9F" w:rsidRPr="000239D0">
        <w:rPr>
          <w:rFonts w:asciiTheme="minorEastAsia" w:eastAsiaTheme="minorEastAsia" w:hAnsiTheme="minorEastAsia"/>
          <w:sz w:val="21"/>
        </w:rPr>
        <w:t>如果转换申请当日，同时有赎回</w:t>
      </w:r>
      <w:r w:rsidR="00137F9F" w:rsidRPr="000239D0">
        <w:rPr>
          <w:rFonts w:asciiTheme="minorEastAsia" w:eastAsiaTheme="minorEastAsia" w:hAnsiTheme="minorEastAsia" w:hint="eastAsia"/>
          <w:sz w:val="21"/>
        </w:rPr>
        <w:t>和转换</w:t>
      </w:r>
      <w:r w:rsidR="00137F9F" w:rsidRPr="000239D0">
        <w:rPr>
          <w:rFonts w:asciiTheme="minorEastAsia" w:eastAsiaTheme="minorEastAsia" w:hAnsiTheme="minorEastAsia"/>
          <w:sz w:val="21"/>
        </w:rPr>
        <w:t>申请的情况下，则遵循先赎回后转换的处理原则；</w:t>
      </w:r>
    </w:p>
    <w:p w:rsidR="005336CC"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E507FB" w:rsidRPr="000239D0">
        <w:rPr>
          <w:rFonts w:asciiTheme="minorEastAsia" w:eastAsiaTheme="minorEastAsia" w:hAnsiTheme="minorEastAsia" w:hint="eastAsia"/>
          <w:sz w:val="21"/>
        </w:rPr>
        <w:t>投资者办理基金转换业务时，转出方的基金必须处于可赎回状态，转入方的基金必须处于可申购状态</w:t>
      </w:r>
      <w:r w:rsidR="005336CC" w:rsidRPr="000239D0">
        <w:rPr>
          <w:rFonts w:asciiTheme="minorEastAsia" w:eastAsiaTheme="minorEastAsia" w:hAnsiTheme="minorEastAsia"/>
          <w:sz w:val="21"/>
        </w:rPr>
        <w:t>；</w:t>
      </w:r>
    </w:p>
    <w:p w:rsidR="00B01193"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w:t>
      </w:r>
      <w:r w:rsidR="00B01193" w:rsidRPr="000239D0">
        <w:rPr>
          <w:rFonts w:asciiTheme="minorEastAsia" w:eastAsiaTheme="minorEastAsia" w:hAnsiTheme="minorEastAsia" w:hint="eastAsia"/>
          <w:sz w:val="21"/>
        </w:rPr>
        <w:t>基金份额在转换后，</w:t>
      </w:r>
      <w:r w:rsidR="00B01193" w:rsidRPr="000239D0">
        <w:rPr>
          <w:rFonts w:asciiTheme="minorEastAsia" w:eastAsiaTheme="minorEastAsia" w:hAnsiTheme="minorEastAsia"/>
          <w:sz w:val="21"/>
        </w:rPr>
        <w:t>转入的基金份额的持有期将自转入的基金份额被确认之日起重</w:t>
      </w:r>
      <w:r w:rsidR="00B01193" w:rsidRPr="000239D0">
        <w:rPr>
          <w:rFonts w:asciiTheme="minorEastAsia" w:eastAsiaTheme="minorEastAsia" w:hAnsiTheme="minorEastAsia"/>
          <w:sz w:val="21"/>
        </w:rPr>
        <w:lastRenderedPageBreak/>
        <w:t>新开始计算；</w:t>
      </w:r>
    </w:p>
    <w:p w:rsidR="005336CC"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w:t>
      </w:r>
      <w:r w:rsidR="005336CC" w:rsidRPr="000239D0">
        <w:rPr>
          <w:rFonts w:asciiTheme="minorEastAsia" w:eastAsiaTheme="minorEastAsia" w:hAnsiTheme="minorEastAsia" w:hint="eastAsia"/>
          <w:sz w:val="21"/>
        </w:rPr>
        <w:t>当日的申购、赎回和转换申请可以在当日交易结束时间前撤销，在当日的交易时间结束后不得撤销；</w:t>
      </w:r>
    </w:p>
    <w:p w:rsidR="005336CC"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w:t>
      </w:r>
      <w:r w:rsidR="005336CC" w:rsidRPr="000239D0">
        <w:rPr>
          <w:rFonts w:asciiTheme="minorEastAsia" w:eastAsiaTheme="minorEastAsia" w:hAnsiTheme="minorEastAsia" w:hint="eastAsia"/>
          <w:sz w:val="21"/>
        </w:rPr>
        <w:t>基金管理人在不损害基金份额持有人权益的情况下可更改上述原则，但应最迟在新的原则实施前三个工作日予以公告。</w:t>
      </w:r>
    </w:p>
    <w:p w:rsidR="00E57A2B" w:rsidRPr="000239D0" w:rsidRDefault="00717956" w:rsidP="000B1E9F">
      <w:pPr>
        <w:pStyle w:val="20"/>
        <w:snapToGrid w:val="0"/>
        <w:spacing w:beforeLines="0" w:afterLines="0" w:line="360" w:lineRule="auto"/>
        <w:ind w:right="560" w:firstLineChars="0" w:firstLine="0"/>
        <w:rPr>
          <w:rFonts w:asciiTheme="minorEastAsia" w:eastAsiaTheme="minorEastAsia" w:hAnsiTheme="minorEastAsia"/>
          <w:b w:val="0"/>
          <w:bCs/>
          <w:szCs w:val="21"/>
        </w:rPr>
      </w:pPr>
      <w:bookmarkStart w:id="48" w:name="_Toc219695795"/>
      <w:bookmarkStart w:id="49" w:name="_Toc36452366"/>
      <w:r w:rsidRPr="000239D0">
        <w:rPr>
          <w:rFonts w:asciiTheme="minorEastAsia" w:eastAsiaTheme="minorEastAsia" w:hAnsiTheme="minorEastAsia" w:hint="eastAsia"/>
          <w:b w:val="0"/>
          <w:bCs/>
          <w:szCs w:val="21"/>
        </w:rPr>
        <w:t>（五）</w:t>
      </w:r>
      <w:r w:rsidR="005336CC" w:rsidRPr="000239D0">
        <w:rPr>
          <w:rFonts w:asciiTheme="minorEastAsia" w:eastAsiaTheme="minorEastAsia" w:hAnsiTheme="minorEastAsia" w:hint="eastAsia"/>
          <w:b w:val="0"/>
          <w:bCs/>
          <w:szCs w:val="21"/>
        </w:rPr>
        <w:t>申购、赎回和转换的程序</w:t>
      </w:r>
      <w:bookmarkEnd w:id="48"/>
      <w:bookmarkEnd w:id="49"/>
    </w:p>
    <w:p w:rsidR="005336CC" w:rsidRPr="000239D0" w:rsidRDefault="00AD684A" w:rsidP="00AF28A3">
      <w:pPr>
        <w:pStyle w:val="13"/>
        <w:tabs>
          <w:tab w:val="left" w:pos="735"/>
        </w:tabs>
        <w:snapToGrid w:val="0"/>
        <w:spacing w:before="0" w:beforeAutospacing="0" w:after="0" w:afterAutospacing="0"/>
        <w:ind w:leftChars="0" w:left="0" w:firstLineChars="200" w:firstLine="420"/>
        <w:rPr>
          <w:rFonts w:asciiTheme="minorEastAsia" w:eastAsiaTheme="minorEastAsia" w:hAnsiTheme="minorEastAsia"/>
          <w:szCs w:val="20"/>
        </w:rPr>
      </w:pPr>
      <w:r w:rsidRPr="000239D0">
        <w:rPr>
          <w:rFonts w:asciiTheme="minorEastAsia" w:eastAsiaTheme="minorEastAsia" w:hAnsiTheme="minorEastAsia" w:hint="eastAsia"/>
          <w:szCs w:val="20"/>
        </w:rPr>
        <w:t>1、</w:t>
      </w:r>
      <w:r w:rsidR="005336CC" w:rsidRPr="000239D0">
        <w:rPr>
          <w:rFonts w:asciiTheme="minorEastAsia" w:eastAsiaTheme="minorEastAsia" w:hAnsiTheme="minorEastAsia" w:hint="eastAsia"/>
          <w:szCs w:val="20"/>
        </w:rPr>
        <w:t>申购、赎回和转换的申请方式</w:t>
      </w:r>
    </w:p>
    <w:p w:rsidR="005336CC" w:rsidRPr="000239D0" w:rsidRDefault="005336CC" w:rsidP="00AF28A3">
      <w:pPr>
        <w:autoSpaceDE w:val="0"/>
        <w:autoSpaceDN w:val="0"/>
        <w:snapToGrid w:val="0"/>
        <w:spacing w:line="360" w:lineRule="auto"/>
        <w:ind w:firstLine="420"/>
        <w:textAlignment w:val="bottom"/>
        <w:rPr>
          <w:rFonts w:asciiTheme="minorEastAsia" w:eastAsiaTheme="minorEastAsia" w:hAnsiTheme="minorEastAsia"/>
          <w:sz w:val="21"/>
        </w:rPr>
      </w:pPr>
      <w:r w:rsidRPr="000239D0">
        <w:rPr>
          <w:rFonts w:asciiTheme="minorEastAsia" w:eastAsiaTheme="minorEastAsia" w:hAnsiTheme="minorEastAsia" w:hint="eastAsia"/>
          <w:sz w:val="21"/>
        </w:rPr>
        <w:t>基金投资者必须根据基金管理人和基金</w:t>
      </w:r>
      <w:r w:rsidR="00885A76" w:rsidRPr="000239D0">
        <w:rPr>
          <w:rFonts w:asciiTheme="minorEastAsia" w:eastAsiaTheme="minorEastAsia" w:hAnsiTheme="minorEastAsia" w:hint="eastAsia"/>
          <w:sz w:val="21"/>
        </w:rPr>
        <w:t>销售</w:t>
      </w:r>
      <w:r w:rsidRPr="000239D0">
        <w:rPr>
          <w:rFonts w:asciiTheme="minorEastAsia" w:eastAsiaTheme="minorEastAsia" w:hAnsiTheme="minorEastAsia" w:hint="eastAsia"/>
          <w:sz w:val="21"/>
        </w:rPr>
        <w:t>机构规定的手续，在开放日的交易时间段内提出申购、赎回和转换的申请。</w:t>
      </w:r>
    </w:p>
    <w:p w:rsidR="005336CC" w:rsidRPr="000239D0" w:rsidRDefault="005336CC" w:rsidP="00AF28A3">
      <w:pPr>
        <w:autoSpaceDE w:val="0"/>
        <w:autoSpaceDN w:val="0"/>
        <w:snapToGrid w:val="0"/>
        <w:spacing w:line="360" w:lineRule="auto"/>
        <w:ind w:firstLine="420"/>
        <w:textAlignment w:val="bottom"/>
        <w:rPr>
          <w:rFonts w:asciiTheme="minorEastAsia" w:eastAsiaTheme="minorEastAsia" w:hAnsiTheme="minorEastAsia"/>
          <w:sz w:val="21"/>
        </w:rPr>
      </w:pPr>
      <w:r w:rsidRPr="000239D0">
        <w:rPr>
          <w:rFonts w:asciiTheme="minorEastAsia" w:eastAsiaTheme="minorEastAsia" w:hAnsiTheme="minorEastAsia"/>
          <w:sz w:val="21"/>
          <w:szCs w:val="21"/>
        </w:rPr>
        <w:t>投资者在提交申购申请时</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须按销售机构规定的方式备足申购资金；提交赎回和转换申请时,帐户中必须有足够的基金</w:t>
      </w:r>
      <w:r w:rsidRPr="000239D0">
        <w:rPr>
          <w:rFonts w:asciiTheme="minorEastAsia" w:eastAsiaTheme="minorEastAsia" w:hAnsiTheme="minorEastAsia" w:hint="eastAsia"/>
          <w:sz w:val="21"/>
          <w:szCs w:val="21"/>
        </w:rPr>
        <w:t>份额</w:t>
      </w:r>
      <w:r w:rsidRPr="000239D0">
        <w:rPr>
          <w:rFonts w:asciiTheme="minorEastAsia" w:eastAsiaTheme="minorEastAsia" w:hAnsiTheme="minorEastAsia"/>
          <w:sz w:val="21"/>
          <w:szCs w:val="21"/>
        </w:rPr>
        <w:t>余额。</w:t>
      </w:r>
    </w:p>
    <w:p w:rsidR="005336CC" w:rsidRPr="000239D0" w:rsidRDefault="00AD684A" w:rsidP="00AF28A3">
      <w:pPr>
        <w:tabs>
          <w:tab w:val="left" w:pos="735"/>
        </w:tabs>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申购、赎回和转换申请的确认与通知</w:t>
      </w:r>
    </w:p>
    <w:p w:rsidR="005336CC" w:rsidRPr="000239D0" w:rsidRDefault="005336CC" w:rsidP="00AF28A3">
      <w:pPr>
        <w:autoSpaceDE w:val="0"/>
        <w:autoSpaceDN w:val="0"/>
        <w:snapToGrid w:val="0"/>
        <w:spacing w:line="360" w:lineRule="auto"/>
        <w:ind w:firstLine="420"/>
        <w:textAlignment w:val="bottom"/>
        <w:rPr>
          <w:rFonts w:asciiTheme="minorEastAsia" w:eastAsiaTheme="minorEastAsia" w:hAnsiTheme="minorEastAsia"/>
          <w:sz w:val="21"/>
        </w:rPr>
      </w:pPr>
      <w:r w:rsidRPr="000239D0">
        <w:rPr>
          <w:rFonts w:asciiTheme="minorEastAsia" w:eastAsiaTheme="minorEastAsia" w:hAnsiTheme="minorEastAsia"/>
          <w:sz w:val="21"/>
        </w:rPr>
        <w:t>基金管理人应当于受理基金投资人申购、赎回申请之日起三个工作日内,对申请的有效性进行确认。</w:t>
      </w:r>
      <w:r w:rsidRPr="000239D0">
        <w:rPr>
          <w:rFonts w:asciiTheme="minorEastAsia" w:eastAsiaTheme="minorEastAsia" w:hAnsiTheme="minorEastAsia" w:hint="eastAsia"/>
          <w:sz w:val="21"/>
        </w:rPr>
        <w:t>正常情况下，投资者可在T+2工作日及之后到其提出</w:t>
      </w:r>
      <w:r w:rsidRPr="000239D0">
        <w:rPr>
          <w:rFonts w:asciiTheme="minorEastAsia" w:eastAsiaTheme="minorEastAsia" w:hAnsiTheme="minorEastAsia"/>
          <w:sz w:val="21"/>
          <w:szCs w:val="21"/>
        </w:rPr>
        <w:t>申请的网点或按销售机构规定的其他方式进行成交查询。</w:t>
      </w:r>
    </w:p>
    <w:p w:rsidR="005336CC" w:rsidRPr="000239D0" w:rsidRDefault="00AD684A" w:rsidP="00AF28A3">
      <w:pPr>
        <w:tabs>
          <w:tab w:val="left" w:pos="735"/>
        </w:tabs>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sz w:val="21"/>
        </w:rPr>
        <w:t>申购、赎回款项和转换份额的支付</w:t>
      </w:r>
      <w:r w:rsidR="005336CC" w:rsidRPr="000239D0">
        <w:rPr>
          <w:rFonts w:asciiTheme="minorEastAsia" w:eastAsiaTheme="minorEastAsia" w:hAnsiTheme="minorEastAsia" w:hint="eastAsia"/>
          <w:sz w:val="21"/>
        </w:rPr>
        <w:t>方式与时间</w:t>
      </w:r>
    </w:p>
    <w:p w:rsidR="005336CC" w:rsidRPr="000239D0" w:rsidRDefault="005336CC" w:rsidP="00AF28A3">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申购采用全额缴款方式,</w:t>
      </w:r>
      <w:r w:rsidRPr="000239D0">
        <w:rPr>
          <w:rFonts w:asciiTheme="minorEastAsia" w:eastAsiaTheme="minorEastAsia" w:hAnsiTheme="minorEastAsia"/>
          <w:sz w:val="21"/>
        </w:rPr>
        <w:t>若资金在规定时间内未全额到账则申购不成功。</w:t>
      </w:r>
      <w:r w:rsidRPr="000239D0">
        <w:rPr>
          <w:rFonts w:asciiTheme="minorEastAsia" w:eastAsiaTheme="minorEastAsia" w:hAnsiTheme="minorEastAsia"/>
          <w:sz w:val="21"/>
          <w:szCs w:val="21"/>
        </w:rPr>
        <w:t>若申购不成功或无效</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投资者已缴付的申购款项本金</w:t>
      </w:r>
      <w:r w:rsidRPr="000239D0">
        <w:rPr>
          <w:rFonts w:asciiTheme="minorEastAsia" w:eastAsiaTheme="minorEastAsia" w:hAnsiTheme="minorEastAsia" w:hint="eastAsia"/>
          <w:sz w:val="21"/>
          <w:szCs w:val="21"/>
        </w:rPr>
        <w:t>将</w:t>
      </w:r>
      <w:r w:rsidRPr="000239D0">
        <w:rPr>
          <w:rFonts w:asciiTheme="minorEastAsia" w:eastAsiaTheme="minorEastAsia" w:hAnsiTheme="minorEastAsia"/>
          <w:sz w:val="21"/>
          <w:szCs w:val="21"/>
        </w:rPr>
        <w:t>退还给投资者。</w:t>
      </w:r>
    </w:p>
    <w:p w:rsidR="005336CC" w:rsidRPr="000239D0" w:rsidRDefault="005336CC"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szCs w:val="21"/>
        </w:rPr>
        <w:t>投资者赎回申请成功后</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赎回金额将由基金管理人通常在T＋3个工作日但不超过T＋7个工作日之内从基金托管人划出。</w:t>
      </w:r>
      <w:r w:rsidRPr="000239D0">
        <w:rPr>
          <w:rFonts w:asciiTheme="minorEastAsia" w:eastAsiaTheme="minorEastAsia" w:hAnsiTheme="minorEastAsia" w:hint="eastAsia"/>
          <w:sz w:val="21"/>
        </w:rPr>
        <w:t>正常情况下，</w:t>
      </w:r>
      <w:r w:rsidRPr="000239D0">
        <w:rPr>
          <w:rFonts w:asciiTheme="minorEastAsia" w:eastAsiaTheme="minorEastAsia" w:hAnsiTheme="minorEastAsia"/>
          <w:sz w:val="21"/>
          <w:szCs w:val="21"/>
        </w:rPr>
        <w:t>转换申请注册登记机构于T＋1工作日确认</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转入份额于T＋2工作日可进行赎回。在发生巨额赎回并延期支付时</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款项和份额的支付办法参照有关巨额赎回的条款处理。</w:t>
      </w:r>
    </w:p>
    <w:p w:rsidR="005336CC" w:rsidRPr="000239D0" w:rsidRDefault="00717956"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50" w:name="_Toc219695796"/>
      <w:bookmarkStart w:id="51" w:name="_Toc36452367"/>
      <w:r w:rsidRPr="000239D0">
        <w:rPr>
          <w:rFonts w:asciiTheme="minorEastAsia" w:eastAsiaTheme="minorEastAsia" w:hAnsiTheme="minorEastAsia" w:hint="eastAsia"/>
          <w:b w:val="0"/>
          <w:bCs/>
          <w:szCs w:val="21"/>
        </w:rPr>
        <w:t>（六）</w:t>
      </w:r>
      <w:r w:rsidR="005336CC" w:rsidRPr="000239D0">
        <w:rPr>
          <w:rFonts w:asciiTheme="minorEastAsia" w:eastAsiaTheme="minorEastAsia" w:hAnsiTheme="minorEastAsia"/>
          <w:b w:val="0"/>
          <w:bCs/>
          <w:szCs w:val="21"/>
        </w:rPr>
        <w:t>申购、赎回和转换的数额限制</w:t>
      </w:r>
      <w:bookmarkEnd w:id="50"/>
      <w:bookmarkEnd w:id="51"/>
    </w:p>
    <w:p w:rsidR="005336CC" w:rsidRPr="000239D0" w:rsidRDefault="00AD684A" w:rsidP="00AF28A3">
      <w:pPr>
        <w:tabs>
          <w:tab w:val="left" w:pos="735"/>
        </w:tabs>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申请申购基金的金额限制</w:t>
      </w:r>
    </w:p>
    <w:p w:rsidR="005336CC" w:rsidRPr="000239D0" w:rsidRDefault="005336CC" w:rsidP="00AF28A3">
      <w:pPr>
        <w:autoSpaceDE w:val="0"/>
        <w:autoSpaceDN w:val="0"/>
        <w:snapToGrid w:val="0"/>
        <w:spacing w:line="360" w:lineRule="auto"/>
        <w:ind w:firstLine="420"/>
        <w:textAlignment w:val="bottom"/>
        <w:rPr>
          <w:rFonts w:asciiTheme="minorEastAsia" w:eastAsiaTheme="minorEastAsia" w:hAnsiTheme="minorEastAsia"/>
          <w:sz w:val="21"/>
        </w:rPr>
      </w:pPr>
      <w:r w:rsidRPr="000239D0">
        <w:rPr>
          <w:rFonts w:asciiTheme="minorEastAsia" w:eastAsiaTheme="minorEastAsia" w:hAnsiTheme="minorEastAsia"/>
          <w:sz w:val="21"/>
          <w:szCs w:val="21"/>
        </w:rPr>
        <w:t>投资者通过</w:t>
      </w:r>
      <w:r w:rsidR="00D614D4" w:rsidRPr="000239D0">
        <w:rPr>
          <w:rFonts w:asciiTheme="minorEastAsia" w:eastAsiaTheme="minorEastAsia" w:hAnsiTheme="minorEastAsia" w:hint="eastAsia"/>
          <w:sz w:val="21"/>
          <w:szCs w:val="21"/>
        </w:rPr>
        <w:t>本公司</w:t>
      </w:r>
      <w:r w:rsidRPr="000239D0">
        <w:rPr>
          <w:rFonts w:asciiTheme="minorEastAsia" w:eastAsiaTheme="minorEastAsia" w:hAnsiTheme="minorEastAsia"/>
          <w:sz w:val="21"/>
          <w:szCs w:val="21"/>
        </w:rPr>
        <w:t>直销中心首次申购的单笔最低金额为50000元人民币</w:t>
      </w:r>
      <w:r w:rsidRPr="000239D0">
        <w:rPr>
          <w:rFonts w:asciiTheme="minorEastAsia" w:eastAsiaTheme="minorEastAsia" w:hAnsiTheme="minorEastAsia" w:hint="eastAsia"/>
          <w:sz w:val="21"/>
          <w:szCs w:val="21"/>
        </w:rPr>
        <w:t>，</w:t>
      </w:r>
      <w:r w:rsidR="007A2C54" w:rsidRPr="000239D0">
        <w:rPr>
          <w:rFonts w:asciiTheme="minorEastAsia" w:eastAsiaTheme="minorEastAsia" w:hAnsiTheme="minorEastAsia"/>
          <w:sz w:val="21"/>
          <w:szCs w:val="21"/>
        </w:rPr>
        <w:t>追加申购</w:t>
      </w:r>
      <w:r w:rsidR="007A2C54" w:rsidRPr="000239D0">
        <w:rPr>
          <w:rFonts w:asciiTheme="minorEastAsia" w:eastAsiaTheme="minorEastAsia" w:hAnsiTheme="minorEastAsia" w:hint="eastAsia"/>
          <w:sz w:val="21"/>
          <w:szCs w:val="21"/>
        </w:rPr>
        <w:t>单笔</w:t>
      </w:r>
      <w:r w:rsidR="007A2C54" w:rsidRPr="000239D0">
        <w:rPr>
          <w:rFonts w:asciiTheme="minorEastAsia" w:eastAsiaTheme="minorEastAsia" w:hAnsiTheme="minorEastAsia"/>
          <w:sz w:val="21"/>
          <w:szCs w:val="21"/>
        </w:rPr>
        <w:t>最低金额为1000元人民币</w:t>
      </w:r>
      <w:r w:rsidR="007A2C54"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通过</w:t>
      </w:r>
      <w:r w:rsidR="00885A76" w:rsidRPr="000239D0">
        <w:rPr>
          <w:rFonts w:asciiTheme="minorEastAsia" w:eastAsiaTheme="minorEastAsia" w:hAnsiTheme="minorEastAsia" w:hint="eastAsia"/>
          <w:sz w:val="21"/>
          <w:szCs w:val="21"/>
        </w:rPr>
        <w:t>非直销销售机构</w:t>
      </w:r>
      <w:r w:rsidR="00952E67" w:rsidRPr="000239D0">
        <w:rPr>
          <w:rFonts w:asciiTheme="minorEastAsia" w:eastAsiaTheme="minorEastAsia" w:hAnsiTheme="minorEastAsia"/>
          <w:sz w:val="21"/>
          <w:szCs w:val="21"/>
        </w:rPr>
        <w:t>或本公司网上交易系统</w:t>
      </w:r>
      <w:r w:rsidRPr="000239D0">
        <w:rPr>
          <w:rFonts w:asciiTheme="minorEastAsia" w:eastAsiaTheme="minorEastAsia" w:hAnsiTheme="minorEastAsia"/>
          <w:sz w:val="21"/>
          <w:szCs w:val="21"/>
        </w:rPr>
        <w:t>首次申购的单笔最低金额为1元人民币</w:t>
      </w:r>
      <w:r w:rsidR="007A2C54"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追加申购</w:t>
      </w:r>
      <w:r w:rsidR="00152FF5" w:rsidRPr="000239D0">
        <w:rPr>
          <w:rFonts w:asciiTheme="minorEastAsia" w:eastAsiaTheme="minorEastAsia" w:hAnsiTheme="minorEastAsia" w:hint="eastAsia"/>
          <w:sz w:val="21"/>
          <w:szCs w:val="21"/>
        </w:rPr>
        <w:t>单笔</w:t>
      </w:r>
      <w:r w:rsidRPr="000239D0">
        <w:rPr>
          <w:rFonts w:asciiTheme="minorEastAsia" w:eastAsiaTheme="minorEastAsia" w:hAnsiTheme="minorEastAsia"/>
          <w:sz w:val="21"/>
          <w:szCs w:val="21"/>
        </w:rPr>
        <w:t>最低金额为1元人民币。</w:t>
      </w:r>
      <w:r w:rsidR="00AE6990" w:rsidRPr="000239D0">
        <w:rPr>
          <w:rFonts w:asciiTheme="minorEastAsia" w:eastAsiaTheme="minorEastAsia" w:hAnsiTheme="minorEastAsia" w:hint="eastAsia"/>
          <w:sz w:val="21"/>
          <w:szCs w:val="21"/>
        </w:rPr>
        <w:t>在符合法律法规规定的前提下，</w:t>
      </w:r>
      <w:r w:rsidRPr="000239D0">
        <w:rPr>
          <w:rFonts w:asciiTheme="minorEastAsia" w:eastAsiaTheme="minorEastAsia" w:hAnsiTheme="minorEastAsia" w:hint="eastAsia"/>
          <w:sz w:val="21"/>
          <w:szCs w:val="21"/>
        </w:rPr>
        <w:t>各</w:t>
      </w:r>
      <w:r w:rsidR="00885A76" w:rsidRPr="000239D0">
        <w:rPr>
          <w:rFonts w:asciiTheme="minorEastAsia" w:eastAsiaTheme="minorEastAsia" w:hAnsiTheme="minorEastAsia" w:hint="eastAsia"/>
          <w:sz w:val="21"/>
          <w:szCs w:val="21"/>
        </w:rPr>
        <w:t>销售</w:t>
      </w:r>
      <w:r w:rsidRPr="000239D0">
        <w:rPr>
          <w:rFonts w:asciiTheme="minorEastAsia" w:eastAsiaTheme="minorEastAsia" w:hAnsiTheme="minorEastAsia" w:hint="eastAsia"/>
          <w:sz w:val="21"/>
          <w:szCs w:val="21"/>
        </w:rPr>
        <w:t>机构对最低申购限额及交易级差有其他规定的,</w:t>
      </w:r>
      <w:r w:rsidR="00215A8F" w:rsidRPr="000239D0">
        <w:rPr>
          <w:rFonts w:asciiTheme="minorEastAsia" w:eastAsiaTheme="minorEastAsia" w:hAnsiTheme="minorEastAsia" w:hint="eastAsia"/>
          <w:sz w:val="21"/>
          <w:szCs w:val="21"/>
        </w:rPr>
        <w:t>需同时遵循该销售机构的相关规定</w:t>
      </w:r>
      <w:r w:rsidRPr="000239D0">
        <w:rPr>
          <w:rFonts w:asciiTheme="minorEastAsia" w:eastAsiaTheme="minorEastAsia" w:hAnsiTheme="minorEastAsia" w:hint="eastAsia"/>
          <w:sz w:val="21"/>
          <w:szCs w:val="21"/>
        </w:rPr>
        <w:t>。</w:t>
      </w:r>
      <w:r w:rsidR="007A2C54" w:rsidRPr="000239D0">
        <w:rPr>
          <w:rFonts w:asciiTheme="minorEastAsia" w:eastAsiaTheme="minorEastAsia" w:hAnsiTheme="minorEastAsia" w:hint="eastAsia"/>
          <w:sz w:val="21"/>
          <w:szCs w:val="21"/>
        </w:rPr>
        <w:t>(以上金额均含申购费)</w:t>
      </w:r>
    </w:p>
    <w:p w:rsidR="005336CC" w:rsidRPr="000239D0" w:rsidRDefault="005336CC" w:rsidP="00AF28A3">
      <w:pPr>
        <w:autoSpaceDE w:val="0"/>
        <w:autoSpaceDN w:val="0"/>
        <w:snapToGrid w:val="0"/>
        <w:spacing w:line="360" w:lineRule="auto"/>
        <w:ind w:firstLine="420"/>
        <w:textAlignment w:val="bottom"/>
        <w:rPr>
          <w:rFonts w:asciiTheme="minorEastAsia" w:eastAsiaTheme="minorEastAsia" w:hAnsiTheme="minorEastAsia"/>
          <w:sz w:val="21"/>
        </w:rPr>
      </w:pPr>
      <w:r w:rsidRPr="000239D0">
        <w:rPr>
          <w:rFonts w:asciiTheme="minorEastAsia" w:eastAsiaTheme="minorEastAsia" w:hAnsiTheme="minorEastAsia" w:hint="eastAsia"/>
          <w:sz w:val="21"/>
        </w:rPr>
        <w:t>投资者将当期分配的基金收益转购基金份额或采用定期定额投资计划时，不受最低申购金额的限制。</w:t>
      </w:r>
    </w:p>
    <w:p w:rsidR="005336CC" w:rsidRPr="000239D0" w:rsidRDefault="005336CC" w:rsidP="00AF28A3">
      <w:pPr>
        <w:autoSpaceDE w:val="0"/>
        <w:autoSpaceDN w:val="0"/>
        <w:snapToGrid w:val="0"/>
        <w:spacing w:line="360" w:lineRule="auto"/>
        <w:ind w:firstLine="420"/>
        <w:textAlignment w:val="bottom"/>
        <w:rPr>
          <w:rFonts w:asciiTheme="minorEastAsia" w:eastAsiaTheme="minorEastAsia" w:hAnsiTheme="minorEastAsia"/>
          <w:sz w:val="21"/>
        </w:rPr>
      </w:pPr>
      <w:r w:rsidRPr="000239D0">
        <w:rPr>
          <w:rFonts w:asciiTheme="minorEastAsia" w:eastAsiaTheme="minorEastAsia" w:hAnsiTheme="minorEastAsia" w:hint="eastAsia"/>
          <w:sz w:val="21"/>
        </w:rPr>
        <w:t>投资者可多次申购，对单个投资者累计持有份额不设上限限制。</w:t>
      </w:r>
      <w:r w:rsidR="000C7262" w:rsidRPr="000239D0">
        <w:rPr>
          <w:rFonts w:asciiTheme="minorEastAsia" w:eastAsiaTheme="minorEastAsia" w:hAnsiTheme="minorEastAsia" w:hint="eastAsia"/>
          <w:sz w:val="21"/>
        </w:rPr>
        <w:t>但对于可能导致单一投</w:t>
      </w:r>
      <w:r w:rsidR="000C7262" w:rsidRPr="000239D0">
        <w:rPr>
          <w:rFonts w:asciiTheme="minorEastAsia" w:eastAsiaTheme="minorEastAsia" w:hAnsiTheme="minorEastAsia" w:hint="eastAsia"/>
          <w:sz w:val="21"/>
        </w:rPr>
        <w:lastRenderedPageBreak/>
        <w:t>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0239D0">
        <w:rPr>
          <w:rFonts w:asciiTheme="minorEastAsia" w:eastAsiaTheme="minorEastAsia" w:hAnsiTheme="minorEastAsia" w:hint="eastAsia"/>
          <w:sz w:val="21"/>
        </w:rPr>
        <w:t>法律法规、中国证监会另有规定的除外。</w:t>
      </w:r>
    </w:p>
    <w:p w:rsidR="005336CC" w:rsidRPr="000239D0" w:rsidRDefault="00AD684A" w:rsidP="00AF28A3">
      <w:pPr>
        <w:tabs>
          <w:tab w:val="left" w:pos="735"/>
        </w:tabs>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申请赎回、转换基金的份额限制</w:t>
      </w:r>
    </w:p>
    <w:p w:rsidR="007110DF" w:rsidRPr="000239D0" w:rsidRDefault="007110DF" w:rsidP="00AF28A3">
      <w:pPr>
        <w:autoSpaceDE w:val="0"/>
        <w:autoSpaceDN w:val="0"/>
        <w:snapToGrid w:val="0"/>
        <w:spacing w:line="360" w:lineRule="auto"/>
        <w:ind w:firstLine="420"/>
        <w:textAlignment w:val="bottom"/>
        <w:rPr>
          <w:rFonts w:asciiTheme="minorEastAsia" w:eastAsiaTheme="minorEastAsia" w:hAnsiTheme="minorEastAsia"/>
          <w:sz w:val="21"/>
        </w:rPr>
      </w:pPr>
      <w:r w:rsidRPr="000239D0">
        <w:rPr>
          <w:rFonts w:asciiTheme="minorEastAsia" w:eastAsiaTheme="minorEastAsia" w:hAnsiTheme="minorEastAsia" w:hint="eastAsia"/>
          <w:sz w:val="21"/>
        </w:rPr>
        <w:t>投资人可将其全部或部分基金份额赎回</w:t>
      </w:r>
      <w:r w:rsidR="003E165B" w:rsidRPr="000239D0">
        <w:rPr>
          <w:rFonts w:asciiTheme="minorEastAsia" w:eastAsiaTheme="minorEastAsia" w:hAnsiTheme="minorEastAsia" w:hint="eastAsia"/>
          <w:sz w:val="21"/>
        </w:rPr>
        <w:t>或转换</w:t>
      </w:r>
      <w:r w:rsidRPr="000239D0">
        <w:rPr>
          <w:rFonts w:asciiTheme="minorEastAsia" w:eastAsiaTheme="minorEastAsia" w:hAnsiTheme="minorEastAsia" w:hint="eastAsia"/>
          <w:sz w:val="21"/>
        </w:rPr>
        <w:t>。基金份额单笔赎回或转换不得少于1份（如该账户在该销售机构托管的该基金余额不足1份，则必须一次性赎回或转出该基金全部份额）；若某笔赎回</w:t>
      </w:r>
      <w:r w:rsidR="003E165B" w:rsidRPr="000239D0">
        <w:rPr>
          <w:rFonts w:asciiTheme="minorEastAsia" w:eastAsiaTheme="minorEastAsia" w:hAnsiTheme="minorEastAsia" w:hint="eastAsia"/>
          <w:sz w:val="21"/>
        </w:rPr>
        <w:t>或转换</w:t>
      </w:r>
      <w:r w:rsidRPr="000239D0">
        <w:rPr>
          <w:rFonts w:asciiTheme="minorEastAsia" w:eastAsiaTheme="minorEastAsia" w:hAnsiTheme="minorEastAsia" w:hint="eastAsia"/>
          <w:sz w:val="21"/>
        </w:rPr>
        <w:t>将导致投资者在该销售机构托管的该基金余额不足1份时，基金管理人有权将投资人在该销售机构托管的该基金剩余份额一次性全部赎回。在符合法律法规规定的前提下，各销售机构对赎回</w:t>
      </w:r>
      <w:r w:rsidR="003E165B" w:rsidRPr="000239D0">
        <w:rPr>
          <w:rFonts w:asciiTheme="minorEastAsia" w:eastAsiaTheme="minorEastAsia" w:hAnsiTheme="minorEastAsia" w:hint="eastAsia"/>
          <w:sz w:val="21"/>
        </w:rPr>
        <w:t>及转换</w:t>
      </w:r>
      <w:r w:rsidRPr="000239D0">
        <w:rPr>
          <w:rFonts w:asciiTheme="minorEastAsia" w:eastAsiaTheme="minorEastAsia" w:hAnsiTheme="minorEastAsia" w:hint="eastAsia"/>
          <w:sz w:val="21"/>
        </w:rPr>
        <w:t>份额限制有其他规定的，需同时遵循该销售机构的相关规定。</w:t>
      </w:r>
    </w:p>
    <w:p w:rsidR="005336CC" w:rsidRPr="000239D0" w:rsidRDefault="005336CC" w:rsidP="00AF28A3">
      <w:pPr>
        <w:autoSpaceDE w:val="0"/>
        <w:autoSpaceDN w:val="0"/>
        <w:snapToGrid w:val="0"/>
        <w:spacing w:line="360" w:lineRule="auto"/>
        <w:ind w:firstLine="420"/>
        <w:textAlignment w:val="bottom"/>
        <w:rPr>
          <w:rFonts w:asciiTheme="minorEastAsia" w:eastAsiaTheme="minorEastAsia" w:hAnsiTheme="minorEastAsia"/>
          <w:sz w:val="21"/>
        </w:rPr>
      </w:pPr>
      <w:r w:rsidRPr="000239D0">
        <w:rPr>
          <w:rFonts w:asciiTheme="minorEastAsia" w:eastAsiaTheme="minorEastAsia" w:hAnsiTheme="minorEastAsia"/>
          <w:sz w:val="21"/>
        </w:rPr>
        <w:t>基金管理人可根据市场情况制定或调整上述申购、赎回和转换的程序及有关限制,</w:t>
      </w:r>
      <w:r w:rsidR="000C7262" w:rsidRPr="000239D0">
        <w:rPr>
          <w:rFonts w:asciiTheme="minorEastAsia" w:eastAsiaTheme="minorEastAsia" w:hAnsiTheme="minorEastAsia" w:hint="eastAsia"/>
          <w:sz w:val="21"/>
        </w:rPr>
        <w:t>或者新增基金规模控制措施,</w:t>
      </w:r>
      <w:r w:rsidRPr="000239D0">
        <w:rPr>
          <w:rFonts w:asciiTheme="minorEastAsia" w:eastAsiaTheme="minorEastAsia" w:hAnsiTheme="minorEastAsia"/>
          <w:sz w:val="21"/>
        </w:rPr>
        <w:t>但应最迟在调整生效前三个工作日在</w:t>
      </w:r>
      <w:r w:rsidR="00EF5D91" w:rsidRPr="000239D0">
        <w:rPr>
          <w:rFonts w:asciiTheme="minorEastAsia" w:eastAsiaTheme="minorEastAsia" w:hAnsiTheme="minorEastAsia" w:hint="eastAsia"/>
          <w:sz w:val="21"/>
        </w:rPr>
        <w:t>指定媒介</w:t>
      </w:r>
      <w:r w:rsidRPr="000239D0">
        <w:rPr>
          <w:rFonts w:asciiTheme="minorEastAsia" w:eastAsiaTheme="minorEastAsia" w:hAnsiTheme="minorEastAsia"/>
          <w:sz w:val="21"/>
        </w:rPr>
        <w:t>公告。</w:t>
      </w:r>
    </w:p>
    <w:p w:rsidR="005336CC" w:rsidRPr="000239D0" w:rsidRDefault="00717956"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52" w:name="_Toc219695797"/>
      <w:bookmarkStart w:id="53" w:name="_Toc36452368"/>
      <w:r w:rsidRPr="000239D0">
        <w:rPr>
          <w:rFonts w:asciiTheme="minorEastAsia" w:eastAsiaTheme="minorEastAsia" w:hAnsiTheme="minorEastAsia" w:hint="eastAsia"/>
          <w:b w:val="0"/>
          <w:bCs/>
          <w:szCs w:val="21"/>
        </w:rPr>
        <w:t>（七）</w:t>
      </w:r>
      <w:r w:rsidR="005336CC" w:rsidRPr="000239D0">
        <w:rPr>
          <w:rFonts w:asciiTheme="minorEastAsia" w:eastAsiaTheme="minorEastAsia" w:hAnsiTheme="minorEastAsia" w:hint="eastAsia"/>
          <w:b w:val="0"/>
          <w:bCs/>
          <w:szCs w:val="21"/>
        </w:rPr>
        <w:t>申购份额、赎回金额和转换份额的计算方式</w:t>
      </w:r>
      <w:bookmarkEnd w:id="52"/>
      <w:bookmarkEnd w:id="53"/>
    </w:p>
    <w:p w:rsidR="005336CC" w:rsidRPr="000239D0" w:rsidRDefault="00AD684A"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申购份额的计算</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本基金的申购金额包括申购费用和净申购金额，其中：</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申购费用=申购金额/（1＋申购费率）×申购费率</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净申购金额=申购金额-申购费用</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申购份数=净申购金额÷T日基金份额净值</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举例说明：</w:t>
      </w:r>
    </w:p>
    <w:p w:rsidR="00A37726" w:rsidRPr="000239D0" w:rsidRDefault="00A3772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例一：某投资者（非特定投资群体）申购本基金：</w:t>
      </w:r>
    </w:p>
    <w:tbl>
      <w:tblPr>
        <w:tblW w:w="0" w:type="auto"/>
        <w:tblInd w:w="-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207"/>
        <w:gridCol w:w="1344"/>
        <w:gridCol w:w="1418"/>
        <w:gridCol w:w="1660"/>
        <w:gridCol w:w="1422"/>
      </w:tblGrid>
      <w:tr w:rsidR="00E50975" w:rsidRPr="000239D0">
        <w:tc>
          <w:tcPr>
            <w:tcW w:w="1581"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申购金额</w:t>
            </w:r>
          </w:p>
        </w:tc>
        <w:tc>
          <w:tcPr>
            <w:tcW w:w="1207"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申购费率</w:t>
            </w:r>
          </w:p>
        </w:tc>
        <w:tc>
          <w:tcPr>
            <w:tcW w:w="1344"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申购费</w:t>
            </w:r>
          </w:p>
        </w:tc>
        <w:tc>
          <w:tcPr>
            <w:tcW w:w="1418"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申购净额</w:t>
            </w:r>
          </w:p>
        </w:tc>
        <w:tc>
          <w:tcPr>
            <w:tcW w:w="1660"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基金份额净值</w:t>
            </w:r>
          </w:p>
        </w:tc>
        <w:tc>
          <w:tcPr>
            <w:tcW w:w="1422"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申购份数</w:t>
            </w:r>
          </w:p>
        </w:tc>
      </w:tr>
      <w:tr w:rsidR="00E50975" w:rsidRPr="000239D0">
        <w:tc>
          <w:tcPr>
            <w:tcW w:w="1581"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10,000元</w:t>
            </w:r>
          </w:p>
        </w:tc>
        <w:tc>
          <w:tcPr>
            <w:tcW w:w="1207"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1.5%</w:t>
            </w:r>
          </w:p>
        </w:tc>
        <w:tc>
          <w:tcPr>
            <w:tcW w:w="1344" w:type="dxa"/>
          </w:tcPr>
          <w:p w:rsidR="005336CC" w:rsidRPr="000239D0" w:rsidRDefault="005336CC" w:rsidP="000B1E9F">
            <w:pPr>
              <w:snapToGrid w:val="0"/>
              <w:spacing w:line="360" w:lineRule="auto"/>
              <w:ind w:firstLineChars="95" w:firstLine="199"/>
              <w:jc w:val="center"/>
              <w:rPr>
                <w:rFonts w:asciiTheme="minorEastAsia" w:eastAsiaTheme="minorEastAsia" w:hAnsiTheme="minorEastAsia"/>
                <w:sz w:val="21"/>
              </w:rPr>
            </w:pPr>
            <w:r w:rsidRPr="000239D0">
              <w:rPr>
                <w:rFonts w:asciiTheme="minorEastAsia" w:eastAsiaTheme="minorEastAsia" w:hAnsiTheme="minorEastAsia" w:hint="eastAsia"/>
                <w:sz w:val="21"/>
              </w:rPr>
              <w:t>147.78元</w:t>
            </w:r>
          </w:p>
        </w:tc>
        <w:tc>
          <w:tcPr>
            <w:tcW w:w="1418"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9852.22元</w:t>
            </w:r>
          </w:p>
        </w:tc>
        <w:tc>
          <w:tcPr>
            <w:tcW w:w="1660"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1.00</w:t>
            </w:r>
            <w:r w:rsidR="00FF0EC0" w:rsidRPr="000239D0">
              <w:rPr>
                <w:rFonts w:asciiTheme="minorEastAsia" w:eastAsiaTheme="minorEastAsia" w:hAnsiTheme="minorEastAsia" w:hint="eastAsia"/>
                <w:sz w:val="21"/>
              </w:rPr>
              <w:t>0</w:t>
            </w:r>
            <w:r w:rsidRPr="000239D0">
              <w:rPr>
                <w:rFonts w:asciiTheme="minorEastAsia" w:eastAsiaTheme="minorEastAsia" w:hAnsiTheme="minorEastAsia" w:hint="eastAsia"/>
                <w:sz w:val="21"/>
              </w:rPr>
              <w:t>元</w:t>
            </w:r>
          </w:p>
        </w:tc>
        <w:tc>
          <w:tcPr>
            <w:tcW w:w="1422"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9852.22份</w:t>
            </w:r>
          </w:p>
        </w:tc>
      </w:tr>
      <w:tr w:rsidR="00E50975" w:rsidRPr="000239D0">
        <w:tc>
          <w:tcPr>
            <w:tcW w:w="1581" w:type="dxa"/>
          </w:tcPr>
          <w:p w:rsidR="005336CC" w:rsidRPr="000239D0" w:rsidRDefault="0068549E"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10</w:t>
            </w:r>
            <w:r w:rsidR="005336CC" w:rsidRPr="000239D0">
              <w:rPr>
                <w:rFonts w:asciiTheme="minorEastAsia" w:eastAsiaTheme="minorEastAsia" w:hAnsiTheme="minorEastAsia" w:hint="eastAsia"/>
                <w:sz w:val="21"/>
              </w:rPr>
              <w:t>,000,000元</w:t>
            </w:r>
          </w:p>
        </w:tc>
        <w:tc>
          <w:tcPr>
            <w:tcW w:w="1207" w:type="dxa"/>
          </w:tcPr>
          <w:p w:rsidR="005336CC" w:rsidRPr="000239D0" w:rsidRDefault="005336CC" w:rsidP="000B1E9F">
            <w:pPr>
              <w:snapToGrid w:val="0"/>
              <w:spacing w:line="360" w:lineRule="auto"/>
              <w:ind w:firstLineChars="0" w:firstLine="0"/>
              <w:jc w:val="left"/>
              <w:rPr>
                <w:rFonts w:asciiTheme="minorEastAsia" w:eastAsiaTheme="minorEastAsia" w:hAnsiTheme="minorEastAsia"/>
                <w:sz w:val="21"/>
              </w:rPr>
            </w:pPr>
            <w:r w:rsidRPr="000239D0">
              <w:rPr>
                <w:rFonts w:asciiTheme="minorEastAsia" w:eastAsiaTheme="minorEastAsia" w:hAnsiTheme="minorEastAsia" w:hint="eastAsia"/>
                <w:sz w:val="21"/>
              </w:rPr>
              <w:t>固定费用</w:t>
            </w:r>
          </w:p>
        </w:tc>
        <w:tc>
          <w:tcPr>
            <w:tcW w:w="1344"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1000元</w:t>
            </w:r>
          </w:p>
        </w:tc>
        <w:tc>
          <w:tcPr>
            <w:tcW w:w="1418" w:type="dxa"/>
          </w:tcPr>
          <w:p w:rsidR="005336CC" w:rsidRPr="000239D0" w:rsidRDefault="0068549E"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9</w:t>
            </w:r>
            <w:r w:rsidR="005336CC" w:rsidRPr="000239D0">
              <w:rPr>
                <w:rFonts w:asciiTheme="minorEastAsia" w:eastAsiaTheme="minorEastAsia" w:hAnsiTheme="minorEastAsia" w:hint="eastAsia"/>
                <w:sz w:val="21"/>
              </w:rPr>
              <w:t>,999,000元</w:t>
            </w:r>
          </w:p>
        </w:tc>
        <w:tc>
          <w:tcPr>
            <w:tcW w:w="1660"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1.00</w:t>
            </w:r>
            <w:r w:rsidR="00FF0EC0" w:rsidRPr="000239D0">
              <w:rPr>
                <w:rFonts w:asciiTheme="minorEastAsia" w:eastAsiaTheme="minorEastAsia" w:hAnsiTheme="minorEastAsia" w:hint="eastAsia"/>
                <w:sz w:val="21"/>
              </w:rPr>
              <w:t>0</w:t>
            </w:r>
            <w:r w:rsidRPr="000239D0">
              <w:rPr>
                <w:rFonts w:asciiTheme="minorEastAsia" w:eastAsiaTheme="minorEastAsia" w:hAnsiTheme="minorEastAsia" w:hint="eastAsia"/>
                <w:sz w:val="21"/>
              </w:rPr>
              <w:t>元</w:t>
            </w:r>
          </w:p>
        </w:tc>
        <w:tc>
          <w:tcPr>
            <w:tcW w:w="1422" w:type="dxa"/>
          </w:tcPr>
          <w:p w:rsidR="005336CC" w:rsidRPr="000239D0" w:rsidRDefault="0068549E"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9</w:t>
            </w:r>
            <w:r w:rsidR="005336CC" w:rsidRPr="000239D0">
              <w:rPr>
                <w:rFonts w:asciiTheme="minorEastAsia" w:eastAsiaTheme="minorEastAsia" w:hAnsiTheme="minorEastAsia" w:hint="eastAsia"/>
                <w:sz w:val="21"/>
              </w:rPr>
              <w:t>,999,000份</w:t>
            </w:r>
          </w:p>
        </w:tc>
      </w:tr>
    </w:tbl>
    <w:p w:rsidR="00A37726" w:rsidRPr="000239D0" w:rsidRDefault="00A3772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例二：某投资者（特定投资群体）通过基金管理人的直销中心申购本基金：</w:t>
      </w:r>
    </w:p>
    <w:tbl>
      <w:tblPr>
        <w:tblW w:w="0" w:type="auto"/>
        <w:tblInd w:w="-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207"/>
        <w:gridCol w:w="1344"/>
        <w:gridCol w:w="1418"/>
        <w:gridCol w:w="1660"/>
        <w:gridCol w:w="1422"/>
      </w:tblGrid>
      <w:tr w:rsidR="00E50975" w:rsidRPr="000239D0" w:rsidTr="008C0916">
        <w:tc>
          <w:tcPr>
            <w:tcW w:w="1581" w:type="dxa"/>
          </w:tcPr>
          <w:p w:rsidR="00A37726" w:rsidRPr="000239D0" w:rsidRDefault="00A37726"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申购金额</w:t>
            </w:r>
          </w:p>
        </w:tc>
        <w:tc>
          <w:tcPr>
            <w:tcW w:w="1207"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申购费率</w:t>
            </w:r>
          </w:p>
        </w:tc>
        <w:tc>
          <w:tcPr>
            <w:tcW w:w="1344" w:type="dxa"/>
          </w:tcPr>
          <w:p w:rsidR="00A37726" w:rsidRPr="000239D0" w:rsidRDefault="00A37726"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申购费</w:t>
            </w:r>
          </w:p>
        </w:tc>
        <w:tc>
          <w:tcPr>
            <w:tcW w:w="1418"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申购净额</w:t>
            </w:r>
          </w:p>
        </w:tc>
        <w:tc>
          <w:tcPr>
            <w:tcW w:w="1660"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基金份额净值</w:t>
            </w:r>
          </w:p>
        </w:tc>
        <w:tc>
          <w:tcPr>
            <w:tcW w:w="1422"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申购份数</w:t>
            </w:r>
          </w:p>
        </w:tc>
      </w:tr>
      <w:tr w:rsidR="00E50975" w:rsidRPr="000239D0" w:rsidTr="008C0916">
        <w:tc>
          <w:tcPr>
            <w:tcW w:w="1581"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50,000元</w:t>
            </w:r>
          </w:p>
        </w:tc>
        <w:tc>
          <w:tcPr>
            <w:tcW w:w="1207" w:type="dxa"/>
          </w:tcPr>
          <w:p w:rsidR="00A37726" w:rsidRPr="000239D0" w:rsidRDefault="00A37726"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0.15%</w:t>
            </w:r>
          </w:p>
        </w:tc>
        <w:tc>
          <w:tcPr>
            <w:tcW w:w="1344" w:type="dxa"/>
          </w:tcPr>
          <w:p w:rsidR="00A37726" w:rsidRPr="000239D0" w:rsidRDefault="00A37726" w:rsidP="000B1E9F">
            <w:pPr>
              <w:snapToGrid w:val="0"/>
              <w:spacing w:line="360" w:lineRule="auto"/>
              <w:ind w:firstLineChars="95" w:firstLine="199"/>
              <w:jc w:val="center"/>
              <w:rPr>
                <w:rFonts w:asciiTheme="minorEastAsia" w:eastAsiaTheme="minorEastAsia" w:hAnsiTheme="minorEastAsia"/>
                <w:sz w:val="21"/>
              </w:rPr>
            </w:pPr>
            <w:r w:rsidRPr="000239D0">
              <w:rPr>
                <w:rFonts w:asciiTheme="minorEastAsia" w:eastAsiaTheme="minorEastAsia" w:hAnsiTheme="minorEastAsia"/>
                <w:sz w:val="21"/>
              </w:rPr>
              <w:t>74.89</w:t>
            </w:r>
            <w:r w:rsidRPr="000239D0">
              <w:rPr>
                <w:rFonts w:asciiTheme="minorEastAsia" w:eastAsiaTheme="minorEastAsia" w:hAnsiTheme="minorEastAsia" w:hint="eastAsia"/>
                <w:sz w:val="21"/>
              </w:rPr>
              <w:t>元</w:t>
            </w:r>
          </w:p>
        </w:tc>
        <w:tc>
          <w:tcPr>
            <w:tcW w:w="1418"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49,925.11</w:t>
            </w:r>
            <w:r w:rsidRPr="000239D0">
              <w:rPr>
                <w:rFonts w:asciiTheme="minorEastAsia" w:eastAsiaTheme="minorEastAsia" w:hAnsiTheme="minorEastAsia" w:hint="eastAsia"/>
                <w:sz w:val="21"/>
              </w:rPr>
              <w:t>元</w:t>
            </w:r>
          </w:p>
        </w:tc>
        <w:tc>
          <w:tcPr>
            <w:tcW w:w="1660" w:type="dxa"/>
          </w:tcPr>
          <w:p w:rsidR="00A37726" w:rsidRPr="000239D0" w:rsidRDefault="00A37726"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1.000元</w:t>
            </w:r>
          </w:p>
        </w:tc>
        <w:tc>
          <w:tcPr>
            <w:tcW w:w="1422"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49,925.11</w:t>
            </w:r>
            <w:r w:rsidRPr="000239D0">
              <w:rPr>
                <w:rFonts w:asciiTheme="minorEastAsia" w:eastAsiaTheme="minorEastAsia" w:hAnsiTheme="minorEastAsia" w:hint="eastAsia"/>
                <w:sz w:val="21"/>
              </w:rPr>
              <w:t>份</w:t>
            </w:r>
          </w:p>
        </w:tc>
      </w:tr>
      <w:tr w:rsidR="00E50975" w:rsidRPr="000239D0" w:rsidTr="008C0916">
        <w:tc>
          <w:tcPr>
            <w:tcW w:w="1581"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10,000,000元</w:t>
            </w:r>
          </w:p>
        </w:tc>
        <w:tc>
          <w:tcPr>
            <w:tcW w:w="1207" w:type="dxa"/>
          </w:tcPr>
          <w:p w:rsidR="00A37726" w:rsidRPr="000239D0" w:rsidRDefault="00A37726" w:rsidP="000B1E9F">
            <w:pPr>
              <w:snapToGrid w:val="0"/>
              <w:spacing w:line="360" w:lineRule="auto"/>
              <w:ind w:firstLineChars="0" w:firstLine="0"/>
              <w:jc w:val="left"/>
              <w:rPr>
                <w:rFonts w:asciiTheme="minorEastAsia" w:eastAsiaTheme="minorEastAsia" w:hAnsiTheme="minorEastAsia"/>
                <w:sz w:val="21"/>
              </w:rPr>
            </w:pPr>
            <w:r w:rsidRPr="000239D0">
              <w:rPr>
                <w:rFonts w:asciiTheme="minorEastAsia" w:eastAsiaTheme="minorEastAsia" w:hAnsiTheme="minorEastAsia" w:hint="eastAsia"/>
                <w:sz w:val="21"/>
              </w:rPr>
              <w:t>固定费用</w:t>
            </w:r>
          </w:p>
        </w:tc>
        <w:tc>
          <w:tcPr>
            <w:tcW w:w="1344"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1000元</w:t>
            </w:r>
          </w:p>
        </w:tc>
        <w:tc>
          <w:tcPr>
            <w:tcW w:w="1418"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9,999,000元</w:t>
            </w:r>
          </w:p>
        </w:tc>
        <w:tc>
          <w:tcPr>
            <w:tcW w:w="1660" w:type="dxa"/>
          </w:tcPr>
          <w:p w:rsidR="00A37726" w:rsidRPr="000239D0" w:rsidRDefault="00A37726"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1.000元</w:t>
            </w:r>
          </w:p>
        </w:tc>
        <w:tc>
          <w:tcPr>
            <w:tcW w:w="1422" w:type="dxa"/>
          </w:tcPr>
          <w:p w:rsidR="00A37726" w:rsidRPr="000239D0" w:rsidRDefault="00A37726"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9,999,000份</w:t>
            </w:r>
          </w:p>
        </w:tc>
      </w:tr>
    </w:tbl>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申购费以人民币元为单位，四舍五入，保留至小数点后二位；申购份数保留至小数点后两位，小数点后两位以下舍去，舍去部分所代表的资产归基金财产所有。</w:t>
      </w:r>
    </w:p>
    <w:p w:rsidR="005336CC" w:rsidRPr="000239D0" w:rsidRDefault="00AD684A"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2、</w:t>
      </w:r>
      <w:r w:rsidR="005336CC" w:rsidRPr="000239D0">
        <w:rPr>
          <w:rFonts w:asciiTheme="minorEastAsia" w:eastAsiaTheme="minorEastAsia" w:hAnsiTheme="minorEastAsia" w:hint="eastAsia"/>
          <w:sz w:val="21"/>
        </w:rPr>
        <w:t>赎回金额的计算</w:t>
      </w:r>
    </w:p>
    <w:p w:rsidR="005336CC" w:rsidRPr="000239D0" w:rsidRDefault="005336CC"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本基金的赎回金额为赎回总额扣减赎回费用，其中：</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赎回总额=赎回数量</w:t>
      </w:r>
      <w:r w:rsidRPr="000239D0">
        <w:rPr>
          <w:rFonts w:asciiTheme="minorEastAsia" w:eastAsiaTheme="minorEastAsia" w:hAnsiTheme="minorEastAsia" w:hint="eastAsia"/>
          <w:sz w:val="21"/>
        </w:rPr>
        <w:sym w:font="Symbol" w:char="F0B4"/>
      </w:r>
      <w:r w:rsidRPr="000239D0">
        <w:rPr>
          <w:rFonts w:asciiTheme="minorEastAsia" w:eastAsiaTheme="minorEastAsia" w:hAnsiTheme="minorEastAsia" w:hint="eastAsia"/>
          <w:sz w:val="21"/>
        </w:rPr>
        <w:t>T日基金份额净值</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赎回费用=赎回总额</w:t>
      </w:r>
      <w:r w:rsidRPr="000239D0">
        <w:rPr>
          <w:rFonts w:asciiTheme="minorEastAsia" w:eastAsiaTheme="minorEastAsia" w:hAnsiTheme="minorEastAsia" w:hint="eastAsia"/>
          <w:sz w:val="21"/>
        </w:rPr>
        <w:sym w:font="Symbol" w:char="F0B4"/>
      </w:r>
      <w:r w:rsidRPr="000239D0">
        <w:rPr>
          <w:rFonts w:asciiTheme="minorEastAsia" w:eastAsiaTheme="minorEastAsia" w:hAnsiTheme="minorEastAsia" w:hint="eastAsia"/>
          <w:sz w:val="21"/>
        </w:rPr>
        <w:t>赎回费率</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赎回金额=赎回总额</w:t>
      </w:r>
      <w:r w:rsidRPr="000239D0">
        <w:rPr>
          <w:rFonts w:asciiTheme="minorEastAsia" w:eastAsiaTheme="minorEastAsia" w:hAnsiTheme="minorEastAsia" w:hint="eastAsia"/>
          <w:sz w:val="21"/>
        </w:rPr>
        <w:sym w:font="Symbol" w:char="F02D"/>
      </w:r>
      <w:r w:rsidRPr="000239D0">
        <w:rPr>
          <w:rFonts w:asciiTheme="minorEastAsia" w:eastAsiaTheme="minorEastAsia" w:hAnsiTheme="minorEastAsia" w:hint="eastAsia"/>
          <w:sz w:val="21"/>
        </w:rPr>
        <w:t>赎回费用</w:t>
      </w:r>
    </w:p>
    <w:p w:rsidR="005336CC" w:rsidRPr="000239D0" w:rsidRDefault="005336CC" w:rsidP="000B1E9F">
      <w:pPr>
        <w:snapToGrid w:val="0"/>
        <w:spacing w:line="360" w:lineRule="auto"/>
        <w:ind w:firstLine="420"/>
        <w:rPr>
          <w:rFonts w:asciiTheme="minorEastAsia" w:eastAsiaTheme="minorEastAsia" w:hAnsiTheme="minorEastAsia"/>
          <w:b/>
          <w:bCs/>
          <w:sz w:val="21"/>
        </w:rPr>
      </w:pPr>
      <w:r w:rsidRPr="000239D0">
        <w:rPr>
          <w:rFonts w:asciiTheme="minorEastAsia" w:eastAsiaTheme="minorEastAsia" w:hAnsiTheme="minorEastAsia" w:hint="eastAsia"/>
          <w:sz w:val="21"/>
        </w:rPr>
        <w:t>举例说明：</w:t>
      </w:r>
    </w:p>
    <w:tbl>
      <w:tblPr>
        <w:tblW w:w="0" w:type="auto"/>
        <w:tblInd w:w="-55"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E50975" w:rsidRPr="000239D0">
        <w:tc>
          <w:tcPr>
            <w:tcW w:w="1243"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赎回份额</w:t>
            </w:r>
          </w:p>
        </w:tc>
        <w:tc>
          <w:tcPr>
            <w:tcW w:w="1650"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基金份额净值</w:t>
            </w:r>
          </w:p>
        </w:tc>
        <w:tc>
          <w:tcPr>
            <w:tcW w:w="1436"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持有时间</w:t>
            </w:r>
          </w:p>
        </w:tc>
        <w:tc>
          <w:tcPr>
            <w:tcW w:w="1437"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赎回费率</w:t>
            </w:r>
          </w:p>
        </w:tc>
        <w:tc>
          <w:tcPr>
            <w:tcW w:w="1409" w:type="dxa"/>
          </w:tcPr>
          <w:p w:rsidR="005336CC" w:rsidRPr="000239D0" w:rsidRDefault="005336CC" w:rsidP="000B1E9F">
            <w:pPr>
              <w:snapToGrid w:val="0"/>
              <w:spacing w:line="360" w:lineRule="auto"/>
              <w:ind w:firstLineChars="95" w:firstLine="199"/>
              <w:jc w:val="center"/>
              <w:rPr>
                <w:rFonts w:asciiTheme="minorEastAsia" w:eastAsiaTheme="minorEastAsia" w:hAnsiTheme="minorEastAsia"/>
                <w:sz w:val="21"/>
              </w:rPr>
            </w:pPr>
            <w:r w:rsidRPr="000239D0">
              <w:rPr>
                <w:rFonts w:asciiTheme="minorEastAsia" w:eastAsiaTheme="minorEastAsia" w:hAnsiTheme="minorEastAsia"/>
                <w:sz w:val="21"/>
              </w:rPr>
              <w:t>赎回费</w:t>
            </w:r>
            <w:r w:rsidR="000A78D9" w:rsidRPr="000239D0">
              <w:rPr>
                <w:rFonts w:asciiTheme="minorEastAsia" w:eastAsiaTheme="minorEastAsia" w:hAnsiTheme="minorEastAsia" w:hint="eastAsia"/>
                <w:sz w:val="21"/>
              </w:rPr>
              <w:t>用</w:t>
            </w:r>
          </w:p>
        </w:tc>
        <w:tc>
          <w:tcPr>
            <w:tcW w:w="1457"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赎回</w:t>
            </w:r>
            <w:r w:rsidR="000A78D9" w:rsidRPr="000239D0">
              <w:rPr>
                <w:rFonts w:asciiTheme="minorEastAsia" w:eastAsiaTheme="minorEastAsia" w:hAnsiTheme="minorEastAsia" w:hint="eastAsia"/>
                <w:sz w:val="21"/>
              </w:rPr>
              <w:t>金</w:t>
            </w:r>
            <w:r w:rsidRPr="000239D0">
              <w:rPr>
                <w:rFonts w:asciiTheme="minorEastAsia" w:eastAsiaTheme="minorEastAsia" w:hAnsiTheme="minorEastAsia"/>
                <w:sz w:val="21"/>
              </w:rPr>
              <w:t>额</w:t>
            </w:r>
          </w:p>
        </w:tc>
      </w:tr>
      <w:tr w:rsidR="00E50975" w:rsidRPr="000239D0">
        <w:tc>
          <w:tcPr>
            <w:tcW w:w="1243"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10,000</w:t>
            </w:r>
          </w:p>
        </w:tc>
        <w:tc>
          <w:tcPr>
            <w:tcW w:w="1650"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sz w:val="21"/>
              </w:rPr>
              <w:t>1.00</w:t>
            </w:r>
            <w:r w:rsidR="00FF0EC0" w:rsidRPr="000239D0">
              <w:rPr>
                <w:rFonts w:asciiTheme="minorEastAsia" w:eastAsiaTheme="minorEastAsia" w:hAnsiTheme="minorEastAsia" w:hint="eastAsia"/>
                <w:sz w:val="21"/>
              </w:rPr>
              <w:t>0</w:t>
            </w:r>
            <w:r w:rsidRPr="000239D0">
              <w:rPr>
                <w:rFonts w:asciiTheme="minorEastAsia" w:eastAsiaTheme="minorEastAsia" w:hAnsiTheme="minorEastAsia"/>
                <w:sz w:val="21"/>
              </w:rPr>
              <w:t>元</w:t>
            </w:r>
          </w:p>
        </w:tc>
        <w:tc>
          <w:tcPr>
            <w:tcW w:w="1436"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100天</w:t>
            </w:r>
          </w:p>
        </w:tc>
        <w:tc>
          <w:tcPr>
            <w:tcW w:w="1437"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sz w:val="21"/>
              </w:rPr>
              <w:t>0.5%</w:t>
            </w:r>
          </w:p>
        </w:tc>
        <w:tc>
          <w:tcPr>
            <w:tcW w:w="1409" w:type="dxa"/>
          </w:tcPr>
          <w:p w:rsidR="005336CC" w:rsidRPr="000239D0" w:rsidRDefault="005336CC" w:rsidP="000B1E9F">
            <w:pPr>
              <w:snapToGrid w:val="0"/>
              <w:spacing w:line="360" w:lineRule="auto"/>
              <w:ind w:firstLineChars="95" w:firstLine="199"/>
              <w:jc w:val="center"/>
              <w:rPr>
                <w:rFonts w:asciiTheme="minorEastAsia" w:eastAsiaTheme="minorEastAsia" w:hAnsiTheme="minorEastAsia"/>
                <w:sz w:val="21"/>
              </w:rPr>
            </w:pPr>
            <w:r w:rsidRPr="000239D0">
              <w:rPr>
                <w:rFonts w:asciiTheme="minorEastAsia" w:eastAsiaTheme="minorEastAsia" w:hAnsiTheme="minorEastAsia"/>
                <w:sz w:val="21"/>
              </w:rPr>
              <w:t>50元</w:t>
            </w:r>
          </w:p>
        </w:tc>
        <w:tc>
          <w:tcPr>
            <w:tcW w:w="1457" w:type="dxa"/>
          </w:tcPr>
          <w:p w:rsidR="005336CC" w:rsidRPr="000239D0" w:rsidRDefault="005336CC" w:rsidP="000B1E9F">
            <w:pPr>
              <w:snapToGrid w:val="0"/>
              <w:spacing w:line="360" w:lineRule="auto"/>
              <w:ind w:firstLineChars="95" w:firstLine="199"/>
              <w:jc w:val="center"/>
              <w:rPr>
                <w:rFonts w:asciiTheme="minorEastAsia" w:eastAsiaTheme="minorEastAsia" w:hAnsiTheme="minorEastAsia"/>
                <w:sz w:val="21"/>
              </w:rPr>
            </w:pPr>
            <w:r w:rsidRPr="000239D0">
              <w:rPr>
                <w:rFonts w:asciiTheme="minorEastAsia" w:eastAsiaTheme="minorEastAsia" w:hAnsiTheme="minorEastAsia"/>
                <w:sz w:val="21"/>
              </w:rPr>
              <w:t>9,950元</w:t>
            </w:r>
          </w:p>
        </w:tc>
      </w:tr>
      <w:tr w:rsidR="00E50975" w:rsidRPr="000239D0">
        <w:tc>
          <w:tcPr>
            <w:tcW w:w="1243"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10,000</w:t>
            </w:r>
          </w:p>
        </w:tc>
        <w:tc>
          <w:tcPr>
            <w:tcW w:w="1650"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sz w:val="21"/>
              </w:rPr>
              <w:t>1.00</w:t>
            </w:r>
            <w:r w:rsidR="00FF0EC0" w:rsidRPr="000239D0">
              <w:rPr>
                <w:rFonts w:asciiTheme="minorEastAsia" w:eastAsiaTheme="minorEastAsia" w:hAnsiTheme="minorEastAsia" w:hint="eastAsia"/>
                <w:sz w:val="21"/>
              </w:rPr>
              <w:t>0</w:t>
            </w:r>
            <w:r w:rsidRPr="000239D0">
              <w:rPr>
                <w:rFonts w:asciiTheme="minorEastAsia" w:eastAsiaTheme="minorEastAsia" w:hAnsiTheme="minorEastAsia"/>
                <w:sz w:val="21"/>
              </w:rPr>
              <w:t>元</w:t>
            </w:r>
          </w:p>
        </w:tc>
        <w:tc>
          <w:tcPr>
            <w:tcW w:w="1436"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500天</w:t>
            </w:r>
          </w:p>
        </w:tc>
        <w:tc>
          <w:tcPr>
            <w:tcW w:w="1437"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sz w:val="21"/>
              </w:rPr>
              <w:t>0.</w:t>
            </w:r>
            <w:r w:rsidRPr="000239D0">
              <w:rPr>
                <w:rFonts w:asciiTheme="minorEastAsia" w:eastAsiaTheme="minorEastAsia" w:hAnsiTheme="minorEastAsia" w:hint="eastAsia"/>
                <w:sz w:val="21"/>
              </w:rPr>
              <w:t>25</w:t>
            </w:r>
            <w:r w:rsidRPr="000239D0">
              <w:rPr>
                <w:rFonts w:asciiTheme="minorEastAsia" w:eastAsiaTheme="minorEastAsia" w:hAnsiTheme="minorEastAsia"/>
                <w:sz w:val="21"/>
              </w:rPr>
              <w:t>%</w:t>
            </w:r>
          </w:p>
        </w:tc>
        <w:tc>
          <w:tcPr>
            <w:tcW w:w="1409" w:type="dxa"/>
          </w:tcPr>
          <w:p w:rsidR="005336CC" w:rsidRPr="000239D0" w:rsidRDefault="005336CC" w:rsidP="000B1E9F">
            <w:pPr>
              <w:snapToGrid w:val="0"/>
              <w:spacing w:line="360" w:lineRule="auto"/>
              <w:ind w:firstLineChars="95" w:firstLine="199"/>
              <w:jc w:val="center"/>
              <w:rPr>
                <w:rFonts w:asciiTheme="minorEastAsia" w:eastAsiaTheme="minorEastAsia" w:hAnsiTheme="minorEastAsia"/>
                <w:sz w:val="21"/>
              </w:rPr>
            </w:pPr>
            <w:r w:rsidRPr="000239D0">
              <w:rPr>
                <w:rFonts w:asciiTheme="minorEastAsia" w:eastAsiaTheme="minorEastAsia" w:hAnsiTheme="minorEastAsia" w:hint="eastAsia"/>
                <w:sz w:val="21"/>
              </w:rPr>
              <w:t>25</w:t>
            </w:r>
            <w:r w:rsidRPr="000239D0">
              <w:rPr>
                <w:rFonts w:asciiTheme="minorEastAsia" w:eastAsiaTheme="minorEastAsia" w:hAnsiTheme="minorEastAsia"/>
                <w:sz w:val="21"/>
              </w:rPr>
              <w:t>元</w:t>
            </w:r>
          </w:p>
        </w:tc>
        <w:tc>
          <w:tcPr>
            <w:tcW w:w="1457" w:type="dxa"/>
          </w:tcPr>
          <w:p w:rsidR="005336CC" w:rsidRPr="000239D0" w:rsidRDefault="005336CC" w:rsidP="000B1E9F">
            <w:pPr>
              <w:snapToGrid w:val="0"/>
              <w:spacing w:line="360" w:lineRule="auto"/>
              <w:ind w:firstLineChars="95" w:firstLine="199"/>
              <w:jc w:val="center"/>
              <w:rPr>
                <w:rFonts w:asciiTheme="minorEastAsia" w:eastAsiaTheme="minorEastAsia" w:hAnsiTheme="minorEastAsia"/>
                <w:sz w:val="21"/>
              </w:rPr>
            </w:pPr>
            <w:r w:rsidRPr="000239D0">
              <w:rPr>
                <w:rFonts w:asciiTheme="minorEastAsia" w:eastAsiaTheme="minorEastAsia" w:hAnsiTheme="minorEastAsia"/>
                <w:sz w:val="21"/>
              </w:rPr>
              <w:t>9,97</w:t>
            </w:r>
            <w:r w:rsidRPr="000239D0">
              <w:rPr>
                <w:rFonts w:asciiTheme="minorEastAsia" w:eastAsiaTheme="minorEastAsia" w:hAnsiTheme="minorEastAsia" w:hint="eastAsia"/>
                <w:sz w:val="21"/>
              </w:rPr>
              <w:t>5</w:t>
            </w:r>
            <w:r w:rsidRPr="000239D0">
              <w:rPr>
                <w:rFonts w:asciiTheme="minorEastAsia" w:eastAsiaTheme="minorEastAsia" w:hAnsiTheme="minorEastAsia"/>
                <w:sz w:val="21"/>
              </w:rPr>
              <w:t>元</w:t>
            </w:r>
          </w:p>
        </w:tc>
      </w:tr>
      <w:tr w:rsidR="00E50975" w:rsidRPr="000239D0">
        <w:tc>
          <w:tcPr>
            <w:tcW w:w="1243"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10,000</w:t>
            </w:r>
          </w:p>
        </w:tc>
        <w:tc>
          <w:tcPr>
            <w:tcW w:w="1650"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sz w:val="21"/>
              </w:rPr>
              <w:t>1.00</w:t>
            </w:r>
            <w:r w:rsidR="00FF0EC0" w:rsidRPr="000239D0">
              <w:rPr>
                <w:rFonts w:asciiTheme="minorEastAsia" w:eastAsiaTheme="minorEastAsia" w:hAnsiTheme="minorEastAsia" w:hint="eastAsia"/>
                <w:sz w:val="21"/>
              </w:rPr>
              <w:t>0</w:t>
            </w:r>
            <w:r w:rsidRPr="000239D0">
              <w:rPr>
                <w:rFonts w:asciiTheme="minorEastAsia" w:eastAsiaTheme="minorEastAsia" w:hAnsiTheme="minorEastAsia"/>
                <w:sz w:val="21"/>
              </w:rPr>
              <w:t>元</w:t>
            </w:r>
          </w:p>
        </w:tc>
        <w:tc>
          <w:tcPr>
            <w:tcW w:w="1436"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hint="eastAsia"/>
                <w:sz w:val="21"/>
              </w:rPr>
              <w:t>800天</w:t>
            </w:r>
          </w:p>
        </w:tc>
        <w:tc>
          <w:tcPr>
            <w:tcW w:w="1437"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sz w:val="21"/>
              </w:rPr>
              <w:t>0%</w:t>
            </w:r>
          </w:p>
        </w:tc>
        <w:tc>
          <w:tcPr>
            <w:tcW w:w="1409" w:type="dxa"/>
          </w:tcPr>
          <w:p w:rsidR="005336CC" w:rsidRPr="000239D0" w:rsidRDefault="005336CC" w:rsidP="000B1E9F">
            <w:pPr>
              <w:snapToGrid w:val="0"/>
              <w:spacing w:line="360" w:lineRule="auto"/>
              <w:ind w:firstLine="420"/>
              <w:jc w:val="center"/>
              <w:rPr>
                <w:rFonts w:asciiTheme="minorEastAsia" w:eastAsiaTheme="minorEastAsia" w:hAnsiTheme="minorEastAsia"/>
                <w:sz w:val="21"/>
              </w:rPr>
            </w:pPr>
            <w:r w:rsidRPr="000239D0">
              <w:rPr>
                <w:rFonts w:asciiTheme="minorEastAsia" w:eastAsiaTheme="minorEastAsia" w:hAnsiTheme="minorEastAsia"/>
                <w:sz w:val="21"/>
              </w:rPr>
              <w:t>0</w:t>
            </w:r>
          </w:p>
        </w:tc>
        <w:tc>
          <w:tcPr>
            <w:tcW w:w="1457" w:type="dxa"/>
          </w:tcPr>
          <w:p w:rsidR="005336CC" w:rsidRPr="000239D0" w:rsidRDefault="005336CC" w:rsidP="000B1E9F">
            <w:pPr>
              <w:snapToGrid w:val="0"/>
              <w:spacing w:line="360" w:lineRule="auto"/>
              <w:ind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10,000元</w:t>
            </w:r>
          </w:p>
        </w:tc>
      </w:tr>
    </w:tbl>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赎回总额、赎回费</w:t>
      </w:r>
      <w:r w:rsidR="000A78D9" w:rsidRPr="000239D0">
        <w:rPr>
          <w:rFonts w:asciiTheme="minorEastAsia" w:eastAsiaTheme="minorEastAsia" w:hAnsiTheme="minorEastAsia" w:hint="eastAsia"/>
          <w:sz w:val="21"/>
        </w:rPr>
        <w:t>用</w:t>
      </w:r>
      <w:r w:rsidRPr="000239D0">
        <w:rPr>
          <w:rFonts w:asciiTheme="minorEastAsia" w:eastAsiaTheme="minorEastAsia" w:hAnsiTheme="minorEastAsia" w:hint="eastAsia"/>
          <w:sz w:val="21"/>
        </w:rPr>
        <w:t>以人民币元为单位，四舍五入，保留小数点后两位。</w:t>
      </w:r>
    </w:p>
    <w:p w:rsidR="005336CC" w:rsidRPr="000239D0" w:rsidRDefault="00AD684A"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sz w:val="21"/>
        </w:rPr>
        <w:t>转换份额的计算</w:t>
      </w:r>
    </w:p>
    <w:p w:rsidR="004254E4" w:rsidRPr="000239D0" w:rsidRDefault="004254E4"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计算公式：</w:t>
      </w:r>
    </w:p>
    <w:p w:rsidR="004254E4" w:rsidRPr="000239D0" w:rsidRDefault="004254E4"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A＝［B×C×(1-D)/（1+G）+F］/E</w:t>
      </w:r>
    </w:p>
    <w:p w:rsidR="004254E4" w:rsidRPr="000239D0" w:rsidRDefault="004254E4"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H＝B×C×D</w:t>
      </w:r>
    </w:p>
    <w:p w:rsidR="004254E4" w:rsidRPr="000239D0" w:rsidRDefault="004254E4"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J＝[B×C×(1-D)/(1+G)]×G</w:t>
      </w:r>
    </w:p>
    <w:p w:rsidR="004254E4" w:rsidRPr="000239D0" w:rsidRDefault="004254E4"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其中，A为转入的基金份额；B为转出的基金份额；C为转换申请当日转出基金的基金份额净值；D为转出基金的对应赎回费率；G为对应的申购补差费率；E为转换申请当日转入基金的基金份额净值；F为货币市场基金全部转出时注册登记机构已支付的未付收益（仅限转出基金为易方达货币市场基金、易方达天天理财货币市场基金、易方达财富快线货币市场基金、易方达天天增利货币市场基金、易方达龙宝货币市场基金、易方达增金宝货币市场基金、易方达现金增利货币市场基金、易方达天天发货币市场基金</w:t>
      </w:r>
      <w:r w:rsidR="00546243" w:rsidRPr="000239D0">
        <w:rPr>
          <w:rFonts w:asciiTheme="minorEastAsia" w:eastAsiaTheme="minorEastAsia" w:hAnsiTheme="minorEastAsia" w:hint="eastAsia"/>
          <w:sz w:val="21"/>
        </w:rPr>
        <w:t>、易方达易理财货币市场基金</w:t>
      </w:r>
      <w:r w:rsidRPr="000239D0">
        <w:rPr>
          <w:rFonts w:asciiTheme="minorEastAsia" w:eastAsiaTheme="minorEastAsia" w:hAnsiTheme="minorEastAsia" w:hint="eastAsia"/>
          <w:sz w:val="21"/>
        </w:rPr>
        <w:t>）或者短期理财基金转出时对应的累计未付收益（转出基金为易方达月月利理财债券型证券投资基金和易方达掌柜季季盈理财债券型证券投资基金）；H为转出基金赎回费；J为申购补差费。</w:t>
      </w:r>
    </w:p>
    <w:p w:rsidR="004254E4" w:rsidRPr="000239D0" w:rsidRDefault="004254E4" w:rsidP="000B1E9F">
      <w:pPr>
        <w:tabs>
          <w:tab w:val="left" w:pos="735"/>
        </w:tabs>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704A9D" w:rsidRPr="000239D0" w:rsidRDefault="00704A9D" w:rsidP="000B1E9F">
      <w:pPr>
        <w:snapToGrid w:val="0"/>
        <w:spacing w:line="360" w:lineRule="auto"/>
        <w:ind w:firstLineChars="400" w:firstLine="840"/>
        <w:rPr>
          <w:rFonts w:asciiTheme="minorEastAsia" w:eastAsiaTheme="minorEastAsia" w:hAnsiTheme="minorEastAsia"/>
          <w:sz w:val="21"/>
        </w:rPr>
      </w:pPr>
      <w:r w:rsidRPr="000239D0">
        <w:rPr>
          <w:rFonts w:asciiTheme="minorEastAsia" w:eastAsiaTheme="minorEastAsia" w:hAnsiTheme="minorEastAsia" w:hint="eastAsia"/>
          <w:sz w:val="21"/>
        </w:rPr>
        <w:t>说明：</w:t>
      </w:r>
    </w:p>
    <w:p w:rsidR="00704A9D" w:rsidRPr="000239D0" w:rsidRDefault="001A4EAB"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w:t>
      </w:r>
      <w:r w:rsidR="00704A9D" w:rsidRPr="000239D0">
        <w:rPr>
          <w:rFonts w:asciiTheme="minorEastAsia" w:eastAsiaTheme="minorEastAsia" w:hAnsiTheme="minorEastAsia"/>
          <w:sz w:val="21"/>
        </w:rPr>
        <w:t>1</w:t>
      </w:r>
      <w:r w:rsidRPr="000239D0">
        <w:rPr>
          <w:rFonts w:asciiTheme="minorEastAsia" w:eastAsiaTheme="minorEastAsia" w:hAnsiTheme="minorEastAsia" w:hint="eastAsia"/>
          <w:sz w:val="21"/>
        </w:rPr>
        <w:t>）</w:t>
      </w:r>
      <w:r w:rsidR="00704A9D" w:rsidRPr="000239D0">
        <w:rPr>
          <w:rFonts w:asciiTheme="minorEastAsia" w:eastAsiaTheme="minorEastAsia" w:hAnsiTheme="minorEastAsia" w:hint="eastAsia"/>
          <w:sz w:val="21"/>
        </w:rPr>
        <w:t>基金转换费用由转出基金赎回费用及基金申购补差费用构成。</w:t>
      </w:r>
    </w:p>
    <w:p w:rsidR="00704A9D" w:rsidRPr="000239D0" w:rsidRDefault="001A4EAB"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w:t>
      </w:r>
      <w:r w:rsidR="00704A9D" w:rsidRPr="000239D0">
        <w:rPr>
          <w:rFonts w:asciiTheme="minorEastAsia" w:eastAsiaTheme="minorEastAsia" w:hAnsiTheme="minorEastAsia"/>
          <w:sz w:val="21"/>
        </w:rPr>
        <w:t>2</w:t>
      </w:r>
      <w:r w:rsidRPr="000239D0">
        <w:rPr>
          <w:rFonts w:asciiTheme="minorEastAsia" w:eastAsiaTheme="minorEastAsia" w:hAnsiTheme="minorEastAsia" w:hint="eastAsia"/>
          <w:sz w:val="21"/>
        </w:rPr>
        <w:t>）</w:t>
      </w:r>
      <w:r w:rsidR="00704A9D" w:rsidRPr="000239D0">
        <w:rPr>
          <w:rFonts w:asciiTheme="minorEastAsia" w:eastAsiaTheme="minorEastAsia" w:hAnsiTheme="minorEastAsia" w:hint="eastAsia"/>
          <w:sz w:val="21"/>
        </w:rPr>
        <w:t>转入基金时，从申购费用低的基金向申购费用高的基金转换时，每次收取申购补差费用；从申购费用高的基金向申购费用低的基金转换时</w:t>
      </w:r>
      <w:r w:rsidR="00704A9D" w:rsidRPr="000239D0">
        <w:rPr>
          <w:rFonts w:asciiTheme="minorEastAsia" w:eastAsiaTheme="minorEastAsia" w:hAnsiTheme="minorEastAsia"/>
          <w:sz w:val="21"/>
        </w:rPr>
        <w:t>,</w:t>
      </w:r>
      <w:r w:rsidR="00704A9D" w:rsidRPr="000239D0">
        <w:rPr>
          <w:rFonts w:asciiTheme="minorEastAsia" w:eastAsiaTheme="minorEastAsia" w:hAnsiTheme="minorEastAsia" w:hint="eastAsia"/>
          <w:sz w:val="21"/>
        </w:rPr>
        <w:t>不收取申购补差费用</w:t>
      </w:r>
      <w:r w:rsidR="000B0BEF" w:rsidRPr="000239D0">
        <w:rPr>
          <w:rFonts w:asciiTheme="minorEastAsia" w:eastAsiaTheme="minorEastAsia" w:hAnsiTheme="minorEastAsia" w:hint="eastAsia"/>
          <w:szCs w:val="21"/>
        </w:rPr>
        <w:t>（注：对通过直销中心申购实施差别申购费率的特定投资群体基金份额的申购费，以除通过直销中心申购的特定投资群体之外的其他投资者申购费为比较标准）</w:t>
      </w:r>
      <w:r w:rsidR="00704A9D" w:rsidRPr="000239D0">
        <w:rPr>
          <w:rFonts w:asciiTheme="minorEastAsia" w:eastAsiaTheme="minorEastAsia" w:hAnsiTheme="minorEastAsia" w:hint="eastAsia"/>
          <w:sz w:val="21"/>
        </w:rPr>
        <w:t>。申购补差费用按照转换金额对应的转出基金与转入基金的申购费率差额进行补差，具体收取情况视每次转换时两只基金的申购费率的差异情况而定</w:t>
      </w:r>
      <w:r w:rsidR="00C442DF" w:rsidRPr="000239D0">
        <w:rPr>
          <w:rFonts w:asciiTheme="minorEastAsia" w:eastAsiaTheme="minorEastAsia" w:hAnsiTheme="minorEastAsia" w:hint="eastAsia"/>
          <w:sz w:val="21"/>
        </w:rPr>
        <w:t>并见相关公告</w:t>
      </w:r>
      <w:r w:rsidR="00704A9D" w:rsidRPr="000239D0">
        <w:rPr>
          <w:rFonts w:asciiTheme="minorEastAsia" w:eastAsiaTheme="minorEastAsia" w:hAnsiTheme="minorEastAsia" w:hint="eastAsia"/>
          <w:sz w:val="21"/>
        </w:rPr>
        <w:t>。</w:t>
      </w:r>
    </w:p>
    <w:p w:rsidR="00704A9D" w:rsidRPr="000239D0" w:rsidRDefault="001A4EAB"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w:t>
      </w:r>
      <w:r w:rsidR="00704A9D" w:rsidRPr="000239D0">
        <w:rPr>
          <w:rFonts w:asciiTheme="minorEastAsia" w:eastAsiaTheme="minorEastAsia" w:hAnsiTheme="minorEastAsia" w:hint="eastAsia"/>
          <w:sz w:val="21"/>
        </w:rPr>
        <w:t>3</w:t>
      </w:r>
      <w:r w:rsidRPr="000239D0">
        <w:rPr>
          <w:rFonts w:asciiTheme="minorEastAsia" w:eastAsiaTheme="minorEastAsia" w:hAnsiTheme="minorEastAsia" w:hint="eastAsia"/>
          <w:sz w:val="21"/>
        </w:rPr>
        <w:t>）</w:t>
      </w:r>
      <w:r w:rsidR="00704A9D" w:rsidRPr="000239D0">
        <w:rPr>
          <w:rFonts w:asciiTheme="minorEastAsia" w:eastAsiaTheme="minorEastAsia" w:hAnsiTheme="minorEastAsia" w:hint="eastAsia"/>
          <w:sz w:val="21"/>
        </w:rPr>
        <w:t>转出基金时，如涉及的转出基金有赎回费用，收取该基金的赎回费用。收取的赎回费</w:t>
      </w:r>
      <w:r w:rsidR="005234C5" w:rsidRPr="000239D0">
        <w:rPr>
          <w:rFonts w:asciiTheme="minorEastAsia" w:eastAsiaTheme="minorEastAsia" w:hAnsiTheme="minorEastAsia" w:hint="eastAsia"/>
          <w:sz w:val="21"/>
        </w:rPr>
        <w:t>按照</w:t>
      </w:r>
      <w:r w:rsidR="00F7521A" w:rsidRPr="000239D0">
        <w:rPr>
          <w:rFonts w:asciiTheme="minorEastAsia" w:eastAsiaTheme="minorEastAsia" w:hAnsiTheme="minorEastAsia" w:hint="eastAsia"/>
          <w:sz w:val="21"/>
        </w:rPr>
        <w:t>各基金</w:t>
      </w:r>
      <w:r w:rsidR="00F7521A" w:rsidRPr="000239D0">
        <w:rPr>
          <w:rFonts w:asciiTheme="minorEastAsia" w:eastAsiaTheme="minorEastAsia" w:hAnsiTheme="minorEastAsia"/>
          <w:sz w:val="21"/>
        </w:rPr>
        <w:t>的</w:t>
      </w:r>
      <w:r w:rsidR="005234C5" w:rsidRPr="000239D0">
        <w:rPr>
          <w:rFonts w:asciiTheme="minorEastAsia" w:eastAsiaTheme="minorEastAsia" w:hAnsiTheme="minorEastAsia" w:hint="eastAsia"/>
          <w:sz w:val="21"/>
        </w:rPr>
        <w:t>基金合同、更新的招募说明书及最新的相关公告约定的比例归入基金财产</w:t>
      </w:r>
      <w:r w:rsidR="00704A9D" w:rsidRPr="000239D0">
        <w:rPr>
          <w:rFonts w:asciiTheme="minorEastAsia" w:eastAsiaTheme="minorEastAsia" w:hAnsiTheme="minorEastAsia" w:hint="eastAsia"/>
          <w:sz w:val="21"/>
        </w:rPr>
        <w:t>，其余部分用于支付注册登记费等相关手续费。</w:t>
      </w:r>
    </w:p>
    <w:p w:rsidR="00704A9D" w:rsidRPr="000239D0" w:rsidRDefault="001A4EAB"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w:t>
      </w:r>
      <w:r w:rsidR="00704A9D" w:rsidRPr="000239D0">
        <w:rPr>
          <w:rFonts w:asciiTheme="minorEastAsia" w:eastAsiaTheme="minorEastAsia" w:hAnsiTheme="minorEastAsia" w:hint="eastAsia"/>
          <w:sz w:val="21"/>
        </w:rPr>
        <w:t>4</w:t>
      </w:r>
      <w:r w:rsidRPr="000239D0">
        <w:rPr>
          <w:rFonts w:asciiTheme="minorEastAsia" w:eastAsiaTheme="minorEastAsia" w:hAnsiTheme="minorEastAsia" w:hint="eastAsia"/>
          <w:sz w:val="21"/>
        </w:rPr>
        <w:t>）</w:t>
      </w:r>
      <w:r w:rsidR="00704A9D" w:rsidRPr="000239D0">
        <w:rPr>
          <w:rFonts w:asciiTheme="minorEastAsia" w:eastAsiaTheme="minorEastAsia" w:hAnsiTheme="minorEastAsia" w:hint="eastAsia"/>
          <w:sz w:val="21"/>
        </w:rPr>
        <w:t>投资者可以发起多次基金转换业务，基金转换费用按每笔申请单独计算。</w:t>
      </w:r>
    </w:p>
    <w:p w:rsidR="001825AE" w:rsidRPr="000239D0" w:rsidRDefault="001825AE"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举例说明：假定某投资者在T日转出10,000份易方达</w:t>
      </w:r>
      <w:r w:rsidR="00BE16E9" w:rsidRPr="000239D0">
        <w:rPr>
          <w:rFonts w:asciiTheme="minorEastAsia" w:eastAsiaTheme="minorEastAsia" w:hAnsiTheme="minorEastAsia" w:hint="eastAsia"/>
          <w:sz w:val="21"/>
        </w:rPr>
        <w:t>策略成长</w:t>
      </w:r>
      <w:r w:rsidRPr="000239D0">
        <w:rPr>
          <w:rFonts w:asciiTheme="minorEastAsia" w:eastAsiaTheme="minorEastAsia" w:hAnsiTheme="minorEastAsia" w:hint="eastAsia"/>
          <w:sz w:val="21"/>
        </w:rPr>
        <w:t>基金至</w:t>
      </w:r>
      <w:r w:rsidRPr="000239D0">
        <w:rPr>
          <w:rFonts w:asciiTheme="minorEastAsia" w:eastAsiaTheme="minorEastAsia" w:hAnsiTheme="minorEastAsia"/>
          <w:sz w:val="21"/>
        </w:rPr>
        <w:t>易方达策略成长二号混合型基金</w:t>
      </w:r>
      <w:r w:rsidRPr="000239D0">
        <w:rPr>
          <w:rFonts w:asciiTheme="minorEastAsia" w:eastAsiaTheme="minorEastAsia" w:hAnsiTheme="minorEastAsia" w:hint="eastAsia"/>
          <w:sz w:val="21"/>
        </w:rPr>
        <w:t>份额，转出基金T日的基金份额净值为1.100元，转入</w:t>
      </w:r>
      <w:r w:rsidRPr="000239D0">
        <w:rPr>
          <w:rFonts w:asciiTheme="minorEastAsia" w:eastAsiaTheme="minorEastAsia" w:hAnsiTheme="minorEastAsia"/>
          <w:sz w:val="21"/>
        </w:rPr>
        <w:t>易方达策略成长二号混合型基金</w:t>
      </w:r>
      <w:r w:rsidRPr="000239D0">
        <w:rPr>
          <w:rFonts w:asciiTheme="minorEastAsia" w:eastAsiaTheme="minorEastAsia" w:hAnsiTheme="minorEastAsia" w:hint="eastAsia"/>
          <w:sz w:val="21"/>
        </w:rPr>
        <w:t>T日的基金份额净值为1.020元，假设该转出基金的赎回费率为0.5%，申购补差费率为0.</w:t>
      </w:r>
      <w:r w:rsidR="004B3A62" w:rsidRPr="000239D0">
        <w:rPr>
          <w:rFonts w:asciiTheme="minorEastAsia" w:eastAsiaTheme="minorEastAsia" w:hAnsiTheme="minorEastAsia" w:hint="eastAsia"/>
          <w:sz w:val="21"/>
        </w:rPr>
        <w:t>5</w:t>
      </w:r>
      <w:r w:rsidRPr="000239D0">
        <w:rPr>
          <w:rFonts w:asciiTheme="minorEastAsia" w:eastAsiaTheme="minorEastAsia" w:hAnsiTheme="minorEastAsia" w:hint="eastAsia"/>
          <w:sz w:val="21"/>
        </w:rPr>
        <w:t>%，则可获得转入基金的</w:t>
      </w:r>
      <w:r w:rsidRPr="000239D0">
        <w:rPr>
          <w:rFonts w:asciiTheme="minorEastAsia" w:eastAsiaTheme="minorEastAsia" w:hAnsiTheme="minorEastAsia"/>
          <w:sz w:val="21"/>
        </w:rPr>
        <w:t>易方达策略成长二号混合型基金</w:t>
      </w:r>
      <w:r w:rsidRPr="000239D0">
        <w:rPr>
          <w:rFonts w:asciiTheme="minorEastAsia" w:eastAsiaTheme="minorEastAsia" w:hAnsiTheme="minorEastAsia" w:hint="eastAsia"/>
          <w:sz w:val="21"/>
        </w:rPr>
        <w:t>基金份额计算如下：</w:t>
      </w:r>
    </w:p>
    <w:p w:rsidR="001825AE" w:rsidRPr="000239D0" w:rsidRDefault="001825AE"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转换</w:t>
      </w:r>
      <w:r w:rsidRPr="000239D0">
        <w:rPr>
          <w:rFonts w:asciiTheme="minorEastAsia" w:eastAsiaTheme="minorEastAsia" w:hAnsiTheme="minorEastAsia"/>
          <w:sz w:val="21"/>
        </w:rPr>
        <w:t>金额＝转出基金申请份额×转出基金份额净值=10</w:t>
      </w:r>
      <w:r w:rsidR="00E208FC" w:rsidRPr="000239D0">
        <w:rPr>
          <w:rFonts w:asciiTheme="minorEastAsia" w:eastAsiaTheme="minorEastAsia" w:hAnsiTheme="minorEastAsia" w:hint="eastAsia"/>
          <w:sz w:val="21"/>
        </w:rPr>
        <w:t>,</w:t>
      </w:r>
      <w:r w:rsidRPr="000239D0">
        <w:rPr>
          <w:rFonts w:asciiTheme="minorEastAsia" w:eastAsiaTheme="minorEastAsia" w:hAnsiTheme="minorEastAsia"/>
          <w:sz w:val="21"/>
        </w:rPr>
        <w:t>000×1</w:t>
      </w:r>
      <w:r w:rsidRPr="000239D0">
        <w:rPr>
          <w:rFonts w:asciiTheme="minorEastAsia" w:eastAsiaTheme="minorEastAsia" w:hAnsiTheme="minorEastAsia" w:hint="eastAsia"/>
          <w:sz w:val="21"/>
        </w:rPr>
        <w:t>.100</w:t>
      </w:r>
      <w:r w:rsidRPr="000239D0">
        <w:rPr>
          <w:rFonts w:asciiTheme="minorEastAsia" w:eastAsiaTheme="minorEastAsia" w:hAnsiTheme="minorEastAsia"/>
          <w:sz w:val="21"/>
        </w:rPr>
        <w:t>＝1</w:t>
      </w:r>
      <w:r w:rsidRPr="000239D0">
        <w:rPr>
          <w:rFonts w:asciiTheme="minorEastAsia" w:eastAsiaTheme="minorEastAsia" w:hAnsiTheme="minorEastAsia" w:hint="eastAsia"/>
          <w:sz w:val="21"/>
        </w:rPr>
        <w:t>1</w:t>
      </w:r>
      <w:r w:rsidR="00E208FC" w:rsidRPr="000239D0">
        <w:rPr>
          <w:rFonts w:asciiTheme="minorEastAsia" w:eastAsiaTheme="minorEastAsia" w:hAnsiTheme="minorEastAsia" w:hint="eastAsia"/>
          <w:sz w:val="21"/>
        </w:rPr>
        <w:t>,</w:t>
      </w:r>
      <w:r w:rsidRPr="000239D0">
        <w:rPr>
          <w:rFonts w:asciiTheme="minorEastAsia" w:eastAsiaTheme="minorEastAsia" w:hAnsiTheme="minorEastAsia"/>
          <w:sz w:val="21"/>
        </w:rPr>
        <w:t>000</w:t>
      </w:r>
      <w:r w:rsidRPr="000239D0">
        <w:rPr>
          <w:rFonts w:asciiTheme="minorEastAsia" w:eastAsiaTheme="minorEastAsia" w:hAnsiTheme="minorEastAsia" w:hint="eastAsia"/>
          <w:sz w:val="21"/>
        </w:rPr>
        <w:t>.00</w:t>
      </w:r>
      <w:r w:rsidRPr="000239D0">
        <w:rPr>
          <w:rFonts w:asciiTheme="minorEastAsia" w:eastAsiaTheme="minorEastAsia" w:hAnsiTheme="minorEastAsia"/>
          <w:sz w:val="21"/>
        </w:rPr>
        <w:t>元</w:t>
      </w:r>
    </w:p>
    <w:p w:rsidR="001825AE" w:rsidRPr="000239D0" w:rsidRDefault="001825AE"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转出基金</w:t>
      </w:r>
      <w:r w:rsidRPr="000239D0">
        <w:rPr>
          <w:rFonts w:asciiTheme="minorEastAsia" w:eastAsiaTheme="minorEastAsia" w:hAnsiTheme="minorEastAsia"/>
          <w:sz w:val="21"/>
        </w:rPr>
        <w:t>赎回费＝</w:t>
      </w:r>
      <w:r w:rsidRPr="000239D0">
        <w:rPr>
          <w:rFonts w:asciiTheme="minorEastAsia" w:eastAsiaTheme="minorEastAsia" w:hAnsiTheme="minorEastAsia" w:hint="eastAsia"/>
          <w:sz w:val="21"/>
        </w:rPr>
        <w:t>转换</w:t>
      </w:r>
      <w:r w:rsidRPr="000239D0">
        <w:rPr>
          <w:rFonts w:asciiTheme="minorEastAsia" w:eastAsiaTheme="minorEastAsia" w:hAnsiTheme="minorEastAsia"/>
          <w:sz w:val="21"/>
        </w:rPr>
        <w:t>金额×</w:t>
      </w:r>
      <w:r w:rsidRPr="000239D0">
        <w:rPr>
          <w:rFonts w:asciiTheme="minorEastAsia" w:eastAsiaTheme="minorEastAsia" w:hAnsiTheme="minorEastAsia" w:hint="eastAsia"/>
          <w:sz w:val="21"/>
        </w:rPr>
        <w:t>转出基金</w:t>
      </w:r>
      <w:r w:rsidRPr="000239D0">
        <w:rPr>
          <w:rFonts w:asciiTheme="minorEastAsia" w:eastAsiaTheme="minorEastAsia" w:hAnsiTheme="minorEastAsia"/>
          <w:sz w:val="21"/>
        </w:rPr>
        <w:t>赎回费率</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1</w:t>
      </w:r>
      <w:r w:rsidRPr="000239D0">
        <w:rPr>
          <w:rFonts w:asciiTheme="minorEastAsia" w:eastAsiaTheme="minorEastAsia" w:hAnsiTheme="minorEastAsia" w:hint="eastAsia"/>
          <w:sz w:val="21"/>
        </w:rPr>
        <w:t>1</w:t>
      </w:r>
      <w:r w:rsidR="00E208FC" w:rsidRPr="000239D0">
        <w:rPr>
          <w:rFonts w:asciiTheme="minorEastAsia" w:eastAsiaTheme="minorEastAsia" w:hAnsiTheme="minorEastAsia" w:hint="eastAsia"/>
          <w:sz w:val="21"/>
        </w:rPr>
        <w:t>,</w:t>
      </w:r>
      <w:r w:rsidRPr="000239D0">
        <w:rPr>
          <w:rFonts w:asciiTheme="minorEastAsia" w:eastAsiaTheme="minorEastAsia" w:hAnsiTheme="minorEastAsia"/>
          <w:sz w:val="21"/>
        </w:rPr>
        <w:t>000</w:t>
      </w:r>
      <w:r w:rsidRPr="000239D0">
        <w:rPr>
          <w:rFonts w:asciiTheme="minorEastAsia" w:eastAsiaTheme="minorEastAsia" w:hAnsiTheme="minorEastAsia" w:hint="eastAsia"/>
          <w:sz w:val="21"/>
        </w:rPr>
        <w:t>.00</w:t>
      </w:r>
      <w:r w:rsidRPr="000239D0">
        <w:rPr>
          <w:rFonts w:asciiTheme="minorEastAsia" w:eastAsiaTheme="minorEastAsia" w:hAnsiTheme="minorEastAsia"/>
          <w:sz w:val="21"/>
        </w:rPr>
        <w:t>×</w:t>
      </w:r>
      <w:r w:rsidRPr="000239D0">
        <w:rPr>
          <w:rFonts w:asciiTheme="minorEastAsia" w:eastAsiaTheme="minorEastAsia" w:hAnsiTheme="minorEastAsia" w:hint="eastAsia"/>
          <w:sz w:val="21"/>
        </w:rPr>
        <w:t>0.5%=55.00元</w:t>
      </w:r>
    </w:p>
    <w:p w:rsidR="001825AE" w:rsidRPr="000239D0" w:rsidRDefault="001825AE"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申购</w:t>
      </w:r>
      <w:r w:rsidRPr="000239D0">
        <w:rPr>
          <w:rFonts w:asciiTheme="minorEastAsia" w:eastAsiaTheme="minorEastAsia" w:hAnsiTheme="minorEastAsia"/>
          <w:sz w:val="21"/>
        </w:rPr>
        <w:t>补差费</w:t>
      </w:r>
      <w:r w:rsidRPr="000239D0">
        <w:rPr>
          <w:rFonts w:asciiTheme="minorEastAsia" w:eastAsiaTheme="minorEastAsia" w:hAnsiTheme="minorEastAsia" w:hint="eastAsia"/>
          <w:sz w:val="21"/>
        </w:rPr>
        <w:t>=（转换</w:t>
      </w:r>
      <w:r w:rsidRPr="000239D0">
        <w:rPr>
          <w:rFonts w:asciiTheme="minorEastAsia" w:eastAsiaTheme="minorEastAsia" w:hAnsiTheme="minorEastAsia"/>
          <w:sz w:val="21"/>
        </w:rPr>
        <w:t>金额</w:t>
      </w:r>
      <w:r w:rsidRPr="000239D0">
        <w:rPr>
          <w:rFonts w:asciiTheme="minorEastAsia" w:eastAsiaTheme="minorEastAsia" w:hAnsiTheme="minorEastAsia" w:hint="eastAsia"/>
          <w:sz w:val="21"/>
        </w:rPr>
        <w:t>—转出基金</w:t>
      </w:r>
      <w:r w:rsidRPr="000239D0">
        <w:rPr>
          <w:rFonts w:asciiTheme="minorEastAsia" w:eastAsiaTheme="minorEastAsia" w:hAnsiTheme="minorEastAsia"/>
          <w:sz w:val="21"/>
        </w:rPr>
        <w:t>赎回费</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w:t>
      </w:r>
      <w:r w:rsidRPr="000239D0">
        <w:rPr>
          <w:rFonts w:asciiTheme="minorEastAsia" w:eastAsiaTheme="minorEastAsia" w:hAnsiTheme="minorEastAsia" w:hint="eastAsia"/>
          <w:sz w:val="21"/>
        </w:rPr>
        <w:t>申购</w:t>
      </w:r>
      <w:r w:rsidRPr="000239D0">
        <w:rPr>
          <w:rFonts w:asciiTheme="minorEastAsia" w:eastAsiaTheme="minorEastAsia" w:hAnsiTheme="minorEastAsia"/>
          <w:sz w:val="21"/>
        </w:rPr>
        <w:t>补差费率÷（１＋</w:t>
      </w:r>
      <w:r w:rsidRPr="000239D0">
        <w:rPr>
          <w:rFonts w:asciiTheme="minorEastAsia" w:eastAsiaTheme="minorEastAsia" w:hAnsiTheme="minorEastAsia" w:hint="eastAsia"/>
          <w:sz w:val="21"/>
        </w:rPr>
        <w:t>申购</w:t>
      </w:r>
      <w:r w:rsidRPr="000239D0">
        <w:rPr>
          <w:rFonts w:asciiTheme="minorEastAsia" w:eastAsiaTheme="minorEastAsia" w:hAnsiTheme="minorEastAsia"/>
          <w:sz w:val="21"/>
        </w:rPr>
        <w:t>补差费率）</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1</w:t>
      </w:r>
      <w:r w:rsidRPr="000239D0">
        <w:rPr>
          <w:rFonts w:asciiTheme="minorEastAsia" w:eastAsiaTheme="minorEastAsia" w:hAnsiTheme="minorEastAsia" w:hint="eastAsia"/>
          <w:sz w:val="21"/>
        </w:rPr>
        <w:t>1</w:t>
      </w:r>
      <w:r w:rsidR="00E208FC" w:rsidRPr="000239D0">
        <w:rPr>
          <w:rFonts w:asciiTheme="minorEastAsia" w:eastAsiaTheme="minorEastAsia" w:hAnsiTheme="minorEastAsia" w:hint="eastAsia"/>
          <w:sz w:val="21"/>
        </w:rPr>
        <w:t>,</w:t>
      </w:r>
      <w:r w:rsidRPr="000239D0">
        <w:rPr>
          <w:rFonts w:asciiTheme="minorEastAsia" w:eastAsiaTheme="minorEastAsia" w:hAnsiTheme="minorEastAsia"/>
          <w:sz w:val="21"/>
        </w:rPr>
        <w:t>000</w:t>
      </w:r>
      <w:r w:rsidRPr="000239D0">
        <w:rPr>
          <w:rFonts w:asciiTheme="minorEastAsia" w:eastAsiaTheme="minorEastAsia" w:hAnsiTheme="minorEastAsia" w:hint="eastAsia"/>
          <w:sz w:val="21"/>
        </w:rPr>
        <w:t>.0</w:t>
      </w:r>
      <w:r w:rsidR="00464FD7" w:rsidRPr="000239D0">
        <w:rPr>
          <w:rFonts w:asciiTheme="minorEastAsia" w:eastAsiaTheme="minorEastAsia" w:hAnsiTheme="minorEastAsia" w:hint="eastAsia"/>
          <w:sz w:val="21"/>
        </w:rPr>
        <w:t>0</w:t>
      </w:r>
      <w:r w:rsidRPr="000239D0">
        <w:rPr>
          <w:rFonts w:asciiTheme="minorEastAsia" w:eastAsiaTheme="minorEastAsia" w:hAnsiTheme="minorEastAsia" w:hint="eastAsia"/>
          <w:sz w:val="21"/>
        </w:rPr>
        <w:t>-55.00）</w:t>
      </w:r>
      <w:r w:rsidRPr="000239D0">
        <w:rPr>
          <w:rFonts w:asciiTheme="minorEastAsia" w:eastAsiaTheme="minorEastAsia" w:hAnsiTheme="minorEastAsia"/>
          <w:sz w:val="21"/>
        </w:rPr>
        <w:t>×</w:t>
      </w:r>
      <w:r w:rsidRPr="000239D0">
        <w:rPr>
          <w:rFonts w:asciiTheme="minorEastAsia" w:eastAsiaTheme="minorEastAsia" w:hAnsiTheme="minorEastAsia" w:hint="eastAsia"/>
          <w:sz w:val="21"/>
        </w:rPr>
        <w:t>0.</w:t>
      </w:r>
      <w:r w:rsidR="004B3A62" w:rsidRPr="000239D0">
        <w:rPr>
          <w:rFonts w:asciiTheme="minorEastAsia" w:eastAsiaTheme="minorEastAsia" w:hAnsiTheme="minorEastAsia" w:hint="eastAsia"/>
          <w:sz w:val="21"/>
        </w:rPr>
        <w:t>5</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w:t>
      </w:r>
      <w:r w:rsidRPr="000239D0">
        <w:rPr>
          <w:rFonts w:asciiTheme="minorEastAsia" w:eastAsiaTheme="minorEastAsia" w:hAnsiTheme="minorEastAsia" w:hint="eastAsia"/>
          <w:sz w:val="21"/>
        </w:rPr>
        <w:t>(1+0.</w:t>
      </w:r>
      <w:r w:rsidR="004B3A62" w:rsidRPr="000239D0">
        <w:rPr>
          <w:rFonts w:asciiTheme="minorEastAsia" w:eastAsiaTheme="minorEastAsia" w:hAnsiTheme="minorEastAsia" w:hint="eastAsia"/>
          <w:sz w:val="21"/>
        </w:rPr>
        <w:t>5</w:t>
      </w:r>
      <w:r w:rsidRPr="000239D0">
        <w:rPr>
          <w:rFonts w:asciiTheme="minorEastAsia" w:eastAsiaTheme="minorEastAsia" w:hAnsiTheme="minorEastAsia" w:hint="eastAsia"/>
          <w:sz w:val="21"/>
        </w:rPr>
        <w:t>%)=</w:t>
      </w:r>
      <w:r w:rsidR="004B3A62" w:rsidRPr="000239D0">
        <w:rPr>
          <w:rFonts w:asciiTheme="minorEastAsia" w:eastAsiaTheme="minorEastAsia" w:hAnsiTheme="minorEastAsia" w:hint="eastAsia"/>
          <w:sz w:val="21"/>
        </w:rPr>
        <w:t>54.45</w:t>
      </w:r>
      <w:r w:rsidRPr="000239D0">
        <w:rPr>
          <w:rFonts w:asciiTheme="minorEastAsia" w:eastAsiaTheme="minorEastAsia" w:hAnsiTheme="minorEastAsia" w:hint="eastAsia"/>
          <w:sz w:val="21"/>
        </w:rPr>
        <w:t>元</w:t>
      </w:r>
    </w:p>
    <w:p w:rsidR="001825AE" w:rsidRPr="000239D0" w:rsidRDefault="001825AE"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转换费＝转出基金赎回费+申购补差费=</w:t>
      </w:r>
      <w:r w:rsidRPr="000239D0">
        <w:rPr>
          <w:rFonts w:asciiTheme="minorEastAsia" w:eastAsiaTheme="minorEastAsia" w:hAnsiTheme="minorEastAsia" w:hint="eastAsia"/>
          <w:sz w:val="21"/>
        </w:rPr>
        <w:t>55.00</w:t>
      </w:r>
      <w:r w:rsidRPr="000239D0">
        <w:rPr>
          <w:rFonts w:asciiTheme="minorEastAsia" w:eastAsiaTheme="minorEastAsia" w:hAnsiTheme="minorEastAsia"/>
          <w:sz w:val="21"/>
        </w:rPr>
        <w:t>+</w:t>
      </w:r>
      <w:r w:rsidR="00030DD1" w:rsidRPr="000239D0">
        <w:rPr>
          <w:rFonts w:asciiTheme="minorEastAsia" w:eastAsiaTheme="minorEastAsia" w:hAnsiTheme="minorEastAsia" w:hint="eastAsia"/>
          <w:sz w:val="21"/>
        </w:rPr>
        <w:t>54.45</w:t>
      </w:r>
      <w:r w:rsidRPr="000239D0">
        <w:rPr>
          <w:rFonts w:asciiTheme="minorEastAsia" w:eastAsiaTheme="minorEastAsia" w:hAnsiTheme="minorEastAsia"/>
          <w:sz w:val="21"/>
        </w:rPr>
        <w:t>＝</w:t>
      </w:r>
      <w:r w:rsidR="00030DD1" w:rsidRPr="000239D0">
        <w:rPr>
          <w:rFonts w:asciiTheme="minorEastAsia" w:eastAsiaTheme="minorEastAsia" w:hAnsiTheme="minorEastAsia" w:hint="eastAsia"/>
          <w:sz w:val="21"/>
        </w:rPr>
        <w:t>109.45</w:t>
      </w:r>
      <w:r w:rsidRPr="000239D0">
        <w:rPr>
          <w:rFonts w:asciiTheme="minorEastAsia" w:eastAsiaTheme="minorEastAsia" w:hAnsiTheme="minorEastAsia" w:hint="eastAsia"/>
          <w:sz w:val="21"/>
        </w:rPr>
        <w:t>元</w:t>
      </w:r>
    </w:p>
    <w:p w:rsidR="001825AE" w:rsidRPr="000239D0" w:rsidRDefault="001825AE"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转入金额=转换</w:t>
      </w:r>
      <w:r w:rsidRPr="000239D0">
        <w:rPr>
          <w:rFonts w:asciiTheme="minorEastAsia" w:eastAsiaTheme="minorEastAsia" w:hAnsiTheme="minorEastAsia"/>
          <w:sz w:val="21"/>
        </w:rPr>
        <w:t>金额</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转换费</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1</w:t>
      </w:r>
      <w:r w:rsidRPr="000239D0">
        <w:rPr>
          <w:rFonts w:asciiTheme="minorEastAsia" w:eastAsiaTheme="minorEastAsia" w:hAnsiTheme="minorEastAsia" w:hint="eastAsia"/>
          <w:sz w:val="21"/>
        </w:rPr>
        <w:t>1</w:t>
      </w:r>
      <w:r w:rsidR="00D22BBA" w:rsidRPr="000239D0">
        <w:rPr>
          <w:rFonts w:asciiTheme="minorEastAsia" w:eastAsiaTheme="minorEastAsia" w:hAnsiTheme="minorEastAsia" w:hint="eastAsia"/>
          <w:sz w:val="21"/>
        </w:rPr>
        <w:t>,</w:t>
      </w:r>
      <w:r w:rsidRPr="000239D0">
        <w:rPr>
          <w:rFonts w:asciiTheme="minorEastAsia" w:eastAsiaTheme="minorEastAsia" w:hAnsiTheme="minorEastAsia"/>
          <w:sz w:val="21"/>
        </w:rPr>
        <w:t>000</w:t>
      </w:r>
      <w:r w:rsidRPr="000239D0">
        <w:rPr>
          <w:rFonts w:asciiTheme="minorEastAsia" w:eastAsiaTheme="minorEastAsia" w:hAnsiTheme="minorEastAsia" w:hint="eastAsia"/>
          <w:sz w:val="21"/>
        </w:rPr>
        <w:t>.00</w:t>
      </w:r>
      <w:r w:rsidR="00D22BBA" w:rsidRPr="000239D0">
        <w:rPr>
          <w:rFonts w:asciiTheme="minorEastAsia" w:eastAsiaTheme="minorEastAsia" w:hAnsiTheme="minorEastAsia" w:hint="eastAsia"/>
          <w:sz w:val="21"/>
        </w:rPr>
        <w:t>-</w:t>
      </w:r>
      <w:r w:rsidR="00C34C78" w:rsidRPr="000239D0">
        <w:rPr>
          <w:rFonts w:asciiTheme="minorEastAsia" w:eastAsiaTheme="minorEastAsia" w:hAnsiTheme="minorEastAsia" w:hint="eastAsia"/>
          <w:sz w:val="21"/>
        </w:rPr>
        <w:t>109.45</w:t>
      </w:r>
      <w:r w:rsidRPr="000239D0">
        <w:rPr>
          <w:rFonts w:asciiTheme="minorEastAsia" w:eastAsiaTheme="minorEastAsia" w:hAnsiTheme="minorEastAsia" w:hint="eastAsia"/>
          <w:sz w:val="21"/>
        </w:rPr>
        <w:t>=10</w:t>
      </w:r>
      <w:r w:rsidR="00E208FC"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8</w:t>
      </w:r>
      <w:r w:rsidR="00D22BBA" w:rsidRPr="000239D0">
        <w:rPr>
          <w:rFonts w:asciiTheme="minorEastAsia" w:eastAsiaTheme="minorEastAsia" w:hAnsiTheme="minorEastAsia" w:hint="eastAsia"/>
          <w:sz w:val="21"/>
        </w:rPr>
        <w:t>90</w:t>
      </w:r>
      <w:r w:rsidRPr="000239D0">
        <w:rPr>
          <w:rFonts w:asciiTheme="minorEastAsia" w:eastAsiaTheme="minorEastAsia" w:hAnsiTheme="minorEastAsia" w:hint="eastAsia"/>
          <w:sz w:val="21"/>
        </w:rPr>
        <w:t>.</w:t>
      </w:r>
      <w:r w:rsidR="00D22BBA" w:rsidRPr="000239D0">
        <w:rPr>
          <w:rFonts w:asciiTheme="minorEastAsia" w:eastAsiaTheme="minorEastAsia" w:hAnsiTheme="minorEastAsia" w:hint="eastAsia"/>
          <w:sz w:val="21"/>
        </w:rPr>
        <w:t>55</w:t>
      </w:r>
      <w:r w:rsidRPr="000239D0">
        <w:rPr>
          <w:rFonts w:asciiTheme="minorEastAsia" w:eastAsiaTheme="minorEastAsia" w:hAnsiTheme="minorEastAsia" w:hint="eastAsia"/>
          <w:sz w:val="21"/>
        </w:rPr>
        <w:t>元</w:t>
      </w:r>
    </w:p>
    <w:p w:rsidR="001825AE" w:rsidRPr="000239D0" w:rsidRDefault="001825AE"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转入份额=转入金额</w:t>
      </w:r>
      <w:r w:rsidRPr="000239D0">
        <w:rPr>
          <w:rFonts w:asciiTheme="minorEastAsia" w:eastAsiaTheme="minorEastAsia" w:hAnsiTheme="minorEastAsia"/>
          <w:sz w:val="21"/>
        </w:rPr>
        <w:t>÷</w:t>
      </w:r>
      <w:r w:rsidRPr="000239D0">
        <w:rPr>
          <w:rFonts w:asciiTheme="minorEastAsia" w:eastAsiaTheme="minorEastAsia" w:hAnsiTheme="minorEastAsia" w:hint="eastAsia"/>
          <w:sz w:val="21"/>
        </w:rPr>
        <w:t>转入基金份额净值=10</w:t>
      </w:r>
      <w:r w:rsidR="00E208FC"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8</w:t>
      </w:r>
      <w:r w:rsidR="00004129" w:rsidRPr="000239D0">
        <w:rPr>
          <w:rFonts w:asciiTheme="minorEastAsia" w:eastAsiaTheme="minorEastAsia" w:hAnsiTheme="minorEastAsia" w:hint="eastAsia"/>
          <w:sz w:val="21"/>
        </w:rPr>
        <w:t>90</w:t>
      </w:r>
      <w:r w:rsidRPr="000239D0">
        <w:rPr>
          <w:rFonts w:asciiTheme="minorEastAsia" w:eastAsiaTheme="minorEastAsia" w:hAnsiTheme="minorEastAsia" w:hint="eastAsia"/>
          <w:sz w:val="21"/>
        </w:rPr>
        <w:t>.</w:t>
      </w:r>
      <w:r w:rsidR="00004129" w:rsidRPr="000239D0">
        <w:rPr>
          <w:rFonts w:asciiTheme="minorEastAsia" w:eastAsiaTheme="minorEastAsia" w:hAnsiTheme="minorEastAsia" w:hint="eastAsia"/>
          <w:sz w:val="21"/>
        </w:rPr>
        <w:t>55</w:t>
      </w:r>
      <w:r w:rsidRPr="000239D0">
        <w:rPr>
          <w:rFonts w:asciiTheme="minorEastAsia" w:eastAsiaTheme="minorEastAsia" w:hAnsiTheme="minorEastAsia"/>
          <w:sz w:val="21"/>
        </w:rPr>
        <w:t>÷</w:t>
      </w:r>
      <w:r w:rsidRPr="000239D0">
        <w:rPr>
          <w:rFonts w:asciiTheme="minorEastAsia" w:eastAsiaTheme="minorEastAsia" w:hAnsiTheme="minorEastAsia" w:hint="eastAsia"/>
          <w:sz w:val="21"/>
        </w:rPr>
        <w:t>1.020=10,6</w:t>
      </w:r>
      <w:r w:rsidR="00004129" w:rsidRPr="000239D0">
        <w:rPr>
          <w:rFonts w:asciiTheme="minorEastAsia" w:eastAsiaTheme="minorEastAsia" w:hAnsiTheme="minorEastAsia" w:hint="eastAsia"/>
          <w:sz w:val="21"/>
        </w:rPr>
        <w:t>77</w:t>
      </w:r>
      <w:r w:rsidRPr="000239D0">
        <w:rPr>
          <w:rFonts w:asciiTheme="minorEastAsia" w:eastAsiaTheme="minorEastAsia" w:hAnsiTheme="minorEastAsia" w:hint="eastAsia"/>
          <w:sz w:val="21"/>
        </w:rPr>
        <w:t>.</w:t>
      </w:r>
      <w:r w:rsidR="00004129" w:rsidRPr="000239D0">
        <w:rPr>
          <w:rFonts w:asciiTheme="minorEastAsia" w:eastAsiaTheme="minorEastAsia" w:hAnsiTheme="minorEastAsia" w:hint="eastAsia"/>
          <w:sz w:val="21"/>
        </w:rPr>
        <w:t>01</w:t>
      </w:r>
      <w:r w:rsidRPr="000239D0">
        <w:rPr>
          <w:rFonts w:asciiTheme="minorEastAsia" w:eastAsiaTheme="minorEastAsia" w:hAnsiTheme="minorEastAsia" w:hint="eastAsia"/>
          <w:sz w:val="21"/>
        </w:rPr>
        <w:t>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185"/>
        <w:gridCol w:w="1155"/>
        <w:gridCol w:w="1440"/>
        <w:gridCol w:w="1185"/>
        <w:gridCol w:w="1335"/>
      </w:tblGrid>
      <w:tr w:rsidR="00676358" w:rsidRPr="000239D0" w:rsidTr="00222BCE">
        <w:trPr>
          <w:trHeight w:val="413"/>
        </w:trPr>
        <w:tc>
          <w:tcPr>
            <w:tcW w:w="1080" w:type="dxa"/>
            <w:vMerge w:val="restart"/>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转出</w:t>
            </w:r>
            <w:r w:rsidRPr="000239D0">
              <w:rPr>
                <w:rFonts w:asciiTheme="minorEastAsia" w:eastAsiaTheme="minorEastAsia" w:hAnsiTheme="minorEastAsia"/>
                <w:sz w:val="21"/>
              </w:rPr>
              <w:t>份额</w:t>
            </w:r>
          </w:p>
        </w:tc>
        <w:tc>
          <w:tcPr>
            <w:tcW w:w="900" w:type="dxa"/>
            <w:vMerge w:val="restart"/>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转出</w:t>
            </w:r>
            <w:r w:rsidRPr="000239D0">
              <w:rPr>
                <w:rFonts w:asciiTheme="minorEastAsia" w:eastAsiaTheme="minorEastAsia" w:hAnsiTheme="minorEastAsia"/>
                <w:sz w:val="21"/>
              </w:rPr>
              <w:t>基金</w:t>
            </w:r>
            <w:r w:rsidRPr="000239D0">
              <w:rPr>
                <w:rFonts w:asciiTheme="minorEastAsia" w:eastAsiaTheme="minorEastAsia" w:hAnsiTheme="minorEastAsia" w:hint="eastAsia"/>
                <w:sz w:val="21"/>
              </w:rPr>
              <w:t>份额</w:t>
            </w:r>
            <w:r w:rsidRPr="000239D0">
              <w:rPr>
                <w:rFonts w:asciiTheme="minorEastAsia" w:eastAsiaTheme="minorEastAsia" w:hAnsiTheme="minorEastAsia"/>
                <w:sz w:val="21"/>
              </w:rPr>
              <w:t>净值</w:t>
            </w:r>
          </w:p>
        </w:tc>
        <w:tc>
          <w:tcPr>
            <w:tcW w:w="1440" w:type="dxa"/>
            <w:vMerge w:val="restart"/>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转换金额</w:t>
            </w:r>
          </w:p>
        </w:tc>
        <w:tc>
          <w:tcPr>
            <w:tcW w:w="2340" w:type="dxa"/>
            <w:gridSpan w:val="2"/>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转换费</w:t>
            </w:r>
          </w:p>
        </w:tc>
        <w:tc>
          <w:tcPr>
            <w:tcW w:w="1440" w:type="dxa"/>
            <w:vMerge w:val="restart"/>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转入金额</w:t>
            </w:r>
          </w:p>
        </w:tc>
        <w:tc>
          <w:tcPr>
            <w:tcW w:w="1185" w:type="dxa"/>
            <w:vMerge w:val="restart"/>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转入</w:t>
            </w:r>
            <w:r w:rsidRPr="000239D0">
              <w:rPr>
                <w:rFonts w:asciiTheme="minorEastAsia" w:eastAsiaTheme="minorEastAsia" w:hAnsiTheme="minorEastAsia"/>
                <w:sz w:val="21"/>
              </w:rPr>
              <w:t>基金</w:t>
            </w:r>
            <w:r w:rsidRPr="000239D0">
              <w:rPr>
                <w:rFonts w:asciiTheme="minorEastAsia" w:eastAsiaTheme="minorEastAsia" w:hAnsiTheme="minorEastAsia" w:hint="eastAsia"/>
                <w:sz w:val="21"/>
              </w:rPr>
              <w:t>份额</w:t>
            </w:r>
            <w:r w:rsidRPr="000239D0">
              <w:rPr>
                <w:rFonts w:asciiTheme="minorEastAsia" w:eastAsiaTheme="minorEastAsia" w:hAnsiTheme="minorEastAsia"/>
                <w:sz w:val="21"/>
              </w:rPr>
              <w:t>净值</w:t>
            </w:r>
          </w:p>
        </w:tc>
        <w:tc>
          <w:tcPr>
            <w:tcW w:w="1335" w:type="dxa"/>
            <w:vMerge w:val="restart"/>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转入份额</w:t>
            </w:r>
          </w:p>
        </w:tc>
      </w:tr>
      <w:tr w:rsidR="00676358" w:rsidRPr="000239D0" w:rsidTr="001D79B8">
        <w:trPr>
          <w:trHeight w:val="412"/>
        </w:trPr>
        <w:tc>
          <w:tcPr>
            <w:tcW w:w="1080" w:type="dxa"/>
            <w:vMerge/>
          </w:tcPr>
          <w:p w:rsidR="001825AE" w:rsidRPr="000239D0" w:rsidRDefault="001825AE" w:rsidP="000B1E9F">
            <w:pPr>
              <w:snapToGrid w:val="0"/>
              <w:spacing w:line="360" w:lineRule="auto"/>
              <w:ind w:firstLine="420"/>
              <w:rPr>
                <w:rFonts w:asciiTheme="minorEastAsia" w:eastAsiaTheme="minorEastAsia" w:hAnsiTheme="minorEastAsia"/>
                <w:sz w:val="21"/>
              </w:rPr>
            </w:pPr>
          </w:p>
        </w:tc>
        <w:tc>
          <w:tcPr>
            <w:tcW w:w="900" w:type="dxa"/>
            <w:vMerge/>
          </w:tcPr>
          <w:p w:rsidR="001825AE" w:rsidRPr="000239D0" w:rsidRDefault="001825AE" w:rsidP="000B1E9F">
            <w:pPr>
              <w:snapToGrid w:val="0"/>
              <w:spacing w:line="360" w:lineRule="auto"/>
              <w:ind w:firstLine="420"/>
              <w:rPr>
                <w:rFonts w:asciiTheme="minorEastAsia" w:eastAsiaTheme="minorEastAsia" w:hAnsiTheme="minorEastAsia"/>
                <w:sz w:val="21"/>
              </w:rPr>
            </w:pPr>
          </w:p>
        </w:tc>
        <w:tc>
          <w:tcPr>
            <w:tcW w:w="1440" w:type="dxa"/>
            <w:vMerge/>
          </w:tcPr>
          <w:p w:rsidR="001825AE" w:rsidRPr="000239D0" w:rsidRDefault="001825AE" w:rsidP="000B1E9F">
            <w:pPr>
              <w:snapToGrid w:val="0"/>
              <w:spacing w:line="360" w:lineRule="auto"/>
              <w:ind w:firstLine="420"/>
              <w:rPr>
                <w:rFonts w:asciiTheme="minorEastAsia" w:eastAsiaTheme="minorEastAsia" w:hAnsiTheme="minorEastAsia"/>
                <w:sz w:val="21"/>
              </w:rPr>
            </w:pPr>
          </w:p>
        </w:tc>
        <w:tc>
          <w:tcPr>
            <w:tcW w:w="1185" w:type="dxa"/>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转出基金</w:t>
            </w:r>
            <w:r w:rsidRPr="000239D0">
              <w:rPr>
                <w:rFonts w:asciiTheme="minorEastAsia" w:eastAsiaTheme="minorEastAsia" w:hAnsiTheme="minorEastAsia"/>
                <w:sz w:val="21"/>
              </w:rPr>
              <w:t>赎回费</w:t>
            </w:r>
          </w:p>
        </w:tc>
        <w:tc>
          <w:tcPr>
            <w:tcW w:w="1155" w:type="dxa"/>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申购</w:t>
            </w:r>
            <w:r w:rsidRPr="000239D0">
              <w:rPr>
                <w:rFonts w:asciiTheme="minorEastAsia" w:eastAsiaTheme="minorEastAsia" w:hAnsiTheme="minorEastAsia"/>
                <w:sz w:val="21"/>
              </w:rPr>
              <w:t>补差费</w:t>
            </w:r>
          </w:p>
        </w:tc>
        <w:tc>
          <w:tcPr>
            <w:tcW w:w="1440" w:type="dxa"/>
            <w:vMerge/>
          </w:tcPr>
          <w:p w:rsidR="001825AE" w:rsidRPr="000239D0" w:rsidRDefault="001825AE" w:rsidP="000B1E9F">
            <w:pPr>
              <w:snapToGrid w:val="0"/>
              <w:spacing w:line="360" w:lineRule="auto"/>
              <w:ind w:firstLine="420"/>
              <w:rPr>
                <w:rFonts w:asciiTheme="minorEastAsia" w:eastAsiaTheme="minorEastAsia" w:hAnsiTheme="minorEastAsia"/>
                <w:sz w:val="21"/>
              </w:rPr>
            </w:pPr>
          </w:p>
        </w:tc>
        <w:tc>
          <w:tcPr>
            <w:tcW w:w="1185" w:type="dxa"/>
            <w:vMerge/>
          </w:tcPr>
          <w:p w:rsidR="001825AE" w:rsidRPr="000239D0" w:rsidRDefault="001825AE" w:rsidP="000B1E9F">
            <w:pPr>
              <w:snapToGrid w:val="0"/>
              <w:spacing w:line="360" w:lineRule="auto"/>
              <w:ind w:firstLine="420"/>
              <w:rPr>
                <w:rFonts w:asciiTheme="minorEastAsia" w:eastAsiaTheme="minorEastAsia" w:hAnsiTheme="minorEastAsia"/>
                <w:sz w:val="21"/>
              </w:rPr>
            </w:pPr>
          </w:p>
        </w:tc>
        <w:tc>
          <w:tcPr>
            <w:tcW w:w="1335" w:type="dxa"/>
            <w:vMerge/>
          </w:tcPr>
          <w:p w:rsidR="001825AE" w:rsidRPr="000239D0" w:rsidRDefault="001825AE" w:rsidP="000B1E9F">
            <w:pPr>
              <w:snapToGrid w:val="0"/>
              <w:spacing w:line="360" w:lineRule="auto"/>
              <w:ind w:firstLine="420"/>
              <w:rPr>
                <w:rFonts w:asciiTheme="minorEastAsia" w:eastAsiaTheme="minorEastAsia" w:hAnsiTheme="minorEastAsia"/>
                <w:sz w:val="21"/>
              </w:rPr>
            </w:pPr>
          </w:p>
        </w:tc>
      </w:tr>
      <w:tr w:rsidR="00676358" w:rsidRPr="000239D0" w:rsidTr="001D79B8">
        <w:tc>
          <w:tcPr>
            <w:tcW w:w="1080" w:type="dxa"/>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10,000</w:t>
            </w:r>
            <w:r w:rsidRPr="000239D0">
              <w:rPr>
                <w:rFonts w:asciiTheme="minorEastAsia" w:eastAsiaTheme="minorEastAsia" w:hAnsiTheme="minorEastAsia" w:hint="eastAsia"/>
                <w:sz w:val="21"/>
              </w:rPr>
              <w:t>份</w:t>
            </w:r>
          </w:p>
        </w:tc>
        <w:tc>
          <w:tcPr>
            <w:tcW w:w="900" w:type="dxa"/>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sz w:val="21"/>
              </w:rPr>
              <w:t>1.</w:t>
            </w:r>
            <w:r w:rsidRPr="000239D0">
              <w:rPr>
                <w:rFonts w:asciiTheme="minorEastAsia" w:eastAsiaTheme="minorEastAsia" w:hAnsiTheme="minorEastAsia" w:hint="eastAsia"/>
                <w:sz w:val="21"/>
              </w:rPr>
              <w:t>1</w:t>
            </w:r>
            <w:r w:rsidRPr="000239D0">
              <w:rPr>
                <w:rFonts w:asciiTheme="minorEastAsia" w:eastAsiaTheme="minorEastAsia" w:hAnsiTheme="minorEastAsia"/>
                <w:sz w:val="21"/>
              </w:rPr>
              <w:t>0</w:t>
            </w:r>
            <w:r w:rsidRPr="000239D0">
              <w:rPr>
                <w:rFonts w:asciiTheme="minorEastAsia" w:eastAsiaTheme="minorEastAsia" w:hAnsiTheme="minorEastAsia" w:hint="eastAsia"/>
                <w:sz w:val="21"/>
              </w:rPr>
              <w:t>0</w:t>
            </w:r>
            <w:r w:rsidRPr="000239D0">
              <w:rPr>
                <w:rFonts w:asciiTheme="minorEastAsia" w:eastAsiaTheme="minorEastAsia" w:hAnsiTheme="minorEastAsia"/>
                <w:sz w:val="21"/>
              </w:rPr>
              <w:t>元</w:t>
            </w:r>
          </w:p>
        </w:tc>
        <w:tc>
          <w:tcPr>
            <w:tcW w:w="1440" w:type="dxa"/>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11,000.00元</w:t>
            </w:r>
          </w:p>
        </w:tc>
        <w:tc>
          <w:tcPr>
            <w:tcW w:w="1185" w:type="dxa"/>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55.00元</w:t>
            </w:r>
          </w:p>
        </w:tc>
        <w:tc>
          <w:tcPr>
            <w:tcW w:w="1155" w:type="dxa"/>
          </w:tcPr>
          <w:p w:rsidR="001825AE" w:rsidRPr="000239D0" w:rsidRDefault="0015372D"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54.45</w:t>
            </w:r>
            <w:r w:rsidR="001825AE" w:rsidRPr="000239D0">
              <w:rPr>
                <w:rFonts w:asciiTheme="minorEastAsia" w:eastAsiaTheme="minorEastAsia" w:hAnsiTheme="minorEastAsia" w:hint="eastAsia"/>
                <w:sz w:val="21"/>
              </w:rPr>
              <w:t>元</w:t>
            </w:r>
          </w:p>
        </w:tc>
        <w:tc>
          <w:tcPr>
            <w:tcW w:w="1440" w:type="dxa"/>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10,8</w:t>
            </w:r>
            <w:r w:rsidR="0015372D" w:rsidRPr="000239D0">
              <w:rPr>
                <w:rFonts w:asciiTheme="minorEastAsia" w:eastAsiaTheme="minorEastAsia" w:hAnsiTheme="minorEastAsia" w:hint="eastAsia"/>
                <w:sz w:val="21"/>
              </w:rPr>
              <w:t>90</w:t>
            </w:r>
            <w:r w:rsidRPr="000239D0">
              <w:rPr>
                <w:rFonts w:asciiTheme="minorEastAsia" w:eastAsiaTheme="minorEastAsia" w:hAnsiTheme="minorEastAsia" w:hint="eastAsia"/>
                <w:sz w:val="21"/>
              </w:rPr>
              <w:t>.</w:t>
            </w:r>
            <w:r w:rsidR="0015372D" w:rsidRPr="000239D0">
              <w:rPr>
                <w:rFonts w:asciiTheme="minorEastAsia" w:eastAsiaTheme="minorEastAsia" w:hAnsiTheme="minorEastAsia" w:hint="eastAsia"/>
                <w:sz w:val="21"/>
              </w:rPr>
              <w:t>55</w:t>
            </w:r>
            <w:r w:rsidRPr="000239D0">
              <w:rPr>
                <w:rFonts w:asciiTheme="minorEastAsia" w:eastAsiaTheme="minorEastAsia" w:hAnsiTheme="minorEastAsia" w:hint="eastAsia"/>
                <w:sz w:val="21"/>
              </w:rPr>
              <w:t>元</w:t>
            </w:r>
          </w:p>
        </w:tc>
        <w:tc>
          <w:tcPr>
            <w:tcW w:w="1185" w:type="dxa"/>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1.020元</w:t>
            </w:r>
          </w:p>
        </w:tc>
        <w:tc>
          <w:tcPr>
            <w:tcW w:w="1335" w:type="dxa"/>
          </w:tcPr>
          <w:p w:rsidR="001825AE" w:rsidRPr="000239D0" w:rsidRDefault="001825AE" w:rsidP="000B1E9F">
            <w:pPr>
              <w:snapToGrid w:val="0"/>
              <w:spacing w:line="360" w:lineRule="auto"/>
              <w:ind w:leftChars="-45" w:left="-108" w:rightChars="-57" w:right="-137" w:firstLineChars="0" w:firstLine="0"/>
              <w:jc w:val="center"/>
              <w:rPr>
                <w:rFonts w:asciiTheme="minorEastAsia" w:eastAsiaTheme="minorEastAsia" w:hAnsiTheme="minorEastAsia"/>
                <w:sz w:val="21"/>
              </w:rPr>
            </w:pPr>
            <w:r w:rsidRPr="000239D0">
              <w:rPr>
                <w:rFonts w:asciiTheme="minorEastAsia" w:eastAsiaTheme="minorEastAsia" w:hAnsiTheme="minorEastAsia" w:hint="eastAsia"/>
                <w:sz w:val="21"/>
              </w:rPr>
              <w:t>10,6</w:t>
            </w:r>
            <w:r w:rsidR="0015372D" w:rsidRPr="000239D0">
              <w:rPr>
                <w:rFonts w:asciiTheme="minorEastAsia" w:eastAsiaTheme="minorEastAsia" w:hAnsiTheme="minorEastAsia" w:hint="eastAsia"/>
                <w:sz w:val="21"/>
              </w:rPr>
              <w:t>77</w:t>
            </w:r>
            <w:r w:rsidRPr="000239D0">
              <w:rPr>
                <w:rFonts w:asciiTheme="minorEastAsia" w:eastAsiaTheme="minorEastAsia" w:hAnsiTheme="minorEastAsia" w:hint="eastAsia"/>
                <w:sz w:val="21"/>
              </w:rPr>
              <w:t>.</w:t>
            </w:r>
            <w:r w:rsidR="0015372D" w:rsidRPr="000239D0">
              <w:rPr>
                <w:rFonts w:asciiTheme="minorEastAsia" w:eastAsiaTheme="minorEastAsia" w:hAnsiTheme="minorEastAsia" w:hint="eastAsia"/>
                <w:sz w:val="21"/>
              </w:rPr>
              <w:t>01</w:t>
            </w:r>
            <w:r w:rsidRPr="000239D0">
              <w:rPr>
                <w:rFonts w:asciiTheme="minorEastAsia" w:eastAsiaTheme="minorEastAsia" w:hAnsiTheme="minorEastAsia" w:hint="eastAsia"/>
                <w:sz w:val="21"/>
              </w:rPr>
              <w:t>份</w:t>
            </w:r>
          </w:p>
        </w:tc>
      </w:tr>
    </w:tbl>
    <w:p w:rsidR="00F423C6" w:rsidRPr="000239D0" w:rsidRDefault="00F423C6" w:rsidP="00F423C6">
      <w:pPr>
        <w:ind w:firstLine="420"/>
        <w:rPr>
          <w:rFonts w:asciiTheme="minorEastAsia" w:eastAsiaTheme="minorEastAsia" w:hAnsiTheme="minorEastAsia"/>
          <w:sz w:val="21"/>
        </w:rPr>
      </w:pPr>
      <w:r w:rsidRPr="000239D0">
        <w:rPr>
          <w:rFonts w:asciiTheme="minorEastAsia" w:eastAsiaTheme="minorEastAsia" w:hAnsiTheme="minorEastAsia" w:hint="eastAsia"/>
          <w:sz w:val="21"/>
        </w:rPr>
        <w:t>注：本基金转出至易方达平稳增长混合、易方达上证50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1年定期开放债券、易方达高等级信用债债券、易方达裕丰回报债券、易方达丰华债券、易方达投资级信用债债券、易方达恒久1年定期债券、易方达黄金ETF联接、易方达新兴成长混合、易方达裕惠定开混合发起式、易方达创新驱动混合、</w:t>
      </w:r>
      <w:r w:rsidRPr="000239D0">
        <w:rPr>
          <w:rFonts w:asciiTheme="minorEastAsia" w:eastAsiaTheme="minorEastAsia" w:hAnsiTheme="minorEastAsia" w:hint="eastAsia"/>
          <w:sz w:val="21"/>
        </w:rPr>
        <w:lastRenderedPageBreak/>
        <w:t>易方达现金增利货币、易方达财富快线货币、易方达天天增利货币、易方达龙宝货币、易方达天天发货币、易方达掌柜季季盈理财债券、易方达沪深300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300医药ETF联接、易方达新丝路混合、易方达国企改革混合、易方达瑞景混合、易方达瑞享混合、易方达瑞信混合、易方达瑞选混合、易方达国防军工混合、易方达中债3-5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6个月定期开放债券、易方达丰惠混合、易方达供给改革混合、易方达丰和债券、易方达裕鑫债券、易方达富惠纯债债券、易方达科瑞混合、易方达中债7-10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MSCI中国A股国际通ETF联接发起式、易方达中证500ETF联接发起式、易方达恒利3个月定开债券发起式、易方达中债1-3年国开行债券指数、易方达中债3-5年国开行债券指数、易方达中债1-3年政金债指数、易方达中债3-5年政金债指数、易方达上证50ETF联接发起式、易方达恒兴3个月定开债券发起式、易方达ESG责任投资股票发起式、易方达中证800ETF联接发起式、易方达恒盛3个月定开混合发起式、易方达价值精选混合、易方达价值成长混合、易方达中小盘混合、易方达科汇灵活配置混合、易方达科翔混合、易方达行业领先混合、易方达深证100ETF联接、易方达沪深300ETF发起式联接、易方达上证中盘ETF联接、易方达消费行业股票、易方达医疗保健行业混合、易方达资源行业混合、易方达创业板ETF联接、易方达安心回报债券、易方达科讯混合、易方达沪深300量化增强、易方达双债增强债券、易方达纯债债券、易方达月月利理财债券、易方达安源中短债债券、易方达策略成长二号混合、易方达易理财货币市场基金、易方达中证国企一带一路ETF联接、易方达增强回报债券时，转入份额的计算结果保留到小数点后两位，小数点后两位以后的部分四舍五入，由此误差产生的损失由基金财产承担，产生的收益归基金财产所有。</w:t>
      </w:r>
    </w:p>
    <w:p w:rsidR="005336CC" w:rsidRPr="000239D0" w:rsidRDefault="00AD684A"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lastRenderedPageBreak/>
        <w:t>4、</w:t>
      </w:r>
      <w:r w:rsidR="005336CC" w:rsidRPr="000239D0">
        <w:rPr>
          <w:rFonts w:asciiTheme="minorEastAsia" w:eastAsiaTheme="minorEastAsia" w:hAnsiTheme="minorEastAsia" w:hint="eastAsia"/>
          <w:sz w:val="21"/>
          <w:szCs w:val="21"/>
        </w:rPr>
        <w:t>T日的基金份额净值在当天收市后计算，并在T+1日内公告。遇特殊情况，可以适当延迟计算或公告。其计算公式为：</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基金份额净值=计算日基金资产净值÷计算日基金总份额</w:t>
      </w:r>
    </w:p>
    <w:p w:rsidR="005336CC" w:rsidRPr="000239D0" w:rsidRDefault="00AD684A"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rPr>
        <w:tab/>
        <w:t>5、</w:t>
      </w:r>
      <w:r w:rsidR="005336CC" w:rsidRPr="000239D0">
        <w:rPr>
          <w:rFonts w:asciiTheme="minorEastAsia" w:eastAsiaTheme="minorEastAsia" w:hAnsiTheme="minorEastAsia" w:hint="eastAsia"/>
          <w:sz w:val="21"/>
        </w:rPr>
        <w:t>本基金的申购费由申购人承担，不计入基金财产</w:t>
      </w:r>
      <w:r w:rsidR="006D77F9" w:rsidRPr="000239D0">
        <w:rPr>
          <w:rFonts w:asciiTheme="minorEastAsia" w:eastAsiaTheme="minorEastAsia" w:hAnsiTheme="minorEastAsia" w:hint="eastAsia"/>
          <w:sz w:val="21"/>
        </w:rPr>
        <w:t>。</w:t>
      </w:r>
      <w:r w:rsidR="005336CC" w:rsidRPr="000239D0">
        <w:rPr>
          <w:rFonts w:asciiTheme="minorEastAsia" w:eastAsiaTheme="minorEastAsia" w:hAnsiTheme="minorEastAsia" w:hint="eastAsia"/>
          <w:sz w:val="21"/>
        </w:rPr>
        <w:t>本基金的赎回费由赎回人承担</w:t>
      </w:r>
      <w:r w:rsidR="006D77F9" w:rsidRPr="000239D0">
        <w:rPr>
          <w:rFonts w:asciiTheme="minorEastAsia" w:eastAsiaTheme="minorEastAsia" w:hAnsiTheme="minorEastAsia" w:hint="eastAsia"/>
          <w:sz w:val="21"/>
        </w:rPr>
        <w:t>。</w:t>
      </w:r>
      <w:r w:rsidR="000C7262" w:rsidRPr="000239D0">
        <w:rPr>
          <w:rFonts w:asciiTheme="minorEastAsia" w:eastAsiaTheme="minorEastAsia" w:hAnsiTheme="minorEastAsia" w:hint="eastAsia"/>
          <w:sz w:val="21"/>
        </w:rPr>
        <w:t>基金管理人对持续持有期少于7日的投资者收取的赎回费全额计入基金财产</w:t>
      </w:r>
      <w:r w:rsidR="006D77F9" w:rsidRPr="000239D0">
        <w:rPr>
          <w:rFonts w:asciiTheme="minorEastAsia" w:eastAsiaTheme="minorEastAsia" w:hAnsiTheme="minorEastAsia" w:hint="eastAsia"/>
          <w:sz w:val="21"/>
        </w:rPr>
        <w:t>；</w:t>
      </w:r>
      <w:r w:rsidR="00B8448D" w:rsidRPr="000239D0">
        <w:rPr>
          <w:rFonts w:asciiTheme="minorEastAsia" w:eastAsiaTheme="minorEastAsia" w:hAnsiTheme="minorEastAsia" w:hint="eastAsia"/>
          <w:sz w:val="21"/>
        </w:rPr>
        <w:t>基金</w:t>
      </w:r>
      <w:r w:rsidR="00B8448D" w:rsidRPr="000239D0">
        <w:rPr>
          <w:rFonts w:asciiTheme="minorEastAsia" w:eastAsiaTheme="minorEastAsia" w:hAnsiTheme="minorEastAsia"/>
          <w:sz w:val="21"/>
        </w:rPr>
        <w:t>管理人</w:t>
      </w:r>
      <w:r w:rsidR="00B8448D" w:rsidRPr="000239D0">
        <w:rPr>
          <w:rFonts w:asciiTheme="minorEastAsia" w:eastAsiaTheme="minorEastAsia" w:hAnsiTheme="minorEastAsia" w:hint="eastAsia"/>
          <w:sz w:val="21"/>
        </w:rPr>
        <w:t>对持续持有期不少于7日的投资者所收取</w:t>
      </w:r>
      <w:r w:rsidR="005336CC" w:rsidRPr="000239D0">
        <w:rPr>
          <w:rFonts w:asciiTheme="minorEastAsia" w:eastAsiaTheme="minorEastAsia" w:hAnsiTheme="minorEastAsia" w:hint="eastAsia"/>
          <w:sz w:val="21"/>
        </w:rPr>
        <w:t>赎回费的25%归入基金财产，余额为注册登记费和其他手续费。本基金的</w:t>
      </w:r>
      <w:r w:rsidR="00582406" w:rsidRPr="000239D0">
        <w:rPr>
          <w:rFonts w:asciiTheme="minorEastAsia" w:eastAsiaTheme="minorEastAsia" w:hAnsiTheme="minorEastAsia" w:hint="eastAsia"/>
          <w:sz w:val="21"/>
        </w:rPr>
        <w:t>转换费用由投资者承担，</w:t>
      </w:r>
      <w:r w:rsidR="004E3F58" w:rsidRPr="000239D0">
        <w:rPr>
          <w:rFonts w:asciiTheme="minorEastAsia" w:eastAsiaTheme="minorEastAsia" w:hAnsiTheme="minorEastAsia" w:hint="eastAsia"/>
          <w:sz w:val="21"/>
          <w:szCs w:val="21"/>
        </w:rPr>
        <w:t>基金转换费用由转出基金赎回费用和</w:t>
      </w:r>
      <w:r w:rsidR="007B17DD" w:rsidRPr="000239D0">
        <w:rPr>
          <w:rFonts w:asciiTheme="minorEastAsia" w:eastAsiaTheme="minorEastAsia" w:hAnsiTheme="minorEastAsia" w:hint="eastAsia"/>
          <w:sz w:val="21"/>
          <w:szCs w:val="21"/>
        </w:rPr>
        <w:t>基金申购补差费用构成，其中</w:t>
      </w:r>
      <w:r w:rsidR="003E15EA" w:rsidRPr="000239D0">
        <w:rPr>
          <w:rFonts w:asciiTheme="minorEastAsia" w:eastAsiaTheme="minorEastAsia" w:hAnsiTheme="minorEastAsia" w:hint="eastAsia"/>
          <w:sz w:val="21"/>
          <w:szCs w:val="21"/>
        </w:rPr>
        <w:t>转出基金</w:t>
      </w:r>
      <w:r w:rsidR="007B17DD" w:rsidRPr="000239D0">
        <w:rPr>
          <w:rFonts w:asciiTheme="minorEastAsia" w:eastAsiaTheme="minorEastAsia" w:hAnsiTheme="minorEastAsia" w:hint="eastAsia"/>
          <w:sz w:val="21"/>
          <w:szCs w:val="21"/>
        </w:rPr>
        <w:t>赎回费</w:t>
      </w:r>
      <w:r w:rsidR="005234C5" w:rsidRPr="000239D0">
        <w:rPr>
          <w:rFonts w:asciiTheme="minorEastAsia" w:eastAsiaTheme="minorEastAsia" w:hAnsiTheme="minorEastAsia" w:hint="eastAsia"/>
          <w:sz w:val="21"/>
          <w:szCs w:val="21"/>
        </w:rPr>
        <w:t>按照</w:t>
      </w:r>
      <w:r w:rsidR="007110DF" w:rsidRPr="000239D0">
        <w:rPr>
          <w:rFonts w:asciiTheme="minorEastAsia" w:eastAsiaTheme="minorEastAsia" w:hAnsiTheme="minorEastAsia" w:hint="eastAsia"/>
          <w:sz w:val="21"/>
          <w:szCs w:val="21"/>
        </w:rPr>
        <w:t>各基金的</w:t>
      </w:r>
      <w:r w:rsidR="005234C5" w:rsidRPr="000239D0">
        <w:rPr>
          <w:rFonts w:asciiTheme="minorEastAsia" w:eastAsiaTheme="minorEastAsia" w:hAnsiTheme="minorEastAsia" w:hint="eastAsia"/>
          <w:sz w:val="21"/>
          <w:szCs w:val="21"/>
        </w:rPr>
        <w:t>基金合同、更新的招募说明书及最新的相关公告约定的比例归入基金财产</w:t>
      </w:r>
      <w:r w:rsidR="007B17DD" w:rsidRPr="000239D0">
        <w:rPr>
          <w:rFonts w:asciiTheme="minorEastAsia" w:eastAsiaTheme="minorEastAsia" w:hAnsiTheme="minorEastAsia" w:hint="eastAsia"/>
          <w:sz w:val="21"/>
          <w:szCs w:val="21"/>
        </w:rPr>
        <w:t>，其余部分用于支付注册登记费等相关手续费。</w:t>
      </w:r>
      <w:r w:rsidR="001D27EE" w:rsidRPr="000239D0">
        <w:rPr>
          <w:rFonts w:asciiTheme="minorEastAsia" w:eastAsiaTheme="minorEastAsia" w:hAnsiTheme="minorEastAsia"/>
          <w:sz w:val="21"/>
          <w:szCs w:val="21"/>
        </w:rPr>
        <w:t>转换费用以人民币元为单位，计算结果按照四舍五入方法，保留小数点后两位。</w:t>
      </w:r>
    </w:p>
    <w:p w:rsidR="005336CC" w:rsidRPr="000239D0" w:rsidRDefault="00717956"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54" w:name="_Toc219695798"/>
      <w:bookmarkStart w:id="55" w:name="_Toc36452369"/>
      <w:r w:rsidRPr="000239D0">
        <w:rPr>
          <w:rFonts w:asciiTheme="minorEastAsia" w:eastAsiaTheme="minorEastAsia" w:hAnsiTheme="minorEastAsia" w:hint="eastAsia"/>
          <w:b w:val="0"/>
          <w:bCs/>
          <w:szCs w:val="21"/>
        </w:rPr>
        <w:t>（八）</w:t>
      </w:r>
      <w:r w:rsidR="005336CC" w:rsidRPr="000239D0">
        <w:rPr>
          <w:rFonts w:asciiTheme="minorEastAsia" w:eastAsiaTheme="minorEastAsia" w:hAnsiTheme="minorEastAsia" w:hint="eastAsia"/>
          <w:b w:val="0"/>
          <w:bCs/>
          <w:szCs w:val="21"/>
        </w:rPr>
        <w:t>申购、赎回和转换的注册登记</w:t>
      </w:r>
      <w:bookmarkEnd w:id="54"/>
      <w:bookmarkEnd w:id="55"/>
    </w:p>
    <w:p w:rsidR="005336CC"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正常情况下，投资者申购基金份额成功后，基金注册登记机构在T+1工作日为投资者增加权益并办理注册登记手续，投资者自T+2工作日起有权赎回该部分基金份额。</w:t>
      </w:r>
    </w:p>
    <w:p w:rsidR="005336CC"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投资者赎回基金份额成功后，基金注册登记机构在T+1工作日为投资者扣除权益并办理相应的注册登记手续。</w:t>
      </w:r>
    </w:p>
    <w:p w:rsidR="005336CC"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sz w:val="21"/>
        </w:rPr>
        <w:t>投资者申请基金转换成功后</w:t>
      </w:r>
      <w:r w:rsidR="005336CC" w:rsidRPr="000239D0">
        <w:rPr>
          <w:rFonts w:asciiTheme="minorEastAsia" w:eastAsiaTheme="minorEastAsia" w:hAnsiTheme="minorEastAsia" w:hint="eastAsia"/>
          <w:sz w:val="21"/>
        </w:rPr>
        <w:t>，基金注册登记机构</w:t>
      </w:r>
      <w:r w:rsidR="005336CC" w:rsidRPr="000239D0">
        <w:rPr>
          <w:rFonts w:asciiTheme="minorEastAsia" w:eastAsiaTheme="minorEastAsia" w:hAnsiTheme="minorEastAsia"/>
          <w:sz w:val="21"/>
        </w:rPr>
        <w:t>在T＋1工作日为投资者办理减少转出基金份额、增加转入基金份额的权益登记手续</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一般情况下</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投资者自T＋2工作日起有权赎回转入部分的基金</w:t>
      </w:r>
      <w:r w:rsidR="005336CC" w:rsidRPr="000239D0">
        <w:rPr>
          <w:rFonts w:asciiTheme="minorEastAsia" w:eastAsiaTheme="minorEastAsia" w:hAnsiTheme="minorEastAsia" w:hint="eastAsia"/>
          <w:sz w:val="21"/>
        </w:rPr>
        <w:t>份额</w:t>
      </w:r>
      <w:r w:rsidR="005336CC" w:rsidRPr="000239D0">
        <w:rPr>
          <w:rFonts w:asciiTheme="minorEastAsia" w:eastAsiaTheme="minorEastAsia" w:hAnsiTheme="minorEastAsia"/>
          <w:sz w:val="21"/>
        </w:rPr>
        <w:t>。</w:t>
      </w:r>
    </w:p>
    <w:p w:rsidR="005336CC" w:rsidRPr="000239D0" w:rsidRDefault="00AD684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基金管理人可在法律法规允许的范围内，对上述注册登记办理时间进行调整，并最迟于开始实施前三个工作日予以公告。</w:t>
      </w:r>
    </w:p>
    <w:p w:rsidR="005336CC" w:rsidRPr="000239D0" w:rsidRDefault="00717956"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56" w:name="_Toc219695799"/>
      <w:bookmarkStart w:id="57" w:name="_Toc36452370"/>
      <w:r w:rsidRPr="000239D0">
        <w:rPr>
          <w:rFonts w:asciiTheme="minorEastAsia" w:eastAsiaTheme="minorEastAsia" w:hAnsiTheme="minorEastAsia" w:hint="eastAsia"/>
          <w:b w:val="0"/>
          <w:bCs/>
          <w:szCs w:val="21"/>
        </w:rPr>
        <w:t>（九）</w:t>
      </w:r>
      <w:r w:rsidR="005336CC" w:rsidRPr="000239D0">
        <w:rPr>
          <w:rFonts w:asciiTheme="minorEastAsia" w:eastAsiaTheme="minorEastAsia" w:hAnsiTheme="minorEastAsia" w:hint="eastAsia"/>
          <w:b w:val="0"/>
          <w:bCs/>
          <w:szCs w:val="21"/>
        </w:rPr>
        <w:t>巨额赎回的认定及处理方式</w:t>
      </w:r>
      <w:bookmarkEnd w:id="56"/>
      <w:bookmarkEnd w:id="57"/>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ab/>
      </w:r>
      <w:r w:rsidR="00AD684A" w:rsidRPr="000239D0">
        <w:rPr>
          <w:rFonts w:asciiTheme="minorEastAsia" w:eastAsiaTheme="minorEastAsia" w:hAnsiTheme="minorEastAsia" w:hint="eastAsia"/>
          <w:sz w:val="21"/>
        </w:rPr>
        <w:t>1、</w:t>
      </w:r>
      <w:r w:rsidRPr="000239D0">
        <w:rPr>
          <w:rFonts w:asciiTheme="minorEastAsia" w:eastAsiaTheme="minorEastAsia" w:hAnsiTheme="minorEastAsia" w:hint="eastAsia"/>
          <w:sz w:val="21"/>
        </w:rPr>
        <w:t>巨额赎回的认定</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szCs w:val="21"/>
        </w:rPr>
        <w:t>单个开放日中</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本基金的基金</w:t>
      </w:r>
      <w:r w:rsidRPr="000239D0">
        <w:rPr>
          <w:rFonts w:asciiTheme="minorEastAsia" w:eastAsiaTheme="minorEastAsia" w:hAnsiTheme="minorEastAsia" w:hint="eastAsia"/>
          <w:sz w:val="21"/>
          <w:szCs w:val="21"/>
        </w:rPr>
        <w:t>份额</w:t>
      </w:r>
      <w:r w:rsidRPr="000239D0">
        <w:rPr>
          <w:rFonts w:asciiTheme="minorEastAsia" w:eastAsiaTheme="minorEastAsia" w:hAnsiTheme="minorEastAsia"/>
          <w:sz w:val="21"/>
          <w:szCs w:val="21"/>
        </w:rPr>
        <w:t>净赎回申请(赎回申请总数扣除申购申请总数的余额)与净转出申请(基金转换出申请总数扣除转换入申请总数后的余额)之和超过前一日基金总份额数的10%</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即认为发生了巨额赎回。</w:t>
      </w:r>
    </w:p>
    <w:p w:rsidR="005336CC" w:rsidRPr="000239D0" w:rsidRDefault="005336CC"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ab/>
      </w:r>
      <w:r w:rsidR="00AD684A" w:rsidRPr="000239D0">
        <w:rPr>
          <w:rFonts w:asciiTheme="minorEastAsia" w:eastAsiaTheme="minorEastAsia" w:hAnsiTheme="minorEastAsia" w:hint="eastAsia"/>
          <w:sz w:val="21"/>
        </w:rPr>
        <w:t>2、</w:t>
      </w:r>
      <w:r w:rsidRPr="000239D0">
        <w:rPr>
          <w:rFonts w:asciiTheme="minorEastAsia" w:eastAsiaTheme="minorEastAsia" w:hAnsiTheme="minorEastAsia" w:hint="eastAsia"/>
          <w:sz w:val="21"/>
        </w:rPr>
        <w:t>巨额赎回的处理方式</w:t>
      </w:r>
    </w:p>
    <w:p w:rsidR="005336CC" w:rsidRPr="000239D0" w:rsidRDefault="005336CC"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当出现巨额赎回时，基金管理人可以根据本基金当时的资产组合状况决定</w:t>
      </w:r>
      <w:r w:rsidRPr="000239D0">
        <w:rPr>
          <w:rFonts w:asciiTheme="minorEastAsia" w:eastAsiaTheme="minorEastAsia" w:hAnsiTheme="minorEastAsia"/>
          <w:sz w:val="21"/>
          <w:szCs w:val="21"/>
        </w:rPr>
        <w:t>相应的处理方式：</w:t>
      </w:r>
    </w:p>
    <w:p w:rsidR="005336CC" w:rsidRPr="000239D0" w:rsidRDefault="005336CC" w:rsidP="00AF28A3">
      <w:pPr>
        <w:numPr>
          <w:ilvl w:val="0"/>
          <w:numId w:val="15"/>
        </w:numPr>
        <w:tabs>
          <w:tab w:val="left" w:pos="735"/>
        </w:tabs>
        <w:snapToGrid w:val="0"/>
        <w:spacing w:line="360" w:lineRule="auto"/>
        <w:ind w:left="0" w:firstLineChars="0" w:firstLine="200"/>
        <w:rPr>
          <w:rFonts w:asciiTheme="minorEastAsia" w:eastAsiaTheme="minorEastAsia" w:hAnsiTheme="minorEastAsia"/>
          <w:sz w:val="21"/>
        </w:rPr>
      </w:pPr>
      <w:r w:rsidRPr="000239D0">
        <w:rPr>
          <w:rFonts w:asciiTheme="minorEastAsia" w:eastAsiaTheme="minorEastAsia" w:hAnsiTheme="minorEastAsia"/>
          <w:sz w:val="21"/>
        </w:rPr>
        <w:t>全额赎回：当基金管理人认为有能力支付投资者的赎回申请时，按正常赎回程序执行。</w:t>
      </w:r>
    </w:p>
    <w:p w:rsidR="005336CC" w:rsidRPr="000239D0" w:rsidRDefault="005336CC" w:rsidP="00AF28A3">
      <w:pPr>
        <w:numPr>
          <w:ilvl w:val="0"/>
          <w:numId w:val="15"/>
        </w:numPr>
        <w:tabs>
          <w:tab w:val="clear" w:pos="851"/>
          <w:tab w:val="num" w:pos="0"/>
        </w:tabs>
        <w:snapToGrid w:val="0"/>
        <w:spacing w:line="360" w:lineRule="auto"/>
        <w:ind w:left="0" w:firstLineChars="0" w:firstLine="200"/>
        <w:rPr>
          <w:rFonts w:asciiTheme="minorEastAsia" w:eastAsiaTheme="minorEastAsia" w:hAnsiTheme="minorEastAsia"/>
          <w:sz w:val="21"/>
        </w:rPr>
      </w:pPr>
      <w:r w:rsidRPr="000239D0">
        <w:rPr>
          <w:rFonts w:asciiTheme="minorEastAsia" w:eastAsiaTheme="minorEastAsia" w:hAnsiTheme="minorEastAsia"/>
          <w:sz w:val="21"/>
        </w:rPr>
        <w:t>部分顺延赎回：当基金管理人认为支付投资者的赎回申请有困难或认为支付投资者的赎回申请可能会对该基金的资产净值造成较大波动时</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基金管理人可在当日接受赎回比例</w:t>
      </w:r>
      <w:r w:rsidRPr="000239D0">
        <w:rPr>
          <w:rFonts w:asciiTheme="minorEastAsia" w:eastAsiaTheme="minorEastAsia" w:hAnsiTheme="minorEastAsia"/>
          <w:sz w:val="21"/>
        </w:rPr>
        <w:lastRenderedPageBreak/>
        <w:t>不低于该基金总份额的10%的前提下</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对其余赎回申请延期办理。对于当日的赎回申请</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应当按单个帐户赎回申请量占赎回申请总量的比例</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确定其当日受理的赎回份额；投资者的赎回申请未能受理部分</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除投资者在提交赎回申请时明确作出不参加顺延下一个开放日赎回的表示外</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将自动顺延至下一个开放日赎回处理。转入下一个开放日的赎回不享有赎回优先权并将以下一个开放日的基金</w:t>
      </w:r>
      <w:r w:rsidRPr="000239D0">
        <w:rPr>
          <w:rFonts w:asciiTheme="minorEastAsia" w:eastAsiaTheme="minorEastAsia" w:hAnsiTheme="minorEastAsia" w:hint="eastAsia"/>
          <w:sz w:val="21"/>
        </w:rPr>
        <w:t>份额</w:t>
      </w:r>
      <w:r w:rsidRPr="000239D0">
        <w:rPr>
          <w:rFonts w:asciiTheme="minorEastAsia" w:eastAsiaTheme="minorEastAsia" w:hAnsiTheme="minorEastAsia"/>
          <w:sz w:val="21"/>
        </w:rPr>
        <w:t>净值为准进行计算</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以此类推</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直到其赎回申请全部得到满足为止。投资者在提出赎回申请时也可选择将当日未获受理部分予以撤销。</w:t>
      </w:r>
    </w:p>
    <w:p w:rsidR="0047210C" w:rsidRPr="000239D0" w:rsidRDefault="00B8448D"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5336CC" w:rsidRPr="000239D0" w:rsidRDefault="00AD684A"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sz w:val="21"/>
        </w:rPr>
        <w:t>当发生巨额赎回时</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基金转出与基金赎回具有相同的优先级</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基金管理人可根据基金资产组合情况</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决定全额转出或部分转出</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并且对于基金转出和基金赎回</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将采取相同的比例确认</w:t>
      </w:r>
      <w:r w:rsidR="00E810D1" w:rsidRPr="000239D0">
        <w:rPr>
          <w:rFonts w:asciiTheme="minorEastAsia" w:eastAsiaTheme="minorEastAsia" w:hAnsiTheme="minorEastAsia" w:hint="eastAsia"/>
          <w:sz w:val="21"/>
        </w:rPr>
        <w:t>（另有公告的除外）</w:t>
      </w:r>
      <w:r w:rsidR="005336CC" w:rsidRPr="000239D0">
        <w:rPr>
          <w:rFonts w:asciiTheme="minorEastAsia" w:eastAsiaTheme="minorEastAsia" w:hAnsiTheme="minorEastAsia"/>
          <w:sz w:val="21"/>
        </w:rPr>
        <w:t>；但基金管理人在当日接受部分转出申请的情况下</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对未确认的转换申请将不予顺延。</w:t>
      </w:r>
    </w:p>
    <w:p w:rsidR="005336CC" w:rsidRPr="000239D0" w:rsidRDefault="00AD684A"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sz w:val="21"/>
        </w:rPr>
        <w:t>当发生巨额赎回并部分顺延赎回或接受部分转换时</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基金管理人应</w:t>
      </w:r>
      <w:r w:rsidR="00EF5D91" w:rsidRPr="000239D0">
        <w:rPr>
          <w:rFonts w:asciiTheme="minorEastAsia" w:eastAsiaTheme="minorEastAsia" w:hAnsiTheme="minorEastAsia" w:hint="eastAsia"/>
          <w:sz w:val="21"/>
        </w:rPr>
        <w:t>在2日内在指定媒介上刊登公告</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并说明有关处理方法。</w:t>
      </w:r>
    </w:p>
    <w:p w:rsidR="005336CC" w:rsidRPr="000239D0" w:rsidRDefault="00AD684A"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w:t>
      </w:r>
      <w:r w:rsidR="005336CC" w:rsidRPr="000239D0">
        <w:rPr>
          <w:rFonts w:asciiTheme="minorEastAsia" w:eastAsiaTheme="minorEastAsia" w:hAnsiTheme="minorEastAsia"/>
          <w:sz w:val="21"/>
        </w:rPr>
        <w:t>本基金连续两日以上(含本数)发生巨额赎回时</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如基金管理人认为有必要</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可暂停接受赎回和转出申请；已经接受的赎回申请可以延缓支付赎回款项</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但不得超过正常支付时间20个工作日</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并应当在指定</w:t>
      </w:r>
      <w:r w:rsidR="0034441C" w:rsidRPr="000239D0">
        <w:rPr>
          <w:rFonts w:asciiTheme="minorEastAsia" w:eastAsiaTheme="minorEastAsia" w:hAnsiTheme="minorEastAsia" w:hint="eastAsia"/>
          <w:sz w:val="21"/>
        </w:rPr>
        <w:t>媒介</w:t>
      </w:r>
      <w:r w:rsidR="005336CC" w:rsidRPr="000239D0">
        <w:rPr>
          <w:rFonts w:asciiTheme="minorEastAsia" w:eastAsiaTheme="minorEastAsia" w:hAnsiTheme="minorEastAsia"/>
          <w:sz w:val="21"/>
        </w:rPr>
        <w:t>上进行公告。</w:t>
      </w:r>
    </w:p>
    <w:p w:rsidR="005336CC" w:rsidRPr="000239D0" w:rsidRDefault="00717956" w:rsidP="000B1E9F">
      <w:pPr>
        <w:pStyle w:val="20"/>
        <w:snapToGrid w:val="0"/>
        <w:spacing w:beforeLines="0" w:afterLines="0" w:line="360" w:lineRule="auto"/>
        <w:ind w:firstLineChars="0" w:firstLine="0"/>
        <w:rPr>
          <w:rFonts w:asciiTheme="minorEastAsia" w:eastAsiaTheme="minorEastAsia" w:hAnsiTheme="minorEastAsia"/>
          <w:b w:val="0"/>
          <w:bCs/>
          <w:szCs w:val="21"/>
        </w:rPr>
      </w:pPr>
      <w:bookmarkStart w:id="58" w:name="_Toc219695800"/>
      <w:bookmarkStart w:id="59" w:name="_Toc36452371"/>
      <w:r w:rsidRPr="000239D0">
        <w:rPr>
          <w:rFonts w:asciiTheme="minorEastAsia" w:eastAsiaTheme="minorEastAsia" w:hAnsiTheme="minorEastAsia" w:hint="eastAsia"/>
          <w:b w:val="0"/>
          <w:bCs/>
          <w:szCs w:val="21"/>
        </w:rPr>
        <w:t>（十）</w:t>
      </w:r>
      <w:r w:rsidR="005336CC" w:rsidRPr="000239D0">
        <w:rPr>
          <w:rFonts w:asciiTheme="minorEastAsia" w:eastAsiaTheme="minorEastAsia" w:hAnsiTheme="minorEastAsia"/>
          <w:b w:val="0"/>
          <w:bCs/>
          <w:szCs w:val="21"/>
        </w:rPr>
        <w:t>拒绝或暂停申购、赎回和转换的情形</w:t>
      </w:r>
      <w:bookmarkEnd w:id="58"/>
      <w:r w:rsidR="00EB5B50" w:rsidRPr="000239D0">
        <w:rPr>
          <w:rFonts w:asciiTheme="minorEastAsia" w:eastAsiaTheme="minorEastAsia" w:hAnsiTheme="minorEastAsia" w:hint="eastAsia"/>
          <w:b w:val="0"/>
          <w:bCs/>
          <w:szCs w:val="21"/>
        </w:rPr>
        <w:t>及处理</w:t>
      </w:r>
      <w:r w:rsidR="00EB5B50" w:rsidRPr="000239D0">
        <w:rPr>
          <w:rFonts w:asciiTheme="minorEastAsia" w:eastAsiaTheme="minorEastAsia" w:hAnsiTheme="minorEastAsia"/>
          <w:b w:val="0"/>
          <w:bCs/>
          <w:szCs w:val="21"/>
        </w:rPr>
        <w:t>方式</w:t>
      </w:r>
      <w:bookmarkEnd w:id="59"/>
    </w:p>
    <w:p w:rsidR="005336CC" w:rsidRPr="000239D0" w:rsidRDefault="00AD684A" w:rsidP="000B1E9F">
      <w:pPr>
        <w:tabs>
          <w:tab w:val="left" w:pos="735"/>
        </w:tabs>
        <w:snapToGrid w:val="0"/>
        <w:spacing w:line="360" w:lineRule="auto"/>
        <w:ind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除出现如下情形，基金管理人不得拒绝或暂停接受基金投资者的申购申请：</w:t>
      </w:r>
    </w:p>
    <w:p w:rsidR="005336CC" w:rsidRPr="000239D0" w:rsidRDefault="005336CC" w:rsidP="000B1E9F">
      <w:pPr>
        <w:numPr>
          <w:ilvl w:val="0"/>
          <w:numId w:val="19"/>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不可抗力的原因导致基金无法正常运作；</w:t>
      </w:r>
    </w:p>
    <w:p w:rsidR="005336CC" w:rsidRPr="000239D0" w:rsidRDefault="005336CC" w:rsidP="000B1E9F">
      <w:pPr>
        <w:numPr>
          <w:ilvl w:val="0"/>
          <w:numId w:val="19"/>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证券交易场所在交易时间非正常停市；</w:t>
      </w:r>
    </w:p>
    <w:p w:rsidR="005336CC" w:rsidRPr="000239D0" w:rsidRDefault="005336CC" w:rsidP="000B1E9F">
      <w:pPr>
        <w:numPr>
          <w:ilvl w:val="0"/>
          <w:numId w:val="19"/>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基金资产规模过大，使基金管理人无法找到合适的投资品种；</w:t>
      </w:r>
    </w:p>
    <w:p w:rsidR="005336CC" w:rsidRPr="000239D0" w:rsidRDefault="005336CC" w:rsidP="000B1E9F">
      <w:pPr>
        <w:numPr>
          <w:ilvl w:val="0"/>
          <w:numId w:val="19"/>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可能对基金业绩产生负面影响，从而损害现有基金份额持有人的利益；</w:t>
      </w:r>
    </w:p>
    <w:p w:rsidR="005336CC" w:rsidRPr="000239D0" w:rsidRDefault="005336CC" w:rsidP="000B1E9F">
      <w:pPr>
        <w:numPr>
          <w:ilvl w:val="0"/>
          <w:numId w:val="19"/>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当基金管理人认为会有损于现有基金份额持有人利益的某笔申购；</w:t>
      </w:r>
    </w:p>
    <w:p w:rsidR="00B8448D" w:rsidRPr="000239D0" w:rsidRDefault="00B8448D" w:rsidP="000B1E9F">
      <w:pPr>
        <w:numPr>
          <w:ilvl w:val="0"/>
          <w:numId w:val="19"/>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基金管理人接受某笔或者某些申购申请有可能导致单一投资者持有基金份额的比例达到或者超过50%，或者变相规避50%集中度的情形时。</w:t>
      </w:r>
    </w:p>
    <w:p w:rsidR="00B8448D" w:rsidRPr="000239D0" w:rsidRDefault="00B8448D" w:rsidP="000B1E9F">
      <w:pPr>
        <w:numPr>
          <w:ilvl w:val="0"/>
          <w:numId w:val="19"/>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B8448D" w:rsidRPr="000239D0" w:rsidRDefault="00B8448D" w:rsidP="000B1E9F">
      <w:pPr>
        <w:numPr>
          <w:ilvl w:val="0"/>
          <w:numId w:val="19"/>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当前一估值日基金资产净值50%以上的资产出现无可参考的活跃市场价格且采用估</w:t>
      </w:r>
      <w:r w:rsidRPr="000239D0">
        <w:rPr>
          <w:rFonts w:asciiTheme="minorEastAsia" w:eastAsiaTheme="minorEastAsia" w:hAnsiTheme="minorEastAsia" w:hint="eastAsia"/>
          <w:sz w:val="21"/>
        </w:rPr>
        <w:lastRenderedPageBreak/>
        <w:t>值技术仍导致公允价值存在重大不确定性时，经与基金托管人协商确认后，基金管理人应当采取暂停接受基金申购申请的措施。</w:t>
      </w:r>
    </w:p>
    <w:p w:rsidR="0047210C" w:rsidRPr="000239D0" w:rsidRDefault="005336CC" w:rsidP="000B1E9F">
      <w:pPr>
        <w:numPr>
          <w:ilvl w:val="0"/>
          <w:numId w:val="19"/>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法律、法规规定或中国证监会认定的其他情形。</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szCs w:val="21"/>
        </w:rPr>
        <w:t>如发生上述拒绝申购的情形</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被拒绝的申购款项应全额退还投资者。</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基金管理人拒绝或暂停接受申购的方式包括：</w:t>
      </w:r>
    </w:p>
    <w:p w:rsidR="005336CC" w:rsidRPr="000239D0" w:rsidRDefault="005336CC" w:rsidP="000B1E9F">
      <w:pPr>
        <w:numPr>
          <w:ilvl w:val="0"/>
          <w:numId w:val="20"/>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拒绝接受、暂停接受某笔或某数笔申购申请；</w:t>
      </w:r>
    </w:p>
    <w:p w:rsidR="005336CC" w:rsidRPr="000239D0" w:rsidRDefault="005336CC" w:rsidP="000B1E9F">
      <w:pPr>
        <w:numPr>
          <w:ilvl w:val="0"/>
          <w:numId w:val="20"/>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拒绝接受、暂停接受某个或某数个工作日的全部申购申请；</w:t>
      </w:r>
    </w:p>
    <w:p w:rsidR="005336CC" w:rsidRPr="000239D0" w:rsidRDefault="005336CC" w:rsidP="000B1E9F">
      <w:pPr>
        <w:numPr>
          <w:ilvl w:val="0"/>
          <w:numId w:val="20"/>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按比例拒绝接受、暂停接受某个或某数个工作日的申购申请。</w:t>
      </w:r>
    </w:p>
    <w:p w:rsidR="005336CC" w:rsidRPr="000239D0" w:rsidRDefault="007902F7" w:rsidP="000B1E9F">
      <w:pPr>
        <w:tabs>
          <w:tab w:val="left" w:pos="735"/>
        </w:tabs>
        <w:snapToGrid w:val="0"/>
        <w:spacing w:line="360" w:lineRule="auto"/>
        <w:ind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除下列情形外，基金管理人不得拒绝接受或暂停接受投资者的赎回申请：</w:t>
      </w:r>
    </w:p>
    <w:p w:rsidR="005336CC" w:rsidRPr="000239D0" w:rsidRDefault="005336CC" w:rsidP="000B1E9F">
      <w:pPr>
        <w:numPr>
          <w:ilvl w:val="0"/>
          <w:numId w:val="21"/>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sz w:val="21"/>
        </w:rPr>
        <w:t>不可抗力的原因导致基金无法正常运作；</w:t>
      </w:r>
    </w:p>
    <w:p w:rsidR="005336CC" w:rsidRPr="000239D0" w:rsidRDefault="005336CC" w:rsidP="000B1E9F">
      <w:pPr>
        <w:numPr>
          <w:ilvl w:val="0"/>
          <w:numId w:val="21"/>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sz w:val="21"/>
        </w:rPr>
        <w:t>证券交易场所交易时间非正常停市；</w:t>
      </w:r>
    </w:p>
    <w:p w:rsidR="005336CC" w:rsidRPr="000239D0" w:rsidRDefault="005336CC" w:rsidP="000B1E9F">
      <w:pPr>
        <w:numPr>
          <w:ilvl w:val="0"/>
          <w:numId w:val="21"/>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sz w:val="21"/>
        </w:rPr>
        <w:t>因市场剧烈波动或其它原因而出现连续巨额赎回，导致本基金的现金支付出现困难；</w:t>
      </w:r>
    </w:p>
    <w:p w:rsidR="00B8448D" w:rsidRPr="000239D0" w:rsidRDefault="00B8448D" w:rsidP="000B1E9F">
      <w:pPr>
        <w:numPr>
          <w:ilvl w:val="0"/>
          <w:numId w:val="21"/>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5336CC" w:rsidRPr="000239D0" w:rsidRDefault="005336CC" w:rsidP="000B1E9F">
      <w:pPr>
        <w:numPr>
          <w:ilvl w:val="0"/>
          <w:numId w:val="21"/>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sz w:val="21"/>
        </w:rPr>
        <w:t>法律、法规规定或中国证监会认定的其它情形。</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发生上述情形之一的，基金管理人应在当日立即向中国证监会备案。已接受的赎回申请，基金管理人将足额支付；如暂时不能支付时，将按每个赎回申请人已被接受的赎回申请量占已接受赎回申请总量的比例分配给赎回申请人，其余部分</w:t>
      </w:r>
      <w:r w:rsidRPr="000239D0">
        <w:rPr>
          <w:rFonts w:asciiTheme="minorEastAsia" w:eastAsiaTheme="minorEastAsia" w:hAnsiTheme="minorEastAsia"/>
          <w:sz w:val="21"/>
        </w:rPr>
        <w:t>由基金管理人按照相应的处理办法在后续开放日予以</w:t>
      </w:r>
      <w:r w:rsidRPr="000239D0">
        <w:rPr>
          <w:rFonts w:asciiTheme="minorEastAsia" w:eastAsiaTheme="minorEastAsia" w:hAnsiTheme="minorEastAsia" w:hint="eastAsia"/>
          <w:sz w:val="21"/>
        </w:rPr>
        <w:t>兑</w:t>
      </w:r>
      <w:r w:rsidRPr="000239D0">
        <w:rPr>
          <w:rFonts w:asciiTheme="minorEastAsia" w:eastAsiaTheme="minorEastAsia" w:hAnsiTheme="minorEastAsia"/>
          <w:sz w:val="21"/>
        </w:rPr>
        <w:t>付</w:t>
      </w:r>
      <w:r w:rsidRPr="000239D0">
        <w:rPr>
          <w:rFonts w:asciiTheme="minorEastAsia" w:eastAsiaTheme="minorEastAsia" w:hAnsiTheme="minorEastAsia" w:hint="eastAsia"/>
          <w:sz w:val="21"/>
        </w:rPr>
        <w:t>。</w:t>
      </w:r>
    </w:p>
    <w:p w:rsidR="005336CC" w:rsidRPr="000239D0" w:rsidRDefault="007902F7"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对于基金管理人和有关基金</w:t>
      </w:r>
      <w:r w:rsidR="00885A76" w:rsidRPr="000239D0">
        <w:rPr>
          <w:rFonts w:asciiTheme="minorEastAsia" w:eastAsiaTheme="minorEastAsia" w:hAnsiTheme="minorEastAsia" w:hint="eastAsia"/>
          <w:sz w:val="21"/>
        </w:rPr>
        <w:t>销售</w:t>
      </w:r>
      <w:r w:rsidR="005336CC" w:rsidRPr="000239D0">
        <w:rPr>
          <w:rFonts w:asciiTheme="minorEastAsia" w:eastAsiaTheme="minorEastAsia" w:hAnsiTheme="minorEastAsia" w:hint="eastAsia"/>
          <w:sz w:val="21"/>
        </w:rPr>
        <w:t>机构已经公告开通转换业务的，</w:t>
      </w:r>
      <w:r w:rsidR="005336CC" w:rsidRPr="000239D0">
        <w:rPr>
          <w:rFonts w:asciiTheme="minorEastAsia" w:eastAsiaTheme="minorEastAsia" w:hAnsiTheme="minorEastAsia"/>
          <w:sz w:val="21"/>
        </w:rPr>
        <w:t>除下列情形外</w:t>
      </w:r>
      <w:r w:rsidR="005336CC" w:rsidRPr="000239D0">
        <w:rPr>
          <w:rFonts w:asciiTheme="minorEastAsia" w:eastAsiaTheme="minorEastAsia" w:hAnsiTheme="minorEastAsia" w:hint="eastAsia"/>
          <w:sz w:val="21"/>
        </w:rPr>
        <w:t>，</w:t>
      </w:r>
      <w:r w:rsidR="005336CC" w:rsidRPr="000239D0">
        <w:rPr>
          <w:rFonts w:asciiTheme="minorEastAsia" w:eastAsiaTheme="minorEastAsia" w:hAnsiTheme="minorEastAsia"/>
          <w:sz w:val="21"/>
        </w:rPr>
        <w:t>基金管理人不得拒绝接受或暂停接受投资者的转换申请：</w:t>
      </w:r>
    </w:p>
    <w:p w:rsidR="005336CC" w:rsidRPr="000239D0" w:rsidRDefault="005336CC" w:rsidP="000B1E9F">
      <w:pPr>
        <w:numPr>
          <w:ilvl w:val="0"/>
          <w:numId w:val="22"/>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sz w:val="21"/>
        </w:rPr>
        <w:t>不可抗力的原因导致基金无法正常运作；</w:t>
      </w:r>
    </w:p>
    <w:p w:rsidR="005336CC" w:rsidRPr="000239D0" w:rsidRDefault="005336CC" w:rsidP="000B1E9F">
      <w:pPr>
        <w:numPr>
          <w:ilvl w:val="0"/>
          <w:numId w:val="22"/>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sz w:val="21"/>
        </w:rPr>
        <w:t>证券交易场所交易时间非正常停市；</w:t>
      </w:r>
    </w:p>
    <w:p w:rsidR="005336CC" w:rsidRPr="000239D0" w:rsidRDefault="005336CC" w:rsidP="000B1E9F">
      <w:pPr>
        <w:numPr>
          <w:ilvl w:val="0"/>
          <w:numId w:val="22"/>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sz w:val="21"/>
        </w:rPr>
        <w:t>当基金管理人认为某笔转换会有损于现有基金份额持有人利益；</w:t>
      </w:r>
    </w:p>
    <w:p w:rsidR="00D543F3" w:rsidRPr="000239D0" w:rsidRDefault="00D543F3" w:rsidP="000B1E9F">
      <w:pPr>
        <w:numPr>
          <w:ilvl w:val="0"/>
          <w:numId w:val="22"/>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基金管理人接受某笔或者某些转换转入申请有可能导致单一投资者持有基金份额的比例达到或者超过50%，或者变相规避50%集中度的情形时。</w:t>
      </w:r>
    </w:p>
    <w:p w:rsidR="00D543F3" w:rsidRPr="000239D0" w:rsidRDefault="00D543F3" w:rsidP="000B1E9F">
      <w:pPr>
        <w:numPr>
          <w:ilvl w:val="0"/>
          <w:numId w:val="22"/>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543F3" w:rsidRPr="000239D0" w:rsidRDefault="00D543F3" w:rsidP="000B1E9F">
      <w:pPr>
        <w:numPr>
          <w:ilvl w:val="0"/>
          <w:numId w:val="22"/>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当前一估值日基金资产净值50%以上的资产出现无可参考的活跃市场价格且采用估值技术仍导致公允价值存在重大不确定性时，经与基金托管人协商确认后，基金管理人应当</w:t>
      </w:r>
      <w:r w:rsidRPr="000239D0">
        <w:rPr>
          <w:rFonts w:asciiTheme="minorEastAsia" w:eastAsiaTheme="minorEastAsia" w:hAnsiTheme="minorEastAsia" w:hint="eastAsia"/>
          <w:sz w:val="21"/>
        </w:rPr>
        <w:lastRenderedPageBreak/>
        <w:t>采取暂停接受基金转换申请的措施。</w:t>
      </w:r>
    </w:p>
    <w:p w:rsidR="005336CC" w:rsidRPr="000239D0" w:rsidRDefault="005336CC" w:rsidP="000B1E9F">
      <w:pPr>
        <w:numPr>
          <w:ilvl w:val="0"/>
          <w:numId w:val="22"/>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sz w:val="21"/>
        </w:rPr>
        <w:t>因市场剧烈波动或其它原因而出现连续巨额赎回</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导致本基金的现金支付出现困难；</w:t>
      </w:r>
    </w:p>
    <w:p w:rsidR="005336CC" w:rsidRPr="000239D0" w:rsidRDefault="005336CC" w:rsidP="000B1E9F">
      <w:pPr>
        <w:numPr>
          <w:ilvl w:val="0"/>
          <w:numId w:val="22"/>
        </w:numPr>
        <w:tabs>
          <w:tab w:val="left" w:pos="735"/>
        </w:tabs>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sz w:val="21"/>
        </w:rPr>
        <w:t>法律、法规规定或中国证监会认定的其它情形。</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发生上述情形之一的</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基金管理人应在当日立即向中国证监会备案。</w:t>
      </w:r>
    </w:p>
    <w:p w:rsidR="005336CC" w:rsidRPr="000239D0" w:rsidRDefault="007902F7"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发生《基金合同》或《招募说明书》中未予载明的事项，但基金管理人有正当理由认为需要暂停接受基金申购、赎回、转换申请的，应当报经中国证监会批准。</w:t>
      </w:r>
    </w:p>
    <w:p w:rsidR="005336CC" w:rsidRPr="000239D0" w:rsidRDefault="007902F7"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sz w:val="21"/>
        </w:rPr>
        <w:t>基金暂停申购、赎回</w:t>
      </w:r>
      <w:r w:rsidR="005336CC" w:rsidRPr="000239D0">
        <w:rPr>
          <w:rFonts w:asciiTheme="minorEastAsia" w:eastAsiaTheme="minorEastAsia" w:hAnsiTheme="minorEastAsia" w:hint="eastAsia"/>
          <w:sz w:val="21"/>
        </w:rPr>
        <w:t>和转换</w:t>
      </w:r>
      <w:r w:rsidR="005336CC" w:rsidRPr="000239D0">
        <w:rPr>
          <w:rFonts w:asciiTheme="minorEastAsia" w:eastAsiaTheme="minorEastAsia" w:hAnsiTheme="minorEastAsia"/>
          <w:sz w:val="21"/>
        </w:rPr>
        <w:t>，基金管理人</w:t>
      </w:r>
      <w:r w:rsidR="005336CC" w:rsidRPr="000239D0">
        <w:rPr>
          <w:rFonts w:asciiTheme="minorEastAsia" w:eastAsiaTheme="minorEastAsia" w:hAnsiTheme="minorEastAsia" w:hint="eastAsia"/>
          <w:sz w:val="21"/>
        </w:rPr>
        <w:t>应立即</w:t>
      </w:r>
      <w:r w:rsidR="005336CC" w:rsidRPr="000239D0">
        <w:rPr>
          <w:rFonts w:asciiTheme="minorEastAsia" w:eastAsiaTheme="minorEastAsia" w:hAnsiTheme="minorEastAsia"/>
          <w:sz w:val="21"/>
        </w:rPr>
        <w:t>在</w:t>
      </w:r>
      <w:r w:rsidR="0034441C" w:rsidRPr="000239D0">
        <w:rPr>
          <w:rFonts w:asciiTheme="minorEastAsia" w:eastAsiaTheme="minorEastAsia" w:hAnsiTheme="minorEastAsia" w:hint="eastAsia"/>
          <w:sz w:val="21"/>
        </w:rPr>
        <w:t>指定媒介</w:t>
      </w:r>
      <w:r w:rsidR="005336CC" w:rsidRPr="000239D0">
        <w:rPr>
          <w:rFonts w:asciiTheme="minorEastAsia" w:eastAsiaTheme="minorEastAsia" w:hAnsiTheme="minorEastAsia" w:hint="eastAsia"/>
          <w:sz w:val="21"/>
        </w:rPr>
        <w:t>上</w:t>
      </w:r>
      <w:r w:rsidR="005336CC" w:rsidRPr="000239D0">
        <w:rPr>
          <w:rFonts w:asciiTheme="minorEastAsia" w:eastAsiaTheme="minorEastAsia" w:hAnsiTheme="minorEastAsia"/>
          <w:sz w:val="21"/>
        </w:rPr>
        <w:t>公告。</w:t>
      </w:r>
      <w:r w:rsidR="005336CC" w:rsidRPr="000239D0">
        <w:rPr>
          <w:rFonts w:asciiTheme="minorEastAsia" w:eastAsiaTheme="minorEastAsia" w:hAnsiTheme="minorEastAsia" w:hint="eastAsia"/>
          <w:sz w:val="21"/>
        </w:rPr>
        <w:t>暂停期间结束基金重新开放时，基金管理人应当公告最新的基金份额净值。</w:t>
      </w:r>
    </w:p>
    <w:p w:rsidR="005336CC" w:rsidRPr="000239D0" w:rsidRDefault="005336CC" w:rsidP="000B1E9F">
      <w:pPr>
        <w:autoSpaceDE w:val="0"/>
        <w:autoSpaceDN w:val="0"/>
        <w:adjustRightInd w:val="0"/>
        <w:snapToGrid w:val="0"/>
        <w:spacing w:line="360" w:lineRule="auto"/>
        <w:ind w:firstLine="420"/>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如果发生暂停的时间为</w:t>
      </w:r>
      <w:r w:rsidRPr="000239D0">
        <w:rPr>
          <w:rFonts w:asciiTheme="minorEastAsia" w:eastAsiaTheme="minorEastAsia" w:hAnsiTheme="minorEastAsia"/>
          <w:kern w:val="0"/>
          <w:sz w:val="21"/>
        </w:rPr>
        <w:t>1</w:t>
      </w:r>
      <w:r w:rsidRPr="000239D0">
        <w:rPr>
          <w:rFonts w:asciiTheme="minorEastAsia" w:eastAsiaTheme="minorEastAsia" w:hAnsiTheme="minorEastAsia" w:hint="eastAsia"/>
          <w:kern w:val="0"/>
          <w:sz w:val="21"/>
        </w:rPr>
        <w:t>天，基金管理人应于重新开放日在</w:t>
      </w:r>
      <w:r w:rsidR="0034441C" w:rsidRPr="000239D0">
        <w:rPr>
          <w:rFonts w:asciiTheme="minorEastAsia" w:eastAsiaTheme="minorEastAsia" w:hAnsiTheme="minorEastAsia" w:hint="eastAsia"/>
          <w:kern w:val="0"/>
          <w:sz w:val="21"/>
        </w:rPr>
        <w:t>指定媒介</w:t>
      </w:r>
      <w:r w:rsidRPr="000239D0">
        <w:rPr>
          <w:rFonts w:asciiTheme="minorEastAsia" w:eastAsiaTheme="minorEastAsia" w:hAnsiTheme="minorEastAsia" w:hint="eastAsia"/>
          <w:kern w:val="0"/>
          <w:sz w:val="21"/>
        </w:rPr>
        <w:t>刊登基金重新开放申购或赎回的公告并公告最新的基金</w:t>
      </w:r>
      <w:r w:rsidRPr="000239D0">
        <w:rPr>
          <w:rFonts w:asciiTheme="minorEastAsia" w:eastAsiaTheme="minorEastAsia" w:hAnsiTheme="minorEastAsia" w:hint="eastAsia"/>
          <w:sz w:val="21"/>
        </w:rPr>
        <w:t>份额</w:t>
      </w:r>
      <w:r w:rsidRPr="000239D0">
        <w:rPr>
          <w:rFonts w:asciiTheme="minorEastAsia" w:eastAsiaTheme="minorEastAsia" w:hAnsiTheme="minorEastAsia" w:hint="eastAsia"/>
          <w:kern w:val="0"/>
          <w:sz w:val="21"/>
        </w:rPr>
        <w:t>净值。</w:t>
      </w:r>
    </w:p>
    <w:p w:rsidR="005336CC" w:rsidRPr="000239D0" w:rsidRDefault="005336CC" w:rsidP="000B1E9F">
      <w:pPr>
        <w:autoSpaceDE w:val="0"/>
        <w:autoSpaceDN w:val="0"/>
        <w:adjustRightInd w:val="0"/>
        <w:snapToGrid w:val="0"/>
        <w:spacing w:line="360" w:lineRule="auto"/>
        <w:ind w:firstLine="420"/>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如果发生暂停的时间超过</w:t>
      </w:r>
      <w:r w:rsidRPr="000239D0">
        <w:rPr>
          <w:rFonts w:asciiTheme="minorEastAsia" w:eastAsiaTheme="minorEastAsia" w:hAnsiTheme="minorEastAsia"/>
          <w:kern w:val="0"/>
          <w:sz w:val="21"/>
        </w:rPr>
        <w:t>1</w:t>
      </w:r>
      <w:r w:rsidRPr="000239D0">
        <w:rPr>
          <w:rFonts w:asciiTheme="minorEastAsia" w:eastAsiaTheme="minorEastAsia" w:hAnsiTheme="minorEastAsia" w:hint="eastAsia"/>
          <w:kern w:val="0"/>
          <w:sz w:val="21"/>
        </w:rPr>
        <w:t>天但少于两周，暂停结束基金重新开放申购或赎回时，基金管理人应提前</w:t>
      </w:r>
      <w:r w:rsidRPr="000239D0">
        <w:rPr>
          <w:rFonts w:asciiTheme="minorEastAsia" w:eastAsiaTheme="minorEastAsia" w:hAnsiTheme="minorEastAsia"/>
          <w:kern w:val="0"/>
          <w:sz w:val="21"/>
        </w:rPr>
        <w:t>1</w:t>
      </w:r>
      <w:r w:rsidRPr="000239D0">
        <w:rPr>
          <w:rFonts w:asciiTheme="minorEastAsia" w:eastAsiaTheme="minorEastAsia" w:hAnsiTheme="minorEastAsia" w:hint="eastAsia"/>
          <w:kern w:val="0"/>
          <w:sz w:val="21"/>
        </w:rPr>
        <w:t>个工作日在</w:t>
      </w:r>
      <w:r w:rsidR="0034441C" w:rsidRPr="000239D0">
        <w:rPr>
          <w:rFonts w:asciiTheme="minorEastAsia" w:eastAsiaTheme="minorEastAsia" w:hAnsiTheme="minorEastAsia" w:hint="eastAsia"/>
          <w:kern w:val="0"/>
          <w:sz w:val="21"/>
        </w:rPr>
        <w:t>指定媒介</w:t>
      </w:r>
      <w:r w:rsidRPr="000239D0">
        <w:rPr>
          <w:rFonts w:asciiTheme="minorEastAsia" w:eastAsiaTheme="minorEastAsia" w:hAnsiTheme="minorEastAsia" w:hint="eastAsia"/>
          <w:kern w:val="0"/>
          <w:sz w:val="21"/>
        </w:rPr>
        <w:t>刊登基金重新开放申购或赎回的公告，并在重新开放申购或赎回日公告最新的基金</w:t>
      </w:r>
      <w:r w:rsidRPr="000239D0">
        <w:rPr>
          <w:rFonts w:asciiTheme="minorEastAsia" w:eastAsiaTheme="minorEastAsia" w:hAnsiTheme="minorEastAsia" w:hint="eastAsia"/>
          <w:sz w:val="21"/>
        </w:rPr>
        <w:t>份额</w:t>
      </w:r>
      <w:r w:rsidRPr="000239D0">
        <w:rPr>
          <w:rFonts w:asciiTheme="minorEastAsia" w:eastAsiaTheme="minorEastAsia" w:hAnsiTheme="minorEastAsia" w:hint="eastAsia"/>
          <w:kern w:val="0"/>
          <w:sz w:val="21"/>
        </w:rPr>
        <w:t>净值。</w:t>
      </w:r>
    </w:p>
    <w:p w:rsidR="001B63A4" w:rsidRPr="000239D0" w:rsidRDefault="005336CC" w:rsidP="000B1E9F">
      <w:pPr>
        <w:snapToGrid w:val="0"/>
        <w:spacing w:line="360" w:lineRule="auto"/>
        <w:ind w:firstLine="420"/>
        <w:rPr>
          <w:rFonts w:asciiTheme="minorEastAsia" w:eastAsiaTheme="minorEastAsia" w:hAnsiTheme="minorEastAsia"/>
          <w:kern w:val="0"/>
          <w:sz w:val="21"/>
        </w:rPr>
        <w:sectPr w:rsidR="001B63A4" w:rsidRPr="000239D0" w:rsidSect="007D09C8">
          <w:pgSz w:w="11906" w:h="16838" w:code="9"/>
          <w:pgMar w:top="1701" w:right="1301" w:bottom="1701" w:left="2268" w:header="1134" w:footer="1247" w:gutter="0"/>
          <w:cols w:space="425"/>
          <w:docGrid w:type="lines" w:linePitch="447"/>
        </w:sectPr>
      </w:pPr>
      <w:r w:rsidRPr="000239D0">
        <w:rPr>
          <w:rFonts w:asciiTheme="minorEastAsia" w:eastAsiaTheme="minorEastAsia" w:hAnsiTheme="minorEastAsia" w:hint="eastAsia"/>
          <w:kern w:val="0"/>
          <w:sz w:val="21"/>
        </w:rPr>
        <w:t>如果发生暂停的时间超过两周，暂停期间，基金管理人应每两周至少重复刊登暂停公告一次；当连续暂停时间超过两个月时，可对重复刊登暂停公告的频率进行调整。暂停结束基金重新开放申购或赎回时，基金管理人应提前</w:t>
      </w:r>
      <w:r w:rsidRPr="000239D0">
        <w:rPr>
          <w:rFonts w:asciiTheme="minorEastAsia" w:eastAsiaTheme="minorEastAsia" w:hAnsiTheme="minorEastAsia"/>
          <w:kern w:val="0"/>
          <w:sz w:val="21"/>
        </w:rPr>
        <w:t>3</w:t>
      </w:r>
      <w:r w:rsidRPr="000239D0">
        <w:rPr>
          <w:rFonts w:asciiTheme="minorEastAsia" w:eastAsiaTheme="minorEastAsia" w:hAnsiTheme="minorEastAsia" w:hint="eastAsia"/>
          <w:kern w:val="0"/>
          <w:sz w:val="21"/>
        </w:rPr>
        <w:t>个工作日在</w:t>
      </w:r>
      <w:r w:rsidR="0034441C" w:rsidRPr="000239D0">
        <w:rPr>
          <w:rFonts w:asciiTheme="minorEastAsia" w:eastAsiaTheme="minorEastAsia" w:hAnsiTheme="minorEastAsia" w:hint="eastAsia"/>
          <w:kern w:val="0"/>
          <w:sz w:val="21"/>
        </w:rPr>
        <w:t>指定媒介</w:t>
      </w:r>
      <w:r w:rsidRPr="000239D0">
        <w:rPr>
          <w:rFonts w:asciiTheme="minorEastAsia" w:eastAsiaTheme="minorEastAsia" w:hAnsiTheme="minorEastAsia" w:hint="eastAsia"/>
          <w:kern w:val="0"/>
          <w:sz w:val="21"/>
        </w:rPr>
        <w:t>连续刊登基金重新开放申购或赎回的公告，并在重新开放申购或赎回日公告最新的基金</w:t>
      </w:r>
      <w:r w:rsidRPr="000239D0">
        <w:rPr>
          <w:rFonts w:asciiTheme="minorEastAsia" w:eastAsiaTheme="minorEastAsia" w:hAnsiTheme="minorEastAsia" w:hint="eastAsia"/>
          <w:sz w:val="21"/>
        </w:rPr>
        <w:t>份额</w:t>
      </w:r>
      <w:r w:rsidRPr="000239D0">
        <w:rPr>
          <w:rFonts w:asciiTheme="minorEastAsia" w:eastAsiaTheme="minorEastAsia" w:hAnsiTheme="minorEastAsia" w:hint="eastAsia"/>
          <w:kern w:val="0"/>
          <w:sz w:val="21"/>
        </w:rPr>
        <w:t>净值。</w:t>
      </w: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bookmarkStart w:id="60" w:name="_Toc219695801"/>
      <w:bookmarkStart w:id="61" w:name="_Toc36452372"/>
      <w:r w:rsidRPr="000239D0">
        <w:rPr>
          <w:rFonts w:asciiTheme="minorEastAsia" w:eastAsiaTheme="minorEastAsia" w:hAnsiTheme="minorEastAsia" w:hint="eastAsia"/>
          <w:b/>
          <w:bCs/>
          <w:kern w:val="44"/>
          <w:sz w:val="28"/>
          <w:szCs w:val="44"/>
        </w:rPr>
        <w:lastRenderedPageBreak/>
        <w:t>七、基金的非交易过户、转托管、冻结与质押</w:t>
      </w:r>
      <w:bookmarkEnd w:id="60"/>
      <w:bookmarkEnd w:id="61"/>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（一）</w:t>
      </w:r>
      <w:r w:rsidRPr="000239D0">
        <w:rPr>
          <w:rFonts w:asciiTheme="minorEastAsia" w:eastAsiaTheme="minorEastAsia" w:hAnsiTheme="minorEastAsia"/>
          <w:sz w:val="21"/>
        </w:rPr>
        <w:t>非交易过户是指不采用申购、赎回等基金交易方式，将一定数量的基金份额按照一定规则从某一投资者基金账户转移到另一投资者基金账户的行为</w:t>
      </w:r>
      <w:r w:rsidRPr="000239D0">
        <w:rPr>
          <w:rFonts w:asciiTheme="minorEastAsia" w:eastAsiaTheme="minorEastAsia" w:hAnsiTheme="minorEastAsia" w:hint="eastAsia"/>
          <w:sz w:val="21"/>
        </w:rPr>
        <w:t>，包括</w:t>
      </w:r>
      <w:r w:rsidRPr="000239D0">
        <w:rPr>
          <w:rFonts w:asciiTheme="minorEastAsia" w:eastAsiaTheme="minorEastAsia" w:hAnsiTheme="minorEastAsia"/>
          <w:sz w:val="21"/>
        </w:rPr>
        <w:t>继承、捐赠、遗赠、自愿离婚、分家析产、国有资产无偿划转、机构合并或分立、资产售卖、机构清算、企业破产清算、强制执行</w:t>
      </w:r>
      <w:r w:rsidRPr="000239D0">
        <w:rPr>
          <w:rFonts w:asciiTheme="minorEastAsia" w:eastAsiaTheme="minorEastAsia" w:hAnsiTheme="minorEastAsia" w:hint="eastAsia"/>
          <w:sz w:val="21"/>
        </w:rPr>
        <w:t>，及基金注册登记机构认可的其它行为</w:t>
      </w:r>
      <w:r w:rsidRPr="000239D0">
        <w:rPr>
          <w:rFonts w:asciiTheme="minorEastAsia" w:eastAsiaTheme="minorEastAsia" w:hAnsiTheme="minorEastAsia"/>
          <w:sz w:val="21"/>
        </w:rPr>
        <w:t>。无论在上述何种情况下，接受划转的主体必须是适</w:t>
      </w:r>
      <w:r w:rsidRPr="000239D0">
        <w:rPr>
          <w:rFonts w:asciiTheme="minorEastAsia" w:eastAsiaTheme="minorEastAsia" w:hAnsiTheme="minorEastAsia" w:hint="eastAsia"/>
          <w:sz w:val="21"/>
        </w:rPr>
        <w:t>格</w:t>
      </w:r>
      <w:r w:rsidRPr="000239D0">
        <w:rPr>
          <w:rFonts w:asciiTheme="minorEastAsia" w:eastAsiaTheme="minorEastAsia" w:hAnsiTheme="minorEastAsia"/>
          <w:sz w:val="21"/>
        </w:rPr>
        <w:t>的个人投资者或机构投资者。</w:t>
      </w:r>
      <w:r w:rsidRPr="000239D0">
        <w:rPr>
          <w:rFonts w:asciiTheme="minorEastAsia" w:eastAsiaTheme="minorEastAsia" w:hAnsiTheme="minorEastAsia" w:hint="eastAsia"/>
          <w:sz w:val="21"/>
          <w:szCs w:val="21"/>
        </w:rPr>
        <w:t>其中：</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w:t>
      </w:r>
      <w:r w:rsidR="005336CC" w:rsidRPr="000239D0">
        <w:rPr>
          <w:rFonts w:asciiTheme="minorEastAsia" w:eastAsiaTheme="minorEastAsia" w:hAnsiTheme="minorEastAsia" w:hint="eastAsia"/>
          <w:sz w:val="21"/>
          <w:szCs w:val="21"/>
        </w:rPr>
        <w:t>“继承”是指基金份额持有人死亡，其持有的基金份额由其合法的继承人或受遗赠人继承。</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w:t>
      </w:r>
      <w:r w:rsidR="005336CC" w:rsidRPr="000239D0">
        <w:rPr>
          <w:rFonts w:asciiTheme="minorEastAsia" w:eastAsiaTheme="minorEastAsia" w:hAnsiTheme="minorEastAsia" w:hint="eastAsia"/>
          <w:sz w:val="21"/>
          <w:szCs w:val="21"/>
        </w:rPr>
        <w:t>“捐赠”仅指基金份额持有人将其合法持有的基金份额捐赠给福利性质的基金会或其他具有社会公益性质的社会团体。</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w:t>
      </w:r>
      <w:r w:rsidR="005336CC" w:rsidRPr="000239D0">
        <w:rPr>
          <w:rFonts w:asciiTheme="minorEastAsia" w:eastAsiaTheme="minorEastAsia" w:hAnsiTheme="minorEastAsia"/>
          <w:sz w:val="21"/>
          <w:szCs w:val="21"/>
        </w:rPr>
        <w:t>“遗赠”指基金份额持有人立遗嘱将其持有的基金份额赠给法定继承人以外的其他人；</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w:t>
      </w:r>
      <w:r w:rsidR="005336CC" w:rsidRPr="000239D0">
        <w:rPr>
          <w:rFonts w:asciiTheme="minorEastAsia" w:eastAsiaTheme="minorEastAsia" w:hAnsiTheme="minorEastAsia"/>
          <w:sz w:val="21"/>
          <w:szCs w:val="21"/>
        </w:rPr>
        <w:t>“自愿离婚”指原属夫妻共同财产的基金份额因基金份额持有人自愿离婚而使原在某一方名下的部分或全部基金份额划转至另一方名下；</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w:t>
      </w:r>
      <w:r w:rsidR="005336CC" w:rsidRPr="000239D0">
        <w:rPr>
          <w:rFonts w:asciiTheme="minorEastAsia" w:eastAsiaTheme="minorEastAsia" w:hAnsiTheme="minorEastAsia"/>
          <w:sz w:val="21"/>
          <w:szCs w:val="21"/>
        </w:rPr>
        <w:t>“分家析产”指原属家庭共有（如父子共有、兄弟共有等）的基金份额从某一家庭成员名下划转至其他家庭成员名下的行为；</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6、</w:t>
      </w:r>
      <w:r w:rsidR="005336CC" w:rsidRPr="000239D0">
        <w:rPr>
          <w:rFonts w:asciiTheme="minorEastAsia" w:eastAsiaTheme="minorEastAsia" w:hAnsiTheme="minorEastAsia"/>
          <w:sz w:val="21"/>
          <w:szCs w:val="21"/>
        </w:rPr>
        <w:t>“国有资产无偿划转”指因管理体制改革、组织形式调整或资产重组等原因引起的作为国有资产的基金份额在不同国有产权主体之间的无偿转移；</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7、</w:t>
      </w:r>
      <w:r w:rsidR="005336CC" w:rsidRPr="000239D0">
        <w:rPr>
          <w:rFonts w:asciiTheme="minorEastAsia" w:eastAsiaTheme="minorEastAsia" w:hAnsiTheme="minorEastAsia"/>
          <w:sz w:val="21"/>
          <w:szCs w:val="21"/>
        </w:rPr>
        <w:t>“机构合并或分立”指因机构的合并或分立而导致的基金份额的划转；</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8、</w:t>
      </w:r>
      <w:r w:rsidR="005336CC" w:rsidRPr="000239D0">
        <w:rPr>
          <w:rFonts w:asciiTheme="minorEastAsia" w:eastAsiaTheme="minorEastAsia" w:hAnsiTheme="minorEastAsia"/>
          <w:sz w:val="21"/>
          <w:szCs w:val="21"/>
        </w:rPr>
        <w:t>“资产售卖”指一企业出售它的下属部门（独立部门、分支机构或生产线）的整体资产给另一企业的交易，在这种交易中，前者持有的基金份额随其他经营性资产一同转让给后者，由后者一并支付对价；</w:t>
      </w:r>
    </w:p>
    <w:p w:rsidR="007902F7"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9、</w:t>
      </w:r>
      <w:r w:rsidR="005336CC" w:rsidRPr="000239D0">
        <w:rPr>
          <w:rFonts w:asciiTheme="minorEastAsia" w:eastAsiaTheme="minorEastAsia" w:hAnsiTheme="minorEastAsia"/>
          <w:sz w:val="21"/>
          <w:szCs w:val="21"/>
        </w:rPr>
        <w:t>“机构清算”是指机构因组织文件规定的期限届满或出现其他解散事由，或因其权力机关作出解散决议，或依法被责令关闭或撤销而导致解散，</w:t>
      </w:r>
      <w:r w:rsidRPr="000239D0">
        <w:rPr>
          <w:rFonts w:asciiTheme="minorEastAsia" w:eastAsiaTheme="minorEastAsia" w:hAnsiTheme="minorEastAsia"/>
          <w:sz w:val="21"/>
          <w:szCs w:val="21"/>
        </w:rPr>
        <w:t>或因其他原因解散</w:t>
      </w:r>
      <w:r w:rsidRPr="000239D0">
        <w:rPr>
          <w:rFonts w:asciiTheme="minorEastAsia" w:eastAsiaTheme="minorEastAsia" w:hAnsiTheme="minorEastAsia" w:hint="eastAsia"/>
          <w:sz w:val="21"/>
          <w:szCs w:val="21"/>
        </w:rPr>
        <w:t>，</w:t>
      </w:r>
      <w:r w:rsidR="005336CC" w:rsidRPr="000239D0">
        <w:rPr>
          <w:rFonts w:asciiTheme="minorEastAsia" w:eastAsiaTheme="minorEastAsia" w:hAnsiTheme="minorEastAsia"/>
          <w:sz w:val="21"/>
          <w:szCs w:val="21"/>
        </w:rPr>
        <w:t>从而进入清算程序（破产清算程序除外），清算组（或类似组织，下同）将该机构持有的基金份额分配给该机构的债权人以清偿债务，或将清偿债务后的剩余财产中的基金份额分配给机构的股东、成员、出资者或开办人；</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10、</w:t>
      </w:r>
      <w:r w:rsidR="005336CC" w:rsidRPr="000239D0">
        <w:rPr>
          <w:rFonts w:asciiTheme="minorEastAsia" w:eastAsiaTheme="minorEastAsia" w:hAnsiTheme="minorEastAsia"/>
          <w:sz w:val="21"/>
          <w:szCs w:val="21"/>
        </w:rPr>
        <w:t>“企业破产清算”是指一企业法人根据《中华人民共和国企业破产法（试行）》或《中华人民共和国民事诉讼法》第十九章的有关规定被宣告破产，清算组依法将破产企业持有的基金份额直接分配给该破产企业的债权人所导致的基金份额的划转；</w:t>
      </w:r>
    </w:p>
    <w:p w:rsidR="005336CC" w:rsidRPr="000239D0" w:rsidRDefault="007902F7"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11、</w:t>
      </w:r>
      <w:r w:rsidR="005336CC" w:rsidRPr="000239D0">
        <w:rPr>
          <w:rFonts w:asciiTheme="minorEastAsia" w:eastAsiaTheme="minorEastAsia" w:hAnsiTheme="minorEastAsia" w:hint="eastAsia"/>
          <w:sz w:val="21"/>
          <w:szCs w:val="21"/>
        </w:rPr>
        <w:t>“强制执行”是指国家有权机关依据生效的法律文书将基金份额持有人持有的基金份额强制执行划转给其他自然人、法人、社会团体或其他组织。</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lastRenderedPageBreak/>
        <w:t>（二）办理非交易过户业务必须提供</w:t>
      </w:r>
      <w:r w:rsidRPr="000239D0">
        <w:rPr>
          <w:rFonts w:asciiTheme="minorEastAsia" w:eastAsiaTheme="minorEastAsia" w:hAnsiTheme="minorEastAsia" w:hint="eastAsia"/>
          <w:sz w:val="21"/>
        </w:rPr>
        <w:t>基金注册登记机构</w:t>
      </w:r>
      <w:r w:rsidRPr="000239D0">
        <w:rPr>
          <w:rFonts w:asciiTheme="minorEastAsia" w:eastAsiaTheme="minorEastAsia" w:hAnsiTheme="minorEastAsia" w:hint="eastAsia"/>
          <w:sz w:val="21"/>
          <w:szCs w:val="21"/>
        </w:rPr>
        <w:t>要求提供的相关资料，其中，</w:t>
      </w:r>
      <w:r w:rsidRPr="000239D0">
        <w:rPr>
          <w:rFonts w:asciiTheme="minorEastAsia" w:eastAsiaTheme="minorEastAsia" w:hAnsiTheme="minorEastAsia"/>
          <w:sz w:val="21"/>
        </w:rPr>
        <w:t>因继承、捐赠、遗赠、自愿离婚、分家析产原因</w:t>
      </w:r>
      <w:r w:rsidRPr="000239D0">
        <w:rPr>
          <w:rFonts w:asciiTheme="minorEastAsia" w:eastAsiaTheme="minorEastAsia" w:hAnsiTheme="minorEastAsia" w:hint="eastAsia"/>
          <w:sz w:val="21"/>
          <w:szCs w:val="21"/>
        </w:rPr>
        <w:t>导致的非交易过户向基金销售网点申请办理，</w:t>
      </w:r>
      <w:r w:rsidRPr="000239D0">
        <w:rPr>
          <w:rFonts w:asciiTheme="minorEastAsia" w:eastAsiaTheme="minorEastAsia" w:hAnsiTheme="minorEastAsia"/>
          <w:sz w:val="21"/>
        </w:rPr>
        <w:t>因国有资产无偿划转、机构合并或分立、资产售卖、机构</w:t>
      </w:r>
      <w:r w:rsidRPr="000239D0">
        <w:rPr>
          <w:rFonts w:asciiTheme="minorEastAsia" w:eastAsiaTheme="minorEastAsia" w:hAnsiTheme="minorEastAsia" w:hint="eastAsia"/>
          <w:sz w:val="21"/>
        </w:rPr>
        <w:t>清算</w:t>
      </w:r>
      <w:r w:rsidRPr="000239D0">
        <w:rPr>
          <w:rFonts w:asciiTheme="minorEastAsia" w:eastAsiaTheme="minorEastAsia" w:hAnsiTheme="minorEastAsia"/>
          <w:sz w:val="21"/>
        </w:rPr>
        <w:t>、企业破产</w:t>
      </w:r>
      <w:r w:rsidRPr="000239D0">
        <w:rPr>
          <w:rFonts w:asciiTheme="minorEastAsia" w:eastAsiaTheme="minorEastAsia" w:hAnsiTheme="minorEastAsia" w:hint="eastAsia"/>
          <w:sz w:val="21"/>
        </w:rPr>
        <w:t>清算</w:t>
      </w:r>
      <w:r w:rsidRPr="000239D0">
        <w:rPr>
          <w:rFonts w:asciiTheme="minorEastAsia" w:eastAsiaTheme="minorEastAsia" w:hAnsiTheme="minorEastAsia"/>
          <w:sz w:val="21"/>
        </w:rPr>
        <w:t>、强制执行原因</w:t>
      </w:r>
      <w:r w:rsidRPr="000239D0">
        <w:rPr>
          <w:rFonts w:asciiTheme="minorEastAsia" w:eastAsiaTheme="minorEastAsia" w:hAnsiTheme="minorEastAsia" w:hint="eastAsia"/>
          <w:sz w:val="21"/>
          <w:szCs w:val="21"/>
        </w:rPr>
        <w:t>导致的非交易过户直接向</w:t>
      </w:r>
      <w:r w:rsidRPr="000239D0">
        <w:rPr>
          <w:rFonts w:asciiTheme="minorEastAsia" w:eastAsiaTheme="minorEastAsia" w:hAnsiTheme="minorEastAsia" w:hint="eastAsia"/>
          <w:sz w:val="21"/>
        </w:rPr>
        <w:t>基金注册登记机构</w:t>
      </w:r>
      <w:r w:rsidRPr="000239D0">
        <w:rPr>
          <w:rFonts w:asciiTheme="minorEastAsia" w:eastAsiaTheme="minorEastAsia" w:hAnsiTheme="minorEastAsia" w:hint="eastAsia"/>
          <w:sz w:val="21"/>
          <w:szCs w:val="21"/>
        </w:rPr>
        <w:t>统一申请办理。</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（三）符合条件的非交易过户申请自申请受理日起，</w:t>
      </w:r>
      <w:r w:rsidR="000A78D9" w:rsidRPr="000239D0">
        <w:rPr>
          <w:rFonts w:asciiTheme="minorEastAsia" w:eastAsiaTheme="minorEastAsia" w:hAnsiTheme="minorEastAsia" w:hint="eastAsia"/>
          <w:sz w:val="21"/>
          <w:szCs w:val="21"/>
        </w:rPr>
        <w:t>两个月内</w:t>
      </w:r>
      <w:r w:rsidRPr="000239D0">
        <w:rPr>
          <w:rFonts w:asciiTheme="minorEastAsia" w:eastAsiaTheme="minorEastAsia" w:hAnsiTheme="minorEastAsia" w:hint="eastAsia"/>
          <w:sz w:val="21"/>
          <w:szCs w:val="21"/>
        </w:rPr>
        <w:t>办理；申请人按</w:t>
      </w:r>
      <w:r w:rsidRPr="000239D0">
        <w:rPr>
          <w:rFonts w:asciiTheme="minorEastAsia" w:eastAsiaTheme="minorEastAsia" w:hAnsiTheme="minorEastAsia" w:hint="eastAsia"/>
          <w:sz w:val="21"/>
        </w:rPr>
        <w:t>基金注册登记机构</w:t>
      </w:r>
      <w:r w:rsidRPr="000239D0">
        <w:rPr>
          <w:rFonts w:asciiTheme="minorEastAsia" w:eastAsiaTheme="minorEastAsia" w:hAnsiTheme="minorEastAsia" w:hint="eastAsia"/>
          <w:sz w:val="21"/>
          <w:szCs w:val="21"/>
        </w:rPr>
        <w:t>规定的标准缴纳过户费用。</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（四）基金份额持有人可以办理其基金份额在不同销售机构的转托管手续，转托管业务由各销售机构负责受理。</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（五）</w:t>
      </w:r>
      <w:r w:rsidRPr="000239D0">
        <w:rPr>
          <w:rFonts w:asciiTheme="minorEastAsia" w:eastAsiaTheme="minorEastAsia" w:hAnsiTheme="minorEastAsia" w:hint="eastAsia"/>
          <w:sz w:val="21"/>
        </w:rPr>
        <w:t>基金注册登记机构</w:t>
      </w:r>
      <w:r w:rsidRPr="000239D0">
        <w:rPr>
          <w:rFonts w:asciiTheme="minorEastAsia" w:eastAsiaTheme="minorEastAsia" w:hAnsiTheme="minorEastAsia" w:hint="eastAsia"/>
          <w:sz w:val="21"/>
          <w:szCs w:val="21"/>
        </w:rPr>
        <w:t>只受理国家有权机关依法要求的基金账户或基金份额的冻结与解冻。基金帐户或基金份额被冻结的，被冻结部分产生的权益（包括现金分红和红利再投资）一并冻结。</w:t>
      </w: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7902F7" w:rsidRPr="000239D0" w:rsidRDefault="007902F7" w:rsidP="000B1E9F">
      <w:pPr>
        <w:snapToGrid w:val="0"/>
        <w:spacing w:line="360" w:lineRule="auto"/>
        <w:ind w:firstLine="420"/>
        <w:rPr>
          <w:rFonts w:asciiTheme="minorEastAsia" w:eastAsiaTheme="minorEastAsia" w:hAnsiTheme="minorEastAsia"/>
          <w:sz w:val="21"/>
          <w:szCs w:val="21"/>
        </w:rPr>
      </w:pPr>
    </w:p>
    <w:p w:rsidR="007902F7" w:rsidRPr="000239D0" w:rsidRDefault="007902F7" w:rsidP="000B1E9F">
      <w:pPr>
        <w:snapToGrid w:val="0"/>
        <w:spacing w:line="360" w:lineRule="auto"/>
        <w:ind w:firstLine="420"/>
        <w:rPr>
          <w:rFonts w:asciiTheme="minorEastAsia" w:eastAsiaTheme="minorEastAsia" w:hAnsiTheme="minorEastAsia"/>
          <w:sz w:val="21"/>
          <w:szCs w:val="21"/>
        </w:rPr>
      </w:pPr>
    </w:p>
    <w:p w:rsidR="007902F7" w:rsidRPr="000239D0" w:rsidRDefault="007902F7"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310201" w:rsidRPr="000239D0" w:rsidRDefault="00310201" w:rsidP="000B1E9F">
      <w:pPr>
        <w:snapToGrid w:val="0"/>
        <w:spacing w:line="360" w:lineRule="auto"/>
        <w:ind w:firstLine="480"/>
        <w:rPr>
          <w:rFonts w:asciiTheme="minorEastAsia" w:eastAsiaTheme="minorEastAsia" w:hAnsiTheme="minorEastAsia"/>
        </w:r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
          <w:bCs/>
        </w:rPr>
      </w:pPr>
      <w:bookmarkStart w:id="62" w:name="_Toc219695802"/>
      <w:bookmarkStart w:id="63" w:name="_Toc36452373"/>
      <w:r w:rsidRPr="000239D0">
        <w:rPr>
          <w:rFonts w:asciiTheme="minorEastAsia" w:eastAsiaTheme="minorEastAsia" w:hAnsiTheme="minorEastAsia" w:hint="eastAsia"/>
          <w:b/>
          <w:bCs/>
          <w:kern w:val="44"/>
          <w:sz w:val="28"/>
          <w:szCs w:val="44"/>
        </w:rPr>
        <w:lastRenderedPageBreak/>
        <w:t>八、基金的投资</w:t>
      </w:r>
      <w:bookmarkEnd w:id="62"/>
      <w:bookmarkEnd w:id="63"/>
    </w:p>
    <w:p w:rsidR="005336CC" w:rsidRPr="000239D0" w:rsidRDefault="001049DF" w:rsidP="000B1E9F">
      <w:pPr>
        <w:pStyle w:val="20"/>
        <w:snapToGrid w:val="0"/>
        <w:spacing w:beforeLines="0" w:afterLines="0" w:line="360" w:lineRule="auto"/>
        <w:ind w:firstLineChars="0" w:firstLine="0"/>
        <w:rPr>
          <w:rFonts w:asciiTheme="minorEastAsia" w:eastAsiaTheme="minorEastAsia" w:hAnsiTheme="minorEastAsia"/>
          <w:b w:val="0"/>
          <w:bCs/>
          <w:szCs w:val="24"/>
        </w:rPr>
      </w:pPr>
      <w:bookmarkStart w:id="64" w:name="_Toc219695803"/>
      <w:bookmarkStart w:id="65" w:name="_Toc36452374"/>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投资目标</w:t>
      </w:r>
      <w:bookmarkEnd w:id="64"/>
      <w:bookmarkEnd w:id="65"/>
    </w:p>
    <w:p w:rsidR="005336CC" w:rsidRPr="000239D0" w:rsidRDefault="005336CC" w:rsidP="000B1E9F">
      <w:pPr>
        <w:snapToGrid w:val="0"/>
        <w:spacing w:line="360" w:lineRule="auto"/>
        <w:ind w:firstLine="420"/>
        <w:rPr>
          <w:rFonts w:asciiTheme="minorEastAsia" w:eastAsiaTheme="minorEastAsia" w:hAnsiTheme="minorEastAsia"/>
          <w:sz w:val="21"/>
          <w:szCs w:val="24"/>
        </w:rPr>
      </w:pPr>
      <w:r w:rsidRPr="000239D0">
        <w:rPr>
          <w:rFonts w:asciiTheme="minorEastAsia" w:eastAsiaTheme="minorEastAsia" w:hAnsiTheme="minorEastAsia" w:hint="eastAsia"/>
          <w:sz w:val="21"/>
          <w:szCs w:val="24"/>
        </w:rPr>
        <w:t>本基金通过投资兼具较高内在价值和良好成长性的股票，积极把握股票市场波动所带来的获利机会，努力为基金份额持有人追求较高的中长期资本增值。</w:t>
      </w:r>
    </w:p>
    <w:p w:rsidR="005336CC" w:rsidRPr="000239D0" w:rsidRDefault="001049DF" w:rsidP="000B1E9F">
      <w:pPr>
        <w:pStyle w:val="20"/>
        <w:snapToGrid w:val="0"/>
        <w:spacing w:beforeLines="0" w:afterLines="0" w:line="360" w:lineRule="auto"/>
        <w:ind w:firstLineChars="0" w:firstLine="0"/>
        <w:rPr>
          <w:rFonts w:asciiTheme="minorEastAsia" w:eastAsiaTheme="minorEastAsia" w:hAnsiTheme="minorEastAsia"/>
          <w:b w:val="0"/>
          <w:bCs/>
          <w:szCs w:val="24"/>
        </w:rPr>
      </w:pPr>
      <w:bookmarkStart w:id="66" w:name="_Toc219695804"/>
      <w:bookmarkStart w:id="67" w:name="_Toc36452375"/>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投资方向</w:t>
      </w:r>
      <w:bookmarkEnd w:id="66"/>
      <w:bookmarkEnd w:id="67"/>
    </w:p>
    <w:p w:rsidR="005336CC" w:rsidRPr="000239D0" w:rsidRDefault="005336CC" w:rsidP="000B1E9F">
      <w:pPr>
        <w:pStyle w:val="aa"/>
        <w:snapToGrid w:val="0"/>
        <w:spacing w:line="360" w:lineRule="auto"/>
        <w:ind w:firstLineChars="200"/>
        <w:rPr>
          <w:rFonts w:asciiTheme="minorEastAsia" w:eastAsiaTheme="minorEastAsia" w:hAnsiTheme="minorEastAsia"/>
          <w:szCs w:val="24"/>
        </w:rPr>
      </w:pPr>
      <w:r w:rsidRPr="000239D0">
        <w:rPr>
          <w:rFonts w:asciiTheme="minorEastAsia" w:eastAsiaTheme="minorEastAsia" w:hAnsiTheme="minorEastAsia" w:hint="eastAsia"/>
        </w:rPr>
        <w:t>本基金投资范围为具有良好流动性的金融工具，包括国内依法发行上市的股票、债券及法律、法规或中国证监会允许基金投资的其他金融工具。基金股票部分主要投资于具有较高内在价值及良好成长性的上市公司股票，投资于这类股票的资产不低于基金股票投资的80%。</w:t>
      </w:r>
    </w:p>
    <w:p w:rsidR="005336CC" w:rsidRPr="000239D0" w:rsidRDefault="001049DF" w:rsidP="000B1E9F">
      <w:pPr>
        <w:pStyle w:val="20"/>
        <w:snapToGrid w:val="0"/>
        <w:spacing w:beforeLines="0" w:afterLines="0" w:line="360" w:lineRule="auto"/>
        <w:ind w:firstLineChars="0" w:firstLine="0"/>
        <w:rPr>
          <w:rFonts w:asciiTheme="minorEastAsia" w:eastAsiaTheme="minorEastAsia" w:hAnsiTheme="minorEastAsia"/>
          <w:b w:val="0"/>
          <w:bCs/>
          <w:szCs w:val="24"/>
        </w:rPr>
      </w:pPr>
      <w:bookmarkStart w:id="68" w:name="_Toc219695805"/>
      <w:bookmarkStart w:id="69" w:name="_Toc36452376"/>
      <w:r w:rsidRPr="000239D0">
        <w:rPr>
          <w:rFonts w:asciiTheme="minorEastAsia" w:eastAsiaTheme="minorEastAsia" w:hAnsiTheme="minorEastAsia" w:hint="eastAsia"/>
          <w:b w:val="0"/>
          <w:bCs/>
        </w:rPr>
        <w:t>（三）</w:t>
      </w:r>
      <w:r w:rsidR="005336CC" w:rsidRPr="000239D0">
        <w:rPr>
          <w:rFonts w:asciiTheme="minorEastAsia" w:eastAsiaTheme="minorEastAsia" w:hAnsiTheme="minorEastAsia" w:hint="eastAsia"/>
          <w:b w:val="0"/>
          <w:bCs/>
        </w:rPr>
        <w:t>投资理念</w:t>
      </w:r>
      <w:bookmarkEnd w:id="68"/>
      <w:bookmarkEnd w:id="69"/>
    </w:p>
    <w:p w:rsidR="005336CC" w:rsidRPr="000239D0" w:rsidRDefault="005336CC" w:rsidP="000B1E9F">
      <w:pPr>
        <w:snapToGrid w:val="0"/>
        <w:spacing w:line="360" w:lineRule="auto"/>
        <w:ind w:firstLine="420"/>
        <w:rPr>
          <w:rFonts w:asciiTheme="minorEastAsia" w:eastAsiaTheme="minorEastAsia" w:hAnsiTheme="minorEastAsia"/>
          <w:sz w:val="21"/>
          <w:szCs w:val="24"/>
        </w:rPr>
      </w:pPr>
      <w:r w:rsidRPr="000239D0">
        <w:rPr>
          <w:rFonts w:asciiTheme="minorEastAsia" w:eastAsiaTheme="minorEastAsia" w:hAnsiTheme="minorEastAsia" w:hint="eastAsia"/>
          <w:sz w:val="21"/>
        </w:rPr>
        <w:t>波动产生机会，研究创造价值，</w:t>
      </w:r>
      <w:r w:rsidRPr="000239D0">
        <w:rPr>
          <w:rFonts w:asciiTheme="minorEastAsia" w:eastAsiaTheme="minorEastAsia" w:hAnsiTheme="minorEastAsia" w:hint="eastAsia"/>
          <w:bCs/>
          <w:sz w:val="21"/>
        </w:rPr>
        <w:t>策略实现收益。</w:t>
      </w:r>
    </w:p>
    <w:p w:rsidR="005336CC" w:rsidRPr="000239D0" w:rsidRDefault="001049DF" w:rsidP="000B1E9F">
      <w:pPr>
        <w:pStyle w:val="20"/>
        <w:snapToGrid w:val="0"/>
        <w:spacing w:beforeLines="0" w:afterLines="0" w:line="360" w:lineRule="auto"/>
        <w:ind w:firstLineChars="0" w:firstLine="0"/>
        <w:rPr>
          <w:rFonts w:asciiTheme="minorEastAsia" w:eastAsiaTheme="minorEastAsia" w:hAnsiTheme="minorEastAsia"/>
          <w:b w:val="0"/>
          <w:bCs/>
          <w:szCs w:val="24"/>
        </w:rPr>
      </w:pPr>
      <w:bookmarkStart w:id="70" w:name="_Toc219695806"/>
      <w:bookmarkStart w:id="71" w:name="_Toc36452377"/>
      <w:r w:rsidRPr="000239D0">
        <w:rPr>
          <w:rFonts w:asciiTheme="minorEastAsia" w:eastAsiaTheme="minorEastAsia" w:hAnsiTheme="minorEastAsia" w:hint="eastAsia"/>
          <w:b w:val="0"/>
          <w:bCs/>
        </w:rPr>
        <w:t>（四）</w:t>
      </w:r>
      <w:r w:rsidR="005336CC" w:rsidRPr="000239D0">
        <w:rPr>
          <w:rFonts w:asciiTheme="minorEastAsia" w:eastAsiaTheme="minorEastAsia" w:hAnsiTheme="minorEastAsia" w:hint="eastAsia"/>
          <w:b w:val="0"/>
          <w:bCs/>
        </w:rPr>
        <w:t>投资策略</w:t>
      </w:r>
      <w:bookmarkEnd w:id="70"/>
      <w:bookmarkEnd w:id="71"/>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为主动型股票基金，主要投资于国内A股市场上兼具较高内在价值及良好成长性的股票。通过发挥基金管理人的研究优势，将稳健、系统的选股方法与主动、灵活的投资操作风格相结合，在分析研判经济运行和行业景气变化的周期性、以及上市公司成长发展的波动性的基础上，积极把握“价值区域”内股票价格和价值波动对比中的投资机会，为基金份额持有人获取较高的中长期资本增值和一定的当期收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（1）资产配置策略</w:t>
      </w:r>
    </w:p>
    <w:p w:rsidR="005336CC" w:rsidRPr="000239D0" w:rsidRDefault="005336CC"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本基金采取相对稳定的资产配置策略，一般情况下将保持股票配置比例的相对稳定，避免因过于主动的仓位调整带来额外的风险。只有当基金管理人通过研究发现市场的主导因素（宏观面、政策面和资金面等）发生实质性变化时，才会对资产配置比例进行较大幅度的主动调整。</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本基金股票投资比例最高可达95%。</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（2）股票投资策略</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为主动型股票基金，股票投资的总体原则是在价值区域内把握波动机会，在波动中实现研究的“溢价”。基金管理人以专业的研究力量为依托，将稳健、系统的选股方法与积极、主动的投资操作风格有机结合，首先筛选出兼具较高内在价值及良好成长性的股票，即确定投资的“价值区域”；其次在分析研判经济运行和行业景气变化的周期性以及上市公司成长发展的波动性的基础上，通过对相关行业和上市公司成长率变化的动态预测，积极把握“价值区域”内股票价格和价值波动对比中的投资机会，适时实现投资收益。</w:t>
      </w:r>
    </w:p>
    <w:p w:rsidR="005336CC" w:rsidRPr="000239D0" w:rsidRDefault="007902F7"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股票的选择</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本基金采用定量与定性相结合的系统方法选择股票，筛选出兼具较高内在价值及良好成</w:t>
      </w:r>
      <w:r w:rsidRPr="000239D0">
        <w:rPr>
          <w:rFonts w:asciiTheme="minorEastAsia" w:eastAsiaTheme="minorEastAsia" w:hAnsiTheme="minorEastAsia" w:hint="eastAsia"/>
          <w:sz w:val="21"/>
        </w:rPr>
        <w:lastRenderedPageBreak/>
        <w:t>长性的股票，即处于本基金管理人所认为的“价值区域”中的股票。</w:t>
      </w:r>
    </w:p>
    <w:p w:rsidR="005336CC" w:rsidRPr="000239D0" w:rsidRDefault="005336CC" w:rsidP="000B1E9F">
      <w:pPr>
        <w:autoSpaceDE w:val="0"/>
        <w:autoSpaceDN w:val="0"/>
        <w:snapToGrid w:val="0"/>
        <w:spacing w:line="360" w:lineRule="auto"/>
        <w:ind w:firstLine="420"/>
        <w:jc w:val="left"/>
        <w:rPr>
          <w:rFonts w:asciiTheme="minorEastAsia" w:eastAsiaTheme="minorEastAsia" w:hAnsiTheme="minorEastAsia"/>
          <w:kern w:val="0"/>
          <w:sz w:val="21"/>
        </w:rPr>
      </w:pPr>
      <w:r w:rsidRPr="000239D0">
        <w:rPr>
          <w:rFonts w:asciiTheme="minorEastAsia" w:eastAsiaTheme="minorEastAsia" w:hAnsiTheme="minorEastAsia" w:hint="eastAsia"/>
          <w:sz w:val="21"/>
        </w:rPr>
        <w:t>首先，本基金以价值成长比率（PEG）为主要参考指标对进入本公司“股票投资一般备选库”中的股票进行定量分析，对股票的市盈率与成长性进行综合权衡评估；</w:t>
      </w:r>
    </w:p>
    <w:p w:rsidR="005336CC" w:rsidRPr="000239D0" w:rsidRDefault="005336CC"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其次，基金管理人将根据对上市公司基本面的深度研究和对市场趋势的具体把握，从公司基本面、股票流动性、股票相对价值等方面，结合定量分析的结果对“股票投资一般备选库”中的股票作进一步的定性评估，作为基金管理人构建组合的主要参考依据。</w:t>
      </w:r>
    </w:p>
    <w:p w:rsidR="005336CC" w:rsidRPr="000239D0" w:rsidRDefault="005336CC"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对于基金管理人基于基本面研究有充分理由认为其具有一定投资价值、符合本基金投资理念的上市公司，虽因其预期每股收益或净利润增长率为负不能进行PEG定量评估，基金管理人仍可将其选入投资组合，但其占基金股票资产的比重不应超过20%。</w:t>
      </w:r>
    </w:p>
    <w:p w:rsidR="005336CC" w:rsidRPr="000239D0" w:rsidRDefault="007902F7"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股票的投资操作</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强调策略地持有股票，而不片面强调中长线静态持有。基金管理人根据对上市公司成长率动态变化的分析预测，兼顾考虑当时的市场趋势和个股的投资机会，通过对股票价格与价值相对波动和偏离程度的分析来掌握买卖时机，在股价的波动中适时实现收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同时，本基金采取积极主动的行业优化配置和轮换策略。基金管理人主要根据对行业基本面和景气周期的分析预测，兼顾考虑行业内上市公司的代表性和基本面，确定基金在一定时期重点投资的行业。在此基础上，通过动态分析行业增长率和行业市盈率变动的偏离水平、不同行业的相对价值对比以及行业景气周期的变化等因素，适时在不同行业之间进行轮换。</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按照上述投资策略，在一定时期本基金的股票投资组合有可能出现相对集中于个别行业/板块或个股的情形，以努力捕捉由于总体或特定的经济、社会、政策以及科技等方面的进步、变化所带来的投资机会。</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（3）债券投资策略</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在债券投资方面，本基金可投资于国债、金融债、企业债和可转换债券等债券品种。本基金将根据对利率走势的预测、债券等级、债券的期限结构、风险结构、不同品种流动性的高低等因素，构造债券组合。本基金还将关注可转债价格与其所对应股票价格的相对变化，发现套利机会，并综合考虑可转债的市场流动性等因素，决定投资可转债的品种和比例。</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（4）其它投资策略</w:t>
      </w:r>
    </w:p>
    <w:p w:rsidR="005336CC" w:rsidRPr="000239D0" w:rsidRDefault="005336CC" w:rsidP="000B1E9F">
      <w:pPr>
        <w:pStyle w:val="a9"/>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kern w:val="0"/>
          <w:sz w:val="21"/>
        </w:rPr>
        <w:t>本基金将审慎投资于中国证监会批准的其它金融工具，以减少基金资产的风险并提高基金的收益。</w:t>
      </w:r>
    </w:p>
    <w:p w:rsidR="005336CC" w:rsidRPr="000239D0" w:rsidRDefault="001049D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72" w:name="_Toc219695807"/>
      <w:bookmarkStart w:id="73" w:name="_Toc36452378"/>
      <w:r w:rsidRPr="000239D0">
        <w:rPr>
          <w:rFonts w:asciiTheme="minorEastAsia" w:eastAsiaTheme="minorEastAsia" w:hAnsiTheme="minorEastAsia" w:hint="eastAsia"/>
          <w:b w:val="0"/>
          <w:bCs/>
        </w:rPr>
        <w:t>（五）</w:t>
      </w:r>
      <w:r w:rsidR="005336CC" w:rsidRPr="000239D0">
        <w:rPr>
          <w:rFonts w:asciiTheme="minorEastAsia" w:eastAsiaTheme="minorEastAsia" w:hAnsiTheme="minorEastAsia" w:hint="eastAsia"/>
          <w:b w:val="0"/>
          <w:bCs/>
        </w:rPr>
        <w:t>业绩</w:t>
      </w:r>
      <w:r w:rsidR="005336CC" w:rsidRPr="000239D0">
        <w:rPr>
          <w:rFonts w:asciiTheme="minorEastAsia" w:eastAsiaTheme="minorEastAsia" w:hAnsiTheme="minorEastAsia"/>
          <w:b w:val="0"/>
          <w:bCs/>
        </w:rPr>
        <w:t>比较基准</w:t>
      </w:r>
      <w:bookmarkEnd w:id="72"/>
      <w:bookmarkEnd w:id="73"/>
    </w:p>
    <w:p w:rsidR="005336CC" w:rsidRPr="000239D0" w:rsidRDefault="005336CC" w:rsidP="000B1E9F">
      <w:pPr>
        <w:autoSpaceDE w:val="0"/>
        <w:autoSpaceDN w:val="0"/>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上证A指收益率×75％</w:t>
      </w:r>
      <w:r w:rsidRPr="000239D0">
        <w:rPr>
          <w:rFonts w:asciiTheme="minorEastAsia" w:eastAsiaTheme="minorEastAsia" w:hAnsiTheme="minorEastAsia"/>
          <w:sz w:val="21"/>
        </w:rPr>
        <w:t>+</w:t>
      </w:r>
      <w:r w:rsidRPr="000239D0">
        <w:rPr>
          <w:rFonts w:asciiTheme="minorEastAsia" w:eastAsiaTheme="minorEastAsia" w:hAnsiTheme="minorEastAsia" w:hint="eastAsia"/>
          <w:sz w:val="21"/>
        </w:rPr>
        <w:t>上证国债指数收益率×25％</w:t>
      </w:r>
    </w:p>
    <w:p w:rsidR="005336CC" w:rsidRPr="000239D0" w:rsidRDefault="005336CC" w:rsidP="000B1E9F">
      <w:pPr>
        <w:autoSpaceDE w:val="0"/>
        <w:autoSpaceDN w:val="0"/>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策略成长基金使用以上复合比较基准主要考虑到：</w:t>
      </w:r>
    </w:p>
    <w:p w:rsidR="005336CC" w:rsidRPr="000239D0" w:rsidRDefault="005336CC" w:rsidP="000B1E9F">
      <w:pPr>
        <w:autoSpaceDE w:val="0"/>
        <w:autoSpaceDN w:val="0"/>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7902F7"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策略成长基金主要投资股票</w:t>
      </w:r>
      <w:r w:rsidR="000A78D9"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75%左右的股票比例为本基金中长期追求的资产配置目</w:t>
      </w:r>
      <w:r w:rsidRPr="000239D0">
        <w:rPr>
          <w:rFonts w:asciiTheme="minorEastAsia" w:eastAsiaTheme="minorEastAsia" w:hAnsiTheme="minorEastAsia" w:hint="eastAsia"/>
          <w:sz w:val="21"/>
        </w:rPr>
        <w:lastRenderedPageBreak/>
        <w:t>标；</w:t>
      </w:r>
    </w:p>
    <w:p w:rsidR="005336CC" w:rsidRPr="000239D0" w:rsidRDefault="005336CC" w:rsidP="000B1E9F">
      <w:pPr>
        <w:autoSpaceDE w:val="0"/>
        <w:autoSpaceDN w:val="0"/>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7902F7"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上证A指使用时间长，投资者认同度高</w:t>
      </w:r>
      <w:r w:rsidR="000A78D9"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而且与两个市场总体的走势相关度高，所以我公司用其作为股票部分的比较基准。</w:t>
      </w:r>
    </w:p>
    <w:p w:rsidR="005336CC" w:rsidRPr="000239D0" w:rsidRDefault="001049DF" w:rsidP="000B1E9F">
      <w:pPr>
        <w:pStyle w:val="20"/>
        <w:snapToGrid w:val="0"/>
        <w:spacing w:beforeLines="0" w:afterLines="0" w:line="360" w:lineRule="auto"/>
        <w:ind w:firstLineChars="0" w:firstLine="0"/>
        <w:rPr>
          <w:rFonts w:asciiTheme="minorEastAsia" w:eastAsiaTheme="minorEastAsia" w:hAnsiTheme="minorEastAsia"/>
          <w:b w:val="0"/>
          <w:bCs/>
          <w:sz w:val="21"/>
        </w:rPr>
      </w:pPr>
      <w:bookmarkStart w:id="74" w:name="_Toc219695808"/>
      <w:bookmarkStart w:id="75" w:name="_Toc36452379"/>
      <w:r w:rsidRPr="000239D0">
        <w:rPr>
          <w:rFonts w:asciiTheme="minorEastAsia" w:eastAsiaTheme="minorEastAsia" w:hAnsiTheme="minorEastAsia" w:hint="eastAsia"/>
          <w:b w:val="0"/>
          <w:bCs/>
        </w:rPr>
        <w:t>（六）</w:t>
      </w:r>
      <w:r w:rsidR="005336CC" w:rsidRPr="000239D0">
        <w:rPr>
          <w:rFonts w:asciiTheme="minorEastAsia" w:eastAsiaTheme="minorEastAsia" w:hAnsiTheme="minorEastAsia"/>
          <w:b w:val="0"/>
          <w:bCs/>
        </w:rPr>
        <w:t>风险收益特征</w:t>
      </w:r>
      <w:bookmarkEnd w:id="74"/>
      <w:bookmarkEnd w:id="75"/>
    </w:p>
    <w:p w:rsidR="005251E8" w:rsidRPr="000239D0" w:rsidRDefault="005251E8" w:rsidP="000B1E9F">
      <w:pPr>
        <w:snapToGrid w:val="0"/>
        <w:spacing w:line="360" w:lineRule="auto"/>
        <w:ind w:firstLine="420"/>
        <w:rPr>
          <w:rFonts w:asciiTheme="minorEastAsia" w:eastAsiaTheme="minorEastAsia" w:hAnsiTheme="minorEastAsia"/>
        </w:rPr>
      </w:pPr>
      <w:r w:rsidRPr="000239D0">
        <w:rPr>
          <w:rFonts w:asciiTheme="minorEastAsia" w:eastAsiaTheme="minorEastAsia" w:hAnsiTheme="minorEastAsia" w:hint="eastAsia"/>
          <w:sz w:val="21"/>
        </w:rPr>
        <w:t>本基金为混合型基金，理论上其风险收益水平低于股票型基金，高于债券型基金及货币市场基金。</w:t>
      </w:r>
    </w:p>
    <w:p w:rsidR="005336CC" w:rsidRPr="000239D0" w:rsidRDefault="001049DF" w:rsidP="000B1E9F">
      <w:pPr>
        <w:pStyle w:val="20"/>
        <w:snapToGrid w:val="0"/>
        <w:spacing w:beforeLines="0" w:afterLines="0" w:line="360" w:lineRule="auto"/>
        <w:ind w:firstLineChars="0" w:firstLine="0"/>
        <w:rPr>
          <w:rFonts w:asciiTheme="minorEastAsia" w:eastAsiaTheme="minorEastAsia" w:hAnsiTheme="minorEastAsia"/>
          <w:b w:val="0"/>
          <w:bCs/>
          <w:sz w:val="21"/>
        </w:rPr>
      </w:pPr>
      <w:bookmarkStart w:id="76" w:name="_Toc219695809"/>
      <w:bookmarkStart w:id="77" w:name="_Toc36452380"/>
      <w:r w:rsidRPr="000239D0">
        <w:rPr>
          <w:rFonts w:asciiTheme="minorEastAsia" w:eastAsiaTheme="minorEastAsia" w:hAnsiTheme="minorEastAsia" w:hint="eastAsia"/>
          <w:b w:val="0"/>
          <w:bCs/>
        </w:rPr>
        <w:t>（七）</w:t>
      </w:r>
      <w:r w:rsidR="005336CC" w:rsidRPr="000239D0">
        <w:rPr>
          <w:rFonts w:asciiTheme="minorEastAsia" w:eastAsiaTheme="minorEastAsia" w:hAnsiTheme="minorEastAsia" w:hint="eastAsia"/>
          <w:b w:val="0"/>
          <w:bCs/>
        </w:rPr>
        <w:t>投资程序</w:t>
      </w:r>
      <w:bookmarkEnd w:id="76"/>
      <w:bookmarkEnd w:id="77"/>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7902F7"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投资决策程序</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（1）投资决策依据</w:t>
      </w:r>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国家有关法律、法规和《基金合同》的规定。</w:t>
      </w:r>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政治形势、政策趋势和宏观经济形势。</w:t>
      </w:r>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行业和上市公司基本面。</w:t>
      </w:r>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证券市场发展趋势。</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（2）投资决策流程</w:t>
      </w:r>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81159A" w:rsidRPr="000239D0">
        <w:rPr>
          <w:rFonts w:asciiTheme="minorEastAsia" w:eastAsiaTheme="minorEastAsia" w:hAnsiTheme="minorEastAsia" w:hint="eastAsia"/>
          <w:sz w:val="21"/>
        </w:rPr>
        <w:t>投资决策委员会定期召开会议，确定阶段性的投资思路，提出资产配置和行业配置的指导性意见</w:t>
      </w:r>
      <w:r w:rsidR="005336CC" w:rsidRPr="000239D0">
        <w:rPr>
          <w:rFonts w:asciiTheme="minorEastAsia" w:eastAsiaTheme="minorEastAsia" w:hAnsiTheme="minorEastAsia" w:hint="eastAsia"/>
          <w:sz w:val="21"/>
        </w:rPr>
        <w:t>；</w:t>
      </w:r>
    </w:p>
    <w:p w:rsidR="00DA42EA"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DA42EA" w:rsidRPr="000239D0">
        <w:rPr>
          <w:rFonts w:asciiTheme="minorEastAsia" w:eastAsiaTheme="minorEastAsia" w:hAnsiTheme="minorEastAsia" w:hint="eastAsia"/>
          <w:sz w:val="21"/>
        </w:rPr>
        <w:t>研究人员为投资运作提供研究支持</w:t>
      </w:r>
      <w:r w:rsidR="0081159A" w:rsidRPr="000239D0">
        <w:rPr>
          <w:rFonts w:asciiTheme="minorEastAsia" w:eastAsiaTheme="minorEastAsia" w:hAnsiTheme="minorEastAsia" w:hint="eastAsia"/>
          <w:sz w:val="21"/>
        </w:rPr>
        <w:t>；</w:t>
      </w:r>
    </w:p>
    <w:p w:rsidR="0081159A" w:rsidRPr="000239D0" w:rsidRDefault="0081159A"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3）基金经理根据基金合同的要求、投资决策委员会的决议和指导性意见、研究员的研究报告，确定本基金的投资决策。</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B42F28"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投资交易程序</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设置独立的集中交易室，基金经理下达的投资指令通过集中交易室实施。集中交易室接到基金经理的投资指令后，根据有关规定对投资指令的合规性、合理性和有效性进行检查，确保投资指令在合法、合规的前提下得到高效的执行。</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B42F28" w:rsidRPr="000239D0">
        <w:rPr>
          <w:rFonts w:asciiTheme="minorEastAsia" w:eastAsiaTheme="minorEastAsia" w:hAnsiTheme="minorEastAsia" w:hint="eastAsia"/>
          <w:sz w:val="21"/>
        </w:rPr>
        <w:t>、</w:t>
      </w:r>
      <w:r w:rsidRPr="000239D0">
        <w:rPr>
          <w:rFonts w:asciiTheme="minorEastAsia" w:eastAsiaTheme="minorEastAsia" w:hAnsiTheme="minorEastAsia" w:hint="eastAsia"/>
          <w:sz w:val="21"/>
        </w:rPr>
        <w:t>投资风险的监控和管理</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97439D" w:rsidRPr="000239D0">
        <w:rPr>
          <w:rFonts w:asciiTheme="minorEastAsia" w:eastAsiaTheme="minorEastAsia" w:hAnsiTheme="minorEastAsia" w:hint="eastAsia"/>
          <w:sz w:val="21"/>
        </w:rPr>
        <w:t>监察合规管理部门</w:t>
      </w:r>
      <w:r w:rsidR="00162938" w:rsidRPr="000239D0">
        <w:rPr>
          <w:rFonts w:asciiTheme="minorEastAsia" w:eastAsiaTheme="minorEastAsia" w:hAnsiTheme="minorEastAsia" w:hint="eastAsia"/>
          <w:sz w:val="21"/>
        </w:rPr>
        <w:t>对基金的日常投资和交易是否遵守法律法规、基金合同进行独立监督检查。</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AF20C6" w:rsidRPr="000239D0">
        <w:rPr>
          <w:rFonts w:asciiTheme="minorEastAsia" w:eastAsiaTheme="minorEastAsia" w:hAnsiTheme="minorEastAsia" w:hint="eastAsia"/>
          <w:sz w:val="21"/>
        </w:rPr>
        <w:t>投资风险管理部</w:t>
      </w:r>
      <w:r w:rsidRPr="000239D0">
        <w:rPr>
          <w:rFonts w:asciiTheme="minorEastAsia" w:eastAsiaTheme="minorEastAsia" w:hAnsiTheme="minorEastAsia" w:hint="eastAsia"/>
          <w:sz w:val="21"/>
        </w:rPr>
        <w:t>定期出具基金绩效评估和风险管理报告</w:t>
      </w:r>
      <w:r w:rsidR="00AF20C6" w:rsidRPr="000239D0">
        <w:rPr>
          <w:rFonts w:asciiTheme="minorEastAsia" w:eastAsiaTheme="minorEastAsia" w:hAnsiTheme="minorEastAsia" w:hint="eastAsia"/>
          <w:sz w:val="21"/>
        </w:rPr>
        <w:t>，</w:t>
      </w:r>
      <w:r w:rsidR="00994566" w:rsidRPr="000239D0">
        <w:rPr>
          <w:rFonts w:asciiTheme="minorEastAsia" w:eastAsiaTheme="minorEastAsia" w:hAnsiTheme="minorEastAsia" w:hint="eastAsia"/>
          <w:sz w:val="21"/>
        </w:rPr>
        <w:t>供基金经理调整投资组合时参考。</w:t>
      </w:r>
    </w:p>
    <w:p w:rsidR="005336CC" w:rsidRPr="000239D0" w:rsidRDefault="00DA3E79"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78" w:name="_Toc219695810"/>
      <w:bookmarkStart w:id="79" w:name="_Toc36452381"/>
      <w:r w:rsidRPr="000239D0">
        <w:rPr>
          <w:rFonts w:asciiTheme="minorEastAsia" w:eastAsiaTheme="minorEastAsia" w:hAnsiTheme="minorEastAsia" w:hint="eastAsia"/>
          <w:b w:val="0"/>
          <w:bCs/>
        </w:rPr>
        <w:t>（八）</w:t>
      </w:r>
      <w:r w:rsidR="005336CC" w:rsidRPr="000239D0">
        <w:rPr>
          <w:rFonts w:asciiTheme="minorEastAsia" w:eastAsiaTheme="minorEastAsia" w:hAnsiTheme="minorEastAsia" w:hint="eastAsia"/>
          <w:b w:val="0"/>
          <w:bCs/>
        </w:rPr>
        <w:t>基金投资限制</w:t>
      </w:r>
      <w:bookmarkEnd w:id="78"/>
      <w:bookmarkEnd w:id="79"/>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基金持有一家上市公司的股票，不超过基金资产净值的10%；</w:t>
      </w:r>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基金与由基金管理人管理的其它基金持有任何一家公司发行的证券的总和，不超过该证券的10%；</w:t>
      </w:r>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3、</w:t>
      </w:r>
      <w:r w:rsidR="005336CC" w:rsidRPr="000239D0">
        <w:rPr>
          <w:rFonts w:asciiTheme="minorEastAsia" w:eastAsiaTheme="minorEastAsia" w:hAnsiTheme="minorEastAsia" w:hint="eastAsia"/>
          <w:sz w:val="21"/>
        </w:rPr>
        <w:t>基金投资于股票、债券的比例不低于基金资产总值的80％；</w:t>
      </w:r>
    </w:p>
    <w:p w:rsidR="00D543F3" w:rsidRPr="000239D0" w:rsidRDefault="00D543F3"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D543F3" w:rsidRPr="000239D0" w:rsidRDefault="00D543F3"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5、本基金主动投资于流动性受限资产的市值合计不得超过该基金资产净值的15%。</w:t>
      </w:r>
    </w:p>
    <w:p w:rsidR="00D543F3" w:rsidRPr="000239D0" w:rsidRDefault="00D543F3"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因证券市场波动、上市公司股票停牌、基金规模变动等基金管理人之外的因素致使基金不符合前款所规定比例限制的，基金管理人不得主动新增流动性受限资产的投资。</w:t>
      </w:r>
    </w:p>
    <w:p w:rsidR="00D543F3" w:rsidRPr="000239D0" w:rsidRDefault="00D543F3"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6、本基金与私募类证券资管产品及中国证监会认定的其他主体为交易对手开展逆回购交易的，可接受质押品的资质要求应当与基金合同约定的投资范围保持一致。</w:t>
      </w:r>
    </w:p>
    <w:p w:rsidR="005336CC" w:rsidRPr="000239D0" w:rsidRDefault="00D543F3"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7</w:t>
      </w:r>
      <w:r w:rsidR="00B42F28" w:rsidRPr="000239D0">
        <w:rPr>
          <w:rFonts w:asciiTheme="minorEastAsia" w:eastAsiaTheme="minorEastAsia" w:hAnsiTheme="minorEastAsia" w:hint="eastAsia"/>
          <w:sz w:val="21"/>
        </w:rPr>
        <w:t>、</w:t>
      </w:r>
      <w:r w:rsidR="005336CC" w:rsidRPr="000239D0">
        <w:rPr>
          <w:rFonts w:asciiTheme="minorEastAsia" w:eastAsiaTheme="minorEastAsia" w:hAnsiTheme="minorEastAsia" w:hint="eastAsia"/>
          <w:sz w:val="21"/>
        </w:rPr>
        <w:t>法律法规规定的其他限制。</w:t>
      </w:r>
    </w:p>
    <w:p w:rsidR="00D543F3" w:rsidRPr="000239D0" w:rsidRDefault="00D543F3"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对上述限制，法律法规另有规定时，从其规定。</w:t>
      </w:r>
    </w:p>
    <w:p w:rsidR="00D543F3" w:rsidRPr="000239D0" w:rsidRDefault="00D543F3"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除上述5、6以外，因证券市场波动、证券发行人合并、基金规模变动等基金管理人之外的因素致使基金投资比例不符合上述规定投资比例的，基金管理人应当在10个交易日内进行调整，但中国证监会规定的特殊情形除外。</w:t>
      </w:r>
    </w:p>
    <w:p w:rsidR="005336CC" w:rsidRPr="000239D0" w:rsidRDefault="00D543F3"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在基金成立3个月内（特殊情况下不超过6个月），应达到上述比例限制。因基金规模或市场剧烈变化导致投资组合不符合上述规定时，基金管理人应在合理期限内进行调整，以符合上述规定。</w:t>
      </w:r>
    </w:p>
    <w:p w:rsidR="005336CC" w:rsidRPr="000239D0" w:rsidRDefault="00DA3E79" w:rsidP="000B1E9F">
      <w:pPr>
        <w:pStyle w:val="20"/>
        <w:snapToGrid w:val="0"/>
        <w:spacing w:beforeLines="0" w:afterLines="0" w:line="360" w:lineRule="auto"/>
        <w:ind w:firstLineChars="0" w:firstLine="0"/>
        <w:rPr>
          <w:rFonts w:asciiTheme="minorEastAsia" w:eastAsiaTheme="minorEastAsia" w:hAnsiTheme="minorEastAsia"/>
          <w:b w:val="0"/>
          <w:bCs/>
          <w:sz w:val="21"/>
        </w:rPr>
      </w:pPr>
      <w:bookmarkStart w:id="80" w:name="_Toc219695811"/>
      <w:bookmarkStart w:id="81" w:name="_Toc36452382"/>
      <w:r w:rsidRPr="000239D0">
        <w:rPr>
          <w:rFonts w:asciiTheme="minorEastAsia" w:eastAsiaTheme="minorEastAsia" w:hAnsiTheme="minorEastAsia" w:hint="eastAsia"/>
          <w:b w:val="0"/>
          <w:bCs/>
        </w:rPr>
        <w:t>（九）</w:t>
      </w:r>
      <w:r w:rsidR="005336CC" w:rsidRPr="000239D0">
        <w:rPr>
          <w:rFonts w:asciiTheme="minorEastAsia" w:eastAsiaTheme="minorEastAsia" w:hAnsiTheme="minorEastAsia" w:hint="eastAsia"/>
          <w:b w:val="0"/>
          <w:bCs/>
        </w:rPr>
        <w:t>禁止行为</w:t>
      </w:r>
      <w:bookmarkEnd w:id="80"/>
      <w:bookmarkEnd w:id="81"/>
    </w:p>
    <w:p w:rsidR="005336CC" w:rsidRPr="000239D0" w:rsidRDefault="00B42F28"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投资于其他证券投资基金；</w:t>
      </w:r>
    </w:p>
    <w:p w:rsidR="005336CC" w:rsidRPr="000239D0" w:rsidRDefault="00B42F28"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以基金的名义使用不属于基金名下的资金买卖证券；</w:t>
      </w:r>
    </w:p>
    <w:p w:rsidR="005336CC" w:rsidRPr="000239D0" w:rsidRDefault="00B42F28"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动用银行信贷资金从事基金投资；</w:t>
      </w:r>
    </w:p>
    <w:p w:rsidR="005336CC" w:rsidRPr="000239D0" w:rsidRDefault="00B42F28"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将基金资产用于担保、资金拆借或者贷款；</w:t>
      </w:r>
    </w:p>
    <w:p w:rsidR="005336CC" w:rsidRPr="000239D0" w:rsidRDefault="00B42F28" w:rsidP="00AF28A3">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5、</w:t>
      </w:r>
      <w:r w:rsidR="005336CC" w:rsidRPr="000239D0">
        <w:rPr>
          <w:rFonts w:asciiTheme="minorEastAsia" w:eastAsiaTheme="minorEastAsia" w:hAnsiTheme="minorEastAsia" w:hint="eastAsia"/>
        </w:rPr>
        <w:t>从事证券信用交易；</w:t>
      </w:r>
    </w:p>
    <w:p w:rsidR="005336CC" w:rsidRPr="000239D0" w:rsidRDefault="00B42F28"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w:t>
      </w:r>
      <w:r w:rsidR="005336CC" w:rsidRPr="000239D0">
        <w:rPr>
          <w:rFonts w:asciiTheme="minorEastAsia" w:eastAsiaTheme="minorEastAsia" w:hAnsiTheme="minorEastAsia" w:hint="eastAsia"/>
          <w:sz w:val="21"/>
        </w:rPr>
        <w:t>以基金资产进行房地产投资；</w:t>
      </w:r>
    </w:p>
    <w:p w:rsidR="005336CC" w:rsidRPr="000239D0" w:rsidRDefault="00B42F28"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w:t>
      </w:r>
      <w:r w:rsidR="005336CC" w:rsidRPr="000239D0">
        <w:rPr>
          <w:rFonts w:asciiTheme="minorEastAsia" w:eastAsiaTheme="minorEastAsia" w:hAnsiTheme="minorEastAsia" w:hint="eastAsia"/>
          <w:sz w:val="21"/>
        </w:rPr>
        <w:t>从事可能使基金资产承担无限责任的投资；</w:t>
      </w:r>
    </w:p>
    <w:p w:rsidR="005336CC" w:rsidRPr="000239D0" w:rsidRDefault="00B42F28"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w:t>
      </w:r>
      <w:r w:rsidR="005336CC" w:rsidRPr="000239D0">
        <w:rPr>
          <w:rFonts w:asciiTheme="minorEastAsia" w:eastAsiaTheme="minorEastAsia" w:hAnsiTheme="minorEastAsia" w:hint="eastAsia"/>
          <w:sz w:val="21"/>
        </w:rPr>
        <w:t>将基金资产投资于与基金托管人或者基金管理人有利害关系的公司发行的证券；</w:t>
      </w:r>
    </w:p>
    <w:p w:rsidR="005336CC" w:rsidRPr="000239D0" w:rsidRDefault="00B42F28" w:rsidP="00AF28A3">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w:t>
      </w:r>
      <w:r w:rsidR="005336CC" w:rsidRPr="000239D0">
        <w:rPr>
          <w:rFonts w:asciiTheme="minorEastAsia" w:eastAsiaTheme="minorEastAsia" w:hAnsiTheme="minorEastAsia" w:hint="eastAsia"/>
          <w:sz w:val="21"/>
        </w:rPr>
        <w:t>当时有效的法律、法规、规章、中国证监会及《基金合同》规定禁止从事的其他行为。</w:t>
      </w:r>
    </w:p>
    <w:p w:rsidR="005336CC" w:rsidRPr="000239D0" w:rsidRDefault="005336CC" w:rsidP="00AF28A3">
      <w:pPr>
        <w:tabs>
          <w:tab w:val="num" w:pos="0"/>
        </w:tabs>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法律法规另有规定时从其规定。</w:t>
      </w:r>
    </w:p>
    <w:p w:rsidR="005336CC" w:rsidRPr="000239D0" w:rsidRDefault="00DA3E79"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82" w:name="_Toc219695812"/>
      <w:bookmarkStart w:id="83" w:name="_Toc36452383"/>
      <w:r w:rsidRPr="000239D0">
        <w:rPr>
          <w:rFonts w:asciiTheme="minorEastAsia" w:eastAsiaTheme="minorEastAsia" w:hAnsiTheme="minorEastAsia" w:hint="eastAsia"/>
          <w:b w:val="0"/>
          <w:bCs/>
        </w:rPr>
        <w:t>（十）</w:t>
      </w:r>
      <w:r w:rsidR="005336CC" w:rsidRPr="000239D0">
        <w:rPr>
          <w:rFonts w:asciiTheme="minorEastAsia" w:eastAsiaTheme="minorEastAsia" w:hAnsiTheme="minorEastAsia" w:hint="eastAsia"/>
          <w:b w:val="0"/>
          <w:bCs/>
        </w:rPr>
        <w:t>基金管理人代表基金行使所投资证券产生权利的处理原则及方法</w:t>
      </w:r>
      <w:bookmarkEnd w:id="82"/>
      <w:bookmarkEnd w:id="83"/>
    </w:p>
    <w:p w:rsidR="005336CC" w:rsidRPr="000239D0" w:rsidRDefault="00B42F28" w:rsidP="00AF28A3">
      <w:pPr>
        <w:pStyle w:val="aa"/>
        <w:tabs>
          <w:tab w:val="left" w:pos="735"/>
        </w:tabs>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w:t>
      </w:r>
      <w:r w:rsidR="005336CC" w:rsidRPr="000239D0">
        <w:rPr>
          <w:rFonts w:asciiTheme="minorEastAsia" w:eastAsiaTheme="minorEastAsia" w:hAnsiTheme="minorEastAsia" w:hint="eastAsia"/>
        </w:rPr>
        <w:t>不谋求对上市公司的控股，不参与所投资上市公司的经营管理；</w:t>
      </w:r>
    </w:p>
    <w:p w:rsidR="005336CC" w:rsidRPr="000239D0" w:rsidRDefault="00B42F28" w:rsidP="00AF28A3">
      <w:pPr>
        <w:tabs>
          <w:tab w:val="left" w:pos="735"/>
        </w:tabs>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2、</w:t>
      </w:r>
      <w:r w:rsidR="005336CC" w:rsidRPr="000239D0">
        <w:rPr>
          <w:rFonts w:asciiTheme="minorEastAsia" w:eastAsiaTheme="minorEastAsia" w:hAnsiTheme="minorEastAsia" w:hint="eastAsia"/>
          <w:sz w:val="21"/>
        </w:rPr>
        <w:t>有利于基金资产的安全与增值；</w:t>
      </w:r>
    </w:p>
    <w:p w:rsidR="005336CC" w:rsidRPr="000239D0" w:rsidRDefault="00B42F28" w:rsidP="00AF28A3">
      <w:pPr>
        <w:tabs>
          <w:tab w:val="left" w:pos="735"/>
        </w:tabs>
        <w:snapToGrid w:val="0"/>
        <w:spacing w:line="360" w:lineRule="auto"/>
        <w:ind w:firstLine="420"/>
        <w:rPr>
          <w:rFonts w:asciiTheme="minorEastAsia" w:eastAsiaTheme="minorEastAsia" w:hAnsiTheme="minorEastAsia"/>
          <w:sz w:val="21"/>
          <w:szCs w:val="24"/>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基金管理人按照国家有关规定代表基金独立行使股东权利，保护基金投资者的利益；</w:t>
      </w:r>
    </w:p>
    <w:p w:rsidR="005336CC" w:rsidRPr="000239D0" w:rsidRDefault="00B42F28" w:rsidP="00AF28A3">
      <w:pPr>
        <w:tabs>
          <w:tab w:val="left" w:pos="735"/>
        </w:tabs>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w:t>
      </w:r>
      <w:r w:rsidR="005336CC" w:rsidRPr="000239D0">
        <w:rPr>
          <w:rFonts w:asciiTheme="minorEastAsia" w:eastAsiaTheme="minorEastAsia" w:hAnsiTheme="minorEastAsia" w:hint="eastAsia"/>
          <w:sz w:val="21"/>
          <w:szCs w:val="21"/>
        </w:rPr>
        <w:t>基金管理人按照国家有关规定代表基金独立行使债权人权利，保护基金投资者的利益。</w:t>
      </w:r>
    </w:p>
    <w:p w:rsidR="005336CC" w:rsidRPr="000239D0" w:rsidRDefault="00DA3E79"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84" w:name="_Toc219695813"/>
      <w:bookmarkStart w:id="85" w:name="_Toc36452384"/>
      <w:r w:rsidRPr="000239D0">
        <w:rPr>
          <w:rFonts w:asciiTheme="minorEastAsia" w:eastAsiaTheme="minorEastAsia" w:hAnsiTheme="minorEastAsia" w:hint="eastAsia"/>
          <w:b w:val="0"/>
          <w:bCs/>
        </w:rPr>
        <w:t>（十一）</w:t>
      </w:r>
      <w:r w:rsidR="005336CC" w:rsidRPr="000239D0">
        <w:rPr>
          <w:rFonts w:asciiTheme="minorEastAsia" w:eastAsiaTheme="minorEastAsia" w:hAnsiTheme="minorEastAsia" w:hint="eastAsia"/>
          <w:b w:val="0"/>
          <w:bCs/>
        </w:rPr>
        <w:t>基金投资组合报告(未经审计)</w:t>
      </w:r>
      <w:bookmarkEnd w:id="84"/>
      <w:bookmarkEnd w:id="85"/>
    </w:p>
    <w:p w:rsidR="0053709E" w:rsidRPr="000239D0" w:rsidRDefault="0053709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本基金管理人的董事会及董事保证本报告所载资料不存在虚假记载、误导性陈述或重大遗漏，并对其内容的真实性、准确性和完整性承担个别及连带责任。</w:t>
      </w:r>
    </w:p>
    <w:p w:rsidR="0053709E" w:rsidRPr="000239D0" w:rsidRDefault="00945500"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本基金的托管人中国银行股份有限公司根</w:t>
      </w:r>
      <w:r w:rsidR="0053709E" w:rsidRPr="000239D0">
        <w:rPr>
          <w:rFonts w:asciiTheme="minorEastAsia" w:eastAsiaTheme="minorEastAsia" w:hAnsiTheme="minorEastAsia" w:hint="eastAsia"/>
          <w:sz w:val="21"/>
          <w:szCs w:val="21"/>
        </w:rPr>
        <w:t>据本基金合同的规定，复核了本</w:t>
      </w:r>
      <w:r w:rsidR="00473BB8" w:rsidRPr="000239D0">
        <w:rPr>
          <w:rFonts w:asciiTheme="minorEastAsia" w:eastAsiaTheme="minorEastAsia" w:hAnsiTheme="minorEastAsia" w:hint="eastAsia"/>
          <w:sz w:val="21"/>
          <w:szCs w:val="21"/>
        </w:rPr>
        <w:t>投资组合</w:t>
      </w:r>
      <w:r w:rsidR="0053709E" w:rsidRPr="000239D0">
        <w:rPr>
          <w:rFonts w:asciiTheme="minorEastAsia" w:eastAsiaTheme="minorEastAsia" w:hAnsiTheme="minorEastAsia" w:hint="eastAsia"/>
          <w:sz w:val="21"/>
          <w:szCs w:val="21"/>
        </w:rPr>
        <w:t>报告的内容。</w:t>
      </w:r>
    </w:p>
    <w:p w:rsidR="00FA3FC7" w:rsidRPr="000239D0" w:rsidRDefault="00D82F63"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本投资组合报告有关数据的期间为2019年10月1日至2019年12月31日</w:t>
      </w:r>
      <w:r w:rsidR="00FA3FC7" w:rsidRPr="000239D0">
        <w:rPr>
          <w:rFonts w:asciiTheme="minorEastAsia" w:eastAsiaTheme="minorEastAsia" w:hAnsiTheme="minorEastAsia" w:hint="eastAsia"/>
          <w:sz w:val="21"/>
          <w:szCs w:val="21"/>
        </w:rPr>
        <w:t>。</w:t>
      </w:r>
    </w:p>
    <w:p w:rsidR="000B1E9F" w:rsidRPr="000239D0" w:rsidRDefault="000B1E9F"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1、报告期末基金资产组合情况</w:t>
      </w:r>
    </w:p>
    <w:tbl>
      <w:tblPr>
        <w:tblW w:w="8000" w:type="dxa"/>
        <w:tblInd w:w="-171" w:type="dxa"/>
        <w:tblCellMar>
          <w:left w:w="0" w:type="dxa"/>
          <w:right w:w="0" w:type="dxa"/>
        </w:tblCellMar>
        <w:tblLook w:val="04A0" w:firstRow="1" w:lastRow="0" w:firstColumn="1" w:lastColumn="0" w:noHBand="0" w:noVBand="1"/>
      </w:tblPr>
      <w:tblGrid>
        <w:gridCol w:w="643"/>
        <w:gridCol w:w="3447"/>
        <w:gridCol w:w="2559"/>
        <w:gridCol w:w="1351"/>
      </w:tblGrid>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序号</w:t>
            </w: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项目</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金额（元）</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占基金总资产的比例（</w:t>
            </w:r>
            <w:r w:rsidRPr="000239D0">
              <w:rPr>
                <w:rFonts w:asciiTheme="minorEastAsia" w:eastAsiaTheme="minorEastAsia" w:hAnsiTheme="minorEastAsia"/>
                <w:sz w:val="21"/>
                <w:szCs w:val="21"/>
              </w:rPr>
              <w:t>%）</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w:t>
            </w: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权益投资</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1,183,908,653.41</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93.34</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其中：股票</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1,183,908,653.41</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93.34</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2</w:t>
            </w: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固定收益投资</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3,865,413.70</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0.30</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其中：债券</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3,865,413.70</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0.30</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资产支持证券</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3</w:t>
            </w: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贵金属投资</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4</w:t>
            </w: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金融衍生品投资</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5</w:t>
            </w: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买入返售金融资产</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其中：买断式回购的买入返售金融资产</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w:t>
            </w: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银行存款和结算备付金合计</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72,653,357.10</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5.73</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7</w:t>
            </w: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其他资产</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8,008,815.58</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0.63</w:t>
            </w:r>
          </w:p>
        </w:tc>
      </w:tr>
      <w:tr w:rsidR="000239D0" w:rsidRPr="000239D0" w:rsidTr="00D82F63">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8</w:t>
            </w:r>
          </w:p>
        </w:tc>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合计</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1,268,436,239.79</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100.00</w:t>
            </w:r>
          </w:p>
        </w:tc>
      </w:tr>
    </w:tbl>
    <w:p w:rsidR="000B1E9F" w:rsidRPr="000239D0" w:rsidRDefault="000B1E9F" w:rsidP="00BF0352">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2、报告期末按行业分类的股票投资组合</w:t>
      </w:r>
    </w:p>
    <w:p w:rsidR="000B1E9F" w:rsidRPr="000239D0" w:rsidRDefault="000B1E9F" w:rsidP="00BF0352">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（1）报告期末按行业分类的境内股票投资组合</w:t>
      </w:r>
    </w:p>
    <w:tbl>
      <w:tblPr>
        <w:tblW w:w="8000" w:type="dxa"/>
        <w:tblInd w:w="-171" w:type="dxa"/>
        <w:tblCellMar>
          <w:left w:w="0" w:type="dxa"/>
          <w:right w:w="0" w:type="dxa"/>
        </w:tblCellMar>
        <w:tblLook w:val="04A0" w:firstRow="1" w:lastRow="0" w:firstColumn="1" w:lastColumn="0" w:noHBand="0" w:noVBand="1"/>
      </w:tblPr>
      <w:tblGrid>
        <w:gridCol w:w="452"/>
        <w:gridCol w:w="4033"/>
        <w:gridCol w:w="2343"/>
        <w:gridCol w:w="1172"/>
      </w:tblGrid>
      <w:tr w:rsidR="000239D0" w:rsidRPr="000239D0" w:rsidTr="00D82F63">
        <w:trPr>
          <w:trHeight w:val="390"/>
        </w:trPr>
        <w:tc>
          <w:tcPr>
            <w:tcW w:w="490" w:type="dxa"/>
            <w:tcBorders>
              <w:top w:val="single" w:sz="4" w:space="0" w:color="000000"/>
              <w:left w:val="single" w:sz="4" w:space="0" w:color="000000"/>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代码</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行业类别</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公允价值（元）</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占基金资产净值比例（％）</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lastRenderedPageBreak/>
              <w:t>A</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农、林、牧、渔业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37,094,904.00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2.96</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B</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采矿业</w:t>
            </w:r>
          </w:p>
        </w:tc>
        <w:tc>
          <w:tcPr>
            <w:tcW w:w="2451" w:type="dxa"/>
            <w:tcBorders>
              <w:top w:val="single" w:sz="4" w:space="0" w:color="000000"/>
              <w:left w:val="single" w:sz="4" w:space="0" w:color="auto"/>
              <w:bottom w:val="single" w:sz="4" w:space="0" w:color="000000"/>
              <w:right w:val="single" w:sz="4" w:space="0" w:color="000000"/>
            </w:tcBorders>
            <w:vAlign w:val="center"/>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4,064,445.00</w:t>
            </w:r>
          </w:p>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0.32</w:t>
            </w:r>
          </w:p>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C</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制造业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914,423,228.44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72.85</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D</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电力、热力、燃气及水生产和供应业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E</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建筑业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F</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批发和零售业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19,471,415.00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1.55</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G</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交通运输、仓储和邮政业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50,541,907.50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4.03</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H</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住宿和餐饮业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I</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信息传输、软件和信息技术服务业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63,870,537.43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5.09</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J</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金融业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123,060.00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0.01</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K</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房地产业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31,871,510.00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2.54</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L</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租赁和商务服务业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34,849,813.00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2.78</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M</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科学研究和技术服务业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N</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水利、环境和公共设施管理业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6,578.04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0.00</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O</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居民服务、修理和其他服务业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P</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教育</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Q</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卫生和社会工作</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18,938,685.00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1.51</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R</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文化、体育和娱乐业</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8,652,570.00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0.69</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S</w:t>
            </w: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综合</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rPr>
          <w:trHeight w:val="285"/>
        </w:trPr>
        <w:tc>
          <w:tcPr>
            <w:tcW w:w="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p>
        </w:tc>
        <w:tc>
          <w:tcPr>
            <w:tcW w:w="462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合计</w:t>
            </w:r>
          </w:p>
        </w:tc>
        <w:tc>
          <w:tcPr>
            <w:tcW w:w="2451" w:type="dxa"/>
            <w:tcBorders>
              <w:top w:val="single" w:sz="4" w:space="0" w:color="000000"/>
              <w:left w:val="single" w:sz="4" w:space="0" w:color="auto"/>
              <w:bottom w:val="single" w:sz="4" w:space="0" w:color="000000"/>
              <w:right w:val="single" w:sz="4" w:space="0" w:color="000000"/>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1,183,908,653.41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94.32</w:t>
            </w:r>
          </w:p>
        </w:tc>
      </w:tr>
    </w:tbl>
    <w:p w:rsidR="000B1E9F" w:rsidRPr="000239D0" w:rsidRDefault="000B1E9F" w:rsidP="00BF0352">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3、报告期末按公允价值占基金资产净值比例大小排序的前十名股票投资明细</w:t>
      </w:r>
    </w:p>
    <w:tbl>
      <w:tblPr>
        <w:tblW w:w="8000" w:type="dxa"/>
        <w:tblInd w:w="-171" w:type="dxa"/>
        <w:tblCellMar>
          <w:left w:w="0" w:type="dxa"/>
          <w:right w:w="0" w:type="dxa"/>
        </w:tblCellMar>
        <w:tblLook w:val="04A0" w:firstRow="1" w:lastRow="0" w:firstColumn="1" w:lastColumn="0" w:noHBand="0" w:noVBand="1"/>
      </w:tblPr>
      <w:tblGrid>
        <w:gridCol w:w="638"/>
        <w:gridCol w:w="1663"/>
        <w:gridCol w:w="1349"/>
        <w:gridCol w:w="1411"/>
        <w:gridCol w:w="1694"/>
        <w:gridCol w:w="1245"/>
      </w:tblGrid>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序号</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股票代码</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股票名称</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数量（股）</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公允价值（元）</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占基金资产净值比例（％）</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600276</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恒瑞医药</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1,029,988</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90,144,549.76</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7.18</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2</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000858</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五粮液</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514,600</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68,446,946.00</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5.45</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3</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300628</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亿联网络</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841,464</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60,930,408.24</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4.85</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4</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600009</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上海机场</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641,802</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50,541,907.50</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4.03</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5</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000651</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格力电器</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729,604</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47,847,430.32</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3.81</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600066</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宇通客车</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3,061,888</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43,631,904.00</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3.48</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lastRenderedPageBreak/>
              <w:t>7</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600183</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生益科技</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1,938,100</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40,545,052.00</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3.23</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8</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603806</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福斯特</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825,305</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40,109,823.00</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3.20</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9</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603288</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海天味业</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350,122</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37,641,616.22</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3.00</w:t>
            </w:r>
          </w:p>
        </w:tc>
      </w:tr>
      <w:tr w:rsidR="000239D0" w:rsidRPr="000239D0" w:rsidTr="00D82F63">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10</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300498</w:t>
            </w:r>
          </w:p>
        </w:tc>
        <w:tc>
          <w:tcPr>
            <w:tcW w:w="1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温氏股份</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1,104,015</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37,094,904.00</w:t>
            </w:r>
          </w:p>
        </w:tc>
        <w:tc>
          <w:tcPr>
            <w:tcW w:w="1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2.96</w:t>
            </w:r>
          </w:p>
        </w:tc>
      </w:tr>
    </w:tbl>
    <w:p w:rsidR="000B1E9F" w:rsidRPr="000239D0" w:rsidRDefault="000B1E9F" w:rsidP="00BF0352">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4、报告期末按债券品种分类的债券投资组合</w:t>
      </w:r>
    </w:p>
    <w:tbl>
      <w:tblPr>
        <w:tblStyle w:val="afe"/>
        <w:tblW w:w="8004" w:type="dxa"/>
        <w:jc w:val="center"/>
        <w:tblLayout w:type="fixed"/>
        <w:tblLook w:val="04A0" w:firstRow="1" w:lastRow="0" w:firstColumn="1" w:lastColumn="0" w:noHBand="0" w:noVBand="1"/>
      </w:tblPr>
      <w:tblGrid>
        <w:gridCol w:w="762"/>
        <w:gridCol w:w="2969"/>
        <w:gridCol w:w="2688"/>
        <w:gridCol w:w="1585"/>
      </w:tblGrid>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债券品种</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公允价值</w:t>
            </w:r>
            <w:r w:rsidRPr="000239D0">
              <w:rPr>
                <w:rFonts w:asciiTheme="minorEastAsia" w:eastAsiaTheme="minorEastAsia" w:hAnsiTheme="minorEastAsia"/>
                <w:sz w:val="21"/>
                <w:szCs w:val="21"/>
              </w:rPr>
              <w:t>(元)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占基金资产净值比例</w:t>
            </w: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国家债券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央行票据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金融债券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其中：政策性金融债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企业债券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企业短期融资券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中期票据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可转债（可交换债）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3,865,413.70</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0.31</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同业存单</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其他</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FC46C4" w:rsidRPr="000239D0" w:rsidTr="00D82F63">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合计</w:t>
            </w:r>
          </w:p>
        </w:tc>
        <w:tc>
          <w:tcPr>
            <w:tcW w:w="294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3,865,413.70</w:t>
            </w:r>
          </w:p>
        </w:tc>
        <w:tc>
          <w:tcPr>
            <w:tcW w:w="1729"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0.31</w:t>
            </w:r>
          </w:p>
        </w:tc>
      </w:tr>
    </w:tbl>
    <w:p w:rsidR="000B1E9F" w:rsidRPr="000239D0" w:rsidRDefault="000B1E9F" w:rsidP="00BF0352">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5、报告期末按公允价值占基金资产净值比例大小排序的前五名债券投资明细</w:t>
      </w:r>
    </w:p>
    <w:tbl>
      <w:tblPr>
        <w:tblW w:w="8000" w:type="dxa"/>
        <w:tblCellMar>
          <w:left w:w="0" w:type="dxa"/>
          <w:right w:w="0" w:type="dxa"/>
        </w:tblCellMar>
        <w:tblLook w:val="04A0" w:firstRow="1" w:lastRow="0" w:firstColumn="1" w:lastColumn="0" w:noHBand="0" w:noVBand="1"/>
      </w:tblPr>
      <w:tblGrid>
        <w:gridCol w:w="818"/>
        <w:gridCol w:w="1296"/>
        <w:gridCol w:w="1113"/>
        <w:gridCol w:w="1319"/>
        <w:gridCol w:w="2050"/>
        <w:gridCol w:w="1404"/>
      </w:tblGrid>
      <w:tr w:rsidR="000239D0" w:rsidRPr="000239D0" w:rsidTr="00FC46C4">
        <w:tc>
          <w:tcPr>
            <w:tcW w:w="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序号</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债券代码</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债券名称</w:t>
            </w:r>
          </w:p>
        </w:tc>
        <w:tc>
          <w:tcPr>
            <w:tcW w:w="1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数量（张）</w:t>
            </w:r>
          </w:p>
        </w:tc>
        <w:tc>
          <w:tcPr>
            <w:tcW w:w="2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公允价值（元）</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占基金资产净值比例（％）</w:t>
            </w:r>
          </w:p>
        </w:tc>
      </w:tr>
      <w:tr w:rsidR="000239D0" w:rsidRPr="000239D0" w:rsidTr="00FC46C4">
        <w:tc>
          <w:tcPr>
            <w:tcW w:w="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113551</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福特转债</w:t>
            </w:r>
          </w:p>
        </w:tc>
        <w:tc>
          <w:tcPr>
            <w:tcW w:w="1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19,760</w:t>
            </w:r>
          </w:p>
        </w:tc>
        <w:tc>
          <w:tcPr>
            <w:tcW w:w="2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2,547,064.00</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0.20</w:t>
            </w:r>
          </w:p>
        </w:tc>
      </w:tr>
      <w:tr w:rsidR="000239D0" w:rsidRPr="000239D0" w:rsidTr="00FC46C4">
        <w:tc>
          <w:tcPr>
            <w:tcW w:w="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2</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113552</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克来转债</w:t>
            </w:r>
          </w:p>
        </w:tc>
        <w:tc>
          <w:tcPr>
            <w:tcW w:w="1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4,280</w:t>
            </w:r>
          </w:p>
        </w:tc>
        <w:tc>
          <w:tcPr>
            <w:tcW w:w="2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530,634.40</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0.04</w:t>
            </w:r>
          </w:p>
        </w:tc>
      </w:tr>
      <w:tr w:rsidR="000239D0" w:rsidRPr="000239D0" w:rsidTr="00FC46C4">
        <w:tc>
          <w:tcPr>
            <w:tcW w:w="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3</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113553</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金牌转债</w:t>
            </w:r>
          </w:p>
        </w:tc>
        <w:tc>
          <w:tcPr>
            <w:tcW w:w="1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4,830</w:t>
            </w:r>
          </w:p>
        </w:tc>
        <w:tc>
          <w:tcPr>
            <w:tcW w:w="2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482,987.30</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0.04</w:t>
            </w:r>
          </w:p>
        </w:tc>
      </w:tr>
      <w:tr w:rsidR="000239D0" w:rsidRPr="000239D0" w:rsidTr="00FC46C4">
        <w:tc>
          <w:tcPr>
            <w:tcW w:w="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4</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110062</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烽火转债</w:t>
            </w:r>
          </w:p>
        </w:tc>
        <w:tc>
          <w:tcPr>
            <w:tcW w:w="1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2,400</w:t>
            </w:r>
          </w:p>
        </w:tc>
        <w:tc>
          <w:tcPr>
            <w:tcW w:w="2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304,728.00</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0.02</w:t>
            </w:r>
          </w:p>
        </w:tc>
      </w:tr>
    </w:tbl>
    <w:p w:rsidR="000B1E9F" w:rsidRPr="000239D0" w:rsidRDefault="000B1E9F" w:rsidP="00BF0352">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6、报告期末按公允价值占基金资产净值比例大小排序的前十名资产支持证券投资明细</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本基金本报告期末未持有资产支持证券。</w:t>
      </w:r>
    </w:p>
    <w:p w:rsidR="000B1E9F" w:rsidRPr="000239D0" w:rsidRDefault="000B1E9F" w:rsidP="00BF0352">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7、报告期末按公允价值占基金资产净值比例大小排序的前五名贵金属投资明细</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本基金本报告期末未持有贵金属。</w:t>
      </w:r>
    </w:p>
    <w:p w:rsidR="000B1E9F" w:rsidRPr="000239D0" w:rsidRDefault="000B1E9F" w:rsidP="00BF0352">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8、报告期末按公允价值占基金资产净值比例大小排序的前五名权证投资明细</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本基金本报告期末未持有权证。</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lastRenderedPageBreak/>
        <w:t>9、报告期末本基金投资的股指期货交易情况说明</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本基金本报告期末未投资股指期货。</w:t>
      </w:r>
    </w:p>
    <w:p w:rsidR="000B1E9F" w:rsidRPr="000239D0" w:rsidRDefault="000B1E9F" w:rsidP="00BF0352">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10、报告期末本基金投资的国债期货交易情况说明</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本基金本报告期末未投资国债期货。</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11、投资组合报告附注</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1）本基金投资的前十名证券的发行主体本期没有出现被监管部门立案调查，或在报告编制日前一年内受到公开谴责、处罚的情形。</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2）本基金投资的前十名股票没有超出基金合同规定的备选股票库。</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2300"/>
        <w:gridCol w:w="4532"/>
      </w:tblGrid>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金额（元）</w:t>
            </w:r>
          </w:p>
        </w:tc>
      </w:tr>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165,903.72</w:t>
            </w:r>
          </w:p>
        </w:tc>
      </w:tr>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7,131,339.76</w:t>
            </w:r>
          </w:p>
        </w:tc>
      </w:tr>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17,163.34</w:t>
            </w:r>
          </w:p>
        </w:tc>
      </w:tr>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694,408.76</w:t>
            </w:r>
          </w:p>
        </w:tc>
      </w:tr>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w:t>
            </w:r>
          </w:p>
        </w:tc>
      </w:tr>
      <w:tr w:rsidR="000239D0" w:rsidRPr="000239D0" w:rsidTr="00D82F63">
        <w:tc>
          <w:tcPr>
            <w:tcW w:w="1235"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sz w:val="21"/>
                <w:szCs w:val="21"/>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D82F63" w:rsidRPr="000239D0" w:rsidRDefault="00D82F63" w:rsidP="00FC46C4">
            <w:pPr>
              <w:snapToGrid w:val="0"/>
              <w:spacing w:line="360" w:lineRule="auto"/>
              <w:ind w:firstLineChars="0" w:firstLine="0"/>
              <w:jc w:val="right"/>
              <w:rPr>
                <w:rFonts w:asciiTheme="minorEastAsia" w:eastAsiaTheme="minorEastAsia" w:hAnsiTheme="minorEastAsia"/>
                <w:sz w:val="21"/>
                <w:szCs w:val="21"/>
              </w:rPr>
            </w:pPr>
            <w:r w:rsidRPr="000239D0">
              <w:rPr>
                <w:rFonts w:asciiTheme="minorEastAsia" w:eastAsiaTheme="minorEastAsia" w:hAnsiTheme="minorEastAsia"/>
                <w:sz w:val="21"/>
                <w:szCs w:val="21"/>
              </w:rPr>
              <w:t>8,008,815.58</w:t>
            </w:r>
          </w:p>
        </w:tc>
      </w:tr>
    </w:tbl>
    <w:p w:rsidR="00D82F63" w:rsidRPr="000239D0" w:rsidRDefault="000B1E9F"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w:t>
      </w:r>
      <w:r w:rsidR="00D82F63" w:rsidRPr="000239D0">
        <w:rPr>
          <w:rFonts w:asciiTheme="minorEastAsia" w:eastAsiaTheme="minorEastAsia" w:hAnsiTheme="minorEastAsia" w:hint="eastAsia"/>
          <w:sz w:val="21"/>
          <w:szCs w:val="21"/>
        </w:rPr>
        <w:t>报告期末持有的处于转股期的可转换债券明细</w:t>
      </w:r>
    </w:p>
    <w:p w:rsidR="00D82F63" w:rsidRPr="000239D0" w:rsidRDefault="00D82F63"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本基金本报告期末未持有处于转股期的可转换债券。</w:t>
      </w:r>
    </w:p>
    <w:p w:rsidR="00D82F63" w:rsidRPr="000239D0" w:rsidRDefault="000B1E9F" w:rsidP="007D09C8">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w:t>
      </w:r>
      <w:r w:rsidR="00D82F63" w:rsidRPr="000239D0">
        <w:rPr>
          <w:rFonts w:asciiTheme="minorEastAsia" w:eastAsiaTheme="minorEastAsia" w:hAnsiTheme="minorEastAsia" w:hint="eastAsia"/>
          <w:sz w:val="21"/>
          <w:szCs w:val="21"/>
        </w:rPr>
        <w:t>报告期末前十名股票中存在流通受限情况的说明</w:t>
      </w:r>
    </w:p>
    <w:p w:rsidR="000B1E9F" w:rsidRPr="000239D0" w:rsidRDefault="00D82F63"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本基金本报告期末前十名股票中不存在流通受限情况。</w:t>
      </w:r>
    </w:p>
    <w:p w:rsidR="000B1E9F" w:rsidRPr="000239D0" w:rsidRDefault="000B1E9F">
      <w:pPr>
        <w:widowControl/>
        <w:ind w:firstLineChars="0" w:firstLine="0"/>
        <w:jc w:val="left"/>
        <w:rPr>
          <w:rFonts w:asciiTheme="minorEastAsia" w:eastAsiaTheme="minorEastAsia" w:hAnsiTheme="minorEastAsia"/>
          <w:sz w:val="21"/>
          <w:szCs w:val="21"/>
        </w:rPr>
      </w:pPr>
      <w:r w:rsidRPr="000239D0">
        <w:rPr>
          <w:rFonts w:asciiTheme="minorEastAsia" w:eastAsiaTheme="minorEastAsia" w:hAnsiTheme="minorEastAsia"/>
          <w:sz w:val="21"/>
          <w:szCs w:val="21"/>
        </w:rPr>
        <w:br w:type="page"/>
      </w: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bookmarkStart w:id="86" w:name="_Toc219695814"/>
      <w:bookmarkStart w:id="87" w:name="_Toc36452385"/>
      <w:r w:rsidRPr="000239D0">
        <w:rPr>
          <w:rFonts w:asciiTheme="minorEastAsia" w:eastAsiaTheme="minorEastAsia" w:hAnsiTheme="minorEastAsia" w:hint="eastAsia"/>
          <w:b/>
          <w:bCs/>
          <w:kern w:val="44"/>
          <w:sz w:val="28"/>
          <w:szCs w:val="44"/>
        </w:rPr>
        <w:lastRenderedPageBreak/>
        <w:t>九、基金的业绩</w:t>
      </w:r>
      <w:bookmarkEnd w:id="86"/>
      <w:bookmarkEnd w:id="87"/>
    </w:p>
    <w:p w:rsidR="0053709E" w:rsidRPr="000239D0" w:rsidRDefault="0053709E" w:rsidP="000B1E9F">
      <w:pPr>
        <w:autoSpaceDE w:val="0"/>
        <w:autoSpaceDN w:val="0"/>
        <w:adjustRightInd w:val="0"/>
        <w:snapToGrid w:val="0"/>
        <w:spacing w:line="360" w:lineRule="auto"/>
        <w:ind w:firstLine="420"/>
        <w:rPr>
          <w:rFonts w:asciiTheme="minorEastAsia" w:eastAsiaTheme="minorEastAsia" w:hAnsiTheme="minorEastAsia"/>
          <w:kern w:val="0"/>
          <w:sz w:val="21"/>
          <w:szCs w:val="21"/>
        </w:rPr>
      </w:pPr>
      <w:r w:rsidRPr="000239D0">
        <w:rPr>
          <w:rFonts w:asciiTheme="minorEastAsia" w:eastAsiaTheme="minorEastAsia" w:hAnsiTheme="minorEastAsia"/>
          <w:kern w:val="0"/>
          <w:sz w:val="21"/>
          <w:szCs w:val="21"/>
        </w:rPr>
        <w:t>基金管理人依照恪尽职守、诚实信用、谨慎勤勉的原则管理和运用基金财产，但不保证基金一定盈利，也不保证最低收益。基金的过往业绩并不代表其未来表现。投资有风险，投资者在</w:t>
      </w:r>
      <w:r w:rsidRPr="000239D0">
        <w:rPr>
          <w:rFonts w:asciiTheme="minorEastAsia" w:eastAsiaTheme="minorEastAsia" w:hAnsiTheme="minorEastAsia" w:hint="eastAsia"/>
          <w:kern w:val="0"/>
          <w:sz w:val="21"/>
          <w:szCs w:val="21"/>
        </w:rPr>
        <w:t>作出</w:t>
      </w:r>
      <w:r w:rsidRPr="000239D0">
        <w:rPr>
          <w:rFonts w:asciiTheme="minorEastAsia" w:eastAsiaTheme="minorEastAsia" w:hAnsiTheme="minorEastAsia"/>
          <w:kern w:val="0"/>
          <w:sz w:val="21"/>
          <w:szCs w:val="21"/>
        </w:rPr>
        <w:t>投资决策前应仔细阅读本基金的招募说明书。</w:t>
      </w:r>
    </w:p>
    <w:p w:rsidR="00BD291F" w:rsidRPr="000239D0" w:rsidRDefault="0053709E" w:rsidP="000B1E9F">
      <w:pPr>
        <w:autoSpaceDE w:val="0"/>
        <w:autoSpaceDN w:val="0"/>
        <w:adjustRightInd w:val="0"/>
        <w:snapToGrid w:val="0"/>
        <w:spacing w:line="360" w:lineRule="auto"/>
        <w:ind w:firstLine="420"/>
        <w:rPr>
          <w:rFonts w:asciiTheme="minorEastAsia" w:eastAsiaTheme="minorEastAsia" w:hAnsiTheme="minorEastAsia"/>
          <w:kern w:val="0"/>
          <w:sz w:val="21"/>
          <w:szCs w:val="21"/>
        </w:rPr>
      </w:pPr>
      <w:r w:rsidRPr="000239D0">
        <w:rPr>
          <w:rFonts w:asciiTheme="minorEastAsia" w:eastAsiaTheme="minorEastAsia" w:hAnsiTheme="minorEastAsia" w:hint="eastAsia"/>
          <w:kern w:val="0"/>
          <w:sz w:val="21"/>
          <w:szCs w:val="21"/>
        </w:rPr>
        <w:t>本基金合同生效日为</w:t>
      </w:r>
      <w:r w:rsidRPr="000239D0">
        <w:rPr>
          <w:rFonts w:asciiTheme="minorEastAsia" w:eastAsiaTheme="minorEastAsia" w:hAnsiTheme="minorEastAsia" w:hint="eastAsia"/>
          <w:sz w:val="21"/>
          <w:szCs w:val="21"/>
        </w:rPr>
        <w:t>2003年12月09日</w:t>
      </w:r>
      <w:r w:rsidRPr="000239D0">
        <w:rPr>
          <w:rFonts w:asciiTheme="minorEastAsia" w:eastAsiaTheme="minorEastAsia" w:hAnsiTheme="minorEastAsia" w:hint="eastAsia"/>
          <w:kern w:val="0"/>
          <w:sz w:val="21"/>
          <w:szCs w:val="21"/>
        </w:rPr>
        <w:t>，</w:t>
      </w:r>
      <w:r w:rsidR="00096373" w:rsidRPr="000239D0">
        <w:rPr>
          <w:rFonts w:asciiTheme="minorEastAsia" w:eastAsiaTheme="minorEastAsia" w:hAnsiTheme="minorEastAsia" w:hint="eastAsia"/>
          <w:kern w:val="0"/>
          <w:sz w:val="21"/>
          <w:szCs w:val="21"/>
        </w:rPr>
        <w:t>本基金最近10个完整会计年度</w:t>
      </w:r>
      <w:r w:rsidR="00901489" w:rsidRPr="000239D0">
        <w:rPr>
          <w:rFonts w:asciiTheme="minorEastAsia" w:eastAsiaTheme="minorEastAsia" w:hAnsiTheme="minorEastAsia" w:hint="eastAsia"/>
          <w:kern w:val="0"/>
          <w:sz w:val="21"/>
          <w:szCs w:val="21"/>
        </w:rPr>
        <w:t>及</w:t>
      </w:r>
      <w:r w:rsidRPr="000239D0">
        <w:rPr>
          <w:rFonts w:asciiTheme="minorEastAsia" w:eastAsiaTheme="minorEastAsia" w:hAnsiTheme="minorEastAsia" w:hint="eastAsia"/>
          <w:kern w:val="0"/>
          <w:sz w:val="21"/>
          <w:szCs w:val="21"/>
        </w:rPr>
        <w:t>截至</w:t>
      </w:r>
      <w:r w:rsidR="008F02C9" w:rsidRPr="000239D0">
        <w:rPr>
          <w:rFonts w:asciiTheme="minorEastAsia" w:eastAsiaTheme="minorEastAsia" w:hAnsiTheme="minorEastAsia"/>
          <w:kern w:val="0"/>
          <w:sz w:val="21"/>
          <w:szCs w:val="21"/>
        </w:rPr>
        <w:t>201</w:t>
      </w:r>
      <w:r w:rsidR="00901489" w:rsidRPr="000239D0">
        <w:rPr>
          <w:rFonts w:asciiTheme="minorEastAsia" w:eastAsiaTheme="minorEastAsia" w:hAnsiTheme="minorEastAsia"/>
          <w:kern w:val="0"/>
          <w:sz w:val="21"/>
          <w:szCs w:val="21"/>
        </w:rPr>
        <w:t>9</w:t>
      </w:r>
      <w:r w:rsidR="00B863C3" w:rsidRPr="000239D0">
        <w:rPr>
          <w:rFonts w:asciiTheme="minorEastAsia" w:eastAsiaTheme="minorEastAsia" w:hAnsiTheme="minorEastAsia" w:hint="eastAsia"/>
          <w:kern w:val="0"/>
          <w:sz w:val="21"/>
          <w:szCs w:val="21"/>
        </w:rPr>
        <w:t>年</w:t>
      </w:r>
      <w:r w:rsidR="00151C77" w:rsidRPr="000239D0">
        <w:rPr>
          <w:rFonts w:asciiTheme="minorEastAsia" w:eastAsiaTheme="minorEastAsia" w:hAnsiTheme="minorEastAsia"/>
          <w:kern w:val="0"/>
          <w:sz w:val="21"/>
          <w:szCs w:val="21"/>
        </w:rPr>
        <w:t>12</w:t>
      </w:r>
      <w:r w:rsidR="00B863C3" w:rsidRPr="000239D0">
        <w:rPr>
          <w:rFonts w:asciiTheme="minorEastAsia" w:eastAsiaTheme="minorEastAsia" w:hAnsiTheme="minorEastAsia" w:hint="eastAsia"/>
          <w:kern w:val="0"/>
          <w:sz w:val="21"/>
          <w:szCs w:val="21"/>
        </w:rPr>
        <w:t>月</w:t>
      </w:r>
      <w:r w:rsidR="00BE0220" w:rsidRPr="000239D0">
        <w:rPr>
          <w:rFonts w:asciiTheme="minorEastAsia" w:eastAsiaTheme="minorEastAsia" w:hAnsiTheme="minorEastAsia"/>
          <w:kern w:val="0"/>
          <w:sz w:val="21"/>
          <w:szCs w:val="21"/>
        </w:rPr>
        <w:t>3</w:t>
      </w:r>
      <w:r w:rsidR="00151C77" w:rsidRPr="000239D0">
        <w:rPr>
          <w:rFonts w:asciiTheme="minorEastAsia" w:eastAsiaTheme="minorEastAsia" w:hAnsiTheme="minorEastAsia"/>
          <w:kern w:val="0"/>
          <w:sz w:val="21"/>
          <w:szCs w:val="21"/>
        </w:rPr>
        <w:t>1</w:t>
      </w:r>
      <w:r w:rsidR="00B863C3" w:rsidRPr="000239D0">
        <w:rPr>
          <w:rFonts w:asciiTheme="minorEastAsia" w:eastAsiaTheme="minorEastAsia" w:hAnsiTheme="minorEastAsia" w:hint="eastAsia"/>
          <w:kern w:val="0"/>
          <w:sz w:val="21"/>
          <w:szCs w:val="21"/>
        </w:rPr>
        <w:t>日</w:t>
      </w:r>
      <w:r w:rsidRPr="000239D0">
        <w:rPr>
          <w:rFonts w:asciiTheme="minorEastAsia" w:eastAsiaTheme="minorEastAsia" w:hAnsiTheme="minorEastAsia" w:hint="eastAsia"/>
          <w:kern w:val="0"/>
          <w:sz w:val="21"/>
          <w:szCs w:val="21"/>
        </w:rPr>
        <w:t>的投资业绩及与同期基准的比较如下表所示：</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24"/>
        <w:gridCol w:w="1155"/>
        <w:gridCol w:w="1155"/>
        <w:gridCol w:w="1470"/>
        <w:gridCol w:w="1050"/>
        <w:gridCol w:w="1050"/>
      </w:tblGrid>
      <w:tr w:rsidR="00676358" w:rsidRPr="000239D0" w:rsidTr="007B7F88">
        <w:trPr>
          <w:trHeight w:val="315"/>
        </w:trPr>
        <w:tc>
          <w:tcPr>
            <w:tcW w:w="1985" w:type="dxa"/>
            <w:vAlign w:val="center"/>
          </w:tcPr>
          <w:p w:rsidR="00BD291F" w:rsidRPr="000239D0" w:rsidRDefault="00BD291F"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阶段</w:t>
            </w:r>
          </w:p>
        </w:tc>
        <w:tc>
          <w:tcPr>
            <w:tcW w:w="924" w:type="dxa"/>
            <w:vAlign w:val="center"/>
          </w:tcPr>
          <w:p w:rsidR="00BD291F" w:rsidRPr="000239D0" w:rsidRDefault="00BD291F"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净值增长率①</w:t>
            </w:r>
          </w:p>
        </w:tc>
        <w:tc>
          <w:tcPr>
            <w:tcW w:w="1155" w:type="dxa"/>
            <w:vAlign w:val="center"/>
          </w:tcPr>
          <w:p w:rsidR="00BD291F" w:rsidRPr="000239D0" w:rsidRDefault="00BD291F"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净值增长率标准差②</w:t>
            </w:r>
          </w:p>
        </w:tc>
        <w:tc>
          <w:tcPr>
            <w:tcW w:w="1155" w:type="dxa"/>
            <w:vAlign w:val="center"/>
          </w:tcPr>
          <w:p w:rsidR="00BD291F" w:rsidRPr="000239D0" w:rsidRDefault="00BD291F" w:rsidP="000B1E9F">
            <w:pPr>
              <w:tabs>
                <w:tab w:val="left" w:pos="5400"/>
              </w:tabs>
              <w:snapToGrid w:val="0"/>
              <w:spacing w:line="360" w:lineRule="auto"/>
              <w:ind w:leftChars="-5" w:left="-2" w:hangingChars="5" w:hanging="1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业绩比较基准收益率③</w:t>
            </w:r>
          </w:p>
        </w:tc>
        <w:tc>
          <w:tcPr>
            <w:tcW w:w="1470" w:type="dxa"/>
            <w:vAlign w:val="center"/>
          </w:tcPr>
          <w:p w:rsidR="00BD291F" w:rsidRPr="000239D0" w:rsidRDefault="00BD291F" w:rsidP="000B1E9F">
            <w:pPr>
              <w:tabs>
                <w:tab w:val="left" w:pos="5400"/>
              </w:tabs>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业绩比较基准收益率标准差④</w:t>
            </w:r>
          </w:p>
        </w:tc>
        <w:tc>
          <w:tcPr>
            <w:tcW w:w="1050" w:type="dxa"/>
            <w:vAlign w:val="center"/>
          </w:tcPr>
          <w:p w:rsidR="00BD291F" w:rsidRPr="000239D0" w:rsidRDefault="00BD291F"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①-③</w:t>
            </w:r>
          </w:p>
        </w:tc>
        <w:tc>
          <w:tcPr>
            <w:tcW w:w="1050" w:type="dxa"/>
            <w:vAlign w:val="center"/>
          </w:tcPr>
          <w:p w:rsidR="00BD291F" w:rsidRPr="000239D0" w:rsidRDefault="00BD291F" w:rsidP="000B1E9F">
            <w:pPr>
              <w:tabs>
                <w:tab w:val="left" w:pos="5400"/>
              </w:tabs>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②-④</w:t>
            </w:r>
          </w:p>
        </w:tc>
      </w:tr>
      <w:tr w:rsidR="00676358" w:rsidRPr="000239D0" w:rsidTr="007B7F88">
        <w:trPr>
          <w:trHeight w:val="300"/>
        </w:trPr>
        <w:tc>
          <w:tcPr>
            <w:tcW w:w="1985" w:type="dxa"/>
            <w:vAlign w:val="center"/>
          </w:tcPr>
          <w:p w:rsidR="003F6668" w:rsidRPr="000239D0" w:rsidRDefault="003F6668"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2010年1月1日至2010年12月31日</w:t>
            </w:r>
          </w:p>
        </w:tc>
        <w:tc>
          <w:tcPr>
            <w:tcW w:w="924" w:type="dxa"/>
            <w:vAlign w:val="center"/>
          </w:tcPr>
          <w:p w:rsidR="003F6668" w:rsidRPr="000239D0" w:rsidRDefault="003F6668"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-3.99%</w:t>
            </w:r>
          </w:p>
        </w:tc>
        <w:tc>
          <w:tcPr>
            <w:tcW w:w="1155" w:type="dxa"/>
            <w:vAlign w:val="center"/>
          </w:tcPr>
          <w:p w:rsidR="003F6668" w:rsidRPr="000239D0" w:rsidRDefault="003F6668"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1.40%</w:t>
            </w:r>
          </w:p>
        </w:tc>
        <w:tc>
          <w:tcPr>
            <w:tcW w:w="1155" w:type="dxa"/>
            <w:vAlign w:val="center"/>
          </w:tcPr>
          <w:p w:rsidR="003F6668" w:rsidRPr="000239D0" w:rsidRDefault="003F6668"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-10.05%</w:t>
            </w:r>
          </w:p>
        </w:tc>
        <w:tc>
          <w:tcPr>
            <w:tcW w:w="1470" w:type="dxa"/>
            <w:vAlign w:val="center"/>
          </w:tcPr>
          <w:p w:rsidR="003F6668" w:rsidRPr="000239D0" w:rsidRDefault="003F6668"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1.06%</w:t>
            </w:r>
          </w:p>
        </w:tc>
        <w:tc>
          <w:tcPr>
            <w:tcW w:w="1050" w:type="dxa"/>
            <w:vAlign w:val="center"/>
          </w:tcPr>
          <w:p w:rsidR="003F6668" w:rsidRPr="000239D0" w:rsidRDefault="003F6668"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6.06%</w:t>
            </w:r>
          </w:p>
        </w:tc>
        <w:tc>
          <w:tcPr>
            <w:tcW w:w="1050" w:type="dxa"/>
            <w:vAlign w:val="center"/>
          </w:tcPr>
          <w:p w:rsidR="003F6668" w:rsidRPr="000239D0" w:rsidRDefault="003F6668"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0.34%</w:t>
            </w:r>
          </w:p>
        </w:tc>
      </w:tr>
      <w:tr w:rsidR="00676358" w:rsidRPr="000239D0" w:rsidTr="007B7F88">
        <w:trPr>
          <w:trHeight w:val="300"/>
        </w:trPr>
        <w:tc>
          <w:tcPr>
            <w:tcW w:w="1985" w:type="dxa"/>
            <w:vAlign w:val="center"/>
          </w:tcPr>
          <w:p w:rsidR="00633B8E" w:rsidRPr="000239D0" w:rsidRDefault="00633B8E"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2011年1月1日至2011年12月31日</w:t>
            </w:r>
          </w:p>
        </w:tc>
        <w:tc>
          <w:tcPr>
            <w:tcW w:w="924" w:type="dxa"/>
            <w:vAlign w:val="center"/>
          </w:tcPr>
          <w:p w:rsidR="00633B8E" w:rsidRPr="000239D0" w:rsidDel="00570702" w:rsidRDefault="00633B8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-19.38%</w:t>
            </w:r>
          </w:p>
        </w:tc>
        <w:tc>
          <w:tcPr>
            <w:tcW w:w="1155" w:type="dxa"/>
            <w:vAlign w:val="center"/>
          </w:tcPr>
          <w:p w:rsidR="00633B8E" w:rsidRPr="000239D0" w:rsidDel="00570702" w:rsidRDefault="00633B8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1.06%</w:t>
            </w:r>
          </w:p>
        </w:tc>
        <w:tc>
          <w:tcPr>
            <w:tcW w:w="1155" w:type="dxa"/>
            <w:vAlign w:val="center"/>
          </w:tcPr>
          <w:p w:rsidR="00633B8E" w:rsidRPr="000239D0" w:rsidDel="00570702" w:rsidRDefault="00633B8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-15.21%</w:t>
            </w:r>
          </w:p>
        </w:tc>
        <w:tc>
          <w:tcPr>
            <w:tcW w:w="1470" w:type="dxa"/>
            <w:vAlign w:val="center"/>
          </w:tcPr>
          <w:p w:rsidR="00633B8E" w:rsidRPr="000239D0" w:rsidDel="00570702" w:rsidRDefault="00633B8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0.87%</w:t>
            </w:r>
          </w:p>
        </w:tc>
        <w:tc>
          <w:tcPr>
            <w:tcW w:w="1050" w:type="dxa"/>
            <w:vAlign w:val="center"/>
          </w:tcPr>
          <w:p w:rsidR="00633B8E" w:rsidRPr="000239D0" w:rsidDel="00570702" w:rsidRDefault="00633B8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-4.17%</w:t>
            </w:r>
          </w:p>
        </w:tc>
        <w:tc>
          <w:tcPr>
            <w:tcW w:w="1050" w:type="dxa"/>
            <w:vAlign w:val="center"/>
          </w:tcPr>
          <w:p w:rsidR="00633B8E" w:rsidRPr="000239D0" w:rsidDel="00570702" w:rsidRDefault="00633B8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0.19%</w:t>
            </w:r>
          </w:p>
        </w:tc>
      </w:tr>
      <w:tr w:rsidR="00676358" w:rsidRPr="000239D0" w:rsidTr="007B7F88">
        <w:trPr>
          <w:trHeight w:val="300"/>
        </w:trPr>
        <w:tc>
          <w:tcPr>
            <w:tcW w:w="1985" w:type="dxa"/>
            <w:vAlign w:val="center"/>
          </w:tcPr>
          <w:p w:rsidR="00750279" w:rsidRPr="000239D0" w:rsidRDefault="00750279"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2012年1月1日至</w:t>
            </w:r>
            <w:r w:rsidR="00292B00" w:rsidRPr="000239D0">
              <w:rPr>
                <w:rFonts w:asciiTheme="minorEastAsia" w:eastAsiaTheme="minorEastAsia" w:hAnsiTheme="minorEastAsia" w:hint="eastAsia"/>
                <w:sz w:val="21"/>
                <w:szCs w:val="21"/>
              </w:rPr>
              <w:t>201</w:t>
            </w:r>
            <w:r w:rsidR="007F7F41" w:rsidRPr="000239D0">
              <w:rPr>
                <w:rFonts w:asciiTheme="minorEastAsia" w:eastAsiaTheme="minorEastAsia" w:hAnsiTheme="minorEastAsia" w:hint="eastAsia"/>
                <w:sz w:val="21"/>
                <w:szCs w:val="21"/>
              </w:rPr>
              <w:t>2</w:t>
            </w:r>
            <w:r w:rsidRPr="000239D0">
              <w:rPr>
                <w:rFonts w:asciiTheme="minorEastAsia" w:eastAsiaTheme="minorEastAsia" w:hAnsiTheme="minorEastAsia" w:hint="eastAsia"/>
                <w:sz w:val="21"/>
                <w:szCs w:val="21"/>
              </w:rPr>
              <w:t>年</w:t>
            </w:r>
            <w:r w:rsidR="007F7F41" w:rsidRPr="000239D0">
              <w:rPr>
                <w:rFonts w:asciiTheme="minorEastAsia" w:eastAsiaTheme="minorEastAsia" w:hAnsiTheme="minorEastAsia" w:hint="eastAsia"/>
                <w:sz w:val="21"/>
                <w:szCs w:val="21"/>
              </w:rPr>
              <w:t>12</w:t>
            </w:r>
            <w:r w:rsidRPr="000239D0">
              <w:rPr>
                <w:rFonts w:asciiTheme="minorEastAsia" w:eastAsiaTheme="minorEastAsia" w:hAnsiTheme="minorEastAsia" w:hint="eastAsia"/>
                <w:sz w:val="21"/>
                <w:szCs w:val="21"/>
              </w:rPr>
              <w:t>月31日</w:t>
            </w:r>
          </w:p>
        </w:tc>
        <w:tc>
          <w:tcPr>
            <w:tcW w:w="924" w:type="dxa"/>
            <w:vAlign w:val="center"/>
          </w:tcPr>
          <w:p w:rsidR="00750279" w:rsidRPr="000239D0" w:rsidRDefault="00750279"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5.34%</w:t>
            </w:r>
          </w:p>
        </w:tc>
        <w:tc>
          <w:tcPr>
            <w:tcW w:w="1155" w:type="dxa"/>
            <w:vAlign w:val="center"/>
          </w:tcPr>
          <w:p w:rsidR="00750279" w:rsidRPr="000239D0" w:rsidRDefault="00750279"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0.86%</w:t>
            </w:r>
          </w:p>
        </w:tc>
        <w:tc>
          <w:tcPr>
            <w:tcW w:w="1155" w:type="dxa"/>
            <w:vAlign w:val="center"/>
          </w:tcPr>
          <w:p w:rsidR="00750279" w:rsidRPr="000239D0" w:rsidRDefault="00750279"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3.18%</w:t>
            </w:r>
          </w:p>
        </w:tc>
        <w:tc>
          <w:tcPr>
            <w:tcW w:w="1470" w:type="dxa"/>
            <w:vAlign w:val="center"/>
          </w:tcPr>
          <w:p w:rsidR="00750279" w:rsidRPr="000239D0" w:rsidRDefault="00750279"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0.82%</w:t>
            </w:r>
          </w:p>
        </w:tc>
        <w:tc>
          <w:tcPr>
            <w:tcW w:w="1050" w:type="dxa"/>
            <w:vAlign w:val="center"/>
          </w:tcPr>
          <w:p w:rsidR="00750279" w:rsidRPr="000239D0" w:rsidRDefault="00750279"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2.16%</w:t>
            </w:r>
          </w:p>
        </w:tc>
        <w:tc>
          <w:tcPr>
            <w:tcW w:w="1050" w:type="dxa"/>
            <w:vAlign w:val="center"/>
          </w:tcPr>
          <w:p w:rsidR="00750279" w:rsidRPr="000239D0" w:rsidRDefault="00750279"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0.04%</w:t>
            </w:r>
          </w:p>
        </w:tc>
      </w:tr>
      <w:tr w:rsidR="00676358" w:rsidRPr="000239D0" w:rsidTr="007B7F88">
        <w:trPr>
          <w:trHeight w:val="300"/>
        </w:trPr>
        <w:tc>
          <w:tcPr>
            <w:tcW w:w="1985" w:type="dxa"/>
            <w:vAlign w:val="center"/>
          </w:tcPr>
          <w:p w:rsidR="00C65DEC" w:rsidRPr="000239D0" w:rsidRDefault="00C65DEC"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2013年1月1日至2013年12月31日</w:t>
            </w:r>
          </w:p>
        </w:tc>
        <w:tc>
          <w:tcPr>
            <w:tcW w:w="924" w:type="dxa"/>
            <w:vAlign w:val="center"/>
          </w:tcPr>
          <w:p w:rsidR="00C65DEC" w:rsidRPr="000239D0" w:rsidRDefault="00C65DEC"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21.24%</w:t>
            </w:r>
          </w:p>
        </w:tc>
        <w:tc>
          <w:tcPr>
            <w:tcW w:w="1155" w:type="dxa"/>
            <w:vAlign w:val="center"/>
          </w:tcPr>
          <w:p w:rsidR="00C65DEC" w:rsidRPr="000239D0" w:rsidRDefault="00C65DEC"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1.11%</w:t>
            </w:r>
          </w:p>
        </w:tc>
        <w:tc>
          <w:tcPr>
            <w:tcW w:w="1155" w:type="dxa"/>
            <w:vAlign w:val="center"/>
          </w:tcPr>
          <w:p w:rsidR="00C65DEC" w:rsidRPr="000239D0" w:rsidRDefault="00C65DEC"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-4.41%</w:t>
            </w:r>
          </w:p>
        </w:tc>
        <w:tc>
          <w:tcPr>
            <w:tcW w:w="1470" w:type="dxa"/>
            <w:vAlign w:val="center"/>
          </w:tcPr>
          <w:p w:rsidR="00C65DEC" w:rsidRPr="000239D0" w:rsidRDefault="00C65DEC"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0.87%</w:t>
            </w:r>
          </w:p>
        </w:tc>
        <w:tc>
          <w:tcPr>
            <w:tcW w:w="1050" w:type="dxa"/>
            <w:vAlign w:val="center"/>
          </w:tcPr>
          <w:p w:rsidR="00C65DEC" w:rsidRPr="000239D0" w:rsidRDefault="00C65DEC"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25.65%</w:t>
            </w:r>
          </w:p>
        </w:tc>
        <w:tc>
          <w:tcPr>
            <w:tcW w:w="1050" w:type="dxa"/>
            <w:vAlign w:val="center"/>
          </w:tcPr>
          <w:p w:rsidR="00C65DEC" w:rsidRPr="000239D0" w:rsidRDefault="00C65DEC"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0.24%</w:t>
            </w:r>
          </w:p>
        </w:tc>
      </w:tr>
      <w:tr w:rsidR="00676358" w:rsidRPr="000239D0" w:rsidTr="007B7F88">
        <w:trPr>
          <w:trHeight w:val="300"/>
        </w:trPr>
        <w:tc>
          <w:tcPr>
            <w:tcW w:w="1985" w:type="dxa"/>
            <w:vAlign w:val="center"/>
          </w:tcPr>
          <w:p w:rsidR="005E10B1" w:rsidRPr="000239D0" w:rsidRDefault="005E10B1"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sz w:val="21"/>
                <w:szCs w:val="21"/>
              </w:rPr>
              <w:t>2014</w:t>
            </w:r>
            <w:r w:rsidRPr="000239D0">
              <w:rPr>
                <w:rFonts w:asciiTheme="minorEastAsia" w:eastAsiaTheme="minorEastAsia" w:hAnsiTheme="minorEastAsia" w:hint="eastAsia"/>
                <w:sz w:val="21"/>
                <w:szCs w:val="21"/>
              </w:rPr>
              <w:t>年</w:t>
            </w:r>
            <w:r w:rsidRPr="000239D0">
              <w:rPr>
                <w:rFonts w:asciiTheme="minorEastAsia" w:eastAsiaTheme="minorEastAsia" w:hAnsiTheme="minorEastAsia"/>
                <w:sz w:val="21"/>
                <w:szCs w:val="21"/>
              </w:rPr>
              <w:t>1</w:t>
            </w:r>
            <w:r w:rsidRPr="000239D0">
              <w:rPr>
                <w:rFonts w:asciiTheme="minorEastAsia" w:eastAsiaTheme="minorEastAsia" w:hAnsiTheme="minorEastAsia" w:hint="eastAsia"/>
                <w:sz w:val="21"/>
                <w:szCs w:val="21"/>
              </w:rPr>
              <w:t>月</w:t>
            </w:r>
            <w:r w:rsidRPr="000239D0">
              <w:rPr>
                <w:rFonts w:asciiTheme="minorEastAsia" w:eastAsiaTheme="minorEastAsia" w:hAnsiTheme="minorEastAsia"/>
                <w:sz w:val="21"/>
                <w:szCs w:val="21"/>
              </w:rPr>
              <w:t>1</w:t>
            </w:r>
            <w:r w:rsidRPr="000239D0">
              <w:rPr>
                <w:rFonts w:asciiTheme="minorEastAsia" w:eastAsiaTheme="minorEastAsia" w:hAnsiTheme="minorEastAsia" w:hint="eastAsia"/>
                <w:sz w:val="21"/>
                <w:szCs w:val="21"/>
              </w:rPr>
              <w:t>日至</w:t>
            </w:r>
            <w:r w:rsidRPr="000239D0">
              <w:rPr>
                <w:rFonts w:asciiTheme="minorEastAsia" w:eastAsiaTheme="minorEastAsia" w:hAnsiTheme="minorEastAsia"/>
                <w:sz w:val="21"/>
                <w:szCs w:val="21"/>
              </w:rPr>
              <w:t>2014</w:t>
            </w:r>
            <w:r w:rsidRPr="000239D0">
              <w:rPr>
                <w:rFonts w:asciiTheme="minorEastAsia" w:eastAsiaTheme="minorEastAsia" w:hAnsiTheme="minorEastAsia" w:hint="eastAsia"/>
                <w:sz w:val="21"/>
                <w:szCs w:val="21"/>
              </w:rPr>
              <w:t>年12月31日</w:t>
            </w:r>
          </w:p>
        </w:tc>
        <w:tc>
          <w:tcPr>
            <w:tcW w:w="924" w:type="dxa"/>
            <w:vAlign w:val="center"/>
          </w:tcPr>
          <w:p w:rsidR="000E7887" w:rsidRPr="000239D0" w:rsidRDefault="008611D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13.79%</w:t>
            </w:r>
          </w:p>
        </w:tc>
        <w:tc>
          <w:tcPr>
            <w:tcW w:w="1155" w:type="dxa"/>
            <w:vAlign w:val="center"/>
          </w:tcPr>
          <w:p w:rsidR="00E57A2B" w:rsidRPr="000239D0" w:rsidRDefault="008611D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1.05%</w:t>
            </w:r>
          </w:p>
        </w:tc>
        <w:tc>
          <w:tcPr>
            <w:tcW w:w="1155" w:type="dxa"/>
            <w:vAlign w:val="center"/>
          </w:tcPr>
          <w:p w:rsidR="00B52AD3" w:rsidRPr="000239D0" w:rsidRDefault="008611D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40.90%</w:t>
            </w:r>
          </w:p>
        </w:tc>
        <w:tc>
          <w:tcPr>
            <w:tcW w:w="1470" w:type="dxa"/>
            <w:vAlign w:val="center"/>
          </w:tcPr>
          <w:p w:rsidR="00E57A2B" w:rsidRPr="000239D0" w:rsidRDefault="008611D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0.82%</w:t>
            </w:r>
          </w:p>
        </w:tc>
        <w:tc>
          <w:tcPr>
            <w:tcW w:w="1050" w:type="dxa"/>
            <w:vAlign w:val="center"/>
          </w:tcPr>
          <w:p w:rsidR="00E57A2B" w:rsidRPr="000239D0" w:rsidRDefault="008611D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-27.11%</w:t>
            </w:r>
          </w:p>
        </w:tc>
        <w:tc>
          <w:tcPr>
            <w:tcW w:w="1050" w:type="dxa"/>
            <w:vAlign w:val="center"/>
          </w:tcPr>
          <w:p w:rsidR="00E57A2B" w:rsidRPr="000239D0" w:rsidRDefault="008611D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0.23%</w:t>
            </w:r>
          </w:p>
        </w:tc>
      </w:tr>
      <w:tr w:rsidR="00676358" w:rsidRPr="000239D0" w:rsidTr="007B7F88">
        <w:trPr>
          <w:trHeight w:val="300"/>
        </w:trPr>
        <w:tc>
          <w:tcPr>
            <w:tcW w:w="1985" w:type="dxa"/>
            <w:vAlign w:val="center"/>
          </w:tcPr>
          <w:p w:rsidR="002015CE" w:rsidRPr="000239D0" w:rsidRDefault="002015CE"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2015年1月1日至2015年12月31日</w:t>
            </w:r>
          </w:p>
        </w:tc>
        <w:tc>
          <w:tcPr>
            <w:tcW w:w="924" w:type="dxa"/>
            <w:vAlign w:val="center"/>
          </w:tcPr>
          <w:p w:rsidR="000E7887" w:rsidRPr="000239D0" w:rsidRDefault="002015C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24.24%</w:t>
            </w:r>
          </w:p>
        </w:tc>
        <w:tc>
          <w:tcPr>
            <w:tcW w:w="1155" w:type="dxa"/>
            <w:vAlign w:val="center"/>
          </w:tcPr>
          <w:p w:rsidR="00E57A2B" w:rsidRPr="000239D0" w:rsidRDefault="002015C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2.41%</w:t>
            </w:r>
          </w:p>
        </w:tc>
        <w:tc>
          <w:tcPr>
            <w:tcW w:w="1155" w:type="dxa"/>
            <w:vAlign w:val="center"/>
          </w:tcPr>
          <w:p w:rsidR="00B52AD3" w:rsidRPr="000239D0" w:rsidRDefault="002015C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8.49%</w:t>
            </w:r>
          </w:p>
        </w:tc>
        <w:tc>
          <w:tcPr>
            <w:tcW w:w="1470" w:type="dxa"/>
            <w:vAlign w:val="center"/>
          </w:tcPr>
          <w:p w:rsidR="00B52AD3" w:rsidRPr="000239D0" w:rsidRDefault="002015C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1.84%</w:t>
            </w:r>
          </w:p>
        </w:tc>
        <w:tc>
          <w:tcPr>
            <w:tcW w:w="1050" w:type="dxa"/>
            <w:vAlign w:val="center"/>
          </w:tcPr>
          <w:p w:rsidR="00B52AD3" w:rsidRPr="000239D0" w:rsidRDefault="002015C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15.75%</w:t>
            </w:r>
          </w:p>
        </w:tc>
        <w:tc>
          <w:tcPr>
            <w:tcW w:w="1050" w:type="dxa"/>
            <w:vAlign w:val="center"/>
          </w:tcPr>
          <w:p w:rsidR="00B52AD3" w:rsidRPr="000239D0" w:rsidRDefault="002015CE"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0.57%</w:t>
            </w:r>
          </w:p>
        </w:tc>
      </w:tr>
      <w:tr w:rsidR="00676358" w:rsidRPr="000239D0" w:rsidTr="008A04CB">
        <w:trPr>
          <w:trHeight w:val="300"/>
        </w:trPr>
        <w:tc>
          <w:tcPr>
            <w:tcW w:w="1985" w:type="dxa"/>
            <w:tcBorders>
              <w:top w:val="single" w:sz="4" w:space="0" w:color="auto"/>
              <w:left w:val="single" w:sz="4" w:space="0" w:color="auto"/>
              <w:bottom w:val="single" w:sz="4" w:space="0" w:color="auto"/>
              <w:right w:val="single" w:sz="4" w:space="0" w:color="auto"/>
            </w:tcBorders>
            <w:vAlign w:val="center"/>
          </w:tcPr>
          <w:p w:rsidR="008A04CB" w:rsidRPr="000239D0" w:rsidRDefault="008A04CB"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2016年1月1日至2016年12月31日</w:t>
            </w:r>
          </w:p>
        </w:tc>
        <w:tc>
          <w:tcPr>
            <w:tcW w:w="924" w:type="dxa"/>
            <w:tcBorders>
              <w:top w:val="single" w:sz="4" w:space="0" w:color="auto"/>
              <w:left w:val="single" w:sz="4" w:space="0" w:color="auto"/>
              <w:bottom w:val="single" w:sz="4" w:space="0" w:color="auto"/>
              <w:right w:val="single" w:sz="4" w:space="0" w:color="auto"/>
            </w:tcBorders>
            <w:vAlign w:val="center"/>
          </w:tcPr>
          <w:p w:rsidR="008A04CB" w:rsidRPr="000239D0" w:rsidRDefault="00B863C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-35.12%</w:t>
            </w:r>
          </w:p>
        </w:tc>
        <w:tc>
          <w:tcPr>
            <w:tcW w:w="1155" w:type="dxa"/>
            <w:tcBorders>
              <w:top w:val="single" w:sz="4" w:space="0" w:color="auto"/>
              <w:left w:val="single" w:sz="4" w:space="0" w:color="auto"/>
              <w:bottom w:val="single" w:sz="4" w:space="0" w:color="auto"/>
              <w:right w:val="single" w:sz="4" w:space="0" w:color="auto"/>
            </w:tcBorders>
            <w:vAlign w:val="center"/>
          </w:tcPr>
          <w:p w:rsidR="008A04CB" w:rsidRPr="000239D0" w:rsidRDefault="00B863C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2.04%</w:t>
            </w:r>
          </w:p>
        </w:tc>
        <w:tc>
          <w:tcPr>
            <w:tcW w:w="1155" w:type="dxa"/>
            <w:tcBorders>
              <w:top w:val="single" w:sz="4" w:space="0" w:color="auto"/>
              <w:left w:val="single" w:sz="4" w:space="0" w:color="auto"/>
              <w:bottom w:val="single" w:sz="4" w:space="0" w:color="auto"/>
              <w:right w:val="single" w:sz="4" w:space="0" w:color="auto"/>
            </w:tcBorders>
            <w:vAlign w:val="center"/>
          </w:tcPr>
          <w:p w:rsidR="008A04CB" w:rsidRPr="000239D0" w:rsidRDefault="00B863C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-8.36%</w:t>
            </w:r>
          </w:p>
        </w:tc>
        <w:tc>
          <w:tcPr>
            <w:tcW w:w="1470" w:type="dxa"/>
            <w:tcBorders>
              <w:top w:val="single" w:sz="4" w:space="0" w:color="auto"/>
              <w:left w:val="single" w:sz="4" w:space="0" w:color="auto"/>
              <w:bottom w:val="single" w:sz="4" w:space="0" w:color="auto"/>
              <w:right w:val="single" w:sz="4" w:space="0" w:color="auto"/>
            </w:tcBorders>
            <w:vAlign w:val="center"/>
          </w:tcPr>
          <w:p w:rsidR="008A04CB" w:rsidRPr="000239D0" w:rsidRDefault="00B863C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1.09%</w:t>
            </w:r>
          </w:p>
        </w:tc>
        <w:tc>
          <w:tcPr>
            <w:tcW w:w="1050" w:type="dxa"/>
            <w:tcBorders>
              <w:top w:val="single" w:sz="4" w:space="0" w:color="auto"/>
              <w:left w:val="single" w:sz="4" w:space="0" w:color="auto"/>
              <w:bottom w:val="single" w:sz="4" w:space="0" w:color="auto"/>
              <w:right w:val="single" w:sz="4" w:space="0" w:color="auto"/>
            </w:tcBorders>
            <w:vAlign w:val="center"/>
          </w:tcPr>
          <w:p w:rsidR="008A04CB" w:rsidRPr="000239D0" w:rsidRDefault="00B863C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-26.76%</w:t>
            </w:r>
          </w:p>
        </w:tc>
        <w:tc>
          <w:tcPr>
            <w:tcW w:w="1050" w:type="dxa"/>
            <w:tcBorders>
              <w:top w:val="single" w:sz="4" w:space="0" w:color="auto"/>
              <w:left w:val="single" w:sz="4" w:space="0" w:color="auto"/>
              <w:bottom w:val="single" w:sz="4" w:space="0" w:color="auto"/>
              <w:right w:val="single" w:sz="4" w:space="0" w:color="auto"/>
            </w:tcBorders>
            <w:vAlign w:val="center"/>
          </w:tcPr>
          <w:p w:rsidR="008A04CB" w:rsidRPr="000239D0" w:rsidRDefault="00B863C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0.95%</w:t>
            </w:r>
          </w:p>
        </w:tc>
      </w:tr>
      <w:tr w:rsidR="00676358" w:rsidRPr="000239D0" w:rsidTr="00BE0220">
        <w:trPr>
          <w:trHeight w:val="300"/>
        </w:trPr>
        <w:tc>
          <w:tcPr>
            <w:tcW w:w="1985" w:type="dxa"/>
            <w:tcBorders>
              <w:top w:val="single" w:sz="4" w:space="0" w:color="auto"/>
              <w:left w:val="single" w:sz="4" w:space="0" w:color="auto"/>
              <w:bottom w:val="single" w:sz="4" w:space="0" w:color="auto"/>
              <w:right w:val="single" w:sz="4" w:space="0" w:color="auto"/>
            </w:tcBorders>
            <w:vAlign w:val="center"/>
          </w:tcPr>
          <w:p w:rsidR="00BE0220" w:rsidRPr="000239D0" w:rsidRDefault="00BE0220"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2017年1月1日至</w:t>
            </w:r>
            <w:r w:rsidR="004F19B8" w:rsidRPr="000239D0">
              <w:rPr>
                <w:rFonts w:asciiTheme="minorEastAsia" w:eastAsiaTheme="minorEastAsia" w:hAnsiTheme="minorEastAsia" w:hint="eastAsia"/>
                <w:sz w:val="21"/>
                <w:szCs w:val="21"/>
              </w:rPr>
              <w:t>2017年12月31日</w:t>
            </w:r>
          </w:p>
        </w:tc>
        <w:tc>
          <w:tcPr>
            <w:tcW w:w="924" w:type="dxa"/>
            <w:tcBorders>
              <w:top w:val="single" w:sz="4" w:space="0" w:color="auto"/>
              <w:left w:val="single" w:sz="4" w:space="0" w:color="auto"/>
              <w:bottom w:val="single" w:sz="4" w:space="0" w:color="auto"/>
              <w:right w:val="single" w:sz="4" w:space="0" w:color="auto"/>
            </w:tcBorders>
            <w:vAlign w:val="center"/>
          </w:tcPr>
          <w:p w:rsidR="00BE0220" w:rsidRPr="000239D0" w:rsidRDefault="00BE0220"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17.42%</w:t>
            </w:r>
          </w:p>
        </w:tc>
        <w:tc>
          <w:tcPr>
            <w:tcW w:w="1155" w:type="dxa"/>
            <w:tcBorders>
              <w:top w:val="single" w:sz="4" w:space="0" w:color="auto"/>
              <w:left w:val="single" w:sz="4" w:space="0" w:color="auto"/>
              <w:bottom w:val="single" w:sz="4" w:space="0" w:color="auto"/>
              <w:right w:val="single" w:sz="4" w:space="0" w:color="auto"/>
            </w:tcBorders>
            <w:vAlign w:val="center"/>
          </w:tcPr>
          <w:p w:rsidR="00BE0220" w:rsidRPr="000239D0" w:rsidRDefault="00BE0220"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0.75%</w:t>
            </w:r>
          </w:p>
        </w:tc>
        <w:tc>
          <w:tcPr>
            <w:tcW w:w="1155" w:type="dxa"/>
            <w:tcBorders>
              <w:top w:val="single" w:sz="4" w:space="0" w:color="auto"/>
              <w:left w:val="single" w:sz="4" w:space="0" w:color="auto"/>
              <w:bottom w:val="single" w:sz="4" w:space="0" w:color="auto"/>
              <w:right w:val="single" w:sz="4" w:space="0" w:color="auto"/>
            </w:tcBorders>
            <w:vAlign w:val="center"/>
          </w:tcPr>
          <w:p w:rsidR="00BE0220" w:rsidRPr="000239D0" w:rsidRDefault="00BE0220"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5.10%</w:t>
            </w:r>
          </w:p>
        </w:tc>
        <w:tc>
          <w:tcPr>
            <w:tcW w:w="1470" w:type="dxa"/>
            <w:tcBorders>
              <w:top w:val="single" w:sz="4" w:space="0" w:color="auto"/>
              <w:left w:val="single" w:sz="4" w:space="0" w:color="auto"/>
              <w:bottom w:val="single" w:sz="4" w:space="0" w:color="auto"/>
              <w:right w:val="single" w:sz="4" w:space="0" w:color="auto"/>
            </w:tcBorders>
            <w:vAlign w:val="center"/>
          </w:tcPr>
          <w:p w:rsidR="00BE0220" w:rsidRPr="000239D0" w:rsidRDefault="00BE0220"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0.41%</w:t>
            </w:r>
          </w:p>
        </w:tc>
        <w:tc>
          <w:tcPr>
            <w:tcW w:w="1050" w:type="dxa"/>
            <w:tcBorders>
              <w:top w:val="single" w:sz="4" w:space="0" w:color="auto"/>
              <w:left w:val="single" w:sz="4" w:space="0" w:color="auto"/>
              <w:bottom w:val="single" w:sz="4" w:space="0" w:color="auto"/>
              <w:right w:val="single" w:sz="4" w:space="0" w:color="auto"/>
            </w:tcBorders>
            <w:vAlign w:val="center"/>
          </w:tcPr>
          <w:p w:rsidR="00BE0220" w:rsidRPr="000239D0" w:rsidRDefault="00BE0220"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12.32%</w:t>
            </w:r>
          </w:p>
        </w:tc>
        <w:tc>
          <w:tcPr>
            <w:tcW w:w="1050" w:type="dxa"/>
            <w:tcBorders>
              <w:top w:val="single" w:sz="4" w:space="0" w:color="auto"/>
              <w:left w:val="single" w:sz="4" w:space="0" w:color="auto"/>
              <w:bottom w:val="single" w:sz="4" w:space="0" w:color="auto"/>
              <w:right w:val="single" w:sz="4" w:space="0" w:color="auto"/>
            </w:tcBorders>
            <w:vAlign w:val="center"/>
          </w:tcPr>
          <w:p w:rsidR="00BE0220" w:rsidRPr="000239D0" w:rsidRDefault="00BE0220"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0.34%</w:t>
            </w:r>
          </w:p>
        </w:tc>
      </w:tr>
      <w:tr w:rsidR="00676358" w:rsidRPr="000239D0" w:rsidTr="001A3DDF">
        <w:trPr>
          <w:trHeight w:val="300"/>
        </w:trPr>
        <w:tc>
          <w:tcPr>
            <w:tcW w:w="1985" w:type="dxa"/>
            <w:tcBorders>
              <w:top w:val="single" w:sz="4" w:space="0" w:color="auto"/>
              <w:left w:val="single" w:sz="4" w:space="0" w:color="auto"/>
              <w:bottom w:val="single" w:sz="4" w:space="0" w:color="auto"/>
              <w:right w:val="single" w:sz="4" w:space="0" w:color="auto"/>
            </w:tcBorders>
            <w:vAlign w:val="center"/>
          </w:tcPr>
          <w:p w:rsidR="00244041" w:rsidRPr="000239D0" w:rsidRDefault="00244041"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w:t>
            </w:r>
            <w:r w:rsidRPr="000239D0">
              <w:rPr>
                <w:rFonts w:asciiTheme="minorEastAsia" w:eastAsiaTheme="minorEastAsia" w:hAnsiTheme="minorEastAsia"/>
                <w:sz w:val="21"/>
                <w:szCs w:val="21"/>
              </w:rPr>
              <w:t>8</w:t>
            </w:r>
            <w:r w:rsidRPr="000239D0">
              <w:rPr>
                <w:rFonts w:asciiTheme="minorEastAsia" w:eastAsiaTheme="minorEastAsia" w:hAnsiTheme="minorEastAsia" w:hint="eastAsia"/>
                <w:sz w:val="21"/>
                <w:szCs w:val="21"/>
              </w:rPr>
              <w:t>年1月1日至201</w:t>
            </w:r>
            <w:r w:rsidRPr="000239D0">
              <w:rPr>
                <w:rFonts w:asciiTheme="minorEastAsia" w:eastAsiaTheme="minorEastAsia" w:hAnsiTheme="minorEastAsia"/>
                <w:sz w:val="21"/>
                <w:szCs w:val="21"/>
              </w:rPr>
              <w:t>8</w:t>
            </w:r>
            <w:r w:rsidRPr="000239D0">
              <w:rPr>
                <w:rFonts w:asciiTheme="minorEastAsia" w:eastAsiaTheme="minorEastAsia" w:hAnsiTheme="minorEastAsia" w:hint="eastAsia"/>
                <w:sz w:val="21"/>
                <w:szCs w:val="21"/>
              </w:rPr>
              <w:t>年12月31日</w:t>
            </w:r>
          </w:p>
        </w:tc>
        <w:tc>
          <w:tcPr>
            <w:tcW w:w="924" w:type="dxa"/>
            <w:tcBorders>
              <w:top w:val="single" w:sz="4" w:space="0" w:color="auto"/>
              <w:left w:val="single" w:sz="4" w:space="0" w:color="auto"/>
              <w:bottom w:val="single" w:sz="4" w:space="0" w:color="auto"/>
              <w:right w:val="single" w:sz="4" w:space="0" w:color="auto"/>
            </w:tcBorders>
            <w:vAlign w:val="center"/>
          </w:tcPr>
          <w:p w:rsidR="00244041" w:rsidRPr="000239D0" w:rsidRDefault="00244041"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-32.18%</w:t>
            </w:r>
          </w:p>
        </w:tc>
        <w:tc>
          <w:tcPr>
            <w:tcW w:w="1155" w:type="dxa"/>
            <w:tcBorders>
              <w:top w:val="single" w:sz="4" w:space="0" w:color="auto"/>
              <w:left w:val="single" w:sz="4" w:space="0" w:color="auto"/>
              <w:bottom w:val="single" w:sz="4" w:space="0" w:color="auto"/>
              <w:right w:val="single" w:sz="4" w:space="0" w:color="auto"/>
            </w:tcBorders>
            <w:vAlign w:val="center"/>
          </w:tcPr>
          <w:p w:rsidR="00244041" w:rsidRPr="000239D0" w:rsidRDefault="00244041"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1.47%</w:t>
            </w:r>
          </w:p>
        </w:tc>
        <w:tc>
          <w:tcPr>
            <w:tcW w:w="1155" w:type="dxa"/>
            <w:tcBorders>
              <w:top w:val="single" w:sz="4" w:space="0" w:color="auto"/>
              <w:left w:val="single" w:sz="4" w:space="0" w:color="auto"/>
              <w:bottom w:val="single" w:sz="4" w:space="0" w:color="auto"/>
              <w:right w:val="single" w:sz="4" w:space="0" w:color="auto"/>
            </w:tcBorders>
            <w:vAlign w:val="center"/>
          </w:tcPr>
          <w:p w:rsidR="00244041" w:rsidRPr="000239D0" w:rsidRDefault="00244041"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-17.05%</w:t>
            </w:r>
          </w:p>
        </w:tc>
        <w:tc>
          <w:tcPr>
            <w:tcW w:w="1470" w:type="dxa"/>
            <w:tcBorders>
              <w:top w:val="single" w:sz="4" w:space="0" w:color="auto"/>
              <w:left w:val="single" w:sz="4" w:space="0" w:color="auto"/>
              <w:bottom w:val="single" w:sz="4" w:space="0" w:color="auto"/>
              <w:right w:val="single" w:sz="4" w:space="0" w:color="auto"/>
            </w:tcBorders>
            <w:vAlign w:val="center"/>
          </w:tcPr>
          <w:p w:rsidR="00244041" w:rsidRPr="000239D0" w:rsidRDefault="00244041"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0.92%</w:t>
            </w:r>
          </w:p>
        </w:tc>
        <w:tc>
          <w:tcPr>
            <w:tcW w:w="1050" w:type="dxa"/>
            <w:tcBorders>
              <w:top w:val="single" w:sz="4" w:space="0" w:color="auto"/>
              <w:left w:val="single" w:sz="4" w:space="0" w:color="auto"/>
              <w:bottom w:val="single" w:sz="4" w:space="0" w:color="auto"/>
              <w:right w:val="single" w:sz="4" w:space="0" w:color="auto"/>
            </w:tcBorders>
            <w:vAlign w:val="center"/>
          </w:tcPr>
          <w:p w:rsidR="00244041" w:rsidRPr="000239D0" w:rsidRDefault="00244041"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-15.13%</w:t>
            </w:r>
          </w:p>
        </w:tc>
        <w:tc>
          <w:tcPr>
            <w:tcW w:w="1050" w:type="dxa"/>
            <w:tcBorders>
              <w:top w:val="single" w:sz="4" w:space="0" w:color="auto"/>
              <w:left w:val="single" w:sz="4" w:space="0" w:color="auto"/>
              <w:bottom w:val="single" w:sz="4" w:space="0" w:color="auto"/>
              <w:right w:val="single" w:sz="4" w:space="0" w:color="auto"/>
            </w:tcBorders>
            <w:vAlign w:val="center"/>
          </w:tcPr>
          <w:p w:rsidR="00244041" w:rsidRPr="000239D0" w:rsidRDefault="00244041"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0.55%</w:t>
            </w:r>
          </w:p>
        </w:tc>
      </w:tr>
      <w:tr w:rsidR="00676358" w:rsidRPr="000239D0" w:rsidTr="003C3C65">
        <w:trPr>
          <w:trHeight w:val="300"/>
        </w:trPr>
        <w:tc>
          <w:tcPr>
            <w:tcW w:w="1985" w:type="dxa"/>
            <w:tcBorders>
              <w:top w:val="single" w:sz="4" w:space="0" w:color="auto"/>
              <w:left w:val="single" w:sz="4" w:space="0" w:color="auto"/>
              <w:bottom w:val="single" w:sz="4" w:space="0" w:color="auto"/>
              <w:right w:val="single" w:sz="4" w:space="0" w:color="auto"/>
            </w:tcBorders>
            <w:vAlign w:val="center"/>
          </w:tcPr>
          <w:p w:rsidR="00421527" w:rsidRPr="000239D0" w:rsidRDefault="00D82F63" w:rsidP="000B1E9F">
            <w:pPr>
              <w:tabs>
                <w:tab w:val="left" w:pos="5400"/>
              </w:tabs>
              <w:snapToGrid w:val="0"/>
              <w:spacing w:line="360" w:lineRule="auto"/>
              <w:ind w:leftChars="-1" w:hangingChars="1" w:hanging="2"/>
              <w:rPr>
                <w:rFonts w:asciiTheme="minorEastAsia" w:eastAsiaTheme="minorEastAsia" w:hAnsiTheme="minorEastAsia"/>
                <w:sz w:val="21"/>
                <w:szCs w:val="21"/>
              </w:rPr>
            </w:pPr>
            <w:r w:rsidRPr="000239D0">
              <w:rPr>
                <w:rFonts w:asciiTheme="minorEastAsia" w:eastAsiaTheme="minorEastAsia" w:hAnsiTheme="minorEastAsia"/>
                <w:sz w:val="21"/>
                <w:szCs w:val="21"/>
              </w:rPr>
              <w:t>2019年1月1日至2019年12月31日</w:t>
            </w:r>
          </w:p>
        </w:tc>
        <w:tc>
          <w:tcPr>
            <w:tcW w:w="924" w:type="dxa"/>
            <w:tcBorders>
              <w:top w:val="single" w:sz="4" w:space="0" w:color="auto"/>
              <w:left w:val="single" w:sz="4" w:space="0" w:color="auto"/>
              <w:bottom w:val="single" w:sz="4" w:space="0" w:color="auto"/>
              <w:right w:val="single" w:sz="4" w:space="0" w:color="auto"/>
            </w:tcBorders>
            <w:vAlign w:val="center"/>
          </w:tcPr>
          <w:p w:rsidR="00421527" w:rsidRPr="000239D0" w:rsidRDefault="00D82F6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41.43%</w:t>
            </w:r>
          </w:p>
        </w:tc>
        <w:tc>
          <w:tcPr>
            <w:tcW w:w="1155" w:type="dxa"/>
            <w:tcBorders>
              <w:top w:val="single" w:sz="4" w:space="0" w:color="auto"/>
              <w:left w:val="single" w:sz="4" w:space="0" w:color="auto"/>
              <w:bottom w:val="single" w:sz="4" w:space="0" w:color="auto"/>
              <w:right w:val="single" w:sz="4" w:space="0" w:color="auto"/>
            </w:tcBorders>
            <w:vAlign w:val="center"/>
          </w:tcPr>
          <w:p w:rsidR="00421527" w:rsidRPr="000239D0" w:rsidRDefault="00D82F6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1.43%</w:t>
            </w:r>
          </w:p>
        </w:tc>
        <w:tc>
          <w:tcPr>
            <w:tcW w:w="1155" w:type="dxa"/>
            <w:tcBorders>
              <w:top w:val="single" w:sz="4" w:space="0" w:color="auto"/>
              <w:left w:val="single" w:sz="4" w:space="0" w:color="auto"/>
              <w:bottom w:val="single" w:sz="4" w:space="0" w:color="auto"/>
              <w:right w:val="single" w:sz="4" w:space="0" w:color="auto"/>
            </w:tcBorders>
            <w:vAlign w:val="center"/>
          </w:tcPr>
          <w:p w:rsidR="00421527" w:rsidRPr="000239D0" w:rsidRDefault="00D82F6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17.88%</w:t>
            </w:r>
          </w:p>
        </w:tc>
        <w:tc>
          <w:tcPr>
            <w:tcW w:w="1470" w:type="dxa"/>
            <w:tcBorders>
              <w:top w:val="single" w:sz="4" w:space="0" w:color="auto"/>
              <w:left w:val="single" w:sz="4" w:space="0" w:color="auto"/>
              <w:bottom w:val="single" w:sz="4" w:space="0" w:color="auto"/>
              <w:right w:val="single" w:sz="4" w:space="0" w:color="auto"/>
            </w:tcBorders>
            <w:vAlign w:val="center"/>
          </w:tcPr>
          <w:p w:rsidR="00421527" w:rsidRPr="000239D0" w:rsidRDefault="00D82F6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0.85%</w:t>
            </w:r>
          </w:p>
        </w:tc>
        <w:tc>
          <w:tcPr>
            <w:tcW w:w="1050" w:type="dxa"/>
            <w:tcBorders>
              <w:top w:val="single" w:sz="4" w:space="0" w:color="auto"/>
              <w:left w:val="single" w:sz="4" w:space="0" w:color="auto"/>
              <w:bottom w:val="single" w:sz="4" w:space="0" w:color="auto"/>
              <w:right w:val="single" w:sz="4" w:space="0" w:color="auto"/>
            </w:tcBorders>
            <w:vAlign w:val="center"/>
          </w:tcPr>
          <w:p w:rsidR="00421527" w:rsidRPr="000239D0" w:rsidRDefault="00D82F6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23.55%</w:t>
            </w:r>
          </w:p>
        </w:tc>
        <w:tc>
          <w:tcPr>
            <w:tcW w:w="1050" w:type="dxa"/>
            <w:tcBorders>
              <w:top w:val="single" w:sz="4" w:space="0" w:color="auto"/>
              <w:left w:val="single" w:sz="4" w:space="0" w:color="auto"/>
              <w:bottom w:val="single" w:sz="4" w:space="0" w:color="auto"/>
              <w:right w:val="single" w:sz="4" w:space="0" w:color="auto"/>
            </w:tcBorders>
            <w:vAlign w:val="center"/>
          </w:tcPr>
          <w:p w:rsidR="00421527" w:rsidRPr="000239D0" w:rsidRDefault="00D82F63" w:rsidP="000B1E9F">
            <w:pPr>
              <w:widowControl/>
              <w:autoSpaceDE w:val="0"/>
              <w:autoSpaceDN w:val="0"/>
              <w:snapToGrid w:val="0"/>
              <w:spacing w:line="360" w:lineRule="auto"/>
              <w:ind w:leftChars="-45" w:left="-106" w:right="-3" w:hangingChars="1" w:hanging="2"/>
              <w:jc w:val="right"/>
              <w:textAlignment w:val="bottom"/>
              <w:rPr>
                <w:rFonts w:asciiTheme="minorEastAsia" w:eastAsiaTheme="minorEastAsia" w:hAnsiTheme="minorEastAsia"/>
                <w:sz w:val="21"/>
                <w:szCs w:val="21"/>
              </w:rPr>
            </w:pPr>
            <w:r w:rsidRPr="000239D0">
              <w:rPr>
                <w:rFonts w:asciiTheme="minorEastAsia" w:eastAsiaTheme="minorEastAsia" w:hAnsiTheme="minorEastAsia"/>
                <w:sz w:val="21"/>
                <w:szCs w:val="21"/>
              </w:rPr>
              <w:t>0.58%</w:t>
            </w:r>
          </w:p>
        </w:tc>
      </w:tr>
    </w:tbl>
    <w:p w:rsidR="00421527" w:rsidRPr="000239D0" w:rsidRDefault="00421527" w:rsidP="000B1E9F">
      <w:pPr>
        <w:autoSpaceDE w:val="0"/>
        <w:autoSpaceDN w:val="0"/>
        <w:adjustRightInd w:val="0"/>
        <w:snapToGrid w:val="0"/>
        <w:spacing w:line="360" w:lineRule="auto"/>
        <w:ind w:firstLineChars="0" w:firstLine="0"/>
        <w:rPr>
          <w:rFonts w:asciiTheme="minorEastAsia" w:eastAsiaTheme="minorEastAsia" w:hAnsiTheme="minorEastAsia"/>
          <w:kern w:val="0"/>
          <w:sz w:val="21"/>
          <w:szCs w:val="21"/>
        </w:rPr>
        <w:sectPr w:rsidR="00421527" w:rsidRPr="000239D0" w:rsidSect="007D09C8">
          <w:pgSz w:w="11906" w:h="16838" w:code="9"/>
          <w:pgMar w:top="1701" w:right="1301" w:bottom="1701" w:left="2268" w:header="1134" w:footer="1247" w:gutter="0"/>
          <w:cols w:space="425"/>
          <w:docGrid w:type="lines" w:linePitch="447"/>
        </w:sect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szCs w:val="21"/>
        </w:rPr>
      </w:pPr>
      <w:bookmarkStart w:id="88" w:name="_Toc219695815"/>
      <w:bookmarkStart w:id="89" w:name="_Toc36452386"/>
      <w:r w:rsidRPr="000239D0">
        <w:rPr>
          <w:rFonts w:asciiTheme="minorEastAsia" w:eastAsiaTheme="minorEastAsia" w:hAnsiTheme="minorEastAsia" w:hint="eastAsia"/>
          <w:b/>
          <w:bCs/>
          <w:kern w:val="44"/>
          <w:sz w:val="28"/>
          <w:szCs w:val="44"/>
        </w:rPr>
        <w:lastRenderedPageBreak/>
        <w:t>十、基金的财产</w:t>
      </w:r>
      <w:bookmarkEnd w:id="88"/>
      <w:bookmarkEnd w:id="89"/>
    </w:p>
    <w:p w:rsidR="005336CC" w:rsidRPr="000239D0" w:rsidRDefault="000E35F3"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90" w:name="_Toc219695816"/>
      <w:bookmarkStart w:id="91" w:name="_Toc36452387"/>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基金财产的构成</w:t>
      </w:r>
      <w:bookmarkEnd w:id="90"/>
      <w:bookmarkEnd w:id="91"/>
    </w:p>
    <w:p w:rsidR="005336CC" w:rsidRPr="000239D0" w:rsidRDefault="005336CC"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基金资产总值是指所购买的各类证券价值、银行存款本息和基金应收的申购基金款以及其他投资所形成的价值总和。基金资产净值是指基金资产总值减去负债后的价值。</w:t>
      </w:r>
    </w:p>
    <w:p w:rsidR="005336CC" w:rsidRPr="000239D0" w:rsidRDefault="000E35F3"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92" w:name="_Toc219695817"/>
      <w:bookmarkStart w:id="93" w:name="_Toc36452388"/>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基金财产的</w:t>
      </w:r>
      <w:r w:rsidR="005336CC" w:rsidRPr="000239D0">
        <w:rPr>
          <w:rFonts w:asciiTheme="minorEastAsia" w:eastAsiaTheme="minorEastAsia" w:hAnsiTheme="minorEastAsia"/>
          <w:b w:val="0"/>
          <w:bCs/>
        </w:rPr>
        <w:t>账</w:t>
      </w:r>
      <w:r w:rsidR="005336CC" w:rsidRPr="000239D0">
        <w:rPr>
          <w:rFonts w:asciiTheme="minorEastAsia" w:eastAsiaTheme="minorEastAsia" w:hAnsiTheme="minorEastAsia" w:hint="eastAsia"/>
          <w:b w:val="0"/>
          <w:bCs/>
        </w:rPr>
        <w:t>户</w:t>
      </w:r>
      <w:bookmarkEnd w:id="92"/>
      <w:bookmarkEnd w:id="93"/>
    </w:p>
    <w:p w:rsidR="005336CC" w:rsidRPr="000239D0" w:rsidRDefault="005336CC"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本基金按有关规定开立基金专用银行存款账户以及证券账户</w:t>
      </w:r>
      <w:r w:rsidRPr="000239D0">
        <w:rPr>
          <w:rFonts w:asciiTheme="minorEastAsia" w:eastAsiaTheme="minorEastAsia" w:hAnsiTheme="minorEastAsia" w:hint="eastAsia"/>
          <w:szCs w:val="21"/>
        </w:rPr>
        <w:t>，</w:t>
      </w:r>
      <w:r w:rsidRPr="000239D0">
        <w:rPr>
          <w:rFonts w:asciiTheme="minorEastAsia" w:eastAsiaTheme="minorEastAsia" w:hAnsiTheme="minorEastAsia"/>
          <w:szCs w:val="21"/>
        </w:rPr>
        <w:t>与基金管理人、基金托管人、基金</w:t>
      </w:r>
      <w:r w:rsidR="004C4C3D" w:rsidRPr="000239D0">
        <w:rPr>
          <w:rFonts w:asciiTheme="minorEastAsia" w:eastAsiaTheme="minorEastAsia" w:hAnsiTheme="minorEastAsia" w:hint="eastAsia"/>
          <w:szCs w:val="21"/>
        </w:rPr>
        <w:t>销售</w:t>
      </w:r>
      <w:r w:rsidRPr="000239D0">
        <w:rPr>
          <w:rFonts w:asciiTheme="minorEastAsia" w:eastAsiaTheme="minorEastAsia" w:hAnsiTheme="minorEastAsia"/>
          <w:szCs w:val="21"/>
        </w:rPr>
        <w:t>机构、</w:t>
      </w:r>
      <w:r w:rsidRPr="000239D0">
        <w:rPr>
          <w:rFonts w:asciiTheme="minorEastAsia" w:eastAsiaTheme="minorEastAsia" w:hAnsiTheme="minorEastAsia"/>
        </w:rPr>
        <w:t>注册登记机构</w:t>
      </w:r>
      <w:r w:rsidRPr="000239D0">
        <w:rPr>
          <w:rFonts w:asciiTheme="minorEastAsia" w:eastAsiaTheme="minorEastAsia" w:hAnsiTheme="minorEastAsia"/>
          <w:szCs w:val="21"/>
        </w:rPr>
        <w:t>自有的</w:t>
      </w:r>
      <w:r w:rsidRPr="000239D0">
        <w:rPr>
          <w:rFonts w:asciiTheme="minorEastAsia" w:eastAsiaTheme="minorEastAsia" w:hAnsiTheme="minorEastAsia" w:hint="eastAsia"/>
        </w:rPr>
        <w:t>财</w:t>
      </w:r>
      <w:r w:rsidRPr="000239D0">
        <w:rPr>
          <w:rFonts w:asciiTheme="minorEastAsia" w:eastAsiaTheme="minorEastAsia" w:hAnsiTheme="minorEastAsia"/>
          <w:szCs w:val="21"/>
        </w:rPr>
        <w:t>产账户以及其它基金</w:t>
      </w:r>
      <w:r w:rsidRPr="000239D0">
        <w:rPr>
          <w:rFonts w:asciiTheme="minorEastAsia" w:eastAsiaTheme="minorEastAsia" w:hAnsiTheme="minorEastAsia" w:hint="eastAsia"/>
        </w:rPr>
        <w:t>财</w:t>
      </w:r>
      <w:r w:rsidRPr="000239D0">
        <w:rPr>
          <w:rFonts w:asciiTheme="minorEastAsia" w:eastAsiaTheme="minorEastAsia" w:hAnsiTheme="minorEastAsia"/>
          <w:szCs w:val="21"/>
        </w:rPr>
        <w:t>产账户相互独立。</w:t>
      </w:r>
    </w:p>
    <w:p w:rsidR="005336CC" w:rsidRPr="000239D0" w:rsidRDefault="000E35F3"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94" w:name="_Toc219695818"/>
      <w:bookmarkStart w:id="95" w:name="_Toc36452389"/>
      <w:r w:rsidRPr="000239D0">
        <w:rPr>
          <w:rFonts w:asciiTheme="minorEastAsia" w:eastAsiaTheme="minorEastAsia" w:hAnsiTheme="minorEastAsia" w:hint="eastAsia"/>
          <w:b w:val="0"/>
          <w:bCs/>
        </w:rPr>
        <w:t>（三）</w:t>
      </w:r>
      <w:r w:rsidR="005336CC" w:rsidRPr="000239D0">
        <w:rPr>
          <w:rFonts w:asciiTheme="minorEastAsia" w:eastAsiaTheme="minorEastAsia" w:hAnsiTheme="minorEastAsia" w:hint="eastAsia"/>
          <w:b w:val="0"/>
          <w:bCs/>
        </w:rPr>
        <w:t>基金财产的保管与处分</w:t>
      </w:r>
      <w:bookmarkEnd w:id="94"/>
      <w:bookmarkEnd w:id="95"/>
    </w:p>
    <w:p w:rsidR="005336CC" w:rsidRPr="000239D0" w:rsidRDefault="005336CC"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本基金财产独立于基金管理人、基金托管人的固有财产，并由基金托管人保管。基金管理人、基金托管人不得将基金财产归入其固有财产；基金管理人、基金托管人因基金财产的管理、运用或其他情形而取得的财产和收益，归入基金财产。基金管理人、基金托管人以其自有的财产承担自身相应的法律责任，其债权人不得对基金财产行使请求冻结、扣押或其他权利。基金管理人、基金托管人因依法解散、被依法撤消或被依法宣告破产等原因进行清算的，基金财产不属于其清算财产。非因基金财产本身承担的债务不得对基金财产强制执行。除依据《基金法》、《运作办法》、基金合同及其他有关规定处分外，基金财产不得被处分。</w:t>
      </w:r>
    </w:p>
    <w:p w:rsidR="005336CC" w:rsidRPr="000239D0" w:rsidRDefault="005336CC"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基金管理人管理运作基金财产所产生的债权，不得与其固有资产产生的债务相互抵消；基金管理人管理运作不同基金的基金财产所产生的债权债务不得相互抵消。</w:t>
      </w:r>
    </w:p>
    <w:p w:rsidR="005336CC" w:rsidRPr="000239D0" w:rsidRDefault="005336CC"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B42F28" w:rsidRPr="000239D0" w:rsidRDefault="00B42F28" w:rsidP="000B1E9F">
      <w:pPr>
        <w:pStyle w:val="aa"/>
        <w:tabs>
          <w:tab w:val="left" w:pos="735"/>
        </w:tabs>
        <w:snapToGrid w:val="0"/>
        <w:spacing w:line="360" w:lineRule="auto"/>
        <w:ind w:firstLine="0"/>
        <w:rPr>
          <w:rFonts w:asciiTheme="minorEastAsia" w:eastAsiaTheme="minorEastAsia" w:hAnsiTheme="minorEastAsia"/>
        </w:r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Cs/>
        </w:rPr>
      </w:pPr>
      <w:bookmarkStart w:id="96" w:name="_Toc219695819"/>
      <w:bookmarkStart w:id="97" w:name="_Toc36452390"/>
      <w:r w:rsidRPr="000239D0">
        <w:rPr>
          <w:rFonts w:asciiTheme="minorEastAsia" w:eastAsiaTheme="minorEastAsia" w:hAnsiTheme="minorEastAsia" w:hint="eastAsia"/>
          <w:b/>
          <w:bCs/>
          <w:kern w:val="44"/>
          <w:sz w:val="28"/>
          <w:szCs w:val="44"/>
        </w:rPr>
        <w:lastRenderedPageBreak/>
        <w:t>十一、基金资产的估值</w:t>
      </w:r>
      <w:bookmarkEnd w:id="96"/>
      <w:bookmarkEnd w:id="97"/>
    </w:p>
    <w:p w:rsidR="005336CC" w:rsidRPr="000239D0" w:rsidRDefault="00621468"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98" w:name="_Toc219695820"/>
      <w:bookmarkStart w:id="99" w:name="_Toc36452391"/>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估值目的</w:t>
      </w:r>
      <w:bookmarkEnd w:id="98"/>
      <w:bookmarkEnd w:id="99"/>
    </w:p>
    <w:p w:rsidR="005336CC" w:rsidRPr="000239D0" w:rsidRDefault="00755F6E"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szCs w:val="21"/>
        </w:rPr>
        <w:t>基金估值的目的是为了准确、真实地反映基金相关金融资产和金融负债的公允价值。开放式基金份额申购、赎回价格应按基金估值后确定的基金份额净值计算。</w:t>
      </w:r>
    </w:p>
    <w:p w:rsidR="005336CC" w:rsidRPr="000239D0" w:rsidRDefault="00621468"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00" w:name="_Toc219695821"/>
      <w:bookmarkStart w:id="101" w:name="_Toc36452392"/>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估值日</w:t>
      </w:r>
      <w:bookmarkEnd w:id="100"/>
      <w:bookmarkEnd w:id="101"/>
    </w:p>
    <w:p w:rsidR="005336CC"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本基金的估值日为上海和深圳证券交易所的交易日以及国家法律法规规定需要对外披露基金净值的非营业日。</w:t>
      </w:r>
    </w:p>
    <w:p w:rsidR="005336CC" w:rsidRPr="000239D0" w:rsidRDefault="00621468"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02" w:name="_Toc219695822"/>
      <w:bookmarkStart w:id="103" w:name="_Toc36452393"/>
      <w:r w:rsidRPr="000239D0">
        <w:rPr>
          <w:rFonts w:asciiTheme="minorEastAsia" w:eastAsiaTheme="minorEastAsia" w:hAnsiTheme="minorEastAsia" w:hint="eastAsia"/>
          <w:b w:val="0"/>
          <w:bCs/>
        </w:rPr>
        <w:t>（三）</w:t>
      </w:r>
      <w:r w:rsidR="005336CC" w:rsidRPr="000239D0">
        <w:rPr>
          <w:rFonts w:asciiTheme="minorEastAsia" w:eastAsiaTheme="minorEastAsia" w:hAnsiTheme="minorEastAsia" w:hint="eastAsia"/>
          <w:b w:val="0"/>
          <w:bCs/>
        </w:rPr>
        <w:t>估值对象</w:t>
      </w:r>
      <w:bookmarkEnd w:id="102"/>
      <w:bookmarkEnd w:id="103"/>
    </w:p>
    <w:p w:rsidR="005336CC"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基金所持有的金融资产和金融负债</w:t>
      </w:r>
      <w:r w:rsidRPr="000239D0">
        <w:rPr>
          <w:rFonts w:asciiTheme="minorEastAsia" w:eastAsiaTheme="minorEastAsia" w:hAnsiTheme="minorEastAsia"/>
          <w:sz w:val="21"/>
          <w:szCs w:val="21"/>
        </w:rPr>
        <w:t>。</w:t>
      </w:r>
    </w:p>
    <w:p w:rsidR="005336CC" w:rsidRPr="000239D0" w:rsidRDefault="00621468"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04" w:name="_Toc219695823"/>
      <w:bookmarkStart w:id="105" w:name="_Toc36452394"/>
      <w:r w:rsidRPr="000239D0">
        <w:rPr>
          <w:rFonts w:asciiTheme="minorEastAsia" w:eastAsiaTheme="minorEastAsia" w:hAnsiTheme="minorEastAsia" w:hint="eastAsia"/>
          <w:b w:val="0"/>
          <w:bCs/>
        </w:rPr>
        <w:t>（四）</w:t>
      </w:r>
      <w:r w:rsidR="005336CC" w:rsidRPr="000239D0">
        <w:rPr>
          <w:rFonts w:asciiTheme="minorEastAsia" w:eastAsiaTheme="minorEastAsia" w:hAnsiTheme="minorEastAsia" w:hint="eastAsia"/>
          <w:b w:val="0"/>
          <w:bCs/>
        </w:rPr>
        <w:t>估值方法</w:t>
      </w:r>
      <w:bookmarkEnd w:id="104"/>
      <w:bookmarkEnd w:id="105"/>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股票估值方法</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（1）上市流通股票的估值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上市流通股票按估值日其所在证券交易所的收盘价估值；估值日无交易的，以最近交易日的收盘价估值。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（2）未上市股票的估值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送股、转增股、配股和公开增发新股等发行未上市的股票，按估值日在交易所挂牌的同一股票的收盘价估值；估值日无交易的，以最近交易日的收盘价估值。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首次发行未上市的股票，采用估值技术确定公允价值，在估值技术难以可靠计量的情况下，按成本估值。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（3）有明确锁定期股票的估值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首次公开发行有明确锁定期的股票，同一股票在交易所上市后，按交易所上市的同一股票的收盘价估值；非公开发行且处于明确锁定期的股票，按监管机构或行业协会的有关规定确定公允价值。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固定收益证券的估值办法</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（1）证券交易所市场实行净价交易的债券按估值日收盘净价估值，估值日没有交易的，按最近交易日的收盘净价估值。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（2）证券交易所市场未实行净价交易的债券按估值日收盘价减去债券收盘价中所含的债券应收利息得到的净价进行估值，估值日没有交易的，按有交易的最近交易日所采用的净价估值。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（3）未上市债券采用估值技术确定公允价值，在估值技术难以可靠计量的情况下，按成本估值。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lastRenderedPageBreak/>
        <w:t>（4）在银行间债券市场交易的债券、资产支持证券等固定收益品种，采用估值技术确定公允价值。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（5）交易所以大宗交易方式转让的资产支持证券，采用估值技术确定公允价值，在估值技术难以可靠计量公允价值的情况下，按成本进行后续计量。</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（6）同一债券同时在两个或两个以上市场交易的，按债券所处的市场分别估值。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权证估值：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（1）配股权证的估值：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因持有股票而享有的配股权，采用估值技术进行估值。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（2）认沽/认购权证的估值：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从持有确认日起到卖出日或行权日止，上市交易的认沽/认购权证按估值日的收盘价估值，估值日没有交易的，按最近交易日的收盘价估值；未上市交易的认沽/认购权证采用估值技术确定公允价值，在估值技术难以可靠计量的情况下，按成本估值；停止交易、但未行权的权证，采用估值技术确定公允价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其他资产按国家有关规定进行估值。</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564F90" w:rsidRPr="000239D0" w:rsidRDefault="00755F6E" w:rsidP="000B1E9F">
      <w:pPr>
        <w:autoSpaceDE w:val="0"/>
        <w:autoSpaceDN w:val="0"/>
        <w:adjustRightInd w:val="0"/>
        <w:snapToGrid w:val="0"/>
        <w:spacing w:line="360" w:lineRule="auto"/>
        <w:ind w:firstLine="420"/>
        <w:rPr>
          <w:rFonts w:asciiTheme="minorEastAsia" w:eastAsiaTheme="minorEastAsia" w:hAnsiTheme="minorEastAsia"/>
          <w:b/>
          <w:bCs/>
          <w:sz w:val="21"/>
          <w:szCs w:val="21"/>
        </w:rPr>
      </w:pPr>
      <w:r w:rsidRPr="000239D0">
        <w:rPr>
          <w:rFonts w:asciiTheme="minorEastAsia" w:eastAsiaTheme="minorEastAsia" w:hAnsiTheme="minorEastAsia" w:hint="eastAsia"/>
          <w:sz w:val="21"/>
          <w:szCs w:val="21"/>
        </w:rPr>
        <w:t>6</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国家有最新规定的，按其规定进行估值。</w:t>
      </w:r>
    </w:p>
    <w:p w:rsidR="005336CC" w:rsidRPr="000239D0" w:rsidRDefault="00621468"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06" w:name="_Toc219695824"/>
      <w:bookmarkStart w:id="107" w:name="_Toc36452395"/>
      <w:r w:rsidRPr="000239D0">
        <w:rPr>
          <w:rFonts w:asciiTheme="minorEastAsia" w:eastAsiaTheme="minorEastAsia" w:hAnsiTheme="minorEastAsia" w:hint="eastAsia"/>
          <w:b w:val="0"/>
          <w:bCs/>
        </w:rPr>
        <w:t>（五）</w:t>
      </w:r>
      <w:r w:rsidR="005336CC" w:rsidRPr="000239D0">
        <w:rPr>
          <w:rFonts w:asciiTheme="minorEastAsia" w:eastAsiaTheme="minorEastAsia" w:hAnsiTheme="minorEastAsia" w:hint="eastAsia"/>
          <w:b w:val="0"/>
          <w:bCs/>
        </w:rPr>
        <w:t>估值程序</w:t>
      </w:r>
      <w:bookmarkEnd w:id="106"/>
      <w:bookmarkEnd w:id="107"/>
    </w:p>
    <w:p w:rsidR="005336CC"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盖章返回给基金管理人，由基金管理人对外公布。月末、年中和年末估值复核与基金会计账目的核对同时进行。</w:t>
      </w:r>
    </w:p>
    <w:p w:rsidR="005336CC" w:rsidRPr="000239D0" w:rsidRDefault="00621468"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08" w:name="_Toc219695825"/>
      <w:bookmarkStart w:id="109" w:name="_Toc36452396"/>
      <w:r w:rsidRPr="000239D0">
        <w:rPr>
          <w:rFonts w:asciiTheme="minorEastAsia" w:eastAsiaTheme="minorEastAsia" w:hAnsiTheme="minorEastAsia" w:hint="eastAsia"/>
          <w:b w:val="0"/>
          <w:bCs/>
        </w:rPr>
        <w:t>（六）</w:t>
      </w:r>
      <w:r w:rsidR="00755F6E" w:rsidRPr="000239D0">
        <w:rPr>
          <w:rFonts w:asciiTheme="minorEastAsia" w:eastAsiaTheme="minorEastAsia" w:hAnsiTheme="minorEastAsia" w:hint="eastAsia"/>
          <w:b w:val="0"/>
          <w:bCs/>
        </w:rPr>
        <w:t>基金份额净值的确认</w:t>
      </w:r>
      <w:bookmarkEnd w:id="108"/>
      <w:bookmarkEnd w:id="109"/>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人对基金份额净值予以公布。</w:t>
      </w:r>
    </w:p>
    <w:p w:rsidR="005336CC"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基金份额净值的计算精确到0.001元，小数点后第四位四舍五入。国家另有规定的，从其规定。</w:t>
      </w:r>
    </w:p>
    <w:p w:rsidR="005336CC" w:rsidRPr="000239D0" w:rsidRDefault="00621468"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10" w:name="_Toc219695826"/>
      <w:bookmarkStart w:id="111" w:name="_Toc36452397"/>
      <w:r w:rsidRPr="000239D0">
        <w:rPr>
          <w:rFonts w:asciiTheme="minorEastAsia" w:eastAsiaTheme="minorEastAsia" w:hAnsiTheme="minorEastAsia" w:hint="eastAsia"/>
          <w:b w:val="0"/>
          <w:bCs/>
        </w:rPr>
        <w:lastRenderedPageBreak/>
        <w:t>（七）</w:t>
      </w:r>
      <w:r w:rsidR="005336CC" w:rsidRPr="000239D0">
        <w:rPr>
          <w:rFonts w:asciiTheme="minorEastAsia" w:eastAsiaTheme="minorEastAsia" w:hAnsiTheme="minorEastAsia" w:hint="eastAsia"/>
          <w:b w:val="0"/>
          <w:bCs/>
        </w:rPr>
        <w:t>暂停估值的情形</w:t>
      </w:r>
      <w:bookmarkEnd w:id="110"/>
      <w:bookmarkEnd w:id="111"/>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基金投资所涉及的证券交易所遇法定节假日或因其他原因暂停营业时；</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因不可抗力或其他情形致使基金管理人、基金托管人无法准确评估基金财产价值时；</w:t>
      </w:r>
    </w:p>
    <w:p w:rsidR="0047210C"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w:t>
      </w:r>
      <w:r w:rsidR="00B42F28" w:rsidRPr="000239D0">
        <w:rPr>
          <w:rFonts w:asciiTheme="minorEastAsia" w:eastAsiaTheme="minorEastAsia" w:hAnsiTheme="minorEastAsia" w:hint="eastAsia"/>
          <w:sz w:val="21"/>
          <w:szCs w:val="21"/>
        </w:rPr>
        <w:t>、</w:t>
      </w:r>
      <w:r w:rsidR="00D543F3" w:rsidRPr="000239D0">
        <w:rPr>
          <w:rFonts w:asciiTheme="minorEastAsia" w:eastAsiaTheme="minorEastAsia" w:hAnsiTheme="minorEastAsia" w:hint="eastAsia"/>
          <w:sz w:val="21"/>
          <w:szCs w:val="21"/>
        </w:rPr>
        <w:t>当前一估值日基金资产净值50%以上的资产出现无可参考的活跃市场价格且采用估值技术仍导致公允价值存在重大不确定性时，经与基金托管人协商一致时；</w:t>
      </w:r>
    </w:p>
    <w:p w:rsidR="00755F6E" w:rsidRPr="000239D0" w:rsidRDefault="00D543F3" w:rsidP="000B1E9F">
      <w:pPr>
        <w:autoSpaceDE w:val="0"/>
        <w:autoSpaceDN w:val="0"/>
        <w:adjustRightInd w:val="0"/>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w:t>
      </w:r>
      <w:r w:rsidRPr="000239D0">
        <w:rPr>
          <w:rFonts w:asciiTheme="minorEastAsia" w:eastAsiaTheme="minorEastAsia" w:hAnsiTheme="minorEastAsia"/>
          <w:sz w:val="21"/>
          <w:szCs w:val="21"/>
        </w:rPr>
        <w:t>、</w:t>
      </w:r>
      <w:r w:rsidR="00755F6E" w:rsidRPr="000239D0">
        <w:rPr>
          <w:rFonts w:asciiTheme="minorEastAsia" w:eastAsiaTheme="minorEastAsia" w:hAnsiTheme="minorEastAsia" w:hint="eastAsia"/>
          <w:sz w:val="21"/>
          <w:szCs w:val="21"/>
        </w:rPr>
        <w:t>中国证监会认定的其他情形。</w:t>
      </w:r>
    </w:p>
    <w:p w:rsidR="00755F6E" w:rsidRPr="000239D0" w:rsidRDefault="00621468"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12" w:name="_Toc219695827"/>
      <w:bookmarkStart w:id="113" w:name="_Toc36452398"/>
      <w:r w:rsidRPr="000239D0">
        <w:rPr>
          <w:rFonts w:asciiTheme="minorEastAsia" w:eastAsiaTheme="minorEastAsia" w:hAnsiTheme="minorEastAsia" w:hint="eastAsia"/>
          <w:b w:val="0"/>
          <w:bCs/>
        </w:rPr>
        <w:t>（八）</w:t>
      </w:r>
      <w:r w:rsidR="00755F6E" w:rsidRPr="000239D0">
        <w:rPr>
          <w:rFonts w:asciiTheme="minorEastAsia" w:eastAsiaTheme="minorEastAsia" w:hAnsiTheme="minorEastAsia" w:hint="eastAsia"/>
          <w:b w:val="0"/>
          <w:bCs/>
        </w:rPr>
        <w:t>估值错误的处理</w:t>
      </w:r>
      <w:bookmarkEnd w:id="112"/>
      <w:bookmarkEnd w:id="113"/>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当基金资产的估值导致基金份额净值小数点后三位（含第三位）内发生差错时，视为基金份额净值估值错误。</w:t>
      </w:r>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并同时报中国证监会备案。</w:t>
      </w:r>
    </w:p>
    <w:p w:rsidR="005336CC" w:rsidRPr="000239D0" w:rsidRDefault="00755F6E" w:rsidP="000B1E9F">
      <w:pPr>
        <w:autoSpaceDE w:val="0"/>
        <w:autoSpaceDN w:val="0"/>
        <w:adjustRightInd w:val="0"/>
        <w:snapToGrid w:val="0"/>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前述内容如法律法规或监管机构另有规定的，按其规定处理。</w:t>
      </w:r>
    </w:p>
    <w:p w:rsidR="005336CC" w:rsidRPr="000239D0" w:rsidRDefault="00621468"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14" w:name="_Toc219695828"/>
      <w:bookmarkStart w:id="115" w:name="_Toc36452399"/>
      <w:r w:rsidRPr="000239D0">
        <w:rPr>
          <w:rFonts w:asciiTheme="minorEastAsia" w:eastAsiaTheme="minorEastAsia" w:hAnsiTheme="minorEastAsia" w:hint="eastAsia"/>
          <w:b w:val="0"/>
          <w:bCs/>
        </w:rPr>
        <w:t>（九）</w:t>
      </w:r>
      <w:r w:rsidR="005336CC" w:rsidRPr="000239D0">
        <w:rPr>
          <w:rFonts w:asciiTheme="minorEastAsia" w:eastAsiaTheme="minorEastAsia" w:hAnsiTheme="minorEastAsia" w:hint="eastAsia"/>
          <w:b w:val="0"/>
          <w:bCs/>
        </w:rPr>
        <w:t>特殊情形的处理</w:t>
      </w:r>
      <w:bookmarkEnd w:id="114"/>
      <w:bookmarkEnd w:id="115"/>
    </w:p>
    <w:p w:rsidR="00755F6E"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基金管理人按本条第（四）款有关估值方法规定的第5项条款进行估值时，所造成的误差不作为基金份额净值错误处理。</w:t>
      </w:r>
    </w:p>
    <w:p w:rsidR="005336CC" w:rsidRPr="000239D0" w:rsidRDefault="00755F6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w:t>
      </w:r>
      <w:r w:rsidR="00B42F28"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AE6990" w:rsidRPr="000239D0" w:rsidRDefault="00AE6990" w:rsidP="000B1E9F">
      <w:pPr>
        <w:snapToGrid w:val="0"/>
        <w:spacing w:line="360" w:lineRule="auto"/>
        <w:ind w:firstLine="420"/>
        <w:rPr>
          <w:rFonts w:asciiTheme="minorEastAsia" w:eastAsiaTheme="minorEastAsia" w:hAnsiTheme="minorEastAsia"/>
          <w:sz w:val="21"/>
          <w:szCs w:val="21"/>
        </w:r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Cs/>
        </w:rPr>
      </w:pPr>
      <w:bookmarkStart w:id="116" w:name="_Toc219695829"/>
      <w:bookmarkStart w:id="117" w:name="_Toc36452400"/>
      <w:r w:rsidRPr="000239D0">
        <w:rPr>
          <w:rFonts w:asciiTheme="minorEastAsia" w:eastAsiaTheme="minorEastAsia" w:hAnsiTheme="minorEastAsia" w:hint="eastAsia"/>
          <w:b/>
          <w:bCs/>
          <w:kern w:val="44"/>
          <w:sz w:val="28"/>
          <w:szCs w:val="44"/>
        </w:rPr>
        <w:t>十二、基金的收益分配</w:t>
      </w:r>
      <w:bookmarkEnd w:id="116"/>
      <w:bookmarkEnd w:id="117"/>
    </w:p>
    <w:p w:rsidR="005336CC" w:rsidRPr="000239D0" w:rsidRDefault="00E157EB"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18" w:name="_Toc219695830"/>
      <w:bookmarkStart w:id="119" w:name="_Toc36452401"/>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收益的构成</w:t>
      </w:r>
      <w:bookmarkEnd w:id="118"/>
      <w:bookmarkEnd w:id="119"/>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基金收益包括：基金投资所得红利、股息、债券利息、买卖证券差价、银行存款利息以及其他收入。因运用基金资产带来的成本或费用的节约计入收益。</w:t>
      </w:r>
    </w:p>
    <w:p w:rsidR="005336CC" w:rsidRPr="000239D0" w:rsidRDefault="005336CC" w:rsidP="000B1E9F">
      <w:pPr>
        <w:autoSpaceDE w:val="0"/>
        <w:autoSpaceDN w:val="0"/>
        <w:adjustRightInd w:val="0"/>
        <w:snapToGrid w:val="0"/>
        <w:spacing w:line="360" w:lineRule="auto"/>
        <w:ind w:firstLine="420"/>
        <w:rPr>
          <w:rFonts w:asciiTheme="minorEastAsia" w:eastAsiaTheme="minorEastAsia" w:hAnsiTheme="minorEastAsia"/>
          <w:b/>
          <w:bCs/>
        </w:rPr>
      </w:pPr>
      <w:r w:rsidRPr="000239D0">
        <w:rPr>
          <w:rFonts w:asciiTheme="minorEastAsia" w:eastAsiaTheme="minorEastAsia" w:hAnsiTheme="minorEastAsia" w:hint="eastAsia"/>
          <w:sz w:val="21"/>
        </w:rPr>
        <w:t>基金净收益为基金收益扣除按照有关规定可以在基金收益中扣除的费用等项目后的余额。</w:t>
      </w:r>
    </w:p>
    <w:p w:rsidR="005336CC" w:rsidRPr="000239D0" w:rsidRDefault="00E157EB"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20" w:name="_Toc219695831"/>
      <w:bookmarkStart w:id="121" w:name="_Toc36452402"/>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收益分配原则</w:t>
      </w:r>
      <w:bookmarkEnd w:id="120"/>
      <w:bookmarkEnd w:id="121"/>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收益分配采用现金方式，投资者可选择获取现金红利或者将现金红利按红利发放日前一工作日的基金份额净值自动转为基金份额进行再投资（下称“再投资方式”）；如果投资者没有明示选择，则视为选择现金方式；</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每一基金份额享有同等分配权；</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基金当期收益先弥补上期亏损后，方可进行当期收益分配；</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基金收益分配后每基金份额净值不能低于面值；</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如果基金投资当期出现亏损，则不进行收益分配；</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基金收益分配比例按照有关规定执行；</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在符合基金分红条件、且每基金份额可分配收益达到0.02元的前提下，本基金每季度至少分红一次。当年基金合同生效不满3个月，收益可不分配。</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法律、法规或监管机构另有规定的从其规定。</w:t>
      </w:r>
    </w:p>
    <w:p w:rsidR="005336CC" w:rsidRPr="000239D0" w:rsidRDefault="00E157EB"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22" w:name="_Toc219695832"/>
      <w:bookmarkStart w:id="123" w:name="_Toc36452403"/>
      <w:r w:rsidRPr="000239D0">
        <w:rPr>
          <w:rFonts w:asciiTheme="minorEastAsia" w:eastAsiaTheme="minorEastAsia" w:hAnsiTheme="minorEastAsia" w:hint="eastAsia"/>
          <w:b w:val="0"/>
          <w:bCs/>
        </w:rPr>
        <w:t>（三）</w:t>
      </w:r>
      <w:r w:rsidR="005336CC" w:rsidRPr="000239D0">
        <w:rPr>
          <w:rFonts w:asciiTheme="minorEastAsia" w:eastAsiaTheme="minorEastAsia" w:hAnsiTheme="minorEastAsia" w:hint="eastAsia"/>
          <w:b w:val="0"/>
          <w:bCs/>
        </w:rPr>
        <w:t>收益分配方案</w:t>
      </w:r>
      <w:bookmarkEnd w:id="122"/>
      <w:bookmarkEnd w:id="123"/>
    </w:p>
    <w:p w:rsidR="005336CC" w:rsidRPr="000239D0" w:rsidRDefault="005336CC" w:rsidP="000B1E9F">
      <w:pPr>
        <w:snapToGrid w:val="0"/>
        <w:spacing w:line="360" w:lineRule="auto"/>
        <w:ind w:firstLine="420"/>
        <w:rPr>
          <w:rFonts w:asciiTheme="minorEastAsia" w:eastAsiaTheme="minorEastAsia" w:hAnsiTheme="minorEastAsia"/>
          <w:b/>
          <w:bCs/>
        </w:rPr>
      </w:pPr>
      <w:r w:rsidRPr="000239D0">
        <w:rPr>
          <w:rFonts w:asciiTheme="minorEastAsia" w:eastAsiaTheme="minorEastAsia" w:hAnsiTheme="minorEastAsia" w:hint="eastAsia"/>
          <w:sz w:val="21"/>
        </w:rPr>
        <w:t>基金收益分配方案中载明基金收益的范围、基金净收益、基金收益分配对象、分配原则、分配时间、分配数额及比例、分配方式及有关手续费等内容。</w:t>
      </w:r>
    </w:p>
    <w:p w:rsidR="005336CC" w:rsidRPr="000239D0" w:rsidRDefault="00E157EB"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24" w:name="_Toc219695833"/>
      <w:bookmarkStart w:id="125" w:name="_Toc36452404"/>
      <w:r w:rsidRPr="000239D0">
        <w:rPr>
          <w:rFonts w:asciiTheme="minorEastAsia" w:eastAsiaTheme="minorEastAsia" w:hAnsiTheme="minorEastAsia" w:hint="eastAsia"/>
          <w:b w:val="0"/>
          <w:bCs/>
        </w:rPr>
        <w:t>（四）</w:t>
      </w:r>
      <w:r w:rsidR="005336CC" w:rsidRPr="000239D0">
        <w:rPr>
          <w:rFonts w:asciiTheme="minorEastAsia" w:eastAsiaTheme="minorEastAsia" w:hAnsiTheme="minorEastAsia" w:hint="eastAsia"/>
          <w:b w:val="0"/>
          <w:bCs/>
        </w:rPr>
        <w:t>收益分配方案的确定与公告</w:t>
      </w:r>
      <w:bookmarkEnd w:id="124"/>
      <w:bookmarkEnd w:id="125"/>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本基金收益分配方案由基金管理人拟定、基金托管人核实后确定，</w:t>
      </w:r>
      <w:r w:rsidR="0034441C" w:rsidRPr="000239D0">
        <w:rPr>
          <w:rFonts w:asciiTheme="minorEastAsia" w:eastAsiaTheme="minorEastAsia" w:hAnsiTheme="minorEastAsia" w:hint="eastAsia"/>
          <w:sz w:val="21"/>
        </w:rPr>
        <w:t>在2日内在指定媒介公告</w:t>
      </w:r>
      <w:r w:rsidRPr="000239D0">
        <w:rPr>
          <w:rFonts w:asciiTheme="minorEastAsia" w:eastAsiaTheme="minorEastAsia" w:hAnsiTheme="minorEastAsia" w:hint="eastAsia"/>
          <w:sz w:val="21"/>
        </w:rPr>
        <w:t>。</w:t>
      </w:r>
    </w:p>
    <w:p w:rsidR="005336CC" w:rsidRPr="000239D0" w:rsidRDefault="00E157EB"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26" w:name="_Toc219695834"/>
      <w:bookmarkStart w:id="127" w:name="_Toc36452405"/>
      <w:r w:rsidRPr="000239D0">
        <w:rPr>
          <w:rFonts w:asciiTheme="minorEastAsia" w:eastAsiaTheme="minorEastAsia" w:hAnsiTheme="minorEastAsia" w:hint="eastAsia"/>
          <w:b w:val="0"/>
          <w:bCs/>
        </w:rPr>
        <w:t>（五）</w:t>
      </w:r>
      <w:r w:rsidR="005336CC" w:rsidRPr="000239D0">
        <w:rPr>
          <w:rFonts w:asciiTheme="minorEastAsia" w:eastAsiaTheme="minorEastAsia" w:hAnsiTheme="minorEastAsia"/>
          <w:b w:val="0"/>
          <w:bCs/>
        </w:rPr>
        <w:t>收益分配中发生的费用</w:t>
      </w:r>
      <w:bookmarkEnd w:id="126"/>
      <w:bookmarkEnd w:id="127"/>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sz w:val="21"/>
        </w:rPr>
        <w:t>收益分配采用红利再投资方式免收再投资的费用。</w:t>
      </w:r>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收益分配时发生的银行转帐等手续费由基金份额持有人自行承担；</w:t>
      </w:r>
      <w:r w:rsidR="005336CC" w:rsidRPr="000239D0">
        <w:rPr>
          <w:rFonts w:asciiTheme="minorEastAsia" w:eastAsiaTheme="minorEastAsia" w:hAnsiTheme="minorEastAsia"/>
          <w:sz w:val="21"/>
        </w:rPr>
        <w:t>如果基金份额持有人所获现金红利不足支付前述银行</w:t>
      </w:r>
      <w:r w:rsidR="005336CC" w:rsidRPr="000239D0">
        <w:rPr>
          <w:rFonts w:asciiTheme="minorEastAsia" w:eastAsiaTheme="minorEastAsia" w:hAnsiTheme="minorEastAsia" w:hint="eastAsia"/>
          <w:sz w:val="21"/>
        </w:rPr>
        <w:t>转帐等</w:t>
      </w:r>
      <w:r w:rsidR="005336CC" w:rsidRPr="000239D0">
        <w:rPr>
          <w:rFonts w:asciiTheme="minorEastAsia" w:eastAsiaTheme="minorEastAsia" w:hAnsiTheme="minorEastAsia"/>
          <w:sz w:val="21"/>
        </w:rPr>
        <w:t>手续费，注册登记</w:t>
      </w:r>
      <w:r w:rsidR="005336CC" w:rsidRPr="000239D0">
        <w:rPr>
          <w:rFonts w:asciiTheme="minorEastAsia" w:eastAsiaTheme="minorEastAsia" w:hAnsiTheme="minorEastAsia" w:hint="eastAsia"/>
          <w:sz w:val="21"/>
        </w:rPr>
        <w:t>机构</w:t>
      </w:r>
      <w:r w:rsidR="005336CC" w:rsidRPr="000239D0">
        <w:rPr>
          <w:rFonts w:asciiTheme="minorEastAsia" w:eastAsiaTheme="minorEastAsia" w:hAnsiTheme="minorEastAsia"/>
          <w:sz w:val="21"/>
        </w:rPr>
        <w:t>自动将该基金份额持有人</w:t>
      </w:r>
      <w:r w:rsidR="005336CC" w:rsidRPr="000239D0">
        <w:rPr>
          <w:rFonts w:asciiTheme="minorEastAsia" w:eastAsiaTheme="minorEastAsia" w:hAnsiTheme="minorEastAsia"/>
          <w:sz w:val="21"/>
        </w:rPr>
        <w:lastRenderedPageBreak/>
        <w:t>的现金红利按红利发放日</w:t>
      </w:r>
      <w:r w:rsidR="005336CC" w:rsidRPr="000239D0">
        <w:rPr>
          <w:rFonts w:asciiTheme="minorEastAsia" w:eastAsiaTheme="minorEastAsia" w:hAnsiTheme="minorEastAsia" w:hint="eastAsia"/>
          <w:sz w:val="21"/>
        </w:rPr>
        <w:t>前一工作日</w:t>
      </w:r>
      <w:r w:rsidR="005336CC" w:rsidRPr="000239D0">
        <w:rPr>
          <w:rFonts w:asciiTheme="minorEastAsia" w:eastAsiaTheme="minorEastAsia" w:hAnsiTheme="minorEastAsia"/>
          <w:sz w:val="21"/>
        </w:rPr>
        <w:t>的基金份额净值转为基金份额。</w:t>
      </w:r>
    </w:p>
    <w:p w:rsidR="00AE6990" w:rsidRPr="000239D0" w:rsidRDefault="00AE6990" w:rsidP="000B1E9F">
      <w:pPr>
        <w:snapToGrid w:val="0"/>
        <w:spacing w:line="360" w:lineRule="auto"/>
        <w:ind w:firstLine="420"/>
        <w:rPr>
          <w:rFonts w:asciiTheme="minorEastAsia" w:eastAsiaTheme="minorEastAsia" w:hAnsiTheme="minorEastAsia"/>
          <w:sz w:val="21"/>
        </w:rPr>
      </w:pPr>
    </w:p>
    <w:p w:rsidR="00901489" w:rsidRPr="000239D0" w:rsidRDefault="00901489" w:rsidP="000B1E9F">
      <w:pPr>
        <w:widowControl/>
        <w:ind w:firstLineChars="0" w:firstLine="0"/>
        <w:jc w:val="left"/>
        <w:rPr>
          <w:rFonts w:asciiTheme="minorEastAsia" w:eastAsiaTheme="minorEastAsia" w:hAnsiTheme="minorEastAsia"/>
          <w:sz w:val="21"/>
        </w:rPr>
      </w:pPr>
      <w:r w:rsidRPr="000239D0">
        <w:rPr>
          <w:rFonts w:asciiTheme="minorEastAsia" w:eastAsiaTheme="minorEastAsia" w:hAnsiTheme="minorEastAsia"/>
          <w:sz w:val="21"/>
        </w:rPr>
        <w:br w:type="page"/>
      </w:r>
    </w:p>
    <w:p w:rsidR="005336CC" w:rsidRPr="000239D0" w:rsidRDefault="005336CC" w:rsidP="000B1E9F">
      <w:pPr>
        <w:pStyle w:val="1"/>
        <w:snapToGrid w:val="0"/>
        <w:spacing w:beforeLines="0" w:afterLines="0" w:line="360" w:lineRule="auto"/>
        <w:ind w:firstLine="562"/>
        <w:rPr>
          <w:rFonts w:asciiTheme="minorEastAsia" w:eastAsiaTheme="minorEastAsia" w:hAnsiTheme="minorEastAsia"/>
          <w:bCs/>
          <w:sz w:val="28"/>
          <w:szCs w:val="28"/>
        </w:rPr>
      </w:pPr>
      <w:bookmarkStart w:id="128" w:name="_Toc219695835"/>
      <w:bookmarkStart w:id="129" w:name="_Toc36452406"/>
      <w:r w:rsidRPr="000239D0">
        <w:rPr>
          <w:rFonts w:asciiTheme="minorEastAsia" w:eastAsiaTheme="minorEastAsia" w:hAnsiTheme="minorEastAsia" w:hint="eastAsia"/>
          <w:b/>
          <w:bCs/>
          <w:sz w:val="28"/>
          <w:szCs w:val="28"/>
        </w:rPr>
        <w:lastRenderedPageBreak/>
        <w:t>十三、基金的费用与税收</w:t>
      </w:r>
      <w:bookmarkEnd w:id="128"/>
      <w:bookmarkEnd w:id="129"/>
    </w:p>
    <w:p w:rsidR="005336CC" w:rsidRPr="000239D0" w:rsidRDefault="0099279B"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30" w:name="_Toc219695836"/>
      <w:bookmarkStart w:id="131" w:name="_Toc36452407"/>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与基金运作有关的费用</w:t>
      </w:r>
      <w:bookmarkEnd w:id="130"/>
      <w:bookmarkEnd w:id="131"/>
    </w:p>
    <w:p w:rsidR="005336CC" w:rsidRPr="000239D0" w:rsidRDefault="00B42F28" w:rsidP="000B1E9F">
      <w:pPr>
        <w:pStyle w:val="aa"/>
        <w:tabs>
          <w:tab w:val="left" w:pos="735"/>
        </w:tabs>
        <w:snapToGrid w:val="0"/>
        <w:spacing w:line="360" w:lineRule="auto"/>
        <w:ind w:firstLine="0"/>
        <w:rPr>
          <w:rFonts w:asciiTheme="minorEastAsia" w:eastAsiaTheme="minorEastAsia" w:hAnsiTheme="minorEastAsia"/>
        </w:rPr>
      </w:pPr>
      <w:r w:rsidRPr="000239D0">
        <w:rPr>
          <w:rFonts w:asciiTheme="minorEastAsia" w:eastAsiaTheme="minorEastAsia" w:hAnsiTheme="minorEastAsia" w:hint="eastAsia"/>
        </w:rPr>
        <w:t>1、</w:t>
      </w:r>
      <w:r w:rsidR="005336CC" w:rsidRPr="000239D0">
        <w:rPr>
          <w:rFonts w:asciiTheme="minorEastAsia" w:eastAsiaTheme="minorEastAsia" w:hAnsiTheme="minorEastAsia" w:hint="eastAsia"/>
        </w:rPr>
        <w:t>基金费用的种类</w:t>
      </w:r>
    </w:p>
    <w:p w:rsidR="005336CC" w:rsidRPr="000239D0" w:rsidRDefault="005336CC" w:rsidP="000B1E9F">
      <w:pPr>
        <w:numPr>
          <w:ilvl w:val="1"/>
          <w:numId w:val="24"/>
        </w:numPr>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基金管理人的管理费；</w:t>
      </w:r>
    </w:p>
    <w:p w:rsidR="005336CC" w:rsidRPr="000239D0" w:rsidRDefault="005336CC" w:rsidP="000B1E9F">
      <w:pPr>
        <w:numPr>
          <w:ilvl w:val="1"/>
          <w:numId w:val="24"/>
        </w:numPr>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基金托管人的托管费；</w:t>
      </w:r>
    </w:p>
    <w:p w:rsidR="005336CC" w:rsidRPr="000239D0" w:rsidRDefault="005336CC" w:rsidP="000B1E9F">
      <w:pPr>
        <w:pStyle w:val="aa"/>
        <w:numPr>
          <w:ilvl w:val="1"/>
          <w:numId w:val="24"/>
        </w:numPr>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基金信息披露费用；</w:t>
      </w:r>
    </w:p>
    <w:p w:rsidR="005336CC" w:rsidRPr="000239D0" w:rsidRDefault="005336CC" w:rsidP="000B1E9F">
      <w:pPr>
        <w:numPr>
          <w:ilvl w:val="1"/>
          <w:numId w:val="24"/>
        </w:numPr>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基金份额持有人大会费用；</w:t>
      </w:r>
    </w:p>
    <w:p w:rsidR="005336CC" w:rsidRPr="000239D0" w:rsidRDefault="005336CC" w:rsidP="000B1E9F">
      <w:pPr>
        <w:numPr>
          <w:ilvl w:val="1"/>
          <w:numId w:val="24"/>
        </w:numPr>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与基金相关的会计师费和律师费；</w:t>
      </w:r>
    </w:p>
    <w:p w:rsidR="005336CC" w:rsidRPr="000239D0" w:rsidRDefault="005336CC" w:rsidP="000B1E9F">
      <w:pPr>
        <w:numPr>
          <w:ilvl w:val="1"/>
          <w:numId w:val="24"/>
        </w:numPr>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证券交易费；</w:t>
      </w:r>
    </w:p>
    <w:p w:rsidR="005336CC" w:rsidRPr="000239D0" w:rsidRDefault="005336CC" w:rsidP="000B1E9F">
      <w:pPr>
        <w:numPr>
          <w:ilvl w:val="1"/>
          <w:numId w:val="24"/>
        </w:numPr>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按照国家有关规定可以列入的其他费用；</w:t>
      </w:r>
    </w:p>
    <w:p w:rsidR="005336CC" w:rsidRPr="000239D0" w:rsidRDefault="00B42F28" w:rsidP="000B1E9F">
      <w:pPr>
        <w:pStyle w:val="aa"/>
        <w:tabs>
          <w:tab w:val="left" w:pos="735"/>
        </w:tabs>
        <w:snapToGrid w:val="0"/>
        <w:spacing w:line="360" w:lineRule="auto"/>
        <w:ind w:firstLine="0"/>
        <w:rPr>
          <w:rFonts w:asciiTheme="minorEastAsia" w:eastAsiaTheme="minorEastAsia" w:hAnsiTheme="minorEastAsia"/>
        </w:rPr>
      </w:pPr>
      <w:r w:rsidRPr="000239D0">
        <w:rPr>
          <w:rFonts w:asciiTheme="minorEastAsia" w:eastAsiaTheme="minorEastAsia" w:hAnsiTheme="minorEastAsia" w:hint="eastAsia"/>
        </w:rPr>
        <w:t>2、</w:t>
      </w:r>
      <w:r w:rsidR="005336CC" w:rsidRPr="000239D0">
        <w:rPr>
          <w:rFonts w:asciiTheme="minorEastAsia" w:eastAsiaTheme="minorEastAsia" w:hAnsiTheme="minorEastAsia" w:hint="eastAsia"/>
        </w:rPr>
        <w:t>基金费用计提方法、计提标准和支付方式</w:t>
      </w:r>
    </w:p>
    <w:p w:rsidR="005336CC" w:rsidRPr="000239D0" w:rsidRDefault="005336CC" w:rsidP="000B1E9F">
      <w:pPr>
        <w:numPr>
          <w:ilvl w:val="0"/>
          <w:numId w:val="25"/>
        </w:numPr>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基金管理人的管理费</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基金管理费按前一日基金资产净值的</w:t>
      </w:r>
      <w:r w:rsidRPr="000239D0">
        <w:rPr>
          <w:rFonts w:asciiTheme="minorEastAsia" w:eastAsiaTheme="minorEastAsia" w:hAnsiTheme="minorEastAsia"/>
          <w:sz w:val="21"/>
        </w:rPr>
        <w:t>1.5</w:t>
      </w:r>
      <w:r w:rsidRPr="000239D0">
        <w:rPr>
          <w:rFonts w:asciiTheme="minorEastAsia" w:eastAsiaTheme="minorEastAsia" w:hAnsiTheme="minorEastAsia" w:hint="eastAsia"/>
          <w:sz w:val="21"/>
        </w:rPr>
        <w:t>%年费率计算。计算方法如下：</w:t>
      </w:r>
    </w:p>
    <w:p w:rsidR="005336CC" w:rsidRPr="000239D0" w:rsidRDefault="005336CC"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H</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E</w:t>
      </w:r>
      <w:r w:rsidRPr="000239D0">
        <w:rPr>
          <w:rFonts w:asciiTheme="minorEastAsia" w:eastAsiaTheme="minorEastAsia" w:hAnsiTheme="minorEastAsia" w:hint="eastAsia"/>
          <w:sz w:val="21"/>
        </w:rPr>
        <w:t>×</w:t>
      </w:r>
      <w:r w:rsidRPr="000239D0">
        <w:rPr>
          <w:rFonts w:asciiTheme="minorEastAsia" w:eastAsiaTheme="minorEastAsia" w:hAnsiTheme="minorEastAsia"/>
          <w:sz w:val="21"/>
        </w:rPr>
        <w:t>1.5</w:t>
      </w:r>
      <w:r w:rsidRPr="000239D0">
        <w:rPr>
          <w:rFonts w:asciiTheme="minorEastAsia" w:eastAsiaTheme="minorEastAsia" w:hAnsiTheme="minorEastAsia" w:hint="eastAsia"/>
          <w:sz w:val="21"/>
        </w:rPr>
        <w:t>%÷当年天数；</w:t>
      </w:r>
      <w:r w:rsidRPr="000239D0">
        <w:rPr>
          <w:rFonts w:asciiTheme="minorEastAsia" w:eastAsiaTheme="minorEastAsia" w:hAnsiTheme="minorEastAsia"/>
          <w:sz w:val="21"/>
        </w:rPr>
        <w:t>H</w:t>
      </w:r>
      <w:r w:rsidRPr="000239D0">
        <w:rPr>
          <w:rFonts w:asciiTheme="minorEastAsia" w:eastAsiaTheme="minorEastAsia" w:hAnsiTheme="minorEastAsia" w:hint="eastAsia"/>
          <w:sz w:val="21"/>
        </w:rPr>
        <w:t>为每日应支付的基金管理费；</w:t>
      </w:r>
      <w:r w:rsidRPr="000239D0">
        <w:rPr>
          <w:rFonts w:asciiTheme="minorEastAsia" w:eastAsiaTheme="minorEastAsia" w:hAnsiTheme="minorEastAsia"/>
          <w:sz w:val="21"/>
        </w:rPr>
        <w:t>E</w:t>
      </w:r>
      <w:r w:rsidRPr="000239D0">
        <w:rPr>
          <w:rFonts w:asciiTheme="minorEastAsia" w:eastAsiaTheme="minorEastAsia" w:hAnsiTheme="minorEastAsia" w:hint="eastAsia"/>
          <w:sz w:val="21"/>
        </w:rPr>
        <w:t>为前一日基金资产净值</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基金管理费每日计算，逐日累计至每个月月末，按月支付，由基金托管人复核后于次月的前两个工作日内从基金资产中一次性支付给基金管理人。</w:t>
      </w:r>
    </w:p>
    <w:p w:rsidR="005336CC" w:rsidRPr="000239D0" w:rsidRDefault="005336CC" w:rsidP="000B1E9F">
      <w:pPr>
        <w:numPr>
          <w:ilvl w:val="0"/>
          <w:numId w:val="25"/>
        </w:numPr>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基金托管人的托管费</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基金托管费按前一日的基金资产净值的0.</w:t>
      </w:r>
      <w:r w:rsidRPr="000239D0">
        <w:rPr>
          <w:rFonts w:asciiTheme="minorEastAsia" w:eastAsiaTheme="minorEastAsia" w:hAnsiTheme="minorEastAsia"/>
          <w:sz w:val="21"/>
        </w:rPr>
        <w:t>25</w:t>
      </w:r>
      <w:r w:rsidRPr="000239D0">
        <w:rPr>
          <w:rFonts w:asciiTheme="minorEastAsia" w:eastAsiaTheme="minorEastAsia" w:hAnsiTheme="minorEastAsia" w:hint="eastAsia"/>
          <w:sz w:val="21"/>
        </w:rPr>
        <w:t>%的年费率计算。计算方法如下：</w:t>
      </w:r>
    </w:p>
    <w:p w:rsidR="005336CC" w:rsidRPr="000239D0" w:rsidRDefault="005336CC"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H=E</w:t>
      </w:r>
      <w:r w:rsidRPr="000239D0">
        <w:rPr>
          <w:rFonts w:asciiTheme="minorEastAsia" w:eastAsiaTheme="minorEastAsia" w:hAnsiTheme="minorEastAsia" w:hint="eastAsia"/>
          <w:sz w:val="21"/>
        </w:rPr>
        <w:t>×0.</w:t>
      </w:r>
      <w:r w:rsidRPr="000239D0">
        <w:rPr>
          <w:rFonts w:asciiTheme="minorEastAsia" w:eastAsiaTheme="minorEastAsia" w:hAnsiTheme="minorEastAsia"/>
          <w:sz w:val="21"/>
        </w:rPr>
        <w:t>25</w:t>
      </w:r>
      <w:r w:rsidRPr="000239D0">
        <w:rPr>
          <w:rFonts w:asciiTheme="minorEastAsia" w:eastAsiaTheme="minorEastAsia" w:hAnsiTheme="minorEastAsia" w:hint="eastAsia"/>
          <w:sz w:val="21"/>
        </w:rPr>
        <w:t>%÷当年天数；</w:t>
      </w:r>
      <w:r w:rsidRPr="000239D0">
        <w:rPr>
          <w:rFonts w:asciiTheme="minorEastAsia" w:eastAsiaTheme="minorEastAsia" w:hAnsiTheme="minorEastAsia"/>
          <w:sz w:val="21"/>
        </w:rPr>
        <w:t>H</w:t>
      </w:r>
      <w:r w:rsidRPr="000239D0">
        <w:rPr>
          <w:rFonts w:asciiTheme="minorEastAsia" w:eastAsiaTheme="minorEastAsia" w:hAnsiTheme="minorEastAsia" w:hint="eastAsia"/>
          <w:sz w:val="21"/>
        </w:rPr>
        <w:t>为每日应计提的基金托管费；</w:t>
      </w:r>
      <w:r w:rsidRPr="000239D0">
        <w:rPr>
          <w:rFonts w:asciiTheme="minorEastAsia" w:eastAsiaTheme="minorEastAsia" w:hAnsiTheme="minorEastAsia"/>
          <w:sz w:val="21"/>
        </w:rPr>
        <w:t>E</w:t>
      </w:r>
      <w:r w:rsidRPr="000239D0">
        <w:rPr>
          <w:rFonts w:asciiTheme="minorEastAsia" w:eastAsiaTheme="minorEastAsia" w:hAnsiTheme="minorEastAsia" w:hint="eastAsia"/>
          <w:sz w:val="21"/>
        </w:rPr>
        <w:t>为前一日的基金资产净值</w:t>
      </w:r>
    </w:p>
    <w:p w:rsidR="005336CC" w:rsidRPr="000239D0" w:rsidRDefault="005336CC" w:rsidP="000B1E9F">
      <w:pPr>
        <w:snapToGrid w:val="0"/>
        <w:spacing w:line="360" w:lineRule="auto"/>
        <w:ind w:firstLine="420"/>
        <w:rPr>
          <w:rFonts w:asciiTheme="minorEastAsia" w:eastAsiaTheme="minorEastAsia" w:hAnsiTheme="minorEastAsia"/>
          <w:bCs/>
          <w:sz w:val="21"/>
        </w:rPr>
      </w:pPr>
      <w:r w:rsidRPr="000239D0">
        <w:rPr>
          <w:rFonts w:asciiTheme="minorEastAsia" w:eastAsiaTheme="minorEastAsia" w:hAnsiTheme="minorEastAsia" w:hint="eastAsia"/>
          <w:sz w:val="21"/>
        </w:rPr>
        <w:t>基金托管费每日计算，逐日累计至每个月月末，按月支付。由基金管理人向基金托管人发送基金托管费划付指令，基金托管人复核后于次月的前两个工作日内从基金资产中一次性支付给基金托管人。</w:t>
      </w:r>
    </w:p>
    <w:p w:rsidR="005336CC" w:rsidRPr="000239D0" w:rsidRDefault="005336CC" w:rsidP="000B1E9F">
      <w:pPr>
        <w:numPr>
          <w:ilvl w:val="0"/>
          <w:numId w:val="25"/>
        </w:numPr>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上述1款中（3）至（7）项费用由基金托管人根据其他有关法规及相应协议的规定，按费用实际支出金额支付，列入当期基金费用。</w:t>
      </w:r>
    </w:p>
    <w:p w:rsidR="005336CC" w:rsidRPr="000239D0" w:rsidRDefault="00B42F28" w:rsidP="000B1E9F">
      <w:pPr>
        <w:pStyle w:val="aa"/>
        <w:tabs>
          <w:tab w:val="left" w:pos="735"/>
        </w:tabs>
        <w:snapToGrid w:val="0"/>
        <w:spacing w:line="360" w:lineRule="auto"/>
        <w:ind w:firstLine="0"/>
        <w:rPr>
          <w:rFonts w:asciiTheme="minorEastAsia" w:eastAsiaTheme="minorEastAsia" w:hAnsiTheme="minorEastAsia"/>
        </w:rPr>
      </w:pPr>
      <w:r w:rsidRPr="000239D0">
        <w:rPr>
          <w:rFonts w:asciiTheme="minorEastAsia" w:eastAsiaTheme="minorEastAsia" w:hAnsiTheme="minorEastAsia" w:hint="eastAsia"/>
        </w:rPr>
        <w:t>3、</w:t>
      </w:r>
      <w:r w:rsidR="005336CC" w:rsidRPr="000239D0">
        <w:rPr>
          <w:rFonts w:asciiTheme="minorEastAsia" w:eastAsiaTheme="minorEastAsia" w:hAnsiTheme="minorEastAsia" w:hint="eastAsia"/>
        </w:rPr>
        <w:t>不列入基金费用的项目</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基金管理人和基金托管人因未履行或未完全履行义务导致的费用支出或基金资产的损失，以及处理与基金运作无关的事项发生的费用等不列入基金费用。</w:t>
      </w:r>
    </w:p>
    <w:p w:rsidR="005336CC" w:rsidRPr="000239D0" w:rsidRDefault="00B42F2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基金管理人和基金托管人可磋商酌情调低基金管理费和基金托管费，此项调整不需要基金份额持有人大会决议通过。</w:t>
      </w:r>
    </w:p>
    <w:p w:rsidR="005336CC" w:rsidRPr="000239D0" w:rsidRDefault="0099279B"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32" w:name="_Toc219695837"/>
      <w:bookmarkStart w:id="133" w:name="_Toc36452408"/>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与基金销售有关的费用</w:t>
      </w:r>
      <w:bookmarkEnd w:id="132"/>
      <w:bookmarkEnd w:id="133"/>
    </w:p>
    <w:p w:rsidR="005336CC" w:rsidRPr="000239D0" w:rsidRDefault="00B42F28" w:rsidP="000B1E9F">
      <w:pPr>
        <w:pStyle w:val="aa"/>
        <w:tabs>
          <w:tab w:val="left" w:pos="735"/>
        </w:tabs>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w:t>
      </w:r>
      <w:r w:rsidR="005336CC" w:rsidRPr="000239D0">
        <w:rPr>
          <w:rFonts w:asciiTheme="minorEastAsia" w:eastAsiaTheme="minorEastAsia" w:hAnsiTheme="minorEastAsia" w:hint="eastAsia"/>
        </w:rPr>
        <w:t>本基金申购费率如下表所示。投资人在一天之内如果有多笔申购，适用费率按单笔分别计算。</w:t>
      </w:r>
    </w:p>
    <w:p w:rsidR="00A37726" w:rsidRPr="000239D0" w:rsidRDefault="00A37726" w:rsidP="000B1E9F">
      <w:pPr>
        <w:pStyle w:val="aa"/>
        <w:tabs>
          <w:tab w:val="left" w:pos="735"/>
        </w:tabs>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lastRenderedPageBreak/>
        <w:t>本基金对通过本公司直销中心申购的特定投资群体与除此之外的其他投资者实施差别的申购费率。</w:t>
      </w:r>
    </w:p>
    <w:p w:rsidR="00A37726" w:rsidRPr="000239D0" w:rsidRDefault="00A37726" w:rsidP="000B1E9F">
      <w:pPr>
        <w:pStyle w:val="aa"/>
        <w:tabs>
          <w:tab w:val="left" w:pos="735"/>
        </w:tabs>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A37726" w:rsidRPr="000239D0" w:rsidRDefault="00A37726" w:rsidP="000B1E9F">
      <w:pPr>
        <w:pStyle w:val="aa"/>
        <w:tabs>
          <w:tab w:val="left" w:pos="735"/>
        </w:tabs>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通过基金管理人的直销中心申购本基金的特定投资群体申购费率为：</w:t>
      </w:r>
    </w:p>
    <w:tbl>
      <w:tblPr>
        <w:tblW w:w="0" w:type="auto"/>
        <w:tblInd w:w="534"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543"/>
        <w:gridCol w:w="3544"/>
      </w:tblGrid>
      <w:tr w:rsidR="00676358" w:rsidRPr="000239D0" w:rsidTr="008C0916">
        <w:tc>
          <w:tcPr>
            <w:tcW w:w="3543" w:type="dxa"/>
          </w:tcPr>
          <w:p w:rsidR="00A37726" w:rsidRPr="000239D0" w:rsidRDefault="00A37726" w:rsidP="000B1E9F">
            <w:pPr>
              <w:snapToGrid w:val="0"/>
              <w:spacing w:line="360" w:lineRule="auto"/>
              <w:ind w:firstLine="422"/>
              <w:rPr>
                <w:rFonts w:asciiTheme="minorEastAsia" w:eastAsiaTheme="minorEastAsia" w:hAnsiTheme="minorEastAsia"/>
                <w:b/>
                <w:sz w:val="21"/>
              </w:rPr>
            </w:pPr>
            <w:r w:rsidRPr="000239D0">
              <w:rPr>
                <w:rFonts w:asciiTheme="minorEastAsia" w:eastAsiaTheme="minorEastAsia" w:hAnsiTheme="minorEastAsia" w:hint="eastAsia"/>
                <w:b/>
                <w:sz w:val="21"/>
              </w:rPr>
              <w:t>申购金额（含申购费）</w:t>
            </w:r>
          </w:p>
        </w:tc>
        <w:tc>
          <w:tcPr>
            <w:tcW w:w="3544" w:type="dxa"/>
          </w:tcPr>
          <w:p w:rsidR="00A37726" w:rsidRPr="000239D0" w:rsidRDefault="00A37726" w:rsidP="000B1E9F">
            <w:pPr>
              <w:snapToGrid w:val="0"/>
              <w:spacing w:line="360" w:lineRule="auto"/>
              <w:ind w:firstLine="422"/>
              <w:rPr>
                <w:rFonts w:asciiTheme="minorEastAsia" w:eastAsiaTheme="minorEastAsia" w:hAnsiTheme="minorEastAsia"/>
                <w:b/>
                <w:sz w:val="21"/>
              </w:rPr>
            </w:pPr>
            <w:r w:rsidRPr="000239D0">
              <w:rPr>
                <w:rFonts w:asciiTheme="minorEastAsia" w:eastAsiaTheme="minorEastAsia" w:hAnsiTheme="minorEastAsia" w:hint="eastAsia"/>
                <w:b/>
                <w:sz w:val="21"/>
              </w:rPr>
              <w:t>申购费率</w:t>
            </w:r>
          </w:p>
        </w:tc>
      </w:tr>
      <w:tr w:rsidR="00676358" w:rsidRPr="000239D0" w:rsidTr="008C0916">
        <w:tc>
          <w:tcPr>
            <w:tcW w:w="3543" w:type="dxa"/>
            <w:vAlign w:val="center"/>
          </w:tcPr>
          <w:p w:rsidR="00A37726" w:rsidRPr="000239D0" w:rsidRDefault="00A3772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M</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1000</w:t>
            </w:r>
            <w:r w:rsidRPr="000239D0">
              <w:rPr>
                <w:rFonts w:asciiTheme="minorEastAsia" w:eastAsiaTheme="minorEastAsia" w:hAnsiTheme="minorEastAsia" w:hint="eastAsia"/>
                <w:sz w:val="21"/>
                <w:szCs w:val="21"/>
              </w:rPr>
              <w:t>万</w:t>
            </w:r>
          </w:p>
        </w:tc>
        <w:tc>
          <w:tcPr>
            <w:tcW w:w="3544" w:type="dxa"/>
            <w:vAlign w:val="center"/>
          </w:tcPr>
          <w:p w:rsidR="00A37726" w:rsidRPr="000239D0" w:rsidRDefault="00A3772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按笔收取，</w:t>
            </w:r>
            <w:r w:rsidRPr="000239D0">
              <w:rPr>
                <w:rFonts w:asciiTheme="minorEastAsia" w:eastAsiaTheme="minorEastAsia" w:hAnsiTheme="minorEastAsia"/>
                <w:sz w:val="21"/>
                <w:szCs w:val="21"/>
              </w:rPr>
              <w:t>1000</w:t>
            </w:r>
            <w:r w:rsidRPr="000239D0">
              <w:rPr>
                <w:rFonts w:asciiTheme="minorEastAsia" w:eastAsiaTheme="minorEastAsia" w:hAnsiTheme="minorEastAsia" w:hint="eastAsia"/>
                <w:sz w:val="21"/>
                <w:szCs w:val="21"/>
              </w:rPr>
              <w:t>元</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笔</w:t>
            </w:r>
          </w:p>
        </w:tc>
      </w:tr>
      <w:tr w:rsidR="00676358" w:rsidRPr="000239D0" w:rsidTr="008C0916">
        <w:tc>
          <w:tcPr>
            <w:tcW w:w="3543" w:type="dxa"/>
            <w:vAlign w:val="center"/>
          </w:tcPr>
          <w:p w:rsidR="00A37726" w:rsidRPr="000239D0" w:rsidRDefault="00A3772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500</w:t>
            </w:r>
            <w:r w:rsidRPr="000239D0">
              <w:rPr>
                <w:rFonts w:asciiTheme="minorEastAsia" w:eastAsiaTheme="minorEastAsia" w:hAnsiTheme="minorEastAsia" w:hint="eastAsia"/>
                <w:sz w:val="21"/>
                <w:szCs w:val="21"/>
              </w:rPr>
              <w:t>万≤</w:t>
            </w:r>
            <w:r w:rsidRPr="000239D0">
              <w:rPr>
                <w:rFonts w:asciiTheme="minorEastAsia" w:eastAsiaTheme="minorEastAsia" w:hAnsiTheme="minorEastAsia"/>
                <w:sz w:val="21"/>
                <w:szCs w:val="21"/>
              </w:rPr>
              <w:t>M</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1000</w:t>
            </w:r>
            <w:r w:rsidRPr="000239D0">
              <w:rPr>
                <w:rFonts w:asciiTheme="minorEastAsia" w:eastAsiaTheme="minorEastAsia" w:hAnsiTheme="minorEastAsia" w:hint="eastAsia"/>
                <w:sz w:val="21"/>
                <w:szCs w:val="21"/>
              </w:rPr>
              <w:t>万</w:t>
            </w:r>
          </w:p>
        </w:tc>
        <w:tc>
          <w:tcPr>
            <w:tcW w:w="3544" w:type="dxa"/>
            <w:vAlign w:val="center"/>
          </w:tcPr>
          <w:p w:rsidR="00A37726" w:rsidRPr="000239D0" w:rsidRDefault="00A3772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0.</w:t>
            </w:r>
            <w:r w:rsidRPr="000239D0">
              <w:rPr>
                <w:rFonts w:asciiTheme="minorEastAsia" w:eastAsiaTheme="minorEastAsia" w:hAnsiTheme="minorEastAsia" w:hint="eastAsia"/>
                <w:sz w:val="21"/>
                <w:szCs w:val="21"/>
              </w:rPr>
              <w:t>0</w:t>
            </w:r>
            <w:r w:rsidRPr="000239D0">
              <w:rPr>
                <w:rFonts w:asciiTheme="minorEastAsia" w:eastAsiaTheme="minorEastAsia" w:hAnsiTheme="minorEastAsia"/>
                <w:sz w:val="21"/>
                <w:szCs w:val="21"/>
              </w:rPr>
              <w:t>3%</w:t>
            </w:r>
          </w:p>
        </w:tc>
      </w:tr>
      <w:tr w:rsidR="00676358" w:rsidRPr="000239D0" w:rsidTr="008C0916">
        <w:tc>
          <w:tcPr>
            <w:tcW w:w="3543" w:type="dxa"/>
            <w:vAlign w:val="center"/>
          </w:tcPr>
          <w:p w:rsidR="00A37726" w:rsidRPr="000239D0" w:rsidRDefault="00A3772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100</w:t>
            </w:r>
            <w:r w:rsidRPr="000239D0">
              <w:rPr>
                <w:rFonts w:asciiTheme="minorEastAsia" w:eastAsiaTheme="minorEastAsia" w:hAnsiTheme="minorEastAsia" w:hint="eastAsia"/>
                <w:sz w:val="21"/>
                <w:szCs w:val="21"/>
              </w:rPr>
              <w:t>万≤</w:t>
            </w:r>
            <w:r w:rsidRPr="000239D0">
              <w:rPr>
                <w:rFonts w:asciiTheme="minorEastAsia" w:eastAsiaTheme="minorEastAsia" w:hAnsiTheme="minorEastAsia"/>
                <w:sz w:val="21"/>
                <w:szCs w:val="21"/>
              </w:rPr>
              <w:t>M</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500</w:t>
            </w:r>
            <w:r w:rsidRPr="000239D0">
              <w:rPr>
                <w:rFonts w:asciiTheme="minorEastAsia" w:eastAsiaTheme="minorEastAsia" w:hAnsiTheme="minorEastAsia" w:hint="eastAsia"/>
                <w:sz w:val="21"/>
                <w:szCs w:val="21"/>
              </w:rPr>
              <w:t>万</w:t>
            </w:r>
          </w:p>
        </w:tc>
        <w:tc>
          <w:tcPr>
            <w:tcW w:w="3544" w:type="dxa"/>
            <w:vAlign w:val="center"/>
          </w:tcPr>
          <w:p w:rsidR="00A37726" w:rsidRPr="000239D0" w:rsidRDefault="00A3772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0</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1</w:t>
            </w:r>
            <w:r w:rsidRPr="000239D0">
              <w:rPr>
                <w:rFonts w:asciiTheme="minorEastAsia" w:eastAsiaTheme="minorEastAsia" w:hAnsiTheme="minorEastAsia"/>
                <w:sz w:val="21"/>
                <w:szCs w:val="21"/>
              </w:rPr>
              <w:t>2%</w:t>
            </w:r>
          </w:p>
        </w:tc>
      </w:tr>
      <w:tr w:rsidR="00676358" w:rsidRPr="000239D0" w:rsidTr="008C0916">
        <w:tc>
          <w:tcPr>
            <w:tcW w:w="3543" w:type="dxa"/>
            <w:vAlign w:val="center"/>
          </w:tcPr>
          <w:p w:rsidR="00A37726" w:rsidRPr="000239D0" w:rsidRDefault="00A3772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M</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100</w:t>
            </w:r>
            <w:r w:rsidRPr="000239D0">
              <w:rPr>
                <w:rFonts w:asciiTheme="minorEastAsia" w:eastAsiaTheme="minorEastAsia" w:hAnsiTheme="minorEastAsia" w:hint="eastAsia"/>
                <w:sz w:val="21"/>
                <w:szCs w:val="21"/>
              </w:rPr>
              <w:t>万</w:t>
            </w:r>
          </w:p>
        </w:tc>
        <w:tc>
          <w:tcPr>
            <w:tcW w:w="3544" w:type="dxa"/>
            <w:vAlign w:val="center"/>
          </w:tcPr>
          <w:p w:rsidR="00A37726" w:rsidRPr="000239D0" w:rsidRDefault="00A3772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0</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1</w:t>
            </w:r>
            <w:r w:rsidRPr="000239D0">
              <w:rPr>
                <w:rFonts w:asciiTheme="minorEastAsia" w:eastAsiaTheme="minorEastAsia" w:hAnsiTheme="minorEastAsia"/>
                <w:sz w:val="21"/>
                <w:szCs w:val="21"/>
              </w:rPr>
              <w:t>5%</w:t>
            </w:r>
          </w:p>
        </w:tc>
      </w:tr>
    </w:tbl>
    <w:p w:rsidR="00A37726" w:rsidRPr="000239D0" w:rsidRDefault="00A37726" w:rsidP="000B1E9F">
      <w:pPr>
        <w:pStyle w:val="aa"/>
        <w:tabs>
          <w:tab w:val="left" w:pos="735"/>
        </w:tabs>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其他投资者申购本基金的申购费率为：</w:t>
      </w:r>
    </w:p>
    <w:tbl>
      <w:tblPr>
        <w:tblW w:w="0" w:type="auto"/>
        <w:tblInd w:w="534"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543"/>
        <w:gridCol w:w="3544"/>
      </w:tblGrid>
      <w:tr w:rsidR="00676358" w:rsidRPr="000239D0">
        <w:tc>
          <w:tcPr>
            <w:tcW w:w="3543" w:type="dxa"/>
          </w:tcPr>
          <w:p w:rsidR="005336CC" w:rsidRPr="000239D0" w:rsidRDefault="005336CC" w:rsidP="000B1E9F">
            <w:pPr>
              <w:snapToGrid w:val="0"/>
              <w:spacing w:line="360" w:lineRule="auto"/>
              <w:ind w:firstLine="422"/>
              <w:rPr>
                <w:rFonts w:asciiTheme="minorEastAsia" w:eastAsiaTheme="minorEastAsia" w:hAnsiTheme="minorEastAsia"/>
                <w:b/>
                <w:sz w:val="21"/>
              </w:rPr>
            </w:pPr>
            <w:r w:rsidRPr="000239D0">
              <w:rPr>
                <w:rFonts w:asciiTheme="minorEastAsia" w:eastAsiaTheme="minorEastAsia" w:hAnsiTheme="minorEastAsia" w:hint="eastAsia"/>
                <w:b/>
                <w:sz w:val="21"/>
              </w:rPr>
              <w:t>申购金额</w:t>
            </w:r>
            <w:r w:rsidR="000E31AE" w:rsidRPr="000239D0">
              <w:rPr>
                <w:rFonts w:asciiTheme="minorEastAsia" w:eastAsiaTheme="minorEastAsia" w:hAnsiTheme="minorEastAsia" w:hint="eastAsia"/>
                <w:b/>
                <w:sz w:val="21"/>
              </w:rPr>
              <w:t>（含申购费）</w:t>
            </w:r>
          </w:p>
        </w:tc>
        <w:tc>
          <w:tcPr>
            <w:tcW w:w="3544" w:type="dxa"/>
          </w:tcPr>
          <w:p w:rsidR="005336CC" w:rsidRPr="000239D0" w:rsidRDefault="005336CC" w:rsidP="000B1E9F">
            <w:pPr>
              <w:snapToGrid w:val="0"/>
              <w:spacing w:line="360" w:lineRule="auto"/>
              <w:ind w:firstLine="422"/>
              <w:rPr>
                <w:rFonts w:asciiTheme="minorEastAsia" w:eastAsiaTheme="minorEastAsia" w:hAnsiTheme="minorEastAsia"/>
                <w:b/>
                <w:sz w:val="21"/>
              </w:rPr>
            </w:pPr>
            <w:r w:rsidRPr="000239D0">
              <w:rPr>
                <w:rFonts w:asciiTheme="minorEastAsia" w:eastAsiaTheme="minorEastAsia" w:hAnsiTheme="minorEastAsia" w:hint="eastAsia"/>
                <w:b/>
                <w:sz w:val="21"/>
              </w:rPr>
              <w:t>申购费率</w:t>
            </w:r>
          </w:p>
        </w:tc>
      </w:tr>
      <w:tr w:rsidR="00676358" w:rsidRPr="000239D0">
        <w:tc>
          <w:tcPr>
            <w:tcW w:w="3543"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M</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1000</w:t>
            </w:r>
            <w:r w:rsidRPr="000239D0">
              <w:rPr>
                <w:rFonts w:asciiTheme="minorEastAsia" w:eastAsiaTheme="minorEastAsia" w:hAnsiTheme="minorEastAsia" w:hint="eastAsia"/>
                <w:sz w:val="21"/>
                <w:szCs w:val="21"/>
              </w:rPr>
              <w:t>万</w:t>
            </w:r>
          </w:p>
        </w:tc>
        <w:tc>
          <w:tcPr>
            <w:tcW w:w="3544"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按笔收取，</w:t>
            </w:r>
            <w:r w:rsidRPr="000239D0">
              <w:rPr>
                <w:rFonts w:asciiTheme="minorEastAsia" w:eastAsiaTheme="minorEastAsia" w:hAnsiTheme="minorEastAsia"/>
                <w:sz w:val="21"/>
                <w:szCs w:val="21"/>
              </w:rPr>
              <w:t>1000</w:t>
            </w:r>
            <w:r w:rsidRPr="000239D0">
              <w:rPr>
                <w:rFonts w:asciiTheme="minorEastAsia" w:eastAsiaTheme="minorEastAsia" w:hAnsiTheme="minorEastAsia" w:hint="eastAsia"/>
                <w:sz w:val="21"/>
                <w:szCs w:val="21"/>
              </w:rPr>
              <w:t>元</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笔</w:t>
            </w:r>
          </w:p>
        </w:tc>
      </w:tr>
      <w:tr w:rsidR="00676358" w:rsidRPr="000239D0">
        <w:tc>
          <w:tcPr>
            <w:tcW w:w="3543"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500</w:t>
            </w:r>
            <w:r w:rsidRPr="000239D0">
              <w:rPr>
                <w:rFonts w:asciiTheme="minorEastAsia" w:eastAsiaTheme="minorEastAsia" w:hAnsiTheme="minorEastAsia" w:hint="eastAsia"/>
                <w:sz w:val="21"/>
                <w:szCs w:val="21"/>
              </w:rPr>
              <w:t>万≤</w:t>
            </w:r>
            <w:r w:rsidRPr="000239D0">
              <w:rPr>
                <w:rFonts w:asciiTheme="minorEastAsia" w:eastAsiaTheme="minorEastAsia" w:hAnsiTheme="minorEastAsia"/>
                <w:sz w:val="21"/>
                <w:szCs w:val="21"/>
              </w:rPr>
              <w:t>M</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1000</w:t>
            </w:r>
            <w:r w:rsidRPr="000239D0">
              <w:rPr>
                <w:rFonts w:asciiTheme="minorEastAsia" w:eastAsiaTheme="minorEastAsia" w:hAnsiTheme="minorEastAsia" w:hint="eastAsia"/>
                <w:sz w:val="21"/>
                <w:szCs w:val="21"/>
              </w:rPr>
              <w:t>万</w:t>
            </w:r>
          </w:p>
        </w:tc>
        <w:tc>
          <w:tcPr>
            <w:tcW w:w="3544"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0.3%</w:t>
            </w:r>
          </w:p>
        </w:tc>
      </w:tr>
      <w:tr w:rsidR="00676358" w:rsidRPr="000239D0">
        <w:tc>
          <w:tcPr>
            <w:tcW w:w="3543"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100</w:t>
            </w:r>
            <w:r w:rsidRPr="000239D0">
              <w:rPr>
                <w:rFonts w:asciiTheme="minorEastAsia" w:eastAsiaTheme="minorEastAsia" w:hAnsiTheme="minorEastAsia" w:hint="eastAsia"/>
                <w:sz w:val="21"/>
                <w:szCs w:val="21"/>
              </w:rPr>
              <w:t>万≤</w:t>
            </w:r>
            <w:r w:rsidRPr="000239D0">
              <w:rPr>
                <w:rFonts w:asciiTheme="minorEastAsia" w:eastAsiaTheme="minorEastAsia" w:hAnsiTheme="minorEastAsia"/>
                <w:sz w:val="21"/>
                <w:szCs w:val="21"/>
              </w:rPr>
              <w:t>M</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500</w:t>
            </w:r>
            <w:r w:rsidRPr="000239D0">
              <w:rPr>
                <w:rFonts w:asciiTheme="minorEastAsia" w:eastAsiaTheme="minorEastAsia" w:hAnsiTheme="minorEastAsia" w:hint="eastAsia"/>
                <w:sz w:val="21"/>
                <w:szCs w:val="21"/>
              </w:rPr>
              <w:t>万</w:t>
            </w:r>
          </w:p>
        </w:tc>
        <w:tc>
          <w:tcPr>
            <w:tcW w:w="3544"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1.2%</w:t>
            </w:r>
          </w:p>
        </w:tc>
      </w:tr>
      <w:tr w:rsidR="00676358" w:rsidRPr="000239D0">
        <w:tc>
          <w:tcPr>
            <w:tcW w:w="3543"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M</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100</w:t>
            </w:r>
            <w:r w:rsidRPr="000239D0">
              <w:rPr>
                <w:rFonts w:asciiTheme="minorEastAsia" w:eastAsiaTheme="minorEastAsia" w:hAnsiTheme="minorEastAsia" w:hint="eastAsia"/>
                <w:sz w:val="21"/>
                <w:szCs w:val="21"/>
              </w:rPr>
              <w:t>万</w:t>
            </w:r>
          </w:p>
        </w:tc>
        <w:tc>
          <w:tcPr>
            <w:tcW w:w="3544"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1.5%</w:t>
            </w:r>
          </w:p>
        </w:tc>
      </w:tr>
    </w:tbl>
    <w:p w:rsidR="009C1998" w:rsidRPr="000239D0" w:rsidRDefault="009C1998" w:rsidP="000B1E9F">
      <w:pPr>
        <w:pStyle w:val="aa"/>
        <w:tabs>
          <w:tab w:val="left" w:pos="735"/>
        </w:tabs>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szCs w:val="21"/>
        </w:rPr>
        <w:t>基金的申购费由申购人承担，不计入基金财产。</w:t>
      </w:r>
    </w:p>
    <w:p w:rsidR="005336CC" w:rsidRPr="000239D0" w:rsidRDefault="00B42F28" w:rsidP="000B1E9F">
      <w:pPr>
        <w:pStyle w:val="aa"/>
        <w:tabs>
          <w:tab w:val="left" w:pos="735"/>
        </w:tabs>
        <w:snapToGrid w:val="0"/>
        <w:spacing w:line="360" w:lineRule="auto"/>
        <w:ind w:firstLine="0"/>
        <w:rPr>
          <w:rFonts w:asciiTheme="minorEastAsia" w:eastAsiaTheme="minorEastAsia" w:hAnsiTheme="minorEastAsia"/>
        </w:rPr>
      </w:pPr>
      <w:r w:rsidRPr="000239D0">
        <w:rPr>
          <w:rFonts w:asciiTheme="minorEastAsia" w:eastAsiaTheme="minorEastAsia" w:hAnsiTheme="minorEastAsia" w:hint="eastAsia"/>
        </w:rPr>
        <w:t>2、</w:t>
      </w:r>
      <w:r w:rsidR="005336CC" w:rsidRPr="000239D0">
        <w:rPr>
          <w:rFonts w:asciiTheme="minorEastAsia" w:eastAsiaTheme="minorEastAsia" w:hAnsiTheme="minorEastAsia" w:hint="eastAsia"/>
        </w:rPr>
        <w:t>本基金的赎回费率根据持有期限的不同分为</w:t>
      </w:r>
      <w:r w:rsidR="006D77F9" w:rsidRPr="000239D0">
        <w:rPr>
          <w:rFonts w:asciiTheme="minorEastAsia" w:eastAsiaTheme="minorEastAsia" w:hAnsiTheme="minorEastAsia" w:hint="eastAsia"/>
        </w:rPr>
        <w:t>四</w:t>
      </w:r>
      <w:r w:rsidR="005336CC" w:rsidRPr="000239D0">
        <w:rPr>
          <w:rFonts w:asciiTheme="minorEastAsia" w:eastAsiaTheme="minorEastAsia" w:hAnsiTheme="minorEastAsia" w:hint="eastAsia"/>
        </w:rPr>
        <w:t>档。持有期限的起始日为基金权益登记日。</w:t>
      </w:r>
    </w:p>
    <w:tbl>
      <w:tblPr>
        <w:tblW w:w="0" w:type="auto"/>
        <w:tblInd w:w="534"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3543"/>
        <w:gridCol w:w="4111"/>
      </w:tblGrid>
      <w:tr w:rsidR="00676358" w:rsidRPr="000239D0">
        <w:tc>
          <w:tcPr>
            <w:tcW w:w="3543" w:type="dxa"/>
          </w:tcPr>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持有期限（</w:t>
            </w:r>
            <w:r w:rsidR="00814E69" w:rsidRPr="000239D0">
              <w:rPr>
                <w:rFonts w:asciiTheme="minorEastAsia" w:eastAsiaTheme="minorEastAsia" w:hAnsiTheme="minorEastAsia" w:hint="eastAsia"/>
                <w:sz w:val="21"/>
                <w:szCs w:val="21"/>
              </w:rPr>
              <w:t>天</w:t>
            </w:r>
            <w:r w:rsidRPr="000239D0">
              <w:rPr>
                <w:rFonts w:asciiTheme="minorEastAsia" w:eastAsiaTheme="minorEastAsia" w:hAnsiTheme="minorEastAsia" w:hint="eastAsia"/>
                <w:sz w:val="21"/>
                <w:szCs w:val="21"/>
              </w:rPr>
              <w:t>）</w:t>
            </w:r>
          </w:p>
        </w:tc>
        <w:tc>
          <w:tcPr>
            <w:tcW w:w="4111" w:type="dxa"/>
          </w:tcPr>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赎回费率</w:t>
            </w:r>
          </w:p>
        </w:tc>
      </w:tr>
      <w:tr w:rsidR="00676358" w:rsidRPr="000239D0">
        <w:tc>
          <w:tcPr>
            <w:tcW w:w="3543" w:type="dxa"/>
            <w:vAlign w:val="center"/>
          </w:tcPr>
          <w:p w:rsidR="006D77F9" w:rsidRPr="000239D0" w:rsidRDefault="006D77F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0-6</w:t>
            </w:r>
          </w:p>
        </w:tc>
        <w:tc>
          <w:tcPr>
            <w:tcW w:w="4111" w:type="dxa"/>
            <w:vAlign w:val="center"/>
          </w:tcPr>
          <w:p w:rsidR="006D77F9" w:rsidRPr="000239D0" w:rsidRDefault="006D77F9" w:rsidP="000B1E9F">
            <w:pPr>
              <w:pStyle w:val="31"/>
              <w:snapToGrid w:val="0"/>
              <w:spacing w:line="360" w:lineRule="auto"/>
              <w:ind w:firstLine="420"/>
              <w:rPr>
                <w:rFonts w:asciiTheme="minorEastAsia" w:eastAsiaTheme="minorEastAsia" w:hAnsiTheme="minorEastAsia"/>
                <w:color w:val="auto"/>
                <w:sz w:val="21"/>
                <w:szCs w:val="21"/>
              </w:rPr>
            </w:pPr>
            <w:r w:rsidRPr="000239D0">
              <w:rPr>
                <w:rFonts w:asciiTheme="minorEastAsia" w:eastAsiaTheme="minorEastAsia" w:hAnsiTheme="minorEastAsia" w:hint="eastAsia"/>
                <w:color w:val="auto"/>
                <w:sz w:val="21"/>
                <w:szCs w:val="21"/>
              </w:rPr>
              <w:t>1</w:t>
            </w:r>
            <w:r w:rsidRPr="000239D0">
              <w:rPr>
                <w:rFonts w:asciiTheme="minorEastAsia" w:eastAsiaTheme="minorEastAsia" w:hAnsiTheme="minorEastAsia"/>
                <w:color w:val="auto"/>
                <w:sz w:val="21"/>
                <w:szCs w:val="21"/>
              </w:rPr>
              <w:t>.50%</w:t>
            </w:r>
          </w:p>
        </w:tc>
      </w:tr>
      <w:tr w:rsidR="00676358" w:rsidRPr="000239D0">
        <w:tc>
          <w:tcPr>
            <w:tcW w:w="3543" w:type="dxa"/>
            <w:vAlign w:val="center"/>
          </w:tcPr>
          <w:p w:rsidR="00814E69" w:rsidRPr="000239D0" w:rsidRDefault="006D77F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7</w:t>
            </w:r>
            <w:r w:rsidR="00814E69" w:rsidRPr="000239D0">
              <w:rPr>
                <w:rFonts w:asciiTheme="minorEastAsia" w:eastAsiaTheme="minorEastAsia" w:hAnsiTheme="minorEastAsia"/>
                <w:sz w:val="21"/>
                <w:szCs w:val="21"/>
              </w:rPr>
              <w:t>-364</w:t>
            </w:r>
          </w:p>
        </w:tc>
        <w:tc>
          <w:tcPr>
            <w:tcW w:w="4111" w:type="dxa"/>
            <w:vAlign w:val="center"/>
          </w:tcPr>
          <w:p w:rsidR="00814E69" w:rsidRPr="000239D0" w:rsidRDefault="00814E69" w:rsidP="000B1E9F">
            <w:pPr>
              <w:pStyle w:val="31"/>
              <w:snapToGrid w:val="0"/>
              <w:spacing w:line="360" w:lineRule="auto"/>
              <w:ind w:firstLine="420"/>
              <w:rPr>
                <w:rFonts w:asciiTheme="minorEastAsia" w:eastAsiaTheme="minorEastAsia" w:hAnsiTheme="minorEastAsia"/>
                <w:color w:val="auto"/>
                <w:sz w:val="21"/>
                <w:szCs w:val="21"/>
              </w:rPr>
            </w:pPr>
            <w:r w:rsidRPr="000239D0">
              <w:rPr>
                <w:rFonts w:asciiTheme="minorEastAsia" w:eastAsiaTheme="minorEastAsia" w:hAnsiTheme="minorEastAsia"/>
                <w:color w:val="auto"/>
                <w:sz w:val="21"/>
                <w:szCs w:val="21"/>
              </w:rPr>
              <w:t>0.50%</w:t>
            </w:r>
          </w:p>
        </w:tc>
      </w:tr>
      <w:tr w:rsidR="00676358" w:rsidRPr="000239D0">
        <w:tc>
          <w:tcPr>
            <w:tcW w:w="3543"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365-729</w:t>
            </w:r>
          </w:p>
        </w:tc>
        <w:tc>
          <w:tcPr>
            <w:tcW w:w="4111"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0.25%</w:t>
            </w:r>
          </w:p>
        </w:tc>
      </w:tr>
      <w:tr w:rsidR="00674EAC" w:rsidRPr="000239D0">
        <w:tc>
          <w:tcPr>
            <w:tcW w:w="3543"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730</w:t>
            </w:r>
            <w:r w:rsidRPr="000239D0">
              <w:rPr>
                <w:rFonts w:asciiTheme="minorEastAsia" w:eastAsiaTheme="minorEastAsia" w:hAnsiTheme="minorEastAsia" w:hint="eastAsia"/>
                <w:sz w:val="21"/>
                <w:szCs w:val="21"/>
              </w:rPr>
              <w:t>及以上</w:t>
            </w:r>
          </w:p>
        </w:tc>
        <w:tc>
          <w:tcPr>
            <w:tcW w:w="4111" w:type="dxa"/>
            <w:vAlign w:val="center"/>
          </w:tcPr>
          <w:p w:rsidR="00814E69" w:rsidRPr="000239D0" w:rsidRDefault="00814E69"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0.00%</w:t>
            </w:r>
          </w:p>
        </w:tc>
      </w:tr>
    </w:tbl>
    <w:p w:rsidR="006D77F9" w:rsidRPr="000239D0" w:rsidRDefault="006D77F9" w:rsidP="000B1E9F">
      <w:pPr>
        <w:snapToGrid w:val="0"/>
        <w:spacing w:line="360" w:lineRule="auto"/>
        <w:ind w:firstLine="420"/>
        <w:rPr>
          <w:rFonts w:asciiTheme="minorEastAsia" w:eastAsiaTheme="minorEastAsia" w:hAnsiTheme="minorEastAsia"/>
          <w:sz w:val="21"/>
          <w:szCs w:val="21"/>
        </w:rPr>
      </w:pP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基金的赎回费由赎回人承担</w:t>
      </w:r>
      <w:r w:rsidR="006D77F9" w:rsidRPr="000239D0">
        <w:rPr>
          <w:rFonts w:asciiTheme="minorEastAsia" w:eastAsiaTheme="minorEastAsia" w:hAnsiTheme="minorEastAsia" w:hint="eastAsia"/>
          <w:sz w:val="21"/>
          <w:szCs w:val="21"/>
        </w:rPr>
        <w:t>。</w:t>
      </w:r>
      <w:r w:rsidR="006D77F9" w:rsidRPr="000239D0">
        <w:rPr>
          <w:rFonts w:asciiTheme="minorEastAsia" w:eastAsiaTheme="minorEastAsia" w:hAnsiTheme="minorEastAsia" w:hint="eastAsia"/>
          <w:sz w:val="21"/>
        </w:rPr>
        <w:t>基金管理人对持续持有期少于7日的投资者收取的赎回费全额计入基金财产；基金</w:t>
      </w:r>
      <w:r w:rsidR="006D77F9" w:rsidRPr="000239D0">
        <w:rPr>
          <w:rFonts w:asciiTheme="minorEastAsia" w:eastAsiaTheme="minorEastAsia" w:hAnsiTheme="minorEastAsia"/>
          <w:sz w:val="21"/>
        </w:rPr>
        <w:t>管理人</w:t>
      </w:r>
      <w:r w:rsidR="006D77F9" w:rsidRPr="000239D0">
        <w:rPr>
          <w:rFonts w:asciiTheme="minorEastAsia" w:eastAsiaTheme="minorEastAsia" w:hAnsiTheme="minorEastAsia" w:hint="eastAsia"/>
          <w:sz w:val="21"/>
        </w:rPr>
        <w:t>对持续持有期不少于7日的投资者所收取赎回费的25%归入基金财产，</w:t>
      </w:r>
      <w:r w:rsidRPr="000239D0">
        <w:rPr>
          <w:rFonts w:asciiTheme="minorEastAsia" w:eastAsiaTheme="minorEastAsia" w:hAnsiTheme="minorEastAsia" w:hint="eastAsia"/>
          <w:sz w:val="21"/>
          <w:szCs w:val="21"/>
        </w:rPr>
        <w:t>余额为注册登记费和其他手续费。</w:t>
      </w:r>
    </w:p>
    <w:p w:rsidR="005336CC" w:rsidRPr="000239D0" w:rsidRDefault="00B42F28" w:rsidP="000B1E9F">
      <w:pPr>
        <w:pStyle w:val="aa"/>
        <w:tabs>
          <w:tab w:val="left" w:pos="735"/>
        </w:tabs>
        <w:snapToGrid w:val="0"/>
        <w:spacing w:line="360" w:lineRule="auto"/>
        <w:ind w:firstLine="0"/>
        <w:rPr>
          <w:rFonts w:asciiTheme="minorEastAsia" w:eastAsiaTheme="minorEastAsia" w:hAnsiTheme="minorEastAsia"/>
        </w:rPr>
      </w:pPr>
      <w:r w:rsidRPr="000239D0">
        <w:rPr>
          <w:rFonts w:asciiTheme="minorEastAsia" w:eastAsiaTheme="minorEastAsia" w:hAnsiTheme="minorEastAsia" w:hint="eastAsia"/>
        </w:rPr>
        <w:lastRenderedPageBreak/>
        <w:t>3、</w:t>
      </w:r>
      <w:r w:rsidR="005336CC" w:rsidRPr="000239D0">
        <w:rPr>
          <w:rFonts w:asciiTheme="minorEastAsia" w:eastAsiaTheme="minorEastAsia" w:hAnsiTheme="minorEastAsia"/>
        </w:rPr>
        <w:t>转换费率</w:t>
      </w:r>
    </w:p>
    <w:p w:rsidR="005336CC" w:rsidRPr="000239D0" w:rsidRDefault="00FF277E"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目前，基金管理人已开通了本基金与旗下部分开放式基金之间的转换业务，具体实施办法和转换费率详见相关公告。</w:t>
      </w:r>
      <w:r w:rsidR="003A737A" w:rsidRPr="000239D0">
        <w:rPr>
          <w:rFonts w:asciiTheme="minorEastAsia" w:eastAsiaTheme="minorEastAsia" w:hAnsiTheme="minorEastAsia" w:hint="eastAsia"/>
          <w:sz w:val="21"/>
          <w:szCs w:val="21"/>
        </w:rPr>
        <w:t>基金转换费用由投资者承担，</w:t>
      </w:r>
      <w:r w:rsidR="00D83EFF" w:rsidRPr="000239D0">
        <w:rPr>
          <w:rFonts w:asciiTheme="minorEastAsia" w:eastAsiaTheme="minorEastAsia" w:hAnsiTheme="minorEastAsia" w:hint="eastAsia"/>
          <w:sz w:val="21"/>
          <w:szCs w:val="21"/>
        </w:rPr>
        <w:t>基金转换费用由转出基金赎回费用及基金申购补差费用构成，其中</w:t>
      </w:r>
      <w:r w:rsidR="00A32911" w:rsidRPr="000239D0">
        <w:rPr>
          <w:rFonts w:asciiTheme="minorEastAsia" w:eastAsiaTheme="minorEastAsia" w:hAnsiTheme="minorEastAsia" w:hint="eastAsia"/>
          <w:sz w:val="21"/>
          <w:szCs w:val="21"/>
        </w:rPr>
        <w:t>转出基金</w:t>
      </w:r>
      <w:r w:rsidR="00D83EFF" w:rsidRPr="000239D0">
        <w:rPr>
          <w:rFonts w:asciiTheme="minorEastAsia" w:eastAsiaTheme="minorEastAsia" w:hAnsiTheme="minorEastAsia" w:hint="eastAsia"/>
          <w:sz w:val="21"/>
          <w:szCs w:val="21"/>
        </w:rPr>
        <w:t>赎回费</w:t>
      </w:r>
      <w:r w:rsidR="005234C5" w:rsidRPr="000239D0">
        <w:rPr>
          <w:rFonts w:asciiTheme="minorEastAsia" w:eastAsiaTheme="minorEastAsia" w:hAnsiTheme="minorEastAsia" w:hint="eastAsia"/>
          <w:sz w:val="21"/>
          <w:szCs w:val="21"/>
        </w:rPr>
        <w:t>按照</w:t>
      </w:r>
      <w:r w:rsidR="007110DF" w:rsidRPr="000239D0">
        <w:rPr>
          <w:rFonts w:asciiTheme="minorEastAsia" w:eastAsiaTheme="minorEastAsia" w:hAnsiTheme="minorEastAsia" w:hint="eastAsia"/>
          <w:sz w:val="21"/>
          <w:szCs w:val="21"/>
        </w:rPr>
        <w:t>各基金的</w:t>
      </w:r>
      <w:r w:rsidR="005234C5" w:rsidRPr="000239D0">
        <w:rPr>
          <w:rFonts w:asciiTheme="minorEastAsia" w:eastAsiaTheme="minorEastAsia" w:hAnsiTheme="minorEastAsia" w:hint="eastAsia"/>
          <w:sz w:val="21"/>
          <w:szCs w:val="21"/>
        </w:rPr>
        <w:t>基金合同、更新的招募说明书及最新的相关公告约定的比例归入基金财产</w:t>
      </w:r>
      <w:r w:rsidR="00D83EFF" w:rsidRPr="000239D0">
        <w:rPr>
          <w:rFonts w:asciiTheme="minorEastAsia" w:eastAsiaTheme="minorEastAsia" w:hAnsiTheme="minorEastAsia" w:hint="eastAsia"/>
          <w:sz w:val="21"/>
          <w:szCs w:val="21"/>
        </w:rPr>
        <w:t>，其余部分用于支付注册登记费等相关手续费</w:t>
      </w:r>
      <w:r w:rsidR="009842AB" w:rsidRPr="000239D0">
        <w:rPr>
          <w:rFonts w:asciiTheme="minorEastAsia" w:eastAsiaTheme="minorEastAsia" w:hAnsiTheme="minorEastAsia" w:hint="eastAsia"/>
          <w:sz w:val="21"/>
          <w:szCs w:val="21"/>
        </w:rPr>
        <w:t>，</w:t>
      </w:r>
      <w:r w:rsidR="009842AB" w:rsidRPr="000239D0">
        <w:rPr>
          <w:rFonts w:asciiTheme="minorEastAsia" w:eastAsiaTheme="minorEastAsia" w:hAnsiTheme="minorEastAsia"/>
          <w:sz w:val="21"/>
          <w:szCs w:val="21"/>
        </w:rPr>
        <w:t>转换费用以人民币元为单位，计算结果按照四舍五入方法，保留小数点后两位</w:t>
      </w:r>
      <w:r w:rsidR="00D83EFF" w:rsidRPr="000239D0">
        <w:rPr>
          <w:rFonts w:asciiTheme="minorEastAsia" w:eastAsiaTheme="minorEastAsia" w:hAnsiTheme="minorEastAsia" w:hint="eastAsia"/>
          <w:sz w:val="21"/>
          <w:szCs w:val="21"/>
        </w:rPr>
        <w:t>。</w:t>
      </w:r>
    </w:p>
    <w:p w:rsidR="005336CC" w:rsidRPr="000239D0" w:rsidRDefault="005336CC"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4</w:t>
      </w:r>
      <w:r w:rsidR="00B42F28" w:rsidRPr="000239D0">
        <w:rPr>
          <w:rFonts w:asciiTheme="minorEastAsia" w:eastAsiaTheme="minorEastAsia" w:hAnsiTheme="minorEastAsia" w:hint="eastAsia"/>
        </w:rPr>
        <w:t>、</w:t>
      </w:r>
      <w:r w:rsidR="00517188" w:rsidRPr="000239D0">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5336CC" w:rsidRPr="000239D0" w:rsidRDefault="00B42F28" w:rsidP="000B1E9F">
      <w:pPr>
        <w:pStyle w:val="aa"/>
        <w:tabs>
          <w:tab w:val="left" w:pos="735"/>
        </w:tabs>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5、</w:t>
      </w:r>
      <w:r w:rsidR="005336CC" w:rsidRPr="000239D0">
        <w:rPr>
          <w:rFonts w:asciiTheme="minorEastAsia" w:eastAsiaTheme="minorEastAsia" w:hAnsiTheme="minorEastAsia"/>
        </w:rPr>
        <w:t>基金管理人可以在基金合同规定的范围内调整</w:t>
      </w:r>
      <w:r w:rsidR="005336CC" w:rsidRPr="000239D0">
        <w:rPr>
          <w:rFonts w:asciiTheme="minorEastAsia" w:eastAsiaTheme="minorEastAsia" w:hAnsiTheme="minorEastAsia" w:hint="eastAsia"/>
        </w:rPr>
        <w:t>上述</w:t>
      </w:r>
      <w:r w:rsidR="005336CC" w:rsidRPr="000239D0">
        <w:rPr>
          <w:rFonts w:asciiTheme="minorEastAsia" w:eastAsiaTheme="minorEastAsia" w:hAnsiTheme="minorEastAsia"/>
        </w:rPr>
        <w:t>费率</w:t>
      </w:r>
      <w:r w:rsidR="005336CC" w:rsidRPr="000239D0">
        <w:rPr>
          <w:rFonts w:asciiTheme="minorEastAsia" w:eastAsiaTheme="minorEastAsia" w:hAnsiTheme="minorEastAsia" w:hint="eastAsia"/>
        </w:rPr>
        <w:t>。</w:t>
      </w:r>
      <w:r w:rsidR="005336CC" w:rsidRPr="000239D0">
        <w:rPr>
          <w:rFonts w:asciiTheme="minorEastAsia" w:eastAsiaTheme="minorEastAsia" w:hAnsiTheme="minorEastAsia"/>
        </w:rPr>
        <w:t>上述费率如发生变更，基金管理人应最迟于新的费率实施前3个工作日在</w:t>
      </w:r>
      <w:r w:rsidR="007B1272" w:rsidRPr="000239D0">
        <w:rPr>
          <w:rFonts w:asciiTheme="minorEastAsia" w:eastAsiaTheme="minorEastAsia" w:hAnsiTheme="minorEastAsia" w:hint="eastAsia"/>
        </w:rPr>
        <w:t>指定媒介</w:t>
      </w:r>
      <w:r w:rsidR="005336CC" w:rsidRPr="000239D0">
        <w:rPr>
          <w:rFonts w:asciiTheme="minorEastAsia" w:eastAsiaTheme="minorEastAsia" w:hAnsiTheme="minorEastAsia"/>
        </w:rPr>
        <w:t>公告。</w:t>
      </w:r>
    </w:p>
    <w:p w:rsidR="005336CC" w:rsidRPr="000239D0" w:rsidRDefault="00B42F28"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6、</w:t>
      </w:r>
      <w:r w:rsidR="006107B2" w:rsidRPr="000239D0">
        <w:rPr>
          <w:rFonts w:asciiTheme="minorEastAsia" w:eastAsiaTheme="minorEastAsia" w:hAnsiTheme="minorEastAsia" w:hint="eastAsia"/>
          <w:sz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5336CC" w:rsidRPr="000239D0" w:rsidRDefault="0099279B"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34" w:name="_Toc219695838"/>
      <w:bookmarkStart w:id="135" w:name="_Toc36452409"/>
      <w:r w:rsidRPr="000239D0">
        <w:rPr>
          <w:rFonts w:asciiTheme="minorEastAsia" w:eastAsiaTheme="minorEastAsia" w:hAnsiTheme="minorEastAsia" w:hint="eastAsia"/>
          <w:b w:val="0"/>
          <w:bCs/>
        </w:rPr>
        <w:t>（三）</w:t>
      </w:r>
      <w:r w:rsidR="005336CC" w:rsidRPr="000239D0">
        <w:rPr>
          <w:rFonts w:asciiTheme="minorEastAsia" w:eastAsiaTheme="minorEastAsia" w:hAnsiTheme="minorEastAsia" w:hint="eastAsia"/>
          <w:b w:val="0"/>
          <w:bCs/>
        </w:rPr>
        <w:t>基金的税收</w:t>
      </w:r>
      <w:bookmarkEnd w:id="134"/>
      <w:bookmarkEnd w:id="135"/>
    </w:p>
    <w:p w:rsidR="005336CC" w:rsidRPr="000239D0" w:rsidRDefault="005336CC"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本基金运作过程中涉及的各纳税主体，其纳税义务按国家税收法律、法规执行。</w:t>
      </w:r>
    </w:p>
    <w:p w:rsidR="00AE6990" w:rsidRPr="000239D0" w:rsidRDefault="00AE6990" w:rsidP="000B1E9F">
      <w:pPr>
        <w:pStyle w:val="aa"/>
        <w:snapToGrid w:val="0"/>
        <w:spacing w:line="360" w:lineRule="auto"/>
        <w:ind w:firstLineChars="200"/>
        <w:rPr>
          <w:rFonts w:asciiTheme="minorEastAsia" w:eastAsiaTheme="minorEastAsia" w:hAnsiTheme="minorEastAsia"/>
        </w:rPr>
      </w:pPr>
    </w:p>
    <w:p w:rsidR="00901489" w:rsidRPr="000239D0" w:rsidRDefault="00901489" w:rsidP="000B1E9F">
      <w:pPr>
        <w:widowControl/>
        <w:ind w:firstLineChars="0" w:firstLine="0"/>
        <w:jc w:val="left"/>
        <w:rPr>
          <w:rFonts w:asciiTheme="minorEastAsia" w:eastAsiaTheme="minorEastAsia" w:hAnsiTheme="minorEastAsia"/>
          <w:sz w:val="21"/>
        </w:rPr>
      </w:pPr>
      <w:r w:rsidRPr="000239D0">
        <w:rPr>
          <w:rFonts w:asciiTheme="minorEastAsia" w:eastAsiaTheme="minorEastAsia" w:hAnsiTheme="minorEastAsia"/>
        </w:rPr>
        <w:br w:type="page"/>
      </w: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Cs/>
        </w:rPr>
      </w:pPr>
      <w:bookmarkStart w:id="136" w:name="_Toc219695839"/>
      <w:bookmarkStart w:id="137" w:name="_Toc36452410"/>
      <w:r w:rsidRPr="000239D0">
        <w:rPr>
          <w:rFonts w:asciiTheme="minorEastAsia" w:eastAsiaTheme="minorEastAsia" w:hAnsiTheme="minorEastAsia" w:hint="eastAsia"/>
          <w:b/>
          <w:bCs/>
          <w:kern w:val="44"/>
          <w:sz w:val="28"/>
          <w:szCs w:val="44"/>
        </w:rPr>
        <w:lastRenderedPageBreak/>
        <w:t>十四、基金的会计与审计</w:t>
      </w:r>
      <w:bookmarkEnd w:id="136"/>
      <w:bookmarkEnd w:id="137"/>
    </w:p>
    <w:p w:rsidR="005336CC" w:rsidRPr="000239D0" w:rsidRDefault="00CA41C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38" w:name="_Toc219695840"/>
      <w:bookmarkStart w:id="139" w:name="_Toc36452411"/>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基金会计政策</w:t>
      </w:r>
      <w:bookmarkEnd w:id="138"/>
      <w:bookmarkEnd w:id="139"/>
    </w:p>
    <w:p w:rsidR="005336CC" w:rsidRPr="000239D0" w:rsidRDefault="00234856"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基金管理人为本基金的基金会计责任方；</w:t>
      </w:r>
    </w:p>
    <w:p w:rsidR="005336CC" w:rsidRPr="000239D0" w:rsidRDefault="00234856"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基金的会计年度为公历每年</w:t>
      </w:r>
      <w:r w:rsidR="005336CC" w:rsidRPr="000239D0">
        <w:rPr>
          <w:rFonts w:asciiTheme="minorEastAsia" w:eastAsiaTheme="minorEastAsia" w:hAnsiTheme="minorEastAsia"/>
          <w:sz w:val="21"/>
        </w:rPr>
        <w:t>1</w:t>
      </w:r>
      <w:r w:rsidR="005336CC" w:rsidRPr="000239D0">
        <w:rPr>
          <w:rFonts w:asciiTheme="minorEastAsia" w:eastAsiaTheme="minorEastAsia" w:hAnsiTheme="minorEastAsia" w:hint="eastAsia"/>
          <w:sz w:val="21"/>
        </w:rPr>
        <w:t>月</w:t>
      </w:r>
      <w:r w:rsidR="005336CC" w:rsidRPr="000239D0">
        <w:rPr>
          <w:rFonts w:asciiTheme="minorEastAsia" w:eastAsiaTheme="minorEastAsia" w:hAnsiTheme="minorEastAsia"/>
          <w:sz w:val="21"/>
        </w:rPr>
        <w:t>1</w:t>
      </w:r>
      <w:r w:rsidR="005336CC" w:rsidRPr="000239D0">
        <w:rPr>
          <w:rFonts w:asciiTheme="minorEastAsia" w:eastAsiaTheme="minorEastAsia" w:hAnsiTheme="minorEastAsia" w:hint="eastAsia"/>
          <w:sz w:val="21"/>
        </w:rPr>
        <w:t>日至</w:t>
      </w:r>
      <w:r w:rsidR="005336CC" w:rsidRPr="000239D0">
        <w:rPr>
          <w:rFonts w:asciiTheme="minorEastAsia" w:eastAsiaTheme="minorEastAsia" w:hAnsiTheme="minorEastAsia"/>
          <w:sz w:val="21"/>
        </w:rPr>
        <w:t>12</w:t>
      </w:r>
      <w:r w:rsidR="005336CC" w:rsidRPr="000239D0">
        <w:rPr>
          <w:rFonts w:asciiTheme="minorEastAsia" w:eastAsiaTheme="minorEastAsia" w:hAnsiTheme="minorEastAsia" w:hint="eastAsia"/>
          <w:sz w:val="21"/>
        </w:rPr>
        <w:t>月</w:t>
      </w:r>
      <w:r w:rsidR="005336CC" w:rsidRPr="000239D0">
        <w:rPr>
          <w:rFonts w:asciiTheme="minorEastAsia" w:eastAsiaTheme="minorEastAsia" w:hAnsiTheme="minorEastAsia"/>
          <w:sz w:val="21"/>
        </w:rPr>
        <w:t>31</w:t>
      </w:r>
      <w:r w:rsidR="005336CC" w:rsidRPr="000239D0">
        <w:rPr>
          <w:rFonts w:asciiTheme="minorEastAsia" w:eastAsiaTheme="minorEastAsia" w:hAnsiTheme="minorEastAsia" w:hint="eastAsia"/>
          <w:sz w:val="21"/>
        </w:rPr>
        <w:t>日；</w:t>
      </w:r>
    </w:p>
    <w:p w:rsidR="005336CC" w:rsidRPr="000239D0" w:rsidRDefault="00234856"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基金核算以人民币为记帐本位币，记帐单位是人民币元；</w:t>
      </w:r>
    </w:p>
    <w:p w:rsidR="005336CC" w:rsidRPr="000239D0" w:rsidRDefault="00234856"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会计制度执行国家有关的会计制度；</w:t>
      </w:r>
    </w:p>
    <w:p w:rsidR="005336CC" w:rsidRPr="000239D0" w:rsidRDefault="00234856"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w:t>
      </w:r>
      <w:r w:rsidR="005336CC" w:rsidRPr="000239D0">
        <w:rPr>
          <w:rFonts w:asciiTheme="minorEastAsia" w:eastAsiaTheme="minorEastAsia" w:hAnsiTheme="minorEastAsia" w:hint="eastAsia"/>
          <w:sz w:val="21"/>
        </w:rPr>
        <w:t>本基金独立建帐、独立核算；</w:t>
      </w:r>
    </w:p>
    <w:p w:rsidR="005336CC" w:rsidRPr="000239D0" w:rsidRDefault="00234856"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w:t>
      </w:r>
      <w:r w:rsidR="005336CC" w:rsidRPr="000239D0">
        <w:rPr>
          <w:rFonts w:asciiTheme="minorEastAsia" w:eastAsiaTheme="minorEastAsia" w:hAnsiTheme="minorEastAsia" w:hint="eastAsia"/>
          <w:sz w:val="21"/>
        </w:rPr>
        <w:t>基金管理人及基金托管人各自保留完整的会计帐目、凭证并进行日常的会计核算，按照有关规定编制基金会计报表；</w:t>
      </w:r>
    </w:p>
    <w:p w:rsidR="005336CC" w:rsidRPr="000239D0" w:rsidRDefault="00234856"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w:t>
      </w:r>
      <w:r w:rsidR="005336CC" w:rsidRPr="000239D0">
        <w:rPr>
          <w:rFonts w:asciiTheme="minorEastAsia" w:eastAsiaTheme="minorEastAsia" w:hAnsiTheme="minorEastAsia" w:hint="eastAsia"/>
          <w:sz w:val="21"/>
        </w:rPr>
        <w:t>基金托管人每月与基金管理人就基金的会计核算、报表编制等进行核对并以书面方式确认。</w:t>
      </w:r>
    </w:p>
    <w:p w:rsidR="005336CC" w:rsidRPr="000239D0" w:rsidRDefault="00CA41C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40" w:name="_Toc219695841"/>
      <w:bookmarkStart w:id="141" w:name="_Toc36452412"/>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基金的审计</w:t>
      </w:r>
      <w:bookmarkEnd w:id="140"/>
      <w:bookmarkEnd w:id="141"/>
    </w:p>
    <w:p w:rsidR="0034441C" w:rsidRPr="000239D0" w:rsidRDefault="0034441C"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1、基金管理人聘请具有证券、期货相关业务资格的会计师事务所及其注册会计师对基金年度财务报表及其它规定事项进行审计。会计师事务所及其注册会计师与基金发起人、基金管理人、基金托管人相互独立。</w:t>
      </w:r>
    </w:p>
    <w:p w:rsidR="0034441C" w:rsidRPr="000239D0" w:rsidRDefault="0034441C" w:rsidP="000B1E9F">
      <w:pPr>
        <w:autoSpaceDE w:val="0"/>
        <w:autoSpaceDN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2、会计师事务所更换经办注册会计师时，须事先征得基金管理人同意，并报中国证监会备案；</w:t>
      </w:r>
    </w:p>
    <w:p w:rsidR="005336C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3、基金管理人（或基金托管人）认为有充足理由更换会计师事务所，经基金托管人（或基金管理人）同意可以更换。基金管理人应当在更换会计师事务所后在2日内在指定媒介公告。</w:t>
      </w: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5336CC" w:rsidRPr="000239D0" w:rsidRDefault="005336CC" w:rsidP="000B1E9F">
      <w:pPr>
        <w:snapToGrid w:val="0"/>
        <w:spacing w:line="360" w:lineRule="auto"/>
        <w:ind w:firstLine="480"/>
        <w:rPr>
          <w:rFonts w:asciiTheme="minorEastAsia" w:eastAsiaTheme="minorEastAsia" w:hAnsiTheme="minorEastAsia"/>
        </w:r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
        </w:rPr>
      </w:pPr>
      <w:bookmarkStart w:id="142" w:name="_Toc219695842"/>
      <w:bookmarkStart w:id="143" w:name="_Toc36452413"/>
      <w:r w:rsidRPr="000239D0">
        <w:rPr>
          <w:rFonts w:asciiTheme="minorEastAsia" w:eastAsiaTheme="minorEastAsia" w:hAnsiTheme="minorEastAsia" w:hint="eastAsia"/>
          <w:b/>
          <w:bCs/>
          <w:kern w:val="44"/>
          <w:sz w:val="28"/>
          <w:szCs w:val="44"/>
        </w:rPr>
        <w:lastRenderedPageBreak/>
        <w:t>十五、基金的信息披露</w:t>
      </w:r>
      <w:bookmarkEnd w:id="142"/>
      <w:bookmarkEnd w:id="143"/>
    </w:p>
    <w:p w:rsidR="005336CC" w:rsidRPr="000239D0" w:rsidRDefault="00CA41C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44" w:name="_Toc219695843"/>
      <w:bookmarkStart w:id="145" w:name="_Toc36452414"/>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信息披露的形式</w:t>
      </w:r>
      <w:bookmarkEnd w:id="144"/>
      <w:bookmarkEnd w:id="145"/>
    </w:p>
    <w:p w:rsidR="005336CC" w:rsidRPr="000239D0" w:rsidRDefault="005336CC" w:rsidP="000B1E9F">
      <w:pPr>
        <w:snapToGrid w:val="0"/>
        <w:spacing w:line="360" w:lineRule="auto"/>
        <w:ind w:firstLine="420"/>
        <w:rPr>
          <w:rFonts w:asciiTheme="minorEastAsia" w:eastAsiaTheme="minorEastAsia" w:hAnsiTheme="minorEastAsia"/>
        </w:rPr>
      </w:pPr>
      <w:r w:rsidRPr="000239D0">
        <w:rPr>
          <w:rFonts w:asciiTheme="minorEastAsia" w:eastAsiaTheme="minorEastAsia" w:hAnsiTheme="minorEastAsia" w:hint="eastAsia"/>
          <w:sz w:val="21"/>
        </w:rPr>
        <w:t>本基金的信息披露严格按照《基金法》、《证券投资基金信息披露管理办法》、《证券投资基金信息披露内容和格式准则》、《证券投资基金信息披露编报规则》、基金合同及其它有关规定进行。本基金的信息披露事项须</w:t>
      </w:r>
      <w:r w:rsidR="0034441C" w:rsidRPr="000239D0">
        <w:rPr>
          <w:rFonts w:asciiTheme="minorEastAsia" w:eastAsiaTheme="minorEastAsia" w:hAnsiTheme="minorEastAsia" w:hint="eastAsia"/>
          <w:sz w:val="21"/>
        </w:rPr>
        <w:t>在指定媒介上</w:t>
      </w:r>
      <w:r w:rsidRPr="000239D0">
        <w:rPr>
          <w:rFonts w:asciiTheme="minorEastAsia" w:eastAsiaTheme="minorEastAsia" w:hAnsiTheme="minorEastAsia" w:hint="eastAsia"/>
          <w:sz w:val="21"/>
        </w:rPr>
        <w:t>公告。</w:t>
      </w:r>
    </w:p>
    <w:p w:rsidR="005336CC" w:rsidRPr="000239D0" w:rsidRDefault="00CA41C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46" w:name="_Toc219695844"/>
      <w:bookmarkStart w:id="147" w:name="_Toc36452415"/>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信息披露的种类、披露时间和披露形式</w:t>
      </w:r>
      <w:bookmarkEnd w:id="146"/>
      <w:bookmarkEnd w:id="147"/>
    </w:p>
    <w:p w:rsidR="005336CC" w:rsidRPr="000239D0" w:rsidRDefault="00234856" w:rsidP="000B1E9F">
      <w:pPr>
        <w:snapToGrid w:val="0"/>
        <w:spacing w:line="360" w:lineRule="auto"/>
        <w:ind w:firstLine="420"/>
        <w:rPr>
          <w:rFonts w:asciiTheme="minorEastAsia" w:eastAsiaTheme="minorEastAsia" w:hAnsiTheme="minorEastAsia"/>
          <w:sz w:val="21"/>
        </w:rPr>
      </w:pPr>
      <w:bookmarkStart w:id="148" w:name="_Toc79236617"/>
      <w:bookmarkStart w:id="149" w:name="_Toc79236618"/>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招募说明书</w:t>
      </w:r>
      <w:bookmarkEnd w:id="148"/>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本基金管理人依据《基金法》</w:t>
      </w:r>
      <w:r w:rsidRPr="000239D0">
        <w:rPr>
          <w:rFonts w:asciiTheme="minorEastAsia" w:eastAsiaTheme="minorEastAsia" w:hAnsiTheme="minorEastAsia"/>
          <w:sz w:val="21"/>
        </w:rPr>
        <w:t>及</w:t>
      </w:r>
      <w:r w:rsidRPr="000239D0">
        <w:rPr>
          <w:rFonts w:asciiTheme="minorEastAsia" w:eastAsiaTheme="minorEastAsia" w:hAnsiTheme="minorEastAsia" w:hint="eastAsia"/>
          <w:sz w:val="21"/>
        </w:rPr>
        <w:t>相关法律法规、</w:t>
      </w:r>
      <w:r w:rsidRPr="000239D0">
        <w:rPr>
          <w:rFonts w:asciiTheme="minorEastAsia" w:eastAsiaTheme="minorEastAsia" w:hAnsiTheme="minorEastAsia"/>
          <w:sz w:val="21"/>
        </w:rPr>
        <w:t>实施准则</w:t>
      </w:r>
      <w:r w:rsidRPr="000239D0">
        <w:rPr>
          <w:rFonts w:asciiTheme="minorEastAsia" w:eastAsiaTheme="minorEastAsia" w:hAnsiTheme="minorEastAsia" w:hint="eastAsia"/>
          <w:sz w:val="21"/>
        </w:rPr>
        <w:t>编制并公告《招募说明书》。</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2、基金产品资料概要</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5336C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3</w:t>
      </w:r>
      <w:r w:rsidR="00234856" w:rsidRPr="000239D0">
        <w:rPr>
          <w:rFonts w:asciiTheme="minorEastAsia" w:eastAsiaTheme="minorEastAsia" w:hAnsiTheme="minorEastAsia" w:hint="eastAsia"/>
          <w:sz w:val="21"/>
        </w:rPr>
        <w:t>、</w:t>
      </w:r>
      <w:r w:rsidR="005336CC" w:rsidRPr="000239D0">
        <w:rPr>
          <w:rFonts w:asciiTheme="minorEastAsia" w:eastAsiaTheme="minorEastAsia" w:hAnsiTheme="minorEastAsia" w:hint="eastAsia"/>
          <w:sz w:val="21"/>
        </w:rPr>
        <w:t>份额发售公告</w:t>
      </w:r>
      <w:bookmarkEnd w:id="149"/>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本基金管理人将按照</w:t>
      </w:r>
      <w:r w:rsidRPr="000239D0">
        <w:rPr>
          <w:rFonts w:asciiTheme="minorEastAsia" w:eastAsiaTheme="minorEastAsia" w:hAnsiTheme="minorEastAsia" w:hint="eastAsia"/>
          <w:sz w:val="21"/>
        </w:rPr>
        <w:t>《基金法》</w:t>
      </w:r>
      <w:r w:rsidRPr="000239D0">
        <w:rPr>
          <w:rFonts w:asciiTheme="minorEastAsia" w:eastAsiaTheme="minorEastAsia" w:hAnsiTheme="minorEastAsia"/>
          <w:sz w:val="21"/>
        </w:rPr>
        <w:t>及</w:t>
      </w:r>
      <w:r w:rsidRPr="000239D0">
        <w:rPr>
          <w:rFonts w:asciiTheme="minorEastAsia" w:eastAsiaTheme="minorEastAsia" w:hAnsiTheme="minorEastAsia" w:hint="eastAsia"/>
          <w:sz w:val="21"/>
        </w:rPr>
        <w:t>相关法律法规、</w:t>
      </w:r>
      <w:r w:rsidRPr="000239D0">
        <w:rPr>
          <w:rFonts w:asciiTheme="minorEastAsia" w:eastAsiaTheme="minorEastAsia" w:hAnsiTheme="minorEastAsia"/>
          <w:sz w:val="21"/>
        </w:rPr>
        <w:t>实施准则的有关规定编制并发布份额发售公告</w:t>
      </w:r>
      <w:r w:rsidRPr="000239D0">
        <w:rPr>
          <w:rFonts w:asciiTheme="minorEastAsia" w:eastAsiaTheme="minorEastAsia" w:hAnsiTheme="minorEastAsia" w:hint="eastAsia"/>
          <w:sz w:val="21"/>
        </w:rPr>
        <w:t>。</w:t>
      </w:r>
    </w:p>
    <w:p w:rsidR="0034441C" w:rsidRPr="000239D0" w:rsidRDefault="0034441C" w:rsidP="000B1E9F">
      <w:pPr>
        <w:snapToGrid w:val="0"/>
        <w:spacing w:line="360" w:lineRule="auto"/>
        <w:ind w:firstLine="420"/>
        <w:rPr>
          <w:rFonts w:asciiTheme="minorEastAsia" w:eastAsiaTheme="minorEastAsia" w:hAnsiTheme="minorEastAsia"/>
          <w:sz w:val="21"/>
          <w:szCs w:val="21"/>
        </w:rPr>
      </w:pPr>
      <w:bookmarkStart w:id="150" w:name="_Toc67884858"/>
      <w:bookmarkStart w:id="151" w:name="_Toc79236619"/>
      <w:r w:rsidRPr="000239D0">
        <w:rPr>
          <w:rFonts w:asciiTheme="minorEastAsia" w:eastAsiaTheme="minorEastAsia" w:hAnsiTheme="minorEastAsia"/>
          <w:sz w:val="21"/>
          <w:szCs w:val="21"/>
        </w:rPr>
        <w:t>4</w:t>
      </w:r>
      <w:r w:rsidR="00234856" w:rsidRPr="000239D0">
        <w:rPr>
          <w:rFonts w:asciiTheme="minorEastAsia" w:eastAsiaTheme="minorEastAsia" w:hAnsiTheme="minorEastAsia" w:hint="eastAsia"/>
          <w:sz w:val="21"/>
          <w:szCs w:val="21"/>
        </w:rPr>
        <w:t>、</w:t>
      </w:r>
      <w:r w:rsidRPr="000239D0">
        <w:rPr>
          <w:rFonts w:asciiTheme="minorEastAsia" w:eastAsiaTheme="minorEastAsia" w:hAnsiTheme="minorEastAsia" w:hint="eastAsia"/>
          <w:sz w:val="21"/>
          <w:szCs w:val="21"/>
        </w:rPr>
        <w:t>基金定期报告，包括基金年度报告、基金中期报告和基金季度报告</w:t>
      </w:r>
    </w:p>
    <w:p w:rsidR="0034441C" w:rsidRPr="000239D0" w:rsidRDefault="0034441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4441C" w:rsidRPr="000239D0" w:rsidRDefault="0034441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基金管理人应当在上半年结束之日起两个月内，编制完成基金中期报告，将中期报告登载在指定网站上，并将中期报告提示性公告登载在指定报刊上。</w:t>
      </w:r>
    </w:p>
    <w:p w:rsidR="0034441C" w:rsidRPr="000239D0" w:rsidRDefault="0034441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基金管理人应当在季度结束之日起15个工作日内，编制完成基金季度报告，将季度报告登载在指定网站上，并将季度报告提示性公告登载在指定报刊上。</w:t>
      </w:r>
    </w:p>
    <w:p w:rsidR="0034441C" w:rsidRPr="000239D0" w:rsidRDefault="0034441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《基金合同》生效不足2个月的，基金管理人可以不编制当期季度报告、中期报告或者年度报告。</w:t>
      </w:r>
    </w:p>
    <w:p w:rsidR="0034441C" w:rsidRPr="000239D0" w:rsidRDefault="0034441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如报告期内出现单一投资者持有基金份额达到或超过基金总份额</w:t>
      </w:r>
      <w:r w:rsidRPr="000239D0">
        <w:rPr>
          <w:rFonts w:asciiTheme="minorEastAsia" w:eastAsiaTheme="minorEastAsia" w:hAnsiTheme="minorEastAsia"/>
          <w:sz w:val="21"/>
          <w:szCs w:val="21"/>
        </w:rPr>
        <w:t>20%的情形，为保障其他投资者的权益，基金管理人至少应当在定期报告“影响投资者决策的其他重要信息”项下</w:t>
      </w:r>
      <w:r w:rsidRPr="000239D0">
        <w:rPr>
          <w:rFonts w:asciiTheme="minorEastAsia" w:eastAsiaTheme="minorEastAsia" w:hAnsiTheme="minorEastAsia"/>
          <w:sz w:val="21"/>
          <w:szCs w:val="21"/>
        </w:rPr>
        <w:lastRenderedPageBreak/>
        <w:t>披露</w:t>
      </w:r>
      <w:r w:rsidRPr="000239D0">
        <w:rPr>
          <w:rFonts w:asciiTheme="minorEastAsia" w:eastAsiaTheme="minorEastAsia" w:hAnsiTheme="minorEastAsia" w:hint="eastAsia"/>
          <w:sz w:val="21"/>
          <w:szCs w:val="21"/>
        </w:rPr>
        <w:t>该投资者的类别、报告期末持有份额及占比、报告期内持有份额变化情况及本基金的特有风险，中国证监会认定的特殊情形除外。</w:t>
      </w:r>
    </w:p>
    <w:p w:rsidR="00D543F3"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szCs w:val="21"/>
        </w:rPr>
        <w:t>基金管理人应当在基金年度报告和中期报告中披露基金组合资产情况及其流动性风险分析等。</w:t>
      </w:r>
      <w:bookmarkEnd w:id="150"/>
      <w:bookmarkEnd w:id="151"/>
    </w:p>
    <w:p w:rsidR="005336C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rPr>
        <w:t>5</w:t>
      </w:r>
      <w:r w:rsidRPr="000239D0">
        <w:rPr>
          <w:rFonts w:asciiTheme="minorEastAsia" w:eastAsiaTheme="minorEastAsia" w:hAnsiTheme="minorEastAsia" w:hint="eastAsia"/>
          <w:sz w:val="21"/>
        </w:rPr>
        <w:t>、临时</w:t>
      </w:r>
      <w:r w:rsidRPr="000239D0">
        <w:rPr>
          <w:rFonts w:asciiTheme="minorEastAsia" w:eastAsiaTheme="minorEastAsia" w:hAnsiTheme="minorEastAsia"/>
          <w:sz w:val="21"/>
        </w:rPr>
        <w:t>报告</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本基金发生重大事件，有关信息披露义务人应当在2日内编制临时报告书，并登载在指定报刊和指定网站上。</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前款所称重大事件，是指可能对基金份额持有人权益或者基金份额的价格产生重大影响的下列事件：</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基金份额持有人大会的召开及决定的事项；</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基金合同终止、基金清算；</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转换基金运作方式、基金合并；</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更换基金管理人、基金托管人、基金份额登记机构，基金改聘会计师事务所；</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基金管理人委托基金服务机构代为办理基金的份额登记、核算、估值等事项，基金托管人委托基金服务机构代为办理基金的核算、估值、复核等事项；</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基金管理人、基金托管人的法定名称、住所发生变更；</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基金管理公司变更持有百分之五以上股权的股东、基金管理人的实际控制人变更；</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基金募集期延长或提前结束募集；</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基金管理人的高级管理人员、基金经理和基金托管人专门基金托管部门负责人发生变动；</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基金管理人的董事在最近</w:t>
      </w:r>
      <w:r w:rsidRPr="000239D0">
        <w:rPr>
          <w:rFonts w:asciiTheme="minorEastAsia" w:eastAsiaTheme="minorEastAsia" w:hAnsiTheme="minorEastAsia"/>
          <w:sz w:val="21"/>
        </w:rPr>
        <w:t>12</w:t>
      </w:r>
      <w:r w:rsidRPr="000239D0">
        <w:rPr>
          <w:rFonts w:asciiTheme="minorEastAsia" w:eastAsiaTheme="minorEastAsia" w:hAnsiTheme="minorEastAsia" w:hint="eastAsia"/>
          <w:sz w:val="21"/>
        </w:rPr>
        <w:t>个月内变更超过百分之五十，基金管理人、基金托管人专门基金托管部门的主要业务人员在最近</w:t>
      </w:r>
      <w:r w:rsidRPr="000239D0">
        <w:rPr>
          <w:rFonts w:asciiTheme="minorEastAsia" w:eastAsiaTheme="minorEastAsia" w:hAnsiTheme="minorEastAsia"/>
          <w:sz w:val="21"/>
        </w:rPr>
        <w:t>12</w:t>
      </w:r>
      <w:r w:rsidRPr="000239D0">
        <w:rPr>
          <w:rFonts w:asciiTheme="minorEastAsia" w:eastAsiaTheme="minorEastAsia" w:hAnsiTheme="minorEastAsia" w:hint="eastAsia"/>
          <w:sz w:val="21"/>
        </w:rPr>
        <w:t>个月内变动超过百分之三十；</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涉及基金财产、基金管理业务、基金托管业务的诉讼或仲裁；</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基金管理人或其高级管理人员、基金经理因基金管理业务相关行为受到重大行政处罚、刑事处罚，基金托管人或其专门基金托管部门负责人因基金托管业务相关行为受到重大行政处罚、刑事处罚；</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基金收益分配事项；</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管理费、托管费、申购费、赎回费等费用计提标准、计提方式和费率发生变更；</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基金份额净值计价错误达基金份额净值百分之零点五；</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本基金开始办理申购、赎回；</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本基金暂停接受申购、赎回申请或重新接受申购、赎回申请；</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调整基金份额类别的设置；</w:t>
      </w:r>
    </w:p>
    <w:p w:rsidR="0034441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基金推出新业务或服务；</w:t>
      </w:r>
    </w:p>
    <w:p w:rsidR="005336CC" w:rsidRPr="000239D0" w:rsidRDefault="0034441C" w:rsidP="000B1E9F">
      <w:pPr>
        <w:pStyle w:val="aff0"/>
        <w:numPr>
          <w:ilvl w:val="2"/>
          <w:numId w:val="24"/>
        </w:numPr>
        <w:snapToGrid w:val="0"/>
        <w:spacing w:line="360" w:lineRule="auto"/>
        <w:ind w:left="0"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基金信息披露义务人认为可能对基金份额持有人权益或者基金份额的价格产生重大影响的其他事项或中国证监会规定的其他事项。</w:t>
      </w:r>
    </w:p>
    <w:p w:rsidR="0034441C" w:rsidRPr="000239D0" w:rsidRDefault="0034441C" w:rsidP="000B1E9F">
      <w:pPr>
        <w:ind w:firstLine="420"/>
        <w:rPr>
          <w:rFonts w:asciiTheme="minorEastAsia" w:eastAsiaTheme="minorEastAsia" w:hAnsiTheme="minorEastAsia"/>
          <w:b/>
          <w:sz w:val="21"/>
          <w:szCs w:val="21"/>
        </w:rPr>
      </w:pPr>
      <w:r w:rsidRPr="000239D0">
        <w:rPr>
          <w:rFonts w:asciiTheme="minorEastAsia" w:eastAsiaTheme="minorEastAsia" w:hAnsiTheme="minorEastAsia"/>
          <w:sz w:val="21"/>
          <w:szCs w:val="21"/>
        </w:rPr>
        <w:t>5</w:t>
      </w:r>
      <w:r w:rsidRPr="000239D0">
        <w:rPr>
          <w:rFonts w:asciiTheme="minorEastAsia" w:eastAsiaTheme="minorEastAsia" w:hAnsiTheme="minorEastAsia" w:hint="eastAsia"/>
          <w:sz w:val="21"/>
          <w:szCs w:val="21"/>
        </w:rPr>
        <w:t>、信息披露事务管理</w:t>
      </w:r>
    </w:p>
    <w:p w:rsidR="0034441C" w:rsidRPr="000239D0" w:rsidRDefault="0034441C" w:rsidP="000B1E9F">
      <w:pPr>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基金管理人、基金托管人应当建立健全信息披露管理制度，指定专门部门及高级管理人员负责管理信息披露事务。</w:t>
      </w:r>
    </w:p>
    <w:p w:rsidR="0034441C" w:rsidRPr="000239D0" w:rsidRDefault="0034441C" w:rsidP="000B1E9F">
      <w:pPr>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基金信息披露义务人公开披露基金信息，应当符合中国证监会相关基金信息披露内容与格式准则等法规的规定。</w:t>
      </w:r>
    </w:p>
    <w:p w:rsidR="0034441C" w:rsidRPr="000239D0" w:rsidRDefault="0034441C" w:rsidP="000B1E9F">
      <w:pPr>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34441C" w:rsidRPr="000239D0" w:rsidRDefault="0034441C" w:rsidP="000B1E9F">
      <w:pPr>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34441C" w:rsidRPr="000239D0" w:rsidRDefault="0034441C" w:rsidP="000B1E9F">
      <w:pPr>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5336C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5336CC" w:rsidRPr="000239D0" w:rsidRDefault="00CA41C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52" w:name="_Toc219695845"/>
      <w:bookmarkStart w:id="153" w:name="_Toc36452416"/>
      <w:r w:rsidRPr="000239D0">
        <w:rPr>
          <w:rFonts w:asciiTheme="minorEastAsia" w:eastAsiaTheme="minorEastAsia" w:hAnsiTheme="minorEastAsia" w:hint="eastAsia"/>
          <w:b w:val="0"/>
          <w:bCs/>
        </w:rPr>
        <w:t>（三）</w:t>
      </w:r>
      <w:r w:rsidR="005336CC" w:rsidRPr="000239D0">
        <w:rPr>
          <w:rFonts w:asciiTheme="minorEastAsia" w:eastAsiaTheme="minorEastAsia" w:hAnsiTheme="minorEastAsia" w:hint="eastAsia"/>
          <w:b w:val="0"/>
          <w:bCs/>
        </w:rPr>
        <w:t>信息披露文件的存放与查阅</w:t>
      </w:r>
      <w:bookmarkEnd w:id="152"/>
      <w:bookmarkEnd w:id="153"/>
    </w:p>
    <w:p w:rsidR="005336C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依法必须披露的信息发布后，基金管理人、基金托管人应当按照相关法律法规规定将信息置备于公司办公场所，供社会公众查阅、复制。</w:t>
      </w:r>
    </w:p>
    <w:p w:rsidR="00AE6990" w:rsidRPr="000239D0" w:rsidRDefault="00AE6990" w:rsidP="000B1E9F">
      <w:pPr>
        <w:snapToGrid w:val="0"/>
        <w:spacing w:line="360" w:lineRule="auto"/>
        <w:ind w:firstLine="420"/>
        <w:rPr>
          <w:rFonts w:asciiTheme="minorEastAsia" w:eastAsiaTheme="minorEastAsia" w:hAnsiTheme="minorEastAsia"/>
          <w:sz w:val="21"/>
        </w:rPr>
      </w:pPr>
    </w:p>
    <w:p w:rsidR="00676358" w:rsidRPr="000239D0" w:rsidRDefault="00676358" w:rsidP="000B1E9F">
      <w:pPr>
        <w:snapToGrid w:val="0"/>
        <w:spacing w:line="360" w:lineRule="auto"/>
        <w:ind w:firstLine="420"/>
        <w:rPr>
          <w:rFonts w:asciiTheme="minorEastAsia" w:eastAsiaTheme="minorEastAsia" w:hAnsiTheme="minorEastAsia"/>
          <w:sz w:val="21"/>
        </w:rPr>
        <w:sectPr w:rsidR="00676358" w:rsidRPr="000239D0" w:rsidSect="007D09C8">
          <w:pgSz w:w="11906" w:h="16838" w:code="9"/>
          <w:pgMar w:top="1701" w:right="1301" w:bottom="1701" w:left="2268" w:header="1134" w:footer="1247" w:gutter="0"/>
          <w:cols w:space="425"/>
          <w:docGrid w:type="lines" w:linePitch="447"/>
        </w:sect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rPr>
      </w:pPr>
      <w:bookmarkStart w:id="154" w:name="_Toc219695846"/>
      <w:bookmarkStart w:id="155" w:name="_Toc36452417"/>
      <w:r w:rsidRPr="000239D0">
        <w:rPr>
          <w:rFonts w:asciiTheme="minorEastAsia" w:eastAsiaTheme="minorEastAsia" w:hAnsiTheme="minorEastAsia" w:hint="eastAsia"/>
          <w:b/>
          <w:bCs/>
          <w:kern w:val="44"/>
          <w:sz w:val="28"/>
          <w:szCs w:val="44"/>
        </w:rPr>
        <w:lastRenderedPageBreak/>
        <w:t>十六、风险揭示</w:t>
      </w:r>
      <w:bookmarkEnd w:id="154"/>
      <w:bookmarkEnd w:id="155"/>
    </w:p>
    <w:p w:rsidR="005336CC" w:rsidRPr="000239D0" w:rsidRDefault="005336CC" w:rsidP="000B1E9F">
      <w:pPr>
        <w:pStyle w:val="a7"/>
        <w:snapToGrid w:val="0"/>
        <w:spacing w:line="360" w:lineRule="auto"/>
        <w:ind w:firstLine="480"/>
        <w:rPr>
          <w:rFonts w:asciiTheme="minorEastAsia" w:eastAsiaTheme="minorEastAsia" w:hAnsiTheme="minorEastAsia"/>
          <w:bCs/>
        </w:rPr>
      </w:pPr>
      <w:bookmarkStart w:id="156" w:name="_Toc76367385"/>
      <w:bookmarkStart w:id="157" w:name="_Toc92074917"/>
      <w:r w:rsidRPr="000239D0">
        <w:rPr>
          <w:rFonts w:asciiTheme="minorEastAsia" w:eastAsiaTheme="minorEastAsia" w:hAnsiTheme="minorEastAsia" w:hint="eastAsia"/>
          <w:bCs/>
        </w:rPr>
        <w:t>（一）市场风险</w:t>
      </w:r>
      <w:bookmarkEnd w:id="156"/>
      <w:bookmarkEnd w:id="157"/>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基金主要投资于证券市场，而证券市场价格因受到经济因素、政治因素、投资者心理和交易制度等各种因素的影响而产生波动，从而导致基金收益水平发生变化，产生风险。主要的风险因素包括：</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政策风险。因财政政策、货币政策、产业政策、地区发展政策等国家宏观政策发生变化，导致市场价格波动，影响基金收益而产生风险。</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经济周期风险。随着经济运行的周期性变化，证券市场的收益水平也呈周期性变化，基金投资的收益水平也会随之变化，从而产生风险。</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w:t>
      </w:r>
      <w:r w:rsidR="005336CC" w:rsidRPr="000239D0">
        <w:rPr>
          <w:rFonts w:asciiTheme="minorEastAsia" w:eastAsiaTheme="minorEastAsia" w:hAnsiTheme="minorEastAsia" w:hint="eastAsia"/>
          <w:sz w:val="21"/>
        </w:rPr>
        <w:t>购买力风险。基金份额持有人收益将主要通过现金形式来分配，而现金可能因为通货膨胀因素而使其购买力下降,从而使基金的实际收益下降。</w:t>
      </w:r>
    </w:p>
    <w:p w:rsidR="005336CC" w:rsidRPr="000239D0" w:rsidRDefault="005336CC" w:rsidP="000B1E9F">
      <w:pPr>
        <w:pStyle w:val="a7"/>
        <w:snapToGrid w:val="0"/>
        <w:spacing w:line="360" w:lineRule="auto"/>
        <w:ind w:firstLine="480"/>
        <w:rPr>
          <w:rFonts w:asciiTheme="minorEastAsia" w:eastAsiaTheme="minorEastAsia" w:hAnsiTheme="minorEastAsia"/>
          <w:bCs/>
        </w:rPr>
      </w:pPr>
      <w:bookmarkStart w:id="158" w:name="_Toc76367386"/>
      <w:bookmarkStart w:id="159" w:name="_Toc92074918"/>
      <w:r w:rsidRPr="000239D0">
        <w:rPr>
          <w:rFonts w:asciiTheme="minorEastAsia" w:eastAsiaTheme="minorEastAsia" w:hAnsiTheme="minorEastAsia" w:hint="eastAsia"/>
          <w:bCs/>
        </w:rPr>
        <w:t>（二）本基金特有的风险</w:t>
      </w:r>
      <w:bookmarkEnd w:id="158"/>
      <w:bookmarkEnd w:id="159"/>
    </w:p>
    <w:p w:rsidR="005336CC"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1、</w:t>
      </w:r>
      <w:r w:rsidR="005336CC" w:rsidRPr="000239D0">
        <w:rPr>
          <w:rFonts w:asciiTheme="minorEastAsia" w:eastAsiaTheme="minorEastAsia" w:hAnsiTheme="minorEastAsia" w:hint="eastAsia"/>
          <w:kern w:val="0"/>
        </w:rPr>
        <w:t>本基金在投资策略上比较积极主动，并且有可能出现基金相对集中投资于个别行业板块和个股的情形，这一方面使基金有机会获取较高的超额投资收益，但同时也可能在一定阶段使基金受股市波动以及相应行业板块或个股非系统风险的影响较大，如果出现基金经理判断失误或时机把握不当，则可能给基金资产带来损失。</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2</w:t>
      </w:r>
      <w:r w:rsidRPr="000239D0">
        <w:rPr>
          <w:rFonts w:asciiTheme="minorEastAsia" w:eastAsiaTheme="minorEastAsia" w:hAnsiTheme="minorEastAsia"/>
          <w:kern w:val="0"/>
        </w:rPr>
        <w:t>、</w:t>
      </w:r>
      <w:r w:rsidRPr="000239D0">
        <w:rPr>
          <w:rFonts w:asciiTheme="minorEastAsia" w:eastAsiaTheme="minorEastAsia" w:hAnsiTheme="minorEastAsia" w:hint="eastAsia"/>
          <w:kern w:val="0"/>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科创板股票在发行、上市、交易、退市等方面的规则与其他板块存在差异，基金投资科创板股票的风险包括但不限于：</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（1）科创板企业退市风险</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科创板退市制度较主板更为严格，退市时间更短，退市速度更快，退市情形更多，且不再设置暂停上市、恢复上市和重新上市环节。一旦所投资的科创板股票进入退市流程，将面</w:t>
      </w:r>
      <w:r w:rsidRPr="000239D0">
        <w:rPr>
          <w:rFonts w:asciiTheme="minorEastAsia" w:eastAsiaTheme="minorEastAsia" w:hAnsiTheme="minorEastAsia" w:hint="eastAsia"/>
          <w:kern w:val="0"/>
        </w:rPr>
        <w:lastRenderedPageBreak/>
        <w:t>临退出难度较大、成本较高的风险。</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（2）市场风险</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科创板企业相对集中于新一代信息技术、高端装备、新材料、新能源、节能环保及生物医药等高新技术和战略新兴产业领域，大多数企业为初创型公司，上市门槛略低于A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（3）流动性风险</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（4）监管规则变化的风险</w:t>
      </w:r>
    </w:p>
    <w:p w:rsidR="00714701" w:rsidRPr="000239D0" w:rsidRDefault="00714701" w:rsidP="00AF28A3">
      <w:pPr>
        <w:pStyle w:val="aa"/>
        <w:autoSpaceDE w:val="0"/>
        <w:autoSpaceDN w:val="0"/>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kern w:val="0"/>
        </w:rPr>
        <w:t>科创板股票相关法律、行政法规、部门规章、规范性文件和交易所业务规则，可能根据市场情况进行修改完善，或者补充制定新的法律法规和业务规则，导致基金投资运作产生相应调整变化。</w:t>
      </w:r>
    </w:p>
    <w:p w:rsidR="005336CC" w:rsidRPr="000239D0" w:rsidRDefault="005336CC" w:rsidP="000B1E9F">
      <w:pPr>
        <w:pStyle w:val="a7"/>
        <w:snapToGrid w:val="0"/>
        <w:spacing w:line="360" w:lineRule="auto"/>
        <w:ind w:firstLine="480"/>
        <w:rPr>
          <w:rFonts w:asciiTheme="minorEastAsia" w:eastAsiaTheme="minorEastAsia" w:hAnsiTheme="minorEastAsia"/>
          <w:bCs/>
        </w:rPr>
      </w:pPr>
      <w:bookmarkStart w:id="160" w:name="_Toc76367387"/>
      <w:bookmarkStart w:id="161" w:name="_Toc92074919"/>
      <w:r w:rsidRPr="000239D0">
        <w:rPr>
          <w:rFonts w:asciiTheme="minorEastAsia" w:eastAsiaTheme="minorEastAsia" w:hAnsiTheme="minorEastAsia" w:hint="eastAsia"/>
          <w:bCs/>
        </w:rPr>
        <w:t>（三）流动性风险</w:t>
      </w:r>
      <w:bookmarkEnd w:id="160"/>
      <w:bookmarkEnd w:id="161"/>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1、流动性风险评估</w:t>
      </w:r>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本基金主要投资于股票</w:t>
      </w:r>
      <w:r w:rsidRPr="000239D0">
        <w:rPr>
          <w:rFonts w:asciiTheme="minorEastAsia" w:eastAsiaTheme="minorEastAsia" w:hAnsiTheme="minorEastAsia"/>
          <w:sz w:val="21"/>
          <w:szCs w:val="20"/>
        </w:rPr>
        <w:t>、</w:t>
      </w:r>
      <w:r w:rsidRPr="000239D0">
        <w:rPr>
          <w:rFonts w:asciiTheme="minorEastAsia" w:eastAsiaTheme="minorEastAsia" w:hAnsiTheme="minorEastAsia" w:hint="eastAsia"/>
          <w:sz w:val="21"/>
          <w:szCs w:val="20"/>
        </w:rPr>
        <w:t>债券等，一般情况下，这些资产市场流动性较好。</w:t>
      </w:r>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w:t>
      </w:r>
      <w:r w:rsidR="006F74CC" w:rsidRPr="000239D0">
        <w:rPr>
          <w:rFonts w:asciiTheme="minorEastAsia" w:eastAsiaTheme="minorEastAsia" w:hAnsiTheme="minorEastAsia" w:hint="eastAsia"/>
          <w:sz w:val="21"/>
          <w:szCs w:val="20"/>
        </w:rPr>
        <w:t>进或卖出；二是为应付投资者的赎回，基金被迫以不适当的价格卖出股票</w:t>
      </w:r>
      <w:r w:rsidRPr="000239D0">
        <w:rPr>
          <w:rFonts w:asciiTheme="minorEastAsia" w:eastAsiaTheme="minorEastAsia" w:hAnsiTheme="minorEastAsia" w:hint="eastAsia"/>
          <w:sz w:val="21"/>
          <w:szCs w:val="20"/>
        </w:rPr>
        <w:t>或其他资产。两者均可能使基金净值受到不利影响。</w:t>
      </w:r>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2、巨额赎回情形下的流动性风险管理措施</w:t>
      </w:r>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当本基金发生巨额赎回时，基金管理人可以根据基金当时的资产组合状况决定全额赎回或部分</w:t>
      </w:r>
      <w:r w:rsidR="006F74CC" w:rsidRPr="000239D0">
        <w:rPr>
          <w:rFonts w:asciiTheme="minorEastAsia" w:eastAsiaTheme="minorEastAsia" w:hAnsiTheme="minorEastAsia" w:hint="eastAsia"/>
          <w:sz w:val="21"/>
          <w:szCs w:val="20"/>
        </w:rPr>
        <w:t>顺延</w:t>
      </w:r>
      <w:r w:rsidRPr="000239D0">
        <w:rPr>
          <w:rFonts w:asciiTheme="minorEastAsia" w:eastAsiaTheme="minorEastAsia" w:hAnsiTheme="minorEastAsia" w:hint="eastAsia"/>
          <w:sz w:val="21"/>
          <w:szCs w:val="20"/>
        </w:rPr>
        <w:t>赎回；此外，</w:t>
      </w:r>
      <w:r w:rsidR="006F74CC" w:rsidRPr="000239D0">
        <w:rPr>
          <w:rFonts w:asciiTheme="minorEastAsia" w:eastAsiaTheme="minorEastAsia" w:hAnsiTheme="minorEastAsia" w:hint="eastAsia"/>
          <w:sz w:val="21"/>
          <w:szCs w:val="20"/>
        </w:rPr>
        <w:t>如连续两日以上（含本数）发生巨额赎回或在一段时间内三次以上发生巨额赎回时</w:t>
      </w:r>
      <w:r w:rsidRPr="000239D0">
        <w:rPr>
          <w:rFonts w:asciiTheme="minorEastAsia" w:eastAsiaTheme="minorEastAsia" w:hAnsiTheme="minorEastAsia" w:hint="eastAsia"/>
          <w:sz w:val="21"/>
          <w:szCs w:val="20"/>
        </w:rPr>
        <w:t>，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w:t>
      </w:r>
      <w:r w:rsidR="006F74CC" w:rsidRPr="000239D0">
        <w:rPr>
          <w:rFonts w:asciiTheme="minorEastAsia" w:eastAsiaTheme="minorEastAsia" w:hAnsiTheme="minorEastAsia" w:hint="eastAsia"/>
          <w:sz w:val="21"/>
          <w:szCs w:val="20"/>
        </w:rPr>
        <w:t>六</w:t>
      </w:r>
      <w:r w:rsidRPr="000239D0">
        <w:rPr>
          <w:rFonts w:asciiTheme="minorEastAsia" w:eastAsiaTheme="minorEastAsia" w:hAnsiTheme="minorEastAsia" w:hint="eastAsia"/>
          <w:sz w:val="21"/>
          <w:szCs w:val="20"/>
        </w:rPr>
        <w:t>、基金份额的申购、赎回</w:t>
      </w:r>
      <w:r w:rsidR="006F74CC" w:rsidRPr="000239D0">
        <w:rPr>
          <w:rFonts w:asciiTheme="minorEastAsia" w:eastAsiaTheme="minorEastAsia" w:hAnsiTheme="minorEastAsia" w:hint="eastAsia"/>
          <w:sz w:val="21"/>
          <w:szCs w:val="20"/>
        </w:rPr>
        <w:t>和</w:t>
      </w:r>
      <w:r w:rsidR="006F74CC" w:rsidRPr="000239D0">
        <w:rPr>
          <w:rFonts w:asciiTheme="minorEastAsia" w:eastAsiaTheme="minorEastAsia" w:hAnsiTheme="minorEastAsia"/>
          <w:sz w:val="21"/>
          <w:szCs w:val="20"/>
        </w:rPr>
        <w:t>转换</w:t>
      </w:r>
      <w:r w:rsidR="006F74CC" w:rsidRPr="000239D0">
        <w:rPr>
          <w:rFonts w:asciiTheme="minorEastAsia" w:eastAsiaTheme="minorEastAsia" w:hAnsiTheme="minorEastAsia" w:hint="eastAsia"/>
          <w:sz w:val="21"/>
          <w:szCs w:val="20"/>
        </w:rPr>
        <w:t>”之“（九</w:t>
      </w:r>
      <w:r w:rsidRPr="000239D0">
        <w:rPr>
          <w:rFonts w:asciiTheme="minorEastAsia" w:eastAsiaTheme="minorEastAsia" w:hAnsiTheme="minorEastAsia" w:hint="eastAsia"/>
          <w:sz w:val="21"/>
          <w:szCs w:val="20"/>
        </w:rPr>
        <w:t>）巨额赎回的认定及处理方式。”</w:t>
      </w:r>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发生上述情形时，投资人面临无法全部赎回或无法及时获得赎回资金的风险。在本基金</w:t>
      </w:r>
      <w:r w:rsidRPr="000239D0">
        <w:rPr>
          <w:rFonts w:asciiTheme="minorEastAsia" w:eastAsiaTheme="minorEastAsia" w:hAnsiTheme="minorEastAsia" w:hint="eastAsia"/>
          <w:sz w:val="21"/>
          <w:szCs w:val="20"/>
        </w:rPr>
        <w:lastRenderedPageBreak/>
        <w:t>暂停或延期办理投资者赎回申请的情况下，投资者未能赎回的基金份额还将面临净值波动的风险。</w:t>
      </w:r>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3、除巨额赎回情形外实施备用的流动性风险管理工具的情形、程序及对投资者的潜在影响</w:t>
      </w:r>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除巨额赎回情形外，本基金备用流动性风险管理工具包括但不限于暂停接受赎回申请、延缓支付赎回款项、收取短期赎回费、暂停基金估值以及证监会认定的其他措施。</w:t>
      </w:r>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暂停接受赎回申请、延缓支付赎回款项等工具的情形、程序见招募说明书“</w:t>
      </w:r>
      <w:r w:rsidR="006F74CC" w:rsidRPr="000239D0">
        <w:rPr>
          <w:rFonts w:asciiTheme="minorEastAsia" w:eastAsiaTheme="minorEastAsia" w:hAnsiTheme="minorEastAsia" w:hint="eastAsia"/>
          <w:sz w:val="21"/>
          <w:szCs w:val="20"/>
        </w:rPr>
        <w:t>六、基金份额的申购、赎回和</w:t>
      </w:r>
      <w:r w:rsidR="006F74CC" w:rsidRPr="000239D0">
        <w:rPr>
          <w:rFonts w:asciiTheme="minorEastAsia" w:eastAsiaTheme="minorEastAsia" w:hAnsiTheme="minorEastAsia"/>
          <w:sz w:val="21"/>
          <w:szCs w:val="20"/>
        </w:rPr>
        <w:t>转换</w:t>
      </w:r>
      <w:r w:rsidR="006F74CC" w:rsidRPr="000239D0">
        <w:rPr>
          <w:rFonts w:asciiTheme="minorEastAsia" w:eastAsiaTheme="minorEastAsia" w:hAnsiTheme="minorEastAsia" w:hint="eastAsia"/>
          <w:sz w:val="21"/>
          <w:szCs w:val="20"/>
        </w:rPr>
        <w:t>”之“（十</w:t>
      </w:r>
      <w:r w:rsidRPr="000239D0">
        <w:rPr>
          <w:rFonts w:asciiTheme="minorEastAsia" w:eastAsiaTheme="minorEastAsia" w:hAnsiTheme="minorEastAsia" w:hint="eastAsia"/>
          <w:sz w:val="21"/>
          <w:szCs w:val="20"/>
        </w:rPr>
        <w:t>）</w:t>
      </w:r>
      <w:r w:rsidR="006F74CC" w:rsidRPr="000239D0">
        <w:rPr>
          <w:rFonts w:asciiTheme="minorEastAsia" w:eastAsiaTheme="minorEastAsia" w:hAnsiTheme="minorEastAsia" w:hint="eastAsia"/>
          <w:sz w:val="21"/>
          <w:szCs w:val="20"/>
        </w:rPr>
        <w:t>拒绝或暂停申购、赎回和转换的情形及处理方式</w:t>
      </w:r>
      <w:r w:rsidRPr="000239D0">
        <w:rPr>
          <w:rFonts w:asciiTheme="minorEastAsia" w:eastAsiaTheme="minorEastAsia" w:hAnsiTheme="minorEastAsia" w:hint="eastAsia"/>
          <w:sz w:val="21"/>
          <w:szCs w:val="20"/>
        </w:rPr>
        <w:t>”的相关规定。若本基金暂停赎回申请，投资者在暂停赎回期间将无法赎回其持有的基金份额。若本基金延缓支付赎回款项，赎回款支付时间将后延，可能对投资者的资金安排带来不利影响。</w:t>
      </w:r>
    </w:p>
    <w:p w:rsidR="006D77F9" w:rsidRPr="000239D0" w:rsidRDefault="006D77F9" w:rsidP="000B1E9F">
      <w:pPr>
        <w:pStyle w:val="a7"/>
        <w:snapToGrid w:val="0"/>
        <w:spacing w:line="360" w:lineRule="auto"/>
        <w:ind w:firstLine="420"/>
        <w:rPr>
          <w:rFonts w:asciiTheme="minorEastAsia" w:eastAsiaTheme="minorEastAsia" w:hAnsiTheme="minorEastAsia"/>
          <w:sz w:val="21"/>
          <w:szCs w:val="20"/>
        </w:rPr>
      </w:pPr>
      <w:r w:rsidRPr="000239D0">
        <w:rPr>
          <w:rFonts w:asciiTheme="minorEastAsia" w:eastAsiaTheme="minorEastAsia" w:hAnsiTheme="minorEastAsia" w:hint="eastAsia"/>
          <w:sz w:val="21"/>
          <w:szCs w:val="20"/>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5336CC" w:rsidRPr="000239D0" w:rsidRDefault="006F74CC"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暂停基金估值的情形、程序见招募说明书“十一、基金资产的估值”之“（七</w:t>
      </w:r>
      <w:r w:rsidR="006D77F9" w:rsidRPr="000239D0">
        <w:rPr>
          <w:rFonts w:asciiTheme="minorEastAsia" w:eastAsiaTheme="minorEastAsia" w:hAnsiTheme="minorEastAsia" w:hint="eastAsia"/>
          <w:sz w:val="21"/>
        </w:rPr>
        <w:t>）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34441C" w:rsidRPr="000239D0" w:rsidRDefault="0034441C"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（四）本基金法律文件中涉及基金风险特征的表述与销售机构对基金的风险评级可能不一致的风险</w:t>
      </w:r>
    </w:p>
    <w:p w:rsidR="0034441C" w:rsidRPr="000239D0" w:rsidRDefault="0034441C"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5336CC" w:rsidRPr="000239D0" w:rsidRDefault="005336CC" w:rsidP="000B1E9F">
      <w:pPr>
        <w:pStyle w:val="a7"/>
        <w:snapToGrid w:val="0"/>
        <w:spacing w:line="360" w:lineRule="auto"/>
        <w:ind w:firstLine="480"/>
        <w:rPr>
          <w:rFonts w:asciiTheme="minorEastAsia" w:eastAsiaTheme="minorEastAsia" w:hAnsiTheme="minorEastAsia"/>
          <w:bCs/>
        </w:rPr>
      </w:pPr>
      <w:bookmarkStart w:id="162" w:name="_Toc76367388"/>
      <w:bookmarkStart w:id="163" w:name="_Toc92074920"/>
      <w:r w:rsidRPr="000239D0">
        <w:rPr>
          <w:rFonts w:asciiTheme="minorEastAsia" w:eastAsiaTheme="minorEastAsia" w:hAnsiTheme="minorEastAsia" w:hint="eastAsia"/>
          <w:bCs/>
        </w:rPr>
        <w:t>（</w:t>
      </w:r>
      <w:r w:rsidR="0034441C" w:rsidRPr="000239D0">
        <w:rPr>
          <w:rFonts w:asciiTheme="minorEastAsia" w:eastAsiaTheme="minorEastAsia" w:hAnsiTheme="minorEastAsia" w:hint="eastAsia"/>
          <w:bCs/>
        </w:rPr>
        <w:t>五</w:t>
      </w:r>
      <w:r w:rsidRPr="000239D0">
        <w:rPr>
          <w:rFonts w:asciiTheme="minorEastAsia" w:eastAsiaTheme="minorEastAsia" w:hAnsiTheme="minorEastAsia" w:hint="eastAsia"/>
          <w:bCs/>
        </w:rPr>
        <w:t>）管理风险</w:t>
      </w:r>
      <w:bookmarkEnd w:id="162"/>
      <w:bookmarkEnd w:id="163"/>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在基金管理运作过程中，基金管理人的知识、经验、判断、决策、技能等，会影响其对信息的占有以及对经济形势、证券价格走势的判断，从而影响基金收益水平；</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2、</w:t>
      </w:r>
      <w:r w:rsidR="005336CC" w:rsidRPr="000239D0">
        <w:rPr>
          <w:rFonts w:asciiTheme="minorEastAsia" w:eastAsiaTheme="minorEastAsia" w:hAnsiTheme="minorEastAsia" w:hint="eastAsia"/>
          <w:sz w:val="21"/>
        </w:rPr>
        <w:t>基金管理人和基金托管人的管理手段和管理技术等因素的变化也会影响基金收益水平。</w:t>
      </w:r>
    </w:p>
    <w:p w:rsidR="005336CC" w:rsidRPr="000239D0" w:rsidRDefault="005336CC" w:rsidP="000B1E9F">
      <w:pPr>
        <w:pStyle w:val="a7"/>
        <w:snapToGrid w:val="0"/>
        <w:spacing w:line="360" w:lineRule="auto"/>
        <w:ind w:firstLine="480"/>
        <w:rPr>
          <w:rFonts w:asciiTheme="minorEastAsia" w:eastAsiaTheme="minorEastAsia" w:hAnsiTheme="minorEastAsia"/>
          <w:bCs/>
        </w:rPr>
      </w:pPr>
      <w:bookmarkStart w:id="164" w:name="_Toc76367389"/>
      <w:bookmarkStart w:id="165" w:name="_Toc92074921"/>
      <w:r w:rsidRPr="000239D0">
        <w:rPr>
          <w:rFonts w:asciiTheme="minorEastAsia" w:eastAsiaTheme="minorEastAsia" w:hAnsiTheme="minorEastAsia" w:hint="eastAsia"/>
          <w:bCs/>
        </w:rPr>
        <w:t>（</w:t>
      </w:r>
      <w:r w:rsidR="0034441C" w:rsidRPr="000239D0">
        <w:rPr>
          <w:rFonts w:asciiTheme="minorEastAsia" w:eastAsiaTheme="minorEastAsia" w:hAnsiTheme="minorEastAsia" w:hint="eastAsia"/>
          <w:bCs/>
        </w:rPr>
        <w:t>六</w:t>
      </w:r>
      <w:r w:rsidRPr="000239D0">
        <w:rPr>
          <w:rFonts w:asciiTheme="minorEastAsia" w:eastAsiaTheme="minorEastAsia" w:hAnsiTheme="minorEastAsia" w:hint="eastAsia"/>
          <w:bCs/>
        </w:rPr>
        <w:t>）其他风险</w:t>
      </w:r>
      <w:bookmarkEnd w:id="164"/>
      <w:bookmarkEnd w:id="165"/>
    </w:p>
    <w:p w:rsidR="005336CC" w:rsidRPr="000239D0" w:rsidRDefault="00234856"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因技术因素而产生的风险，如电脑系统不可靠产生的风险；</w:t>
      </w:r>
    </w:p>
    <w:p w:rsidR="00417284" w:rsidRPr="000239D0" w:rsidRDefault="00234856"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2、</w:t>
      </w:r>
      <w:r w:rsidR="00417284" w:rsidRPr="000239D0">
        <w:rPr>
          <w:rFonts w:asciiTheme="minorEastAsia" w:eastAsiaTheme="minorEastAsia" w:hAnsiTheme="minorEastAsia" w:hint="eastAsia"/>
          <w:sz w:val="21"/>
        </w:rPr>
        <w:t>因战争、自然灾害等不可抗力导致的基金管理人、基金托管人、基金</w:t>
      </w:r>
      <w:r w:rsidR="004C4C3D" w:rsidRPr="000239D0">
        <w:rPr>
          <w:rFonts w:asciiTheme="minorEastAsia" w:eastAsiaTheme="minorEastAsia" w:hAnsiTheme="minorEastAsia" w:hint="eastAsia"/>
          <w:sz w:val="21"/>
        </w:rPr>
        <w:t>服务</w:t>
      </w:r>
      <w:r w:rsidR="00417284" w:rsidRPr="000239D0">
        <w:rPr>
          <w:rFonts w:asciiTheme="minorEastAsia" w:eastAsiaTheme="minorEastAsia" w:hAnsiTheme="minorEastAsia" w:hint="eastAsia"/>
          <w:sz w:val="21"/>
        </w:rPr>
        <w:t>机构等机构无法正常工作，从而影响基金运作的风险；</w:t>
      </w:r>
    </w:p>
    <w:p w:rsidR="00421527" w:rsidRPr="000239D0" w:rsidRDefault="00234856" w:rsidP="000B1E9F">
      <w:pPr>
        <w:snapToGrid w:val="0"/>
        <w:spacing w:line="360" w:lineRule="auto"/>
        <w:ind w:firstLine="420"/>
        <w:rPr>
          <w:rFonts w:asciiTheme="minorEastAsia" w:eastAsiaTheme="minorEastAsia" w:hAnsiTheme="minorEastAsia"/>
          <w:sz w:val="21"/>
        </w:rPr>
        <w:sectPr w:rsidR="00421527" w:rsidRPr="000239D0" w:rsidSect="007D09C8">
          <w:pgSz w:w="11906" w:h="16838" w:code="9"/>
          <w:pgMar w:top="1701" w:right="1301" w:bottom="1701" w:left="2268" w:header="1134" w:footer="1247" w:gutter="0"/>
          <w:cols w:space="425"/>
          <w:docGrid w:type="lines" w:linePitch="447"/>
        </w:sectPr>
      </w:pPr>
      <w:r w:rsidRPr="000239D0">
        <w:rPr>
          <w:rFonts w:asciiTheme="minorEastAsia" w:eastAsiaTheme="minorEastAsia" w:hAnsiTheme="minorEastAsia" w:hint="eastAsia"/>
          <w:sz w:val="21"/>
        </w:rPr>
        <w:t>3、</w:t>
      </w:r>
      <w:r w:rsidR="00417284" w:rsidRPr="000239D0">
        <w:rPr>
          <w:rFonts w:asciiTheme="minorEastAsia" w:eastAsiaTheme="minorEastAsia" w:hAnsiTheme="minorEastAsia" w:hint="eastAsia"/>
          <w:sz w:val="21"/>
        </w:rPr>
        <w:t>因金融市场危机、代理商违约、基金托管人违约等超出基金管理人自身控制能力的因素出现，可能导致基金或者基金份额持有人利益受损的风险。</w:t>
      </w: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rPr>
      </w:pPr>
      <w:bookmarkStart w:id="166" w:name="_Toc219695847"/>
      <w:bookmarkStart w:id="167" w:name="_Toc36452418"/>
      <w:r w:rsidRPr="000239D0">
        <w:rPr>
          <w:rFonts w:asciiTheme="minorEastAsia" w:eastAsiaTheme="minorEastAsia" w:hAnsiTheme="minorEastAsia" w:hint="eastAsia"/>
          <w:b/>
          <w:bCs/>
          <w:kern w:val="44"/>
          <w:sz w:val="28"/>
          <w:szCs w:val="44"/>
        </w:rPr>
        <w:lastRenderedPageBreak/>
        <w:t>十七、基金合同的终止与清算</w:t>
      </w:r>
      <w:bookmarkEnd w:id="166"/>
      <w:bookmarkEnd w:id="167"/>
    </w:p>
    <w:p w:rsidR="005336CC" w:rsidRPr="000239D0" w:rsidRDefault="00CA41C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68" w:name="_Toc219695848"/>
      <w:bookmarkStart w:id="169" w:name="_Toc36452419"/>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基金合同的终止</w:t>
      </w:r>
      <w:bookmarkEnd w:id="168"/>
      <w:bookmarkEnd w:id="169"/>
    </w:p>
    <w:p w:rsidR="005336CC" w:rsidRPr="000239D0" w:rsidRDefault="005336CC"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有下列情形之一的，基金合同经中国证监会批准后将终止：</w:t>
      </w:r>
    </w:p>
    <w:p w:rsidR="005336CC" w:rsidRPr="000239D0" w:rsidRDefault="00234856"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存续期间内，基金份额持有人数量连续60个工作日达不到100人，或连续60个工作日基金资产净值低于人民币5000万元，基金管理人将宣布本基金合同终止；</w:t>
      </w:r>
    </w:p>
    <w:p w:rsidR="005336CC" w:rsidRPr="000239D0" w:rsidRDefault="00234856"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基金合同经持有人大会表决终止的；</w:t>
      </w:r>
    </w:p>
    <w:p w:rsidR="005336CC" w:rsidRPr="000239D0" w:rsidRDefault="00234856"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因重大违法、违规行为，基金被中国证监会责令终止的；</w:t>
      </w:r>
    </w:p>
    <w:p w:rsidR="005336CC" w:rsidRPr="000239D0" w:rsidRDefault="00234856"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基金管理人因解散、破产、撤销、丧失基金管理机构资格、停止营业等事由，不能继续担任本基金管理人的职务，而无其它基金管理公司承受其原有权利及义务；</w:t>
      </w:r>
    </w:p>
    <w:p w:rsidR="005336CC" w:rsidRPr="000239D0" w:rsidRDefault="00234856"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5、</w:t>
      </w:r>
      <w:r w:rsidR="005336CC" w:rsidRPr="000239D0">
        <w:rPr>
          <w:rFonts w:asciiTheme="minorEastAsia" w:eastAsiaTheme="minorEastAsia" w:hAnsiTheme="minorEastAsia" w:hint="eastAsia"/>
          <w:sz w:val="21"/>
        </w:rPr>
        <w:t>基金托管人因解散、破产、撤销、丧失基金托管机构资格、停止营业等事由，不能继续担任本基金托管人的职务，而无其它托管机构承受其原有权利及义务；</w:t>
      </w:r>
    </w:p>
    <w:p w:rsidR="005336CC" w:rsidRPr="000239D0" w:rsidRDefault="00234856"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6、</w:t>
      </w:r>
      <w:r w:rsidR="005336CC" w:rsidRPr="000239D0">
        <w:rPr>
          <w:rFonts w:asciiTheme="minorEastAsia" w:eastAsiaTheme="minorEastAsia" w:hAnsiTheme="minorEastAsia"/>
          <w:sz w:val="21"/>
        </w:rPr>
        <w:t>由于投资方向变更引起的基金合并、撤销；</w:t>
      </w:r>
    </w:p>
    <w:p w:rsidR="005336CC" w:rsidRPr="000239D0" w:rsidRDefault="00234856"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7、</w:t>
      </w:r>
      <w:r w:rsidR="005336CC" w:rsidRPr="000239D0">
        <w:rPr>
          <w:rFonts w:asciiTheme="minorEastAsia" w:eastAsiaTheme="minorEastAsia" w:hAnsiTheme="minorEastAsia" w:hint="eastAsia"/>
          <w:sz w:val="21"/>
        </w:rPr>
        <w:t>中国证监会允许的其他情况。</w:t>
      </w:r>
    </w:p>
    <w:p w:rsidR="005336CC" w:rsidRPr="000239D0" w:rsidRDefault="005336CC" w:rsidP="000B1E9F">
      <w:pPr>
        <w:autoSpaceDE w:val="0"/>
        <w:autoSpaceDN w:val="0"/>
        <w:adjustRightInd w:val="0"/>
        <w:snapToGrid w:val="0"/>
        <w:spacing w:line="360" w:lineRule="auto"/>
        <w:ind w:firstLine="420"/>
        <w:jc w:val="left"/>
        <w:rPr>
          <w:rFonts w:asciiTheme="minorEastAsia" w:eastAsiaTheme="minorEastAsia" w:hAnsiTheme="minorEastAsia"/>
          <w:sz w:val="21"/>
        </w:rPr>
      </w:pPr>
      <w:r w:rsidRPr="000239D0">
        <w:rPr>
          <w:rFonts w:asciiTheme="minorEastAsia" w:eastAsiaTheme="minorEastAsia" w:hAnsiTheme="minorEastAsia" w:hint="eastAsia"/>
          <w:sz w:val="21"/>
        </w:rPr>
        <w:t>基金合同终止后，基金管理人和基金托管人依照《基金法》、《信托法》、《基金合同》及其他有关规定，行使请求给付报酬，从基金财产中获得补偿的权利时，可以留置基金财产或者对基金财产的权利归属人提出请求。</w:t>
      </w:r>
    </w:p>
    <w:p w:rsidR="005336CC" w:rsidRPr="000239D0" w:rsidRDefault="00CA41C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70" w:name="_Toc219695849"/>
      <w:bookmarkStart w:id="171" w:name="_Toc36452420"/>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基金财产的清算</w:t>
      </w:r>
      <w:bookmarkEnd w:id="170"/>
      <w:bookmarkEnd w:id="171"/>
    </w:p>
    <w:p w:rsidR="005336CC" w:rsidRPr="000239D0" w:rsidRDefault="00234856" w:rsidP="00AF28A3">
      <w:pPr>
        <w:pStyle w:val="aa"/>
        <w:tabs>
          <w:tab w:val="left" w:pos="735"/>
        </w:tabs>
        <w:snapToGrid w:val="0"/>
        <w:spacing w:line="360" w:lineRule="auto"/>
        <w:ind w:firstLineChars="200" w:firstLine="422"/>
        <w:rPr>
          <w:rFonts w:asciiTheme="minorEastAsia" w:eastAsiaTheme="minorEastAsia" w:hAnsiTheme="minorEastAsia"/>
          <w:b/>
          <w:bCs/>
        </w:rPr>
      </w:pPr>
      <w:r w:rsidRPr="000239D0">
        <w:rPr>
          <w:rFonts w:asciiTheme="minorEastAsia" w:eastAsiaTheme="minorEastAsia" w:hAnsiTheme="minorEastAsia" w:hint="eastAsia"/>
          <w:b/>
          <w:bCs/>
        </w:rPr>
        <w:t>1、</w:t>
      </w:r>
      <w:r w:rsidR="005336CC" w:rsidRPr="000239D0">
        <w:rPr>
          <w:rFonts w:asciiTheme="minorEastAsia" w:eastAsiaTheme="minorEastAsia" w:hAnsiTheme="minorEastAsia" w:hint="eastAsia"/>
          <w:b/>
          <w:bCs/>
        </w:rPr>
        <w:t>基金财产清算小组</w:t>
      </w:r>
    </w:p>
    <w:p w:rsidR="005336CC" w:rsidRPr="000239D0" w:rsidRDefault="005336CC" w:rsidP="00AF28A3">
      <w:pPr>
        <w:numPr>
          <w:ilvl w:val="1"/>
          <w:numId w:val="30"/>
        </w:numPr>
        <w:tabs>
          <w:tab w:val="clear" w:pos="1140"/>
          <w:tab w:val="num" w:pos="945"/>
        </w:tabs>
        <w:autoSpaceDE w:val="0"/>
        <w:autoSpaceDN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自基金合同终止之日起30个工作日内成立清算小组，基金财产清算小组在中国证监会的监督下进行基金财产清算。</w:t>
      </w:r>
    </w:p>
    <w:p w:rsidR="005336CC" w:rsidRPr="000239D0" w:rsidRDefault="005336CC" w:rsidP="00AF28A3">
      <w:pPr>
        <w:numPr>
          <w:ilvl w:val="1"/>
          <w:numId w:val="30"/>
        </w:numPr>
        <w:tabs>
          <w:tab w:val="clear" w:pos="1140"/>
          <w:tab w:val="num" w:pos="945"/>
        </w:tabs>
        <w:autoSpaceDE w:val="0"/>
        <w:autoSpaceDN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财产清算小组成员由基金发起人、基金管理人、基金托管人、具有从事证券相关业务资格的注册会计师、具有从事证券法律业务资格的律师以及中国证监会指定的人员组成。基金财产清算小组可以聘用必要的工作人员。清算小组在成立后五个工作日内应当公告。</w:t>
      </w:r>
    </w:p>
    <w:p w:rsidR="005336CC" w:rsidRPr="000239D0" w:rsidRDefault="005336CC" w:rsidP="00AF28A3">
      <w:pPr>
        <w:numPr>
          <w:ilvl w:val="1"/>
          <w:numId w:val="30"/>
        </w:numPr>
        <w:tabs>
          <w:tab w:val="clear" w:pos="1140"/>
          <w:tab w:val="num" w:pos="945"/>
        </w:tabs>
        <w:autoSpaceDE w:val="0"/>
        <w:autoSpaceDN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基金财产清算小组负责基金财产的保管、清理、估价、变现和分配。基金财产清算小组可以依法以基金的名义进行必要的民事活动。</w:t>
      </w:r>
    </w:p>
    <w:p w:rsidR="005336CC" w:rsidRPr="000239D0" w:rsidRDefault="00234856" w:rsidP="00AF28A3">
      <w:pPr>
        <w:pStyle w:val="aa"/>
        <w:tabs>
          <w:tab w:val="left" w:pos="735"/>
        </w:tabs>
        <w:snapToGrid w:val="0"/>
        <w:spacing w:line="360" w:lineRule="auto"/>
        <w:ind w:firstLineChars="200" w:firstLine="422"/>
        <w:rPr>
          <w:rFonts w:asciiTheme="minorEastAsia" w:eastAsiaTheme="minorEastAsia" w:hAnsiTheme="minorEastAsia"/>
          <w:b/>
          <w:bCs/>
        </w:rPr>
      </w:pPr>
      <w:r w:rsidRPr="000239D0">
        <w:rPr>
          <w:rFonts w:asciiTheme="minorEastAsia" w:eastAsiaTheme="minorEastAsia" w:hAnsiTheme="minorEastAsia" w:hint="eastAsia"/>
          <w:b/>
          <w:bCs/>
        </w:rPr>
        <w:t>2、</w:t>
      </w:r>
      <w:r w:rsidR="005336CC" w:rsidRPr="000239D0">
        <w:rPr>
          <w:rFonts w:asciiTheme="minorEastAsia" w:eastAsiaTheme="minorEastAsia" w:hAnsiTheme="minorEastAsia" w:hint="eastAsia"/>
          <w:b/>
          <w:bCs/>
        </w:rPr>
        <w:t>清算程序</w:t>
      </w:r>
    </w:p>
    <w:p w:rsidR="005336CC" w:rsidRPr="000239D0" w:rsidRDefault="005336CC" w:rsidP="00AF28A3">
      <w:pPr>
        <w:numPr>
          <w:ilvl w:val="0"/>
          <w:numId w:val="1"/>
        </w:numPr>
        <w:snapToGrid w:val="0"/>
        <w:spacing w:line="360" w:lineRule="auto"/>
        <w:ind w:left="0" w:firstLine="420"/>
        <w:rPr>
          <w:rFonts w:asciiTheme="minorEastAsia" w:eastAsiaTheme="minorEastAsia" w:hAnsiTheme="minorEastAsia"/>
          <w:sz w:val="21"/>
        </w:rPr>
      </w:pPr>
      <w:r w:rsidRPr="000239D0">
        <w:rPr>
          <w:rFonts w:asciiTheme="minorEastAsia" w:eastAsiaTheme="minorEastAsia" w:hAnsiTheme="minorEastAsia" w:hint="eastAsia"/>
          <w:sz w:val="21"/>
        </w:rPr>
        <w:t>基金合同终止后，由基金财产清算小组统一接管基金；</w:t>
      </w:r>
    </w:p>
    <w:p w:rsidR="005336CC" w:rsidRPr="000239D0" w:rsidRDefault="005336CC" w:rsidP="00AF28A3">
      <w:pPr>
        <w:numPr>
          <w:ilvl w:val="0"/>
          <w:numId w:val="1"/>
        </w:numPr>
        <w:snapToGrid w:val="0"/>
        <w:spacing w:line="360" w:lineRule="auto"/>
        <w:ind w:left="0" w:firstLine="420"/>
        <w:rPr>
          <w:rFonts w:asciiTheme="minorEastAsia" w:eastAsiaTheme="minorEastAsia" w:hAnsiTheme="minorEastAsia"/>
          <w:sz w:val="21"/>
        </w:rPr>
      </w:pPr>
      <w:r w:rsidRPr="000239D0">
        <w:rPr>
          <w:rFonts w:asciiTheme="minorEastAsia" w:eastAsiaTheme="minorEastAsia" w:hAnsiTheme="minorEastAsia" w:hint="eastAsia"/>
          <w:sz w:val="21"/>
        </w:rPr>
        <w:t>对基金资产和债权债务进行清理和确认；</w:t>
      </w:r>
    </w:p>
    <w:p w:rsidR="005336CC" w:rsidRPr="000239D0" w:rsidRDefault="005336CC" w:rsidP="00AF28A3">
      <w:pPr>
        <w:pStyle w:val="aa"/>
        <w:numPr>
          <w:ilvl w:val="0"/>
          <w:numId w:val="1"/>
        </w:numPr>
        <w:snapToGrid w:val="0"/>
        <w:spacing w:line="360" w:lineRule="auto"/>
        <w:ind w:left="0" w:firstLineChars="200" w:firstLine="420"/>
        <w:rPr>
          <w:rFonts w:asciiTheme="minorEastAsia" w:eastAsiaTheme="minorEastAsia" w:hAnsiTheme="minorEastAsia"/>
        </w:rPr>
      </w:pPr>
      <w:r w:rsidRPr="000239D0">
        <w:rPr>
          <w:rFonts w:asciiTheme="minorEastAsia" w:eastAsiaTheme="minorEastAsia" w:hAnsiTheme="minorEastAsia" w:hint="eastAsia"/>
        </w:rPr>
        <w:t>对基金资产进行估值和变现；</w:t>
      </w:r>
    </w:p>
    <w:p w:rsidR="005336CC" w:rsidRPr="000239D0" w:rsidRDefault="005336CC" w:rsidP="000B1E9F">
      <w:pPr>
        <w:numPr>
          <w:ilvl w:val="0"/>
          <w:numId w:val="1"/>
        </w:numPr>
        <w:snapToGrid w:val="0"/>
        <w:spacing w:line="360" w:lineRule="auto"/>
        <w:ind w:left="0" w:firstLine="420"/>
        <w:rPr>
          <w:rFonts w:asciiTheme="minorEastAsia" w:eastAsiaTheme="minorEastAsia" w:hAnsiTheme="minorEastAsia"/>
          <w:sz w:val="21"/>
        </w:rPr>
      </w:pPr>
      <w:r w:rsidRPr="000239D0">
        <w:rPr>
          <w:rFonts w:asciiTheme="minorEastAsia" w:eastAsiaTheme="minorEastAsia" w:hAnsiTheme="minorEastAsia" w:hint="eastAsia"/>
          <w:sz w:val="21"/>
        </w:rPr>
        <w:t>将基金财产清算结果报告中国证监会；</w:t>
      </w:r>
    </w:p>
    <w:p w:rsidR="005336CC" w:rsidRPr="000239D0" w:rsidRDefault="005336CC" w:rsidP="000B1E9F">
      <w:pPr>
        <w:numPr>
          <w:ilvl w:val="0"/>
          <w:numId w:val="1"/>
        </w:numPr>
        <w:snapToGrid w:val="0"/>
        <w:spacing w:line="360" w:lineRule="auto"/>
        <w:ind w:left="0" w:firstLine="420"/>
        <w:rPr>
          <w:rFonts w:asciiTheme="minorEastAsia" w:eastAsiaTheme="minorEastAsia" w:hAnsiTheme="minorEastAsia"/>
          <w:sz w:val="21"/>
        </w:rPr>
      </w:pPr>
      <w:r w:rsidRPr="000239D0">
        <w:rPr>
          <w:rFonts w:asciiTheme="minorEastAsia" w:eastAsiaTheme="minorEastAsia" w:hAnsiTheme="minorEastAsia" w:hint="eastAsia"/>
          <w:sz w:val="21"/>
        </w:rPr>
        <w:t>公布基金财产清算公告；</w:t>
      </w:r>
    </w:p>
    <w:p w:rsidR="005336CC" w:rsidRPr="000239D0" w:rsidRDefault="005336CC" w:rsidP="000B1E9F">
      <w:pPr>
        <w:numPr>
          <w:ilvl w:val="0"/>
          <w:numId w:val="1"/>
        </w:numPr>
        <w:snapToGrid w:val="0"/>
        <w:spacing w:line="360" w:lineRule="auto"/>
        <w:ind w:left="0"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对基金财产进行分配。</w:t>
      </w:r>
    </w:p>
    <w:p w:rsidR="005336CC" w:rsidRPr="000239D0" w:rsidRDefault="00234856" w:rsidP="000B1E9F">
      <w:pPr>
        <w:pStyle w:val="aa"/>
        <w:tabs>
          <w:tab w:val="left" w:pos="735"/>
        </w:tabs>
        <w:snapToGrid w:val="0"/>
        <w:spacing w:line="360" w:lineRule="auto"/>
        <w:ind w:firstLine="0"/>
        <w:rPr>
          <w:rFonts w:asciiTheme="minorEastAsia" w:eastAsiaTheme="minorEastAsia" w:hAnsiTheme="minorEastAsia"/>
          <w:b/>
          <w:bCs/>
        </w:rPr>
      </w:pPr>
      <w:r w:rsidRPr="000239D0">
        <w:rPr>
          <w:rFonts w:asciiTheme="minorEastAsia" w:eastAsiaTheme="minorEastAsia" w:hAnsiTheme="minorEastAsia" w:hint="eastAsia"/>
          <w:b/>
          <w:bCs/>
        </w:rPr>
        <w:t>3、</w:t>
      </w:r>
      <w:r w:rsidR="005336CC" w:rsidRPr="000239D0">
        <w:rPr>
          <w:rFonts w:asciiTheme="minorEastAsia" w:eastAsiaTheme="minorEastAsia" w:hAnsiTheme="minorEastAsia" w:hint="eastAsia"/>
          <w:b/>
          <w:bCs/>
        </w:rPr>
        <w:t>清算费用</w:t>
      </w:r>
    </w:p>
    <w:p w:rsidR="005336CC" w:rsidRPr="000239D0" w:rsidRDefault="005336CC"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清算费用是指基金财产清算小组在进行基金财产清算过程中发生的所有合理费用，清算费用由基金财产清算小组优先从基金财产中支付。</w:t>
      </w:r>
    </w:p>
    <w:p w:rsidR="005336CC" w:rsidRPr="000239D0" w:rsidRDefault="00234856" w:rsidP="000B1E9F">
      <w:pPr>
        <w:pStyle w:val="aa"/>
        <w:tabs>
          <w:tab w:val="left" w:pos="735"/>
        </w:tabs>
        <w:snapToGrid w:val="0"/>
        <w:spacing w:line="360" w:lineRule="auto"/>
        <w:ind w:firstLine="0"/>
        <w:rPr>
          <w:rFonts w:asciiTheme="minorEastAsia" w:eastAsiaTheme="minorEastAsia" w:hAnsiTheme="minorEastAsia"/>
          <w:b/>
          <w:bCs/>
          <w:kern w:val="0"/>
        </w:rPr>
      </w:pPr>
      <w:r w:rsidRPr="000239D0">
        <w:rPr>
          <w:rFonts w:asciiTheme="minorEastAsia" w:eastAsiaTheme="minorEastAsia" w:hAnsiTheme="minorEastAsia" w:hint="eastAsia"/>
          <w:b/>
          <w:bCs/>
        </w:rPr>
        <w:t>4、</w:t>
      </w:r>
      <w:r w:rsidR="005336CC" w:rsidRPr="000239D0">
        <w:rPr>
          <w:rFonts w:asciiTheme="minorEastAsia" w:eastAsiaTheme="minorEastAsia" w:hAnsiTheme="minorEastAsia" w:hint="eastAsia"/>
          <w:b/>
          <w:bCs/>
        </w:rPr>
        <w:t>基金清算剩余财产的分配</w:t>
      </w:r>
    </w:p>
    <w:p w:rsidR="005336CC" w:rsidRPr="000239D0" w:rsidRDefault="005336CC" w:rsidP="00AF28A3">
      <w:pPr>
        <w:pStyle w:val="aa"/>
        <w:tabs>
          <w:tab w:val="left" w:pos="735"/>
        </w:tabs>
        <w:snapToGrid w:val="0"/>
        <w:spacing w:line="360" w:lineRule="auto"/>
        <w:ind w:firstLineChars="200"/>
        <w:rPr>
          <w:rFonts w:asciiTheme="minorEastAsia" w:eastAsiaTheme="minorEastAsia" w:hAnsiTheme="minorEastAsia"/>
          <w:kern w:val="0"/>
        </w:rPr>
      </w:pPr>
      <w:r w:rsidRPr="000239D0">
        <w:rPr>
          <w:rFonts w:asciiTheme="minorEastAsia" w:eastAsiaTheme="minorEastAsia" w:hAnsiTheme="minorEastAsia" w:hint="eastAsia"/>
        </w:rPr>
        <w:t>基金财产按下列顺序清偿：</w:t>
      </w:r>
    </w:p>
    <w:p w:rsidR="005336CC" w:rsidRPr="000239D0" w:rsidRDefault="005336CC" w:rsidP="00AF28A3">
      <w:pPr>
        <w:pStyle w:val="aa"/>
        <w:numPr>
          <w:ilvl w:val="0"/>
          <w:numId w:val="31"/>
        </w:numPr>
        <w:snapToGrid w:val="0"/>
        <w:spacing w:line="360" w:lineRule="auto"/>
        <w:ind w:firstLine="200"/>
        <w:rPr>
          <w:rFonts w:asciiTheme="minorEastAsia" w:eastAsiaTheme="minorEastAsia" w:hAnsiTheme="minorEastAsia"/>
        </w:rPr>
      </w:pPr>
      <w:r w:rsidRPr="000239D0">
        <w:rPr>
          <w:rFonts w:asciiTheme="minorEastAsia" w:eastAsiaTheme="minorEastAsia" w:hAnsiTheme="minorEastAsia" w:hint="eastAsia"/>
        </w:rPr>
        <w:t>支付清算费用；</w:t>
      </w:r>
    </w:p>
    <w:p w:rsidR="005336CC" w:rsidRPr="000239D0" w:rsidRDefault="005336CC" w:rsidP="00AF28A3">
      <w:pPr>
        <w:numPr>
          <w:ilvl w:val="0"/>
          <w:numId w:val="31"/>
        </w:numPr>
        <w:snapToGrid w:val="0"/>
        <w:spacing w:line="360" w:lineRule="auto"/>
        <w:ind w:firstLineChars="0" w:firstLine="200"/>
        <w:rPr>
          <w:rFonts w:asciiTheme="minorEastAsia" w:eastAsiaTheme="minorEastAsia" w:hAnsiTheme="minorEastAsia"/>
          <w:sz w:val="21"/>
        </w:rPr>
      </w:pPr>
      <w:r w:rsidRPr="000239D0">
        <w:rPr>
          <w:rFonts w:asciiTheme="minorEastAsia" w:eastAsiaTheme="minorEastAsia" w:hAnsiTheme="minorEastAsia" w:hint="eastAsia"/>
          <w:sz w:val="21"/>
        </w:rPr>
        <w:t>交纳所欠税款；</w:t>
      </w:r>
    </w:p>
    <w:p w:rsidR="005336CC" w:rsidRPr="000239D0" w:rsidRDefault="005336CC" w:rsidP="00AF28A3">
      <w:pPr>
        <w:pStyle w:val="aa"/>
        <w:numPr>
          <w:ilvl w:val="0"/>
          <w:numId w:val="31"/>
        </w:numPr>
        <w:snapToGrid w:val="0"/>
        <w:spacing w:line="360" w:lineRule="auto"/>
        <w:ind w:firstLine="200"/>
        <w:rPr>
          <w:rFonts w:asciiTheme="minorEastAsia" w:eastAsiaTheme="minorEastAsia" w:hAnsiTheme="minorEastAsia"/>
        </w:rPr>
      </w:pPr>
      <w:r w:rsidRPr="000239D0">
        <w:rPr>
          <w:rFonts w:asciiTheme="minorEastAsia" w:eastAsiaTheme="minorEastAsia" w:hAnsiTheme="minorEastAsia" w:hint="eastAsia"/>
        </w:rPr>
        <w:t>清偿基金债务；</w:t>
      </w:r>
    </w:p>
    <w:p w:rsidR="005336CC" w:rsidRPr="000239D0" w:rsidRDefault="005336CC" w:rsidP="00AF28A3">
      <w:pPr>
        <w:numPr>
          <w:ilvl w:val="0"/>
          <w:numId w:val="31"/>
        </w:numPr>
        <w:snapToGrid w:val="0"/>
        <w:spacing w:line="360" w:lineRule="auto"/>
        <w:ind w:firstLineChars="0" w:firstLine="200"/>
        <w:rPr>
          <w:rFonts w:asciiTheme="minorEastAsia" w:eastAsiaTheme="minorEastAsia" w:hAnsiTheme="minorEastAsia"/>
          <w:sz w:val="21"/>
        </w:rPr>
      </w:pPr>
      <w:r w:rsidRPr="000239D0">
        <w:rPr>
          <w:rFonts w:asciiTheme="minorEastAsia" w:eastAsiaTheme="minorEastAsia" w:hAnsiTheme="minorEastAsia" w:hint="eastAsia"/>
          <w:sz w:val="21"/>
        </w:rPr>
        <w:t>按基金份额持有人持有的基金份额比例进行分配。</w:t>
      </w:r>
    </w:p>
    <w:p w:rsidR="005336CC" w:rsidRPr="000239D0" w:rsidRDefault="005336CC" w:rsidP="00AF28A3">
      <w:pPr>
        <w:autoSpaceDE w:val="0"/>
        <w:autoSpaceDN w:val="0"/>
        <w:adjustRightInd w:val="0"/>
        <w:snapToGrid w:val="0"/>
        <w:spacing w:line="360" w:lineRule="auto"/>
        <w:ind w:firstLine="420"/>
        <w:rPr>
          <w:rFonts w:asciiTheme="minorEastAsia" w:eastAsiaTheme="minorEastAsia" w:hAnsiTheme="minorEastAsia"/>
          <w:kern w:val="0"/>
          <w:sz w:val="21"/>
        </w:rPr>
      </w:pPr>
      <w:r w:rsidRPr="000239D0">
        <w:rPr>
          <w:rFonts w:asciiTheme="minorEastAsia" w:eastAsiaTheme="minorEastAsia" w:hAnsiTheme="minorEastAsia" w:hint="eastAsia"/>
          <w:kern w:val="0"/>
          <w:sz w:val="21"/>
        </w:rPr>
        <w:t>基金财产未按前款（</w:t>
      </w:r>
      <w:r w:rsidRPr="000239D0">
        <w:rPr>
          <w:rFonts w:asciiTheme="minorEastAsia" w:eastAsiaTheme="minorEastAsia" w:hAnsiTheme="minorEastAsia"/>
          <w:kern w:val="0"/>
          <w:sz w:val="21"/>
        </w:rPr>
        <w:t>1</w:t>
      </w:r>
      <w:r w:rsidRPr="000239D0">
        <w:rPr>
          <w:rFonts w:asciiTheme="minorEastAsia" w:eastAsiaTheme="minorEastAsia" w:hAnsiTheme="minorEastAsia" w:hint="eastAsia"/>
          <w:kern w:val="0"/>
          <w:sz w:val="21"/>
        </w:rPr>
        <w:t>）至（</w:t>
      </w:r>
      <w:r w:rsidRPr="000239D0">
        <w:rPr>
          <w:rFonts w:asciiTheme="minorEastAsia" w:eastAsiaTheme="minorEastAsia" w:hAnsiTheme="minorEastAsia"/>
          <w:kern w:val="0"/>
          <w:sz w:val="21"/>
        </w:rPr>
        <w:t>3</w:t>
      </w:r>
      <w:r w:rsidRPr="000239D0">
        <w:rPr>
          <w:rFonts w:asciiTheme="minorEastAsia" w:eastAsiaTheme="minorEastAsia" w:hAnsiTheme="minorEastAsia" w:hint="eastAsia"/>
          <w:kern w:val="0"/>
          <w:sz w:val="21"/>
        </w:rPr>
        <w:t>）项规定清偿前，不分配给基金份额持有人</w:t>
      </w:r>
    </w:p>
    <w:p w:rsidR="005336CC" w:rsidRPr="000239D0" w:rsidRDefault="00234856" w:rsidP="000B1E9F">
      <w:pPr>
        <w:pStyle w:val="aa"/>
        <w:tabs>
          <w:tab w:val="left" w:pos="735"/>
        </w:tabs>
        <w:snapToGrid w:val="0"/>
        <w:spacing w:line="360" w:lineRule="auto"/>
        <w:ind w:firstLine="0"/>
        <w:rPr>
          <w:rFonts w:asciiTheme="minorEastAsia" w:eastAsiaTheme="minorEastAsia" w:hAnsiTheme="minorEastAsia"/>
          <w:b/>
          <w:bCs/>
        </w:rPr>
      </w:pPr>
      <w:r w:rsidRPr="000239D0">
        <w:rPr>
          <w:rFonts w:asciiTheme="minorEastAsia" w:eastAsiaTheme="minorEastAsia" w:hAnsiTheme="minorEastAsia" w:hint="eastAsia"/>
          <w:b/>
          <w:bCs/>
        </w:rPr>
        <w:t>5、</w:t>
      </w:r>
      <w:r w:rsidR="005336CC" w:rsidRPr="000239D0">
        <w:rPr>
          <w:rFonts w:asciiTheme="minorEastAsia" w:eastAsiaTheme="minorEastAsia" w:hAnsiTheme="minorEastAsia" w:hint="eastAsia"/>
          <w:b/>
          <w:bCs/>
        </w:rPr>
        <w:t>基金财产清算的公告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基金合同终止并报中国证监会备案后</w:t>
      </w:r>
      <w:r w:rsidRPr="000239D0">
        <w:rPr>
          <w:rFonts w:asciiTheme="minorEastAsia" w:eastAsiaTheme="minorEastAsia" w:hAnsiTheme="minorEastAsia"/>
          <w:sz w:val="21"/>
        </w:rPr>
        <w:t>5</w:t>
      </w:r>
      <w:r w:rsidRPr="000239D0">
        <w:rPr>
          <w:rFonts w:asciiTheme="minorEastAsia" w:eastAsiaTheme="minorEastAsia" w:hAnsiTheme="minorEastAsia" w:hint="eastAsia"/>
          <w:sz w:val="21"/>
        </w:rPr>
        <w:t>个工作日内由基金财产清算小组公告；清算过程中的有关重大事项须及时公告；基金财产清算结果由基金财产清算小组经中国证监会批准后3个工作日内公告。</w:t>
      </w:r>
    </w:p>
    <w:p w:rsidR="005336CC" w:rsidRPr="000239D0" w:rsidRDefault="00234856" w:rsidP="000B1E9F">
      <w:pPr>
        <w:pStyle w:val="aa"/>
        <w:tabs>
          <w:tab w:val="left" w:pos="735"/>
        </w:tabs>
        <w:snapToGrid w:val="0"/>
        <w:spacing w:line="360" w:lineRule="auto"/>
        <w:ind w:firstLine="0"/>
        <w:rPr>
          <w:rFonts w:asciiTheme="minorEastAsia" w:eastAsiaTheme="minorEastAsia" w:hAnsiTheme="minorEastAsia"/>
          <w:b/>
          <w:bCs/>
        </w:rPr>
      </w:pPr>
      <w:r w:rsidRPr="000239D0">
        <w:rPr>
          <w:rFonts w:asciiTheme="minorEastAsia" w:eastAsiaTheme="minorEastAsia" w:hAnsiTheme="minorEastAsia" w:hint="eastAsia"/>
          <w:b/>
          <w:bCs/>
        </w:rPr>
        <w:t>6、</w:t>
      </w:r>
      <w:r w:rsidR="005336CC" w:rsidRPr="000239D0">
        <w:rPr>
          <w:rFonts w:asciiTheme="minorEastAsia" w:eastAsiaTheme="minorEastAsia" w:hAnsiTheme="minorEastAsia" w:hint="eastAsia"/>
          <w:b/>
          <w:bCs/>
        </w:rPr>
        <w:t>清算帐册及文件的保存</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基金财产清算帐册及有关文件由基金托管人保存</w:t>
      </w:r>
      <w:r w:rsidRPr="000239D0">
        <w:rPr>
          <w:rFonts w:asciiTheme="minorEastAsia" w:eastAsiaTheme="minorEastAsia" w:hAnsiTheme="minorEastAsia"/>
          <w:sz w:val="21"/>
        </w:rPr>
        <w:t>15</w:t>
      </w:r>
      <w:r w:rsidRPr="000239D0">
        <w:rPr>
          <w:rFonts w:asciiTheme="minorEastAsia" w:eastAsiaTheme="minorEastAsia" w:hAnsiTheme="minorEastAsia" w:hint="eastAsia"/>
          <w:sz w:val="21"/>
        </w:rPr>
        <w:t>年以上。</w:t>
      </w: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5336CC" w:rsidRPr="000239D0" w:rsidRDefault="005336CC" w:rsidP="000B1E9F">
      <w:pPr>
        <w:snapToGrid w:val="0"/>
        <w:spacing w:line="360" w:lineRule="auto"/>
        <w:ind w:firstLine="480"/>
        <w:rPr>
          <w:rFonts w:asciiTheme="minorEastAsia" w:eastAsiaTheme="minorEastAsia" w:hAnsiTheme="minorEastAsia"/>
        </w:r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
          <w:bCs/>
          <w:kern w:val="44"/>
          <w:sz w:val="28"/>
          <w:szCs w:val="44"/>
        </w:rPr>
      </w:pPr>
      <w:bookmarkStart w:id="172" w:name="_Toc219695850"/>
      <w:bookmarkStart w:id="173" w:name="_Toc36452421"/>
      <w:r w:rsidRPr="000239D0">
        <w:rPr>
          <w:rFonts w:asciiTheme="minorEastAsia" w:eastAsiaTheme="minorEastAsia" w:hAnsiTheme="minorEastAsia" w:hint="eastAsia"/>
          <w:b/>
          <w:bCs/>
          <w:kern w:val="44"/>
          <w:sz w:val="28"/>
          <w:szCs w:val="44"/>
        </w:rPr>
        <w:lastRenderedPageBreak/>
        <w:t>十八、基金合同的内容摘要</w:t>
      </w:r>
      <w:bookmarkEnd w:id="172"/>
      <w:bookmarkEnd w:id="173"/>
    </w:p>
    <w:p w:rsidR="005336CC" w:rsidRPr="000239D0" w:rsidRDefault="00E16916"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74" w:name="_Toc219695851"/>
      <w:bookmarkStart w:id="175" w:name="_Toc36452422"/>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基金管理人的权利和义务</w:t>
      </w:r>
      <w:bookmarkEnd w:id="174"/>
      <w:bookmarkEnd w:id="175"/>
    </w:p>
    <w:p w:rsidR="005336CC" w:rsidRPr="000239D0" w:rsidRDefault="00234856" w:rsidP="000B1E9F">
      <w:pPr>
        <w:pStyle w:val="aa"/>
        <w:tabs>
          <w:tab w:val="left" w:pos="735"/>
        </w:tabs>
        <w:snapToGrid w:val="0"/>
        <w:spacing w:line="360" w:lineRule="auto"/>
        <w:ind w:firstLine="0"/>
        <w:rPr>
          <w:rFonts w:asciiTheme="minorEastAsia" w:eastAsiaTheme="minorEastAsia" w:hAnsiTheme="minorEastAsia"/>
          <w:b/>
          <w:bCs/>
        </w:rPr>
      </w:pPr>
      <w:r w:rsidRPr="000239D0">
        <w:rPr>
          <w:rFonts w:asciiTheme="minorEastAsia" w:eastAsiaTheme="minorEastAsia" w:hAnsiTheme="minorEastAsia" w:hint="eastAsia"/>
          <w:b/>
          <w:bCs/>
        </w:rPr>
        <w:t>1、</w:t>
      </w:r>
      <w:r w:rsidR="005336CC" w:rsidRPr="000239D0">
        <w:rPr>
          <w:rFonts w:asciiTheme="minorEastAsia" w:eastAsiaTheme="minorEastAsia" w:hAnsiTheme="minorEastAsia" w:hint="eastAsia"/>
          <w:b/>
          <w:bCs/>
        </w:rPr>
        <w:t>基金管理人的权利</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w:t>
      </w:r>
      <w:r w:rsidR="005336CC" w:rsidRPr="000239D0">
        <w:rPr>
          <w:rFonts w:asciiTheme="minorEastAsia" w:eastAsiaTheme="minorEastAsia" w:hAnsiTheme="minorEastAsia" w:hint="eastAsia"/>
        </w:rPr>
        <w:t>自本基金成立之日起，基金管理人根据《基金合同》的规定，独立运用并管理基金资产；</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（2）</w:t>
      </w:r>
      <w:r w:rsidR="005336CC" w:rsidRPr="000239D0">
        <w:rPr>
          <w:rFonts w:asciiTheme="minorEastAsia" w:eastAsiaTheme="minorEastAsia" w:hAnsiTheme="minorEastAsia" w:hint="eastAsia"/>
        </w:rPr>
        <w:t>根据《基金合同》的规定获得基金管理费；</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（3）</w:t>
      </w:r>
      <w:r w:rsidR="005336CC" w:rsidRPr="000239D0">
        <w:rPr>
          <w:rFonts w:asciiTheme="minorEastAsia" w:eastAsiaTheme="minorEastAsia" w:hAnsiTheme="minorEastAsia" w:hint="eastAsia"/>
        </w:rPr>
        <w:t>在符合有关法律法规和《基金合同》的前提下，制订和调整开放式基金业务规则，决定基金的相关费率结构和收费方式；</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（4）</w:t>
      </w:r>
      <w:r w:rsidR="005336CC" w:rsidRPr="000239D0">
        <w:rPr>
          <w:rFonts w:asciiTheme="minorEastAsia" w:eastAsiaTheme="minorEastAsia" w:hAnsiTheme="minorEastAsia" w:hint="eastAsia"/>
        </w:rPr>
        <w:t>根据《基金合同》规定销售基金单位，并收取基金申（认）购费、赎回费及其他法律法规规定的费用；</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（5）</w:t>
      </w:r>
      <w:r w:rsidR="005336CC" w:rsidRPr="000239D0">
        <w:rPr>
          <w:rFonts w:asciiTheme="minorEastAsia" w:eastAsiaTheme="minorEastAsia" w:hAnsiTheme="minorEastAsia" w:hint="eastAsia"/>
        </w:rPr>
        <w:t>担任基金的注册登记人并获得《基金合同》规定的注册登记费用；选择和更换注册登记代理机构,并对其注册登记代理行为进行必要的监督；</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（6）</w:t>
      </w:r>
      <w:r w:rsidR="005336CC" w:rsidRPr="000239D0">
        <w:rPr>
          <w:rFonts w:asciiTheme="minorEastAsia" w:eastAsiaTheme="minorEastAsia" w:hAnsiTheme="minorEastAsia" w:hint="eastAsia"/>
        </w:rPr>
        <w:t>在《基金合同》约定的范围内，拒绝或暂停受理申购、赎回和转换申请；</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（7）</w:t>
      </w:r>
      <w:r w:rsidR="005336CC" w:rsidRPr="000239D0">
        <w:rPr>
          <w:rFonts w:asciiTheme="minorEastAsia" w:eastAsiaTheme="minorEastAsia" w:hAnsiTheme="minorEastAsia" w:hint="eastAsia"/>
        </w:rPr>
        <w:t>依据《基金合同》的规定，决定基金收益的分配方案；</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（8）</w:t>
      </w:r>
      <w:r w:rsidR="005336CC" w:rsidRPr="000239D0">
        <w:rPr>
          <w:rFonts w:asciiTheme="minorEastAsia" w:eastAsiaTheme="minorEastAsia" w:hAnsiTheme="minorEastAsia" w:hint="eastAsia"/>
        </w:rPr>
        <w:t>提议召开基金份额持有人大会；</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（9）</w:t>
      </w:r>
      <w:r w:rsidR="005336CC" w:rsidRPr="000239D0">
        <w:rPr>
          <w:rFonts w:asciiTheme="minorEastAsia" w:eastAsiaTheme="minorEastAsia" w:hAnsiTheme="minorEastAsia" w:hint="eastAsia"/>
        </w:rPr>
        <w:t>在基金托管人更换时，提名新的基金托管人；</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（10）</w:t>
      </w:r>
      <w:r w:rsidR="005336CC" w:rsidRPr="000239D0">
        <w:rPr>
          <w:rFonts w:asciiTheme="minorEastAsia" w:eastAsiaTheme="minorEastAsia" w:hAnsiTheme="minorEastAsia"/>
        </w:rPr>
        <w:t>依据</w:t>
      </w:r>
      <w:r w:rsidR="005336CC" w:rsidRPr="000239D0">
        <w:rPr>
          <w:rFonts w:asciiTheme="minorEastAsia" w:eastAsiaTheme="minorEastAsia" w:hAnsiTheme="minorEastAsia" w:hint="eastAsia"/>
        </w:rPr>
        <w:t>《</w:t>
      </w:r>
      <w:r w:rsidR="005336CC" w:rsidRPr="000239D0">
        <w:rPr>
          <w:rFonts w:asciiTheme="minorEastAsia" w:eastAsiaTheme="minorEastAsia" w:hAnsiTheme="minorEastAsia"/>
        </w:rPr>
        <w:t>基金合同</w:t>
      </w:r>
      <w:r w:rsidR="005336CC" w:rsidRPr="000239D0">
        <w:rPr>
          <w:rFonts w:asciiTheme="minorEastAsia" w:eastAsiaTheme="minorEastAsia" w:hAnsiTheme="minorEastAsia" w:hint="eastAsia"/>
        </w:rPr>
        <w:t>》</w:t>
      </w:r>
      <w:r w:rsidR="005336CC" w:rsidRPr="000239D0">
        <w:rPr>
          <w:rFonts w:asciiTheme="minorEastAsia" w:eastAsiaTheme="minorEastAsia" w:hAnsiTheme="minorEastAsia"/>
        </w:rPr>
        <w:t>及有关法律规定监督基金托管人，如认为基金托管人违反了本基金合同或国家有关法律规定对基金资产或基金份额持有人利益造成重大损失的，应呈报中国证监会和中国人民银行，</w:t>
      </w:r>
      <w:r w:rsidR="005336CC" w:rsidRPr="000239D0">
        <w:rPr>
          <w:rFonts w:asciiTheme="minorEastAsia" w:eastAsiaTheme="minorEastAsia" w:hAnsiTheme="minorEastAsia" w:hint="eastAsia"/>
        </w:rPr>
        <w:t>并有权提议召开基金份额持有人大会，由基金份额持有人大会表决更换基金托管人，或</w:t>
      </w:r>
      <w:r w:rsidR="005336CC" w:rsidRPr="000239D0">
        <w:rPr>
          <w:rFonts w:asciiTheme="minorEastAsia" w:eastAsiaTheme="minorEastAsia" w:hAnsiTheme="minorEastAsia"/>
        </w:rPr>
        <w:t>采取</w:t>
      </w:r>
      <w:r w:rsidR="005336CC" w:rsidRPr="000239D0">
        <w:rPr>
          <w:rFonts w:asciiTheme="minorEastAsia" w:eastAsiaTheme="minorEastAsia" w:hAnsiTheme="minorEastAsia" w:hint="eastAsia"/>
        </w:rPr>
        <w:t>其它</w:t>
      </w:r>
      <w:r w:rsidR="005336CC" w:rsidRPr="000239D0">
        <w:rPr>
          <w:rFonts w:asciiTheme="minorEastAsia" w:eastAsiaTheme="minorEastAsia" w:hAnsiTheme="minorEastAsia"/>
        </w:rPr>
        <w:t>必要措施保护基金投资者的利益；</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（11）</w:t>
      </w:r>
      <w:r w:rsidR="005336CC" w:rsidRPr="000239D0">
        <w:rPr>
          <w:rFonts w:asciiTheme="minorEastAsia" w:eastAsiaTheme="minorEastAsia" w:hAnsiTheme="minorEastAsia" w:hint="eastAsia"/>
        </w:rPr>
        <w:t>选择、更换基金代销机构，对基金代销机构行为进行必要的监督和检查；如果基金管理人认为基金代销机构的作为或不作为违反了法律法规、《基金合同》或基金销售代理协议，基金管理人应行使法律法规、《基金合同》或基金销售代理协议赋予、给予、规定的基金管理人的任何及所有权利和救济措施，以保护基金资产的安全和基金投资者的利益；</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（12）</w:t>
      </w:r>
      <w:r w:rsidR="005336CC" w:rsidRPr="000239D0">
        <w:rPr>
          <w:rFonts w:asciiTheme="minorEastAsia" w:eastAsiaTheme="minorEastAsia" w:hAnsiTheme="minorEastAsia" w:hint="eastAsia"/>
        </w:rPr>
        <w:t>以基金资产负担因处理基金事务所支出的其他费用以及对第三人所负的债务，若基金管理人以其自有财产先行支付的，对基金资产有优先受偿的权利；</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（13）</w:t>
      </w:r>
      <w:r w:rsidR="005336CC" w:rsidRPr="000239D0">
        <w:rPr>
          <w:rFonts w:asciiTheme="minorEastAsia" w:eastAsiaTheme="minorEastAsia" w:hAnsiTheme="minorEastAsia" w:hint="eastAsia"/>
        </w:rPr>
        <w:t>按照、《试点办法》，代表基金对其所投资的企业依法行使股东权利或行使因投资于其他证券产生的权利；</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（14）</w:t>
      </w:r>
      <w:r w:rsidR="005336CC" w:rsidRPr="000239D0">
        <w:rPr>
          <w:rFonts w:asciiTheme="minorEastAsia" w:eastAsiaTheme="minorEastAsia" w:hAnsiTheme="minorEastAsia" w:hint="eastAsia"/>
        </w:rPr>
        <w:t>本基金终止时，组建或参加清算小组，参与基金资产的保管、清理、估价、变现和分配；</w:t>
      </w:r>
    </w:p>
    <w:p w:rsidR="005336CC" w:rsidRPr="000239D0" w:rsidRDefault="00234856"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（15）</w:t>
      </w:r>
      <w:r w:rsidR="005336CC" w:rsidRPr="000239D0">
        <w:rPr>
          <w:rFonts w:asciiTheme="minorEastAsia" w:eastAsiaTheme="minorEastAsia" w:hAnsiTheme="minorEastAsia" w:hint="eastAsia"/>
        </w:rPr>
        <w:t>法律、法规、本《基金合同》以及依据本《基金合同》制定的其他法律文件所规定的其他权利。</w:t>
      </w:r>
    </w:p>
    <w:p w:rsidR="005336CC" w:rsidRPr="000239D0" w:rsidRDefault="00234856" w:rsidP="000B1E9F">
      <w:pPr>
        <w:pStyle w:val="aa"/>
        <w:tabs>
          <w:tab w:val="left" w:pos="735"/>
        </w:tabs>
        <w:snapToGrid w:val="0"/>
        <w:spacing w:line="360" w:lineRule="auto"/>
        <w:ind w:firstLine="0"/>
        <w:rPr>
          <w:rFonts w:asciiTheme="minorEastAsia" w:eastAsiaTheme="minorEastAsia" w:hAnsiTheme="minorEastAsia"/>
          <w:b/>
          <w:bCs/>
        </w:rPr>
      </w:pPr>
      <w:r w:rsidRPr="000239D0">
        <w:rPr>
          <w:rFonts w:asciiTheme="minorEastAsia" w:eastAsiaTheme="minorEastAsia" w:hAnsiTheme="minorEastAsia" w:hint="eastAsia"/>
          <w:b/>
          <w:bCs/>
        </w:rPr>
        <w:lastRenderedPageBreak/>
        <w:t>2、</w:t>
      </w:r>
      <w:r w:rsidR="005336CC" w:rsidRPr="000239D0">
        <w:rPr>
          <w:rFonts w:asciiTheme="minorEastAsia" w:eastAsiaTheme="minorEastAsia" w:hAnsiTheme="minorEastAsia" w:hint="eastAsia"/>
          <w:b/>
          <w:bCs/>
        </w:rPr>
        <w:t>基金管理人的义务</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（1）基金管理人将遵守《信托法》、《试点办法》、《基金合同》及其他有关规定，为基金份额持有人的最大利益处理基金事务；</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基金管理人保证恪尽职守，依照诚实信用、勤勉尽责的原则，谨慎、有效管理和运用基金资产；</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Pr="000239D0">
        <w:rPr>
          <w:rFonts w:asciiTheme="minorEastAsia" w:eastAsiaTheme="minorEastAsia" w:hAnsiTheme="minorEastAsia"/>
          <w:sz w:val="21"/>
        </w:rPr>
        <w:t>设置相应的部门并</w:t>
      </w:r>
      <w:r w:rsidRPr="000239D0">
        <w:rPr>
          <w:rFonts w:asciiTheme="minorEastAsia" w:eastAsiaTheme="minorEastAsia" w:hAnsiTheme="minorEastAsia" w:hint="eastAsia"/>
          <w:sz w:val="21"/>
        </w:rPr>
        <w:t>配备足够的具有专业资格的人员进行基金投资分析、决策，以专业化的经营方式管理和运作基金资产；</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Pr="000239D0">
        <w:rPr>
          <w:rFonts w:asciiTheme="minorEastAsia" w:eastAsiaTheme="minorEastAsia" w:hAnsiTheme="minorEastAsia"/>
          <w:sz w:val="21"/>
        </w:rPr>
        <w:t>设置相应的部门并配备足够的专业人员办理基金单位的认购、申购、赎回和其它业务或委托其它机构代理这些业务</w:t>
      </w:r>
      <w:r w:rsidRPr="000239D0">
        <w:rPr>
          <w:rFonts w:asciiTheme="minorEastAsia" w:eastAsiaTheme="minorEastAsia" w:hAnsiTheme="minorEastAsia" w:hint="eastAsia"/>
          <w:sz w:val="21"/>
        </w:rPr>
        <w:t>；</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Pr="000239D0">
        <w:rPr>
          <w:rFonts w:asciiTheme="minorEastAsia" w:eastAsiaTheme="minorEastAsia" w:hAnsiTheme="minorEastAsia"/>
          <w:sz w:val="21"/>
        </w:rPr>
        <w:t>设置相应的部门并配备足够的专业人员办理基金的注册与过户登记工作或委托其它机构代理该项业务</w:t>
      </w:r>
      <w:r w:rsidRPr="000239D0">
        <w:rPr>
          <w:rFonts w:asciiTheme="minorEastAsia" w:eastAsiaTheme="minorEastAsia" w:hAnsiTheme="minorEastAsia" w:hint="eastAsia"/>
          <w:sz w:val="21"/>
        </w:rPr>
        <w:t>；</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建立健全内部控制制度，保证所管理的基金资产和基金管理人的固有资产相互独立，确保分别管理、分别计帐；保证本基金与基金管理人管理的其他基金之间在资产运作、财务管理等方面相互独立，确保分别管理、分别计帐。</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除依据《信托法》、《试点办法》、《基金合同》及其他有关规定外,不为自己及任何第三方谋取利益，基金管理人违反此义务，利用基金资产为自己及任何第三方谋取利益，所得利益归于基金资产，造成基金资产损失的，承担赔偿责任；</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基金管理人不得将基金资产转为其自有财产，违背此款规定的，将承担相应的责任，包括但不限于恢复基金资产的原状、承担赔偿责任；</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（7）除依据《信托法》、《试点办法》、《基金合同》及其他有关规定外，基金管理人不得委托第三人管理、运作基金资产；</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接受基金托管人依据法律法规、本《基金合同》和《托管协议》对基金管理人履行本《基金合同》和托管协议的情况进行的监督，并采取所有必要措施对基金托管人违反法律法规、本《基金合同》和《托管协议》的行为进行纠正和补救；</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（9）按规定计算并公告基金净值信息；</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（10）按照法律和本《基金合同》的规定受理申购和赎回申请，及时、足额支付赎回款项；</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（11）严格按照《信托法》、《暂行办法》、《试点办法》、《基金合同》及其他有关规定履行信息披露及报告义务；</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保守基金的商业秘密，不泄露基金投资计划等；除《信托法》、《暂行办法》、《试点办法》、《基金合同》及其他有关规定另有规定外，在基金信息公开披露前应予保密，不向他人泄露，但因遵守和服从司法机构、中国证监会或其他监管机构的判决、裁决、决定、命令而作出的披露不应视为基金管理人违反本《基金合同》规定的保密义务；</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（13）依据《基金合同》规定决定基金收益分配方案并向基金份额持有人分配基金收益；</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（14）不谋求对基金资产所投资的公司的控股和直接管理；</w:t>
      </w:r>
    </w:p>
    <w:p w:rsidR="0034441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（15）依据《暂行办法》、《试点办法》、《基金合同》及其他有关规定召集基金份额持有人大会，执行基金份额持有人大会决议；</w:t>
      </w:r>
    </w:p>
    <w:p w:rsidR="005336CC" w:rsidRPr="000239D0" w:rsidRDefault="0034441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（16）编制基金的季度报告、中期报告和年度报告；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（17）保存基金的会计帐册、报表、及其他处理有关基金事务的完整记录15年以上；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（18）参加基金清算小组，参与基金资产的保管、清理、估价、变现和分配；</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（19）当基金管理人将其义务委托第三方处理时，应当对第三方处理基金管理事务的行为承担责任；</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（20）面临解散、依法被撤销、破产或者由接管人接管其资产时，及时报告中国证监会并通知基金托管人；</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（21）监督基金托管人按法律法规和合同规定履行自己的义务；基金托管人因过错造成基金资产损失时，基金管理人应为基金向基金托管人追偿；</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22）基金管理人因违反《基金合同》规定的信托目的处分基金资产或者因违背《基金合同》规定的管理职责、处理基金事务不当而致使基金资产或基金份额持有人利益受到损失的，应当承担赔偿责任，其过错责任不因其退任而免除；</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（23）确保向基金投资人提供的各项文件或资料在规定时间内发出；保证投资人能够按照本《基金合同》规定的时间和方式，查阅到与基金有关的公开资料，并得到有关资料的复印件；</w:t>
      </w:r>
    </w:p>
    <w:p w:rsidR="005336CC" w:rsidRPr="000239D0" w:rsidRDefault="005336CC" w:rsidP="000B1E9F">
      <w:pPr>
        <w:snapToGrid w:val="0"/>
        <w:spacing w:line="360" w:lineRule="auto"/>
        <w:ind w:firstLine="420"/>
        <w:rPr>
          <w:rFonts w:asciiTheme="minorEastAsia" w:eastAsiaTheme="minorEastAsia" w:hAnsiTheme="minorEastAsia"/>
          <w:kern w:val="0"/>
          <w:sz w:val="21"/>
        </w:rPr>
      </w:pPr>
      <w:r w:rsidRPr="000239D0">
        <w:rPr>
          <w:rFonts w:asciiTheme="minorEastAsia" w:eastAsiaTheme="minorEastAsia" w:hAnsiTheme="minorEastAsia" w:hint="eastAsia"/>
          <w:sz w:val="21"/>
        </w:rPr>
        <w:t>（24）</w:t>
      </w:r>
      <w:r w:rsidRPr="000239D0">
        <w:rPr>
          <w:rFonts w:asciiTheme="minorEastAsia" w:eastAsiaTheme="minorEastAsia" w:hAnsiTheme="minorEastAsia" w:hint="eastAsia"/>
          <w:kern w:val="0"/>
          <w:sz w:val="21"/>
        </w:rPr>
        <w:t>负责为基金聘请注册会计师和律师；</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kern w:val="0"/>
          <w:sz w:val="21"/>
        </w:rPr>
        <w:t>（25）不从事任何有损基金及本基金其他当事人利益的活动；</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kern w:val="0"/>
          <w:sz w:val="21"/>
          <w:szCs w:val="24"/>
        </w:rPr>
        <w:t>（26）法律、法规、本《基金合同》以及依据本《基金合同》制定的其他法律文件</w:t>
      </w:r>
      <w:r w:rsidRPr="000239D0">
        <w:rPr>
          <w:rFonts w:asciiTheme="minorEastAsia" w:eastAsiaTheme="minorEastAsia" w:hAnsiTheme="minorEastAsia" w:hint="eastAsia"/>
          <w:sz w:val="21"/>
        </w:rPr>
        <w:t>所规定的其他义务。</w:t>
      </w:r>
    </w:p>
    <w:p w:rsidR="005336CC" w:rsidRPr="000239D0" w:rsidRDefault="00E16916"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76" w:name="_Toc219695852"/>
      <w:bookmarkStart w:id="177" w:name="_Toc36452423"/>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基金托管人的权利和义务</w:t>
      </w:r>
      <w:bookmarkEnd w:id="176"/>
      <w:bookmarkEnd w:id="177"/>
    </w:p>
    <w:p w:rsidR="005336CC" w:rsidRPr="000239D0" w:rsidRDefault="005336CC" w:rsidP="000B1E9F">
      <w:pPr>
        <w:pStyle w:val="aa"/>
        <w:tabs>
          <w:tab w:val="left" w:pos="735"/>
        </w:tabs>
        <w:snapToGrid w:val="0"/>
        <w:spacing w:line="360" w:lineRule="auto"/>
        <w:ind w:firstLineChars="200" w:firstLine="422"/>
        <w:rPr>
          <w:rFonts w:asciiTheme="minorEastAsia" w:eastAsiaTheme="minorEastAsia" w:hAnsiTheme="minorEastAsia"/>
          <w:b/>
          <w:bCs/>
        </w:rPr>
      </w:pPr>
      <w:r w:rsidRPr="000239D0">
        <w:rPr>
          <w:rFonts w:asciiTheme="minorEastAsia" w:eastAsiaTheme="minorEastAsia" w:hAnsiTheme="minorEastAsia" w:hint="eastAsia"/>
          <w:b/>
          <w:bCs/>
        </w:rPr>
        <w:t>1</w:t>
      </w:r>
      <w:r w:rsidR="00234856" w:rsidRPr="000239D0">
        <w:rPr>
          <w:rFonts w:asciiTheme="minorEastAsia" w:eastAsiaTheme="minorEastAsia" w:hAnsiTheme="minorEastAsia" w:hint="eastAsia"/>
          <w:b/>
          <w:bCs/>
        </w:rPr>
        <w:t>、</w:t>
      </w:r>
      <w:r w:rsidRPr="000239D0">
        <w:rPr>
          <w:rFonts w:asciiTheme="minorEastAsia" w:eastAsiaTheme="minorEastAsia" w:hAnsiTheme="minorEastAsia" w:hint="eastAsia"/>
          <w:b/>
          <w:bCs/>
        </w:rPr>
        <w:t>基金托管人的权利</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（1）依法持有并保管基金的资产；</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（2）依照《基金合同》的约定获得基金托管费；</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（3）监督基金的投资运作；</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（4）在基金管理人更换时，提名新的基金管理人；</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（5）法律、法规、《基金合同》以及依据《基金合同》制定的其他法律文件所规定的其他权利。</w:t>
      </w:r>
    </w:p>
    <w:p w:rsidR="005336CC" w:rsidRPr="000239D0" w:rsidRDefault="005336CC" w:rsidP="000B1E9F">
      <w:pPr>
        <w:pStyle w:val="aa"/>
        <w:tabs>
          <w:tab w:val="left" w:pos="735"/>
        </w:tabs>
        <w:snapToGrid w:val="0"/>
        <w:spacing w:line="360" w:lineRule="auto"/>
        <w:ind w:firstLineChars="200" w:firstLine="422"/>
        <w:rPr>
          <w:rFonts w:asciiTheme="minorEastAsia" w:eastAsiaTheme="minorEastAsia" w:hAnsiTheme="minorEastAsia"/>
          <w:b/>
          <w:bCs/>
        </w:rPr>
      </w:pPr>
      <w:r w:rsidRPr="000239D0">
        <w:rPr>
          <w:rFonts w:asciiTheme="minorEastAsia" w:eastAsiaTheme="minorEastAsia" w:hAnsiTheme="minorEastAsia" w:hint="eastAsia"/>
          <w:b/>
          <w:bCs/>
        </w:rPr>
        <w:t>2</w:t>
      </w:r>
      <w:r w:rsidR="00234856" w:rsidRPr="000239D0">
        <w:rPr>
          <w:rFonts w:asciiTheme="minorEastAsia" w:eastAsiaTheme="minorEastAsia" w:hAnsiTheme="minorEastAsia" w:hint="eastAsia"/>
          <w:b/>
          <w:bCs/>
        </w:rPr>
        <w:t>、</w:t>
      </w:r>
      <w:r w:rsidRPr="000239D0">
        <w:rPr>
          <w:rFonts w:asciiTheme="minorEastAsia" w:eastAsiaTheme="minorEastAsia" w:hAnsiTheme="minorEastAsia" w:hint="eastAsia"/>
          <w:b/>
          <w:bCs/>
        </w:rPr>
        <w:t>基金托管人的义务</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（1）基金托管人将遵守《信托法》、《试点办法》、《基金合同》及其他有关规定，依法持有基金资产，为基金份额持有人的最大利益处理基金事务；</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（2）基金托管人保证恪尽职守，依照诚实信用、勤勉尽责的原则，谨慎、有效地持有并保管基金资产；</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（3）设立专门的基金托管部，具有符合要求的营业场所，配备足够的、合格的熟悉基金托管业务的专职人员，负责基金资产托管事宜；</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建立健全内部风险监控制度、监察与稽核、财务管理及人事管理制度，确保基金资产的安全，保证其托管的基金资产与基金托管人自有资产相互独立，保证其托管的本基金与其托管的其他基金资产之间相互独立；对不同的基金分别设置帐户，独立核算，分帐管理，保证不同基金之间在名册登记、帐户设置、资金划拨、帐册记录等方面相互独立；</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除依据《信托法》、《试点办法》、《基金合同》及其他有关规定外，不为自己及任何第三人谋取利益，基金托管人违反此义务，利用基金资产为自己及任何第三方谋取利益，所得利益归于基金资产，造成基金资产损失的，承担赔偿责任；</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基金托管人不得将基金资产转为其自有财产，违背此款规定的，将承担相应的责任，包括但不限于恢复基金资产的原状、承担赔偿责任；</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（6）除依据《信托法》、《试点办法》、《基金合同》及其他有关规定外，基金托管人不得委托第三人托管基金资产；</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（7）保管由基金管理人代表基金签订的与基金有关的重大合同及有关凭证；</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（8）按法律法规的规定为基金设立证券帐户、银行存款帐户等基金资产帐户，负责基金投资于证券的清算交割，执行基金管理人的投资指令，并负责办理基金名下的资金往来；</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保守基金商业秘密。除《信托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（10）复核、审查基金管理人计算的基金资产净值及单位基金资产净值；</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（11）按规定出具基金管理人履行基金合同情况和基金托管情况的报告，并报中国证监会和中国人民银行；</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（12）负责基金认购、申购和赎回的资金保管和清算；</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（13）采取适当、合理的措施，使基金单位的认购、申购和赎回等事项符合《基金合同》等有关法律文件的规定；</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（14）采取适当、合理的措施，使基金管理人用以计算开放式基金单位认购、申购、赎回和注销价格的方法符合法律法规和《基金合同》等法律文件的规定；</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（15）</w:t>
      </w:r>
      <w:r w:rsidRPr="000239D0">
        <w:rPr>
          <w:rFonts w:asciiTheme="minorEastAsia" w:eastAsiaTheme="minorEastAsia" w:hAnsiTheme="minorEastAsia" w:hint="eastAsia"/>
          <w:sz w:val="21"/>
        </w:rPr>
        <w:tab/>
        <w:t>采取适当、合理的措施，使基金投资和融资条件符合法律法规和本《基金合同》</w:t>
      </w:r>
      <w:r w:rsidRPr="000239D0">
        <w:rPr>
          <w:rFonts w:asciiTheme="minorEastAsia" w:eastAsiaTheme="minorEastAsia" w:hAnsiTheme="minorEastAsia" w:hint="eastAsia"/>
          <w:sz w:val="21"/>
        </w:rPr>
        <w:lastRenderedPageBreak/>
        <w:t>等法律文件的规定；</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（16）</w:t>
      </w:r>
      <w:r w:rsidRPr="000239D0">
        <w:rPr>
          <w:rFonts w:asciiTheme="minorEastAsia" w:eastAsiaTheme="minorEastAsia" w:hAnsiTheme="minorEastAsia" w:hint="eastAsia"/>
          <w:sz w:val="21"/>
        </w:rPr>
        <w:tab/>
        <w:t>监督基金管理人的投资运作，发现基金管理人的投资指令违法、违规的，不予执行，并向中国证监会报告；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17）在定期报告内出具基金托管人意见，说明基金管理人在各重要方面的运作是否严格按照本《基金合同》的规定进行，如果基金管理人有未执行本《基金合同》规定的行为，还应当说明基金托管人是否采取了适当的措施；</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（18）按有关规定，保存基金的会计帐册、报表和其他有关基金托管事务的完整记录等15年以上；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（19）按规定制作相关帐册并与基金管理人核对；</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（20）依据基金管理人的指令或有关规定向基金份额持有人支付基金收益和赎回款项；</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（21）参加基金清算小组，参与基金资产的保管、清理、估价、变现和分配；</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（22）面临解散、依法被撤销、破产或者由接管人接管其资产时，及时报告中国证监会和中国人民银行，并通知基金管理人；</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（23）基金管理人因过错造成基金资产损失时，基金托管人应为基金向基金管理人追偿；</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（24）因过错导致基金资产的损失或因违背托管职责或者处理基金事务不当对第三人所负债务或者自己受到的损失，应以其自有财产承担，其责任不因其退任而免除；</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（25）</w:t>
      </w:r>
      <w:r w:rsidRPr="000239D0">
        <w:rPr>
          <w:rFonts w:asciiTheme="minorEastAsia" w:eastAsiaTheme="minorEastAsia" w:hAnsiTheme="minorEastAsia" w:hint="eastAsia"/>
          <w:kern w:val="0"/>
          <w:sz w:val="21"/>
        </w:rPr>
        <w:t>不从事任何有损基金及本基金其他当事人利益的活动；</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szCs w:val="24"/>
        </w:rPr>
        <w:t>（26）法律、法规、本《基金合同》和依据本《基金合同》制定的其他法律文件所规定</w:t>
      </w:r>
      <w:r w:rsidRPr="000239D0">
        <w:rPr>
          <w:rFonts w:asciiTheme="minorEastAsia" w:eastAsiaTheme="minorEastAsia" w:hAnsiTheme="minorEastAsia" w:hint="eastAsia"/>
          <w:sz w:val="21"/>
        </w:rPr>
        <w:t>的其他义务。</w:t>
      </w:r>
    </w:p>
    <w:p w:rsidR="005336CC" w:rsidRPr="000239D0" w:rsidRDefault="00E16916"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78" w:name="_Toc219695853"/>
      <w:bookmarkStart w:id="179" w:name="_Toc36452424"/>
      <w:r w:rsidRPr="000239D0">
        <w:rPr>
          <w:rFonts w:asciiTheme="minorEastAsia" w:eastAsiaTheme="minorEastAsia" w:hAnsiTheme="minorEastAsia" w:hint="eastAsia"/>
          <w:b w:val="0"/>
          <w:bCs/>
        </w:rPr>
        <w:t>（三）</w:t>
      </w:r>
      <w:r w:rsidR="005336CC" w:rsidRPr="000239D0">
        <w:rPr>
          <w:rFonts w:asciiTheme="minorEastAsia" w:eastAsiaTheme="minorEastAsia" w:hAnsiTheme="minorEastAsia" w:hint="eastAsia"/>
          <w:b w:val="0"/>
          <w:bCs/>
        </w:rPr>
        <w:t>基金份额持有人的权利和义务</w:t>
      </w:r>
      <w:bookmarkEnd w:id="178"/>
      <w:bookmarkEnd w:id="179"/>
    </w:p>
    <w:p w:rsidR="005336CC" w:rsidRPr="000239D0" w:rsidRDefault="00234856" w:rsidP="000B1E9F">
      <w:pPr>
        <w:pStyle w:val="aa"/>
        <w:tabs>
          <w:tab w:val="left" w:pos="735"/>
        </w:tabs>
        <w:snapToGrid w:val="0"/>
        <w:spacing w:line="360" w:lineRule="auto"/>
        <w:ind w:firstLine="0"/>
        <w:rPr>
          <w:rFonts w:asciiTheme="minorEastAsia" w:eastAsiaTheme="minorEastAsia" w:hAnsiTheme="minorEastAsia"/>
          <w:b/>
          <w:bCs/>
        </w:rPr>
      </w:pPr>
      <w:r w:rsidRPr="000239D0">
        <w:rPr>
          <w:rFonts w:asciiTheme="minorEastAsia" w:eastAsiaTheme="minorEastAsia" w:hAnsiTheme="minorEastAsia" w:hint="eastAsia"/>
          <w:b/>
          <w:bCs/>
        </w:rPr>
        <w:t>1、</w:t>
      </w:r>
      <w:r w:rsidR="005336CC" w:rsidRPr="000239D0">
        <w:rPr>
          <w:rFonts w:asciiTheme="minorEastAsia" w:eastAsiaTheme="minorEastAsia" w:hAnsiTheme="minorEastAsia" w:hint="eastAsia"/>
          <w:b/>
          <w:bCs/>
        </w:rPr>
        <w:t>基金份额持有人权利</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基金份额持有人有权按法律法规、本《基金合同》以及依据本《基金合同》制定的其他法律文件的规定：</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（1）出席或者委派代表出席基金份额持有人大会，并行使表决权；</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（2）取得基金收益；</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（3）监督基金经营情况，查询或获取公开的基金业务及财务状况的资料；</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（4）按规定申购或赎回基金单位，并在规定的时间内取得有效申请的基金单位或款项</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（5）取得基金清算后的剩余资产；</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（6）要求基金管理人或基金托管人按法律法规、本《基金合同》以及依据本《基金合同》制定的其他法律文件的规定履行其义务；</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（7）召集基金份额持有人大会；</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（8）当基金管理人、基金托管人、注册登记人或销售机构因过错导致其利益受到损害</w:t>
      </w:r>
      <w:r w:rsidRPr="000239D0">
        <w:rPr>
          <w:rFonts w:asciiTheme="minorEastAsia" w:eastAsiaTheme="minorEastAsia" w:hAnsiTheme="minorEastAsia" w:hint="eastAsia"/>
          <w:sz w:val="21"/>
        </w:rPr>
        <w:lastRenderedPageBreak/>
        <w:t>时，要求进行赔偿；</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（9）法律、法规、本《基金合同》以及依据本《基金合同》制定的其他法律文件规定的其他权利。</w:t>
      </w:r>
    </w:p>
    <w:p w:rsidR="005336CC" w:rsidRPr="000239D0" w:rsidRDefault="00234856" w:rsidP="000B1E9F">
      <w:pPr>
        <w:pStyle w:val="aa"/>
        <w:tabs>
          <w:tab w:val="left" w:pos="735"/>
        </w:tabs>
        <w:snapToGrid w:val="0"/>
        <w:spacing w:line="360" w:lineRule="auto"/>
        <w:ind w:firstLine="0"/>
        <w:rPr>
          <w:rFonts w:asciiTheme="minorEastAsia" w:eastAsiaTheme="minorEastAsia" w:hAnsiTheme="minorEastAsia"/>
          <w:b/>
          <w:bCs/>
        </w:rPr>
      </w:pPr>
      <w:r w:rsidRPr="000239D0">
        <w:rPr>
          <w:rFonts w:asciiTheme="minorEastAsia" w:eastAsiaTheme="minorEastAsia" w:hAnsiTheme="minorEastAsia" w:hint="eastAsia"/>
          <w:b/>
          <w:bCs/>
        </w:rPr>
        <w:t>2、</w:t>
      </w:r>
      <w:r w:rsidR="005336CC" w:rsidRPr="000239D0">
        <w:rPr>
          <w:rFonts w:asciiTheme="minorEastAsia" w:eastAsiaTheme="minorEastAsia" w:hAnsiTheme="minorEastAsia" w:hint="eastAsia"/>
          <w:b/>
          <w:bCs/>
        </w:rPr>
        <w:t>基金份额持有人义务</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（1）遵守本《基金合同》及根据本《基金合同》制订的相关业务规则；</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（2）缴纳基金认购、申购款项及规定的费用；</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（3）以其投资额为限承担基金亏损或者终止的有限责任；</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（4）返还持有基金过程中获得的不当得利；</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（5）不从事任何有损基金及其他基金份额持有人利益的活动；</w:t>
      </w:r>
    </w:p>
    <w:p w:rsidR="005336CC" w:rsidRPr="000239D0" w:rsidRDefault="005336CC"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（6）法律、法规、本《基金合同》以及依据本《基金合同》制定的其他法律文件所规定的其他义务。</w:t>
      </w:r>
    </w:p>
    <w:p w:rsidR="005336CC" w:rsidRPr="000239D0" w:rsidRDefault="00E16916"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80" w:name="_Toc219695854"/>
      <w:bookmarkStart w:id="181" w:name="_Toc36452425"/>
      <w:r w:rsidRPr="000239D0">
        <w:rPr>
          <w:rFonts w:asciiTheme="minorEastAsia" w:eastAsiaTheme="minorEastAsia" w:hAnsiTheme="minorEastAsia" w:hint="eastAsia"/>
          <w:b w:val="0"/>
          <w:bCs/>
        </w:rPr>
        <w:t>（四）</w:t>
      </w:r>
      <w:r w:rsidR="005336CC" w:rsidRPr="000239D0">
        <w:rPr>
          <w:rFonts w:asciiTheme="minorEastAsia" w:eastAsiaTheme="minorEastAsia" w:hAnsiTheme="minorEastAsia" w:hint="eastAsia"/>
          <w:b w:val="0"/>
          <w:bCs/>
        </w:rPr>
        <w:t>基金份额持有人大会</w:t>
      </w:r>
      <w:bookmarkEnd w:id="180"/>
      <w:bookmarkEnd w:id="181"/>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基金份额持有人大会由基金份额持有人共同组成。基金份额持有人持有的每一基金份额拥有平等的投票权。</w:t>
      </w:r>
    </w:p>
    <w:p w:rsidR="005336CC" w:rsidRPr="000239D0" w:rsidRDefault="0023485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w:t>
      </w:r>
      <w:r w:rsidR="005336CC" w:rsidRPr="000239D0">
        <w:rPr>
          <w:rFonts w:asciiTheme="minorEastAsia" w:eastAsiaTheme="minorEastAsia" w:hAnsiTheme="minorEastAsia" w:hint="eastAsia"/>
          <w:sz w:val="21"/>
          <w:szCs w:val="21"/>
        </w:rPr>
        <w:t>召开事由</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（1）有以下事由情形之一的，应当召开基金份额持有人大会：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1）提前终止基金；</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2）更换基金托管人；</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3）更换基金管理人；</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4）提高基金管理人、基金托管人的报酬标准；</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5）转换基金运作方式；</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6）基金管理人或基金托管人要求召开基金份额持有人大会；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7）单独或合计持有本基金总份额10％以上（含10％）基金份额的基</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金持有人（以基金管理人收到提议当日的基金份额计算，下同）就涉及本基金的同一事项书面要求召开基金份额持有人大会；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8）对有关当事人权利义务产生重大影响的基金合同修改，本基金合同及法律法规另有规定的除外；</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9）法律法规和本基金合同规定的其他情形。</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（2）需要决定下列事项之一时，不需召开基金份额持有人大会：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1）调低基金管理费、基金托管费；</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2）在本基金合同规定的范围内变更本基金的申购费率、赎回费率或收费方式；</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3）因相应的法律、法规发生变动必须对基金合同进行修改；</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lastRenderedPageBreak/>
        <w:t>4）基金合同的修改对基金份额持有人利益无实质性不利影响；</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5）按照法律法规或本基金合同规定不需召开基金份额持有人大会的其它情形。</w:t>
      </w:r>
    </w:p>
    <w:p w:rsidR="005336CC" w:rsidRPr="000239D0" w:rsidRDefault="0023485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w:t>
      </w:r>
      <w:r w:rsidR="005336CC" w:rsidRPr="000239D0">
        <w:rPr>
          <w:rFonts w:asciiTheme="minorEastAsia" w:eastAsiaTheme="minorEastAsia" w:hAnsiTheme="minorEastAsia" w:hint="eastAsia"/>
          <w:sz w:val="21"/>
          <w:szCs w:val="21"/>
        </w:rPr>
        <w:t>召集</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（1）在正常情况下，基金份额持有人大会由基金管理人召集，开会时间及地点由基金管理人选择确定。</w:t>
      </w:r>
    </w:p>
    <w:p w:rsidR="000556E5"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w:t>
      </w:r>
      <w:r w:rsidRPr="000239D0">
        <w:rPr>
          <w:rFonts w:asciiTheme="minorEastAsia" w:eastAsiaTheme="minorEastAsia" w:hAnsiTheme="minorEastAsia"/>
          <w:sz w:val="21"/>
          <w:szCs w:val="21"/>
        </w:rPr>
        <w:t>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w:t>
      </w:r>
      <w:r w:rsidRPr="000239D0">
        <w:rPr>
          <w:rFonts w:asciiTheme="minorEastAsia" w:eastAsiaTheme="minorEastAsia" w:hAnsiTheme="minorEastAsia"/>
          <w:sz w:val="21"/>
          <w:szCs w:val="21"/>
        </w:rPr>
        <w:t>代表基金份额</w:t>
      </w:r>
      <w:r w:rsidRPr="000239D0">
        <w:rPr>
          <w:rFonts w:asciiTheme="minorEastAsia" w:eastAsiaTheme="minorEastAsia" w:hAnsiTheme="minorEastAsia" w:hint="eastAsia"/>
          <w:sz w:val="21"/>
          <w:szCs w:val="21"/>
        </w:rPr>
        <w:t>10％（含10％）</w:t>
      </w:r>
      <w:r w:rsidRPr="000239D0">
        <w:rPr>
          <w:rFonts w:asciiTheme="minorEastAsia" w:eastAsiaTheme="minorEastAsia" w:hAnsiTheme="minorEastAsia"/>
          <w:sz w:val="21"/>
          <w:szCs w:val="21"/>
        </w:rPr>
        <w:t>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0556E5"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基金管理人决定召集的，应当自出具书面决定之日起六十日内召开；基金管理人决定不召集，代表基金份额</w:t>
      </w:r>
      <w:r w:rsidRPr="000239D0">
        <w:rPr>
          <w:rFonts w:asciiTheme="minorEastAsia" w:eastAsiaTheme="minorEastAsia" w:hAnsiTheme="minorEastAsia" w:hint="eastAsia"/>
          <w:sz w:val="21"/>
          <w:szCs w:val="21"/>
        </w:rPr>
        <w:t>10％（含10％）</w:t>
      </w:r>
      <w:r w:rsidRPr="000239D0">
        <w:rPr>
          <w:rFonts w:asciiTheme="minorEastAsia" w:eastAsiaTheme="minorEastAsia" w:hAnsiTheme="minorEastAsia"/>
          <w:sz w:val="21"/>
          <w:szCs w:val="21"/>
        </w:rPr>
        <w:t>以上的基金份额持有人仍认为有必要召开的，应当向基金托管人提出书面提议。</w:t>
      </w:r>
    </w:p>
    <w:p w:rsidR="000556E5"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基金托管人应当自收到书面提议之日起十日内决定是否召集，并书面告知提出提议的基金份额持有人代表和基金管理人；基金托管人决定召集的，应当自出具书面决定之日起六十日内召开。</w:t>
      </w:r>
    </w:p>
    <w:p w:rsidR="000556E5"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代表基金总份额10％以上（含10％）的基金份额持有人就同一事项要求召开基金份额持有人大会，而基金管理人、基金托管人都不召集或均无法行使召集权的，代表基金总份额10％以上（含10％）的基金份额持有人有权自行召集。</w:t>
      </w:r>
      <w:r w:rsidRPr="000239D0">
        <w:rPr>
          <w:rFonts w:asciiTheme="minorEastAsia" w:eastAsiaTheme="minorEastAsia" w:hAnsiTheme="minorEastAsia"/>
          <w:sz w:val="21"/>
          <w:szCs w:val="21"/>
        </w:rPr>
        <w:t>基金份额持有人自行召集基金份额持有人大会的，应当至少提前三十日向中国证监会备案。基金份额持有人依法自行召集基金份额持有人大会的，基金管理人、基金托管人应当配合，不得阻碍、干扰。</w:t>
      </w:r>
    </w:p>
    <w:p w:rsidR="005336CC" w:rsidRPr="000239D0" w:rsidRDefault="0023485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w:t>
      </w:r>
      <w:r w:rsidR="005336CC" w:rsidRPr="000239D0">
        <w:rPr>
          <w:rFonts w:asciiTheme="minorEastAsia" w:eastAsiaTheme="minorEastAsia" w:hAnsiTheme="minorEastAsia" w:hint="eastAsia"/>
          <w:sz w:val="21"/>
          <w:szCs w:val="21"/>
        </w:rPr>
        <w:t>通知</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召开基金份额持有人大会，召集人应当至少提前三十日通过指定</w:t>
      </w:r>
      <w:r w:rsidR="0034441C" w:rsidRPr="000239D0">
        <w:rPr>
          <w:rFonts w:asciiTheme="minorEastAsia" w:eastAsiaTheme="minorEastAsia" w:hAnsiTheme="minorEastAsia" w:hint="eastAsia"/>
          <w:sz w:val="21"/>
          <w:szCs w:val="21"/>
        </w:rPr>
        <w:t>媒介</w:t>
      </w:r>
      <w:r w:rsidRPr="000239D0">
        <w:rPr>
          <w:rFonts w:asciiTheme="minorEastAsia" w:eastAsiaTheme="minorEastAsia" w:hAnsiTheme="minorEastAsia" w:hint="eastAsia"/>
          <w:sz w:val="21"/>
          <w:szCs w:val="21"/>
        </w:rPr>
        <w:t>公告会议通知。</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基金份额持有人大会通知将至少载明以下内容：</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（1）会议召开的时间、地点、方式；</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（2）会议拟审议的主要事项、议事程序、表决方式；</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（3）权益登记日；</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（4）投票委托书送达时间和地点；</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（5）会务常设联系人姓名、电话；</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（6）其他注意事项。</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如采用通讯方式开会并进行表决的情况下，</w:t>
      </w:r>
      <w:r w:rsidRPr="000239D0">
        <w:rPr>
          <w:rFonts w:asciiTheme="minorEastAsia" w:eastAsiaTheme="minorEastAsia" w:hAnsiTheme="minorEastAsia"/>
          <w:sz w:val="21"/>
          <w:szCs w:val="21"/>
        </w:rPr>
        <w:t>会议通知</w:t>
      </w:r>
      <w:r w:rsidRPr="000239D0">
        <w:rPr>
          <w:rFonts w:asciiTheme="minorEastAsia" w:eastAsiaTheme="minorEastAsia" w:hAnsiTheme="minorEastAsia" w:hint="eastAsia"/>
          <w:sz w:val="21"/>
          <w:szCs w:val="21"/>
        </w:rPr>
        <w:t>应</w:t>
      </w:r>
      <w:r w:rsidRPr="000239D0">
        <w:rPr>
          <w:rFonts w:asciiTheme="minorEastAsia" w:eastAsiaTheme="minorEastAsia" w:hAnsiTheme="minorEastAsia"/>
          <w:sz w:val="21"/>
          <w:szCs w:val="21"/>
        </w:rPr>
        <w:t>报中国证监会备案</w:t>
      </w:r>
      <w:r w:rsidRPr="000239D0">
        <w:rPr>
          <w:rFonts w:asciiTheme="minorEastAsia" w:eastAsiaTheme="minorEastAsia" w:hAnsiTheme="minorEastAsia" w:hint="eastAsia"/>
          <w:sz w:val="21"/>
          <w:szCs w:val="21"/>
        </w:rPr>
        <w:t>，且除上述内</w:t>
      </w:r>
      <w:r w:rsidRPr="000239D0">
        <w:rPr>
          <w:rFonts w:asciiTheme="minorEastAsia" w:eastAsiaTheme="minorEastAsia" w:hAnsiTheme="minorEastAsia" w:hint="eastAsia"/>
          <w:sz w:val="21"/>
          <w:szCs w:val="21"/>
        </w:rPr>
        <w:lastRenderedPageBreak/>
        <w:t>容外还要在会议通知中说明具体通讯方式、委托的公证机关及其联系方式和联系人、书面表决意见的寄交和收取的方式等。</w:t>
      </w:r>
    </w:p>
    <w:p w:rsidR="005336CC" w:rsidRPr="000239D0" w:rsidRDefault="0023485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w:t>
      </w:r>
      <w:r w:rsidR="005336CC" w:rsidRPr="000239D0">
        <w:rPr>
          <w:rFonts w:asciiTheme="minorEastAsia" w:eastAsiaTheme="minorEastAsia" w:hAnsiTheme="minorEastAsia" w:hint="eastAsia"/>
          <w:sz w:val="21"/>
          <w:szCs w:val="21"/>
        </w:rPr>
        <w:t>召开方式</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基金份额持有人大会的召开方式包括现场开会和通讯方式开会，具体由召集人确定，但更换基金管理人和基金托管人必须采取现场开会方式。</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（1）现场开会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1）本《基金合同》所指现场开会系指由基金份额持有人本人出席或出具授权委托书委派其代理人出席参加基金份额持有人大会。现场开会时基金管理人和基金托管人的授权代表应当出席。</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基金份额持有人本人在出席基金份额持有人大会时，应向召集人出具符合法律、法规和规章、本《基金合同》及会议通知规定的有关证明文件。基金份额持有人的代理人在出席基金份额持有人大会时，除应向召集人提交上述证明文件外，还应提交有关基金份额持有人出具的有效书面授权书。</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w:t>
      </w:r>
      <w:r w:rsidRPr="000239D0">
        <w:rPr>
          <w:rFonts w:asciiTheme="minorEastAsia" w:eastAsiaTheme="minorEastAsia" w:hAnsiTheme="minorEastAsia"/>
          <w:sz w:val="21"/>
          <w:szCs w:val="21"/>
        </w:rPr>
        <w:t>现场开会</w:t>
      </w:r>
      <w:r w:rsidRPr="000239D0">
        <w:rPr>
          <w:rFonts w:asciiTheme="minorEastAsia" w:eastAsiaTheme="minorEastAsia" w:hAnsiTheme="minorEastAsia" w:hint="eastAsia"/>
          <w:sz w:val="21"/>
          <w:szCs w:val="21"/>
        </w:rPr>
        <w:t>须</w:t>
      </w:r>
      <w:r w:rsidRPr="000239D0">
        <w:rPr>
          <w:rFonts w:asciiTheme="minorEastAsia" w:eastAsiaTheme="minorEastAsia" w:hAnsiTheme="minorEastAsia"/>
          <w:sz w:val="21"/>
          <w:szCs w:val="21"/>
        </w:rPr>
        <w:t>符合以下条件时</w:t>
      </w:r>
      <w:r w:rsidRPr="000239D0">
        <w:rPr>
          <w:rFonts w:asciiTheme="minorEastAsia" w:eastAsiaTheme="minorEastAsia" w:hAnsiTheme="minorEastAsia" w:hint="eastAsia"/>
          <w:sz w:val="21"/>
          <w:szCs w:val="21"/>
        </w:rPr>
        <w:t>，方</w:t>
      </w:r>
      <w:r w:rsidRPr="000239D0">
        <w:rPr>
          <w:rFonts w:asciiTheme="minorEastAsia" w:eastAsiaTheme="minorEastAsia" w:hAnsiTheme="minorEastAsia"/>
          <w:sz w:val="21"/>
          <w:szCs w:val="21"/>
        </w:rPr>
        <w:t>可进行基金份额持有人大会议程</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经核对</w:t>
      </w: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汇总到会者出示的在权</w:t>
      </w:r>
      <w:r w:rsidRPr="000239D0">
        <w:rPr>
          <w:rFonts w:asciiTheme="minorEastAsia" w:eastAsiaTheme="minorEastAsia" w:hAnsiTheme="minorEastAsia" w:hint="eastAsia"/>
          <w:sz w:val="21"/>
          <w:szCs w:val="21"/>
        </w:rPr>
        <w:t>益</w:t>
      </w:r>
      <w:r w:rsidRPr="000239D0">
        <w:rPr>
          <w:rFonts w:asciiTheme="minorEastAsia" w:eastAsiaTheme="minorEastAsia" w:hAnsiTheme="minorEastAsia"/>
          <w:sz w:val="21"/>
          <w:szCs w:val="21"/>
        </w:rPr>
        <w:t>登记日持有基金份额的凭证显示</w:t>
      </w:r>
      <w:r w:rsidRPr="000239D0">
        <w:rPr>
          <w:rFonts w:asciiTheme="minorEastAsia" w:eastAsiaTheme="minorEastAsia" w:hAnsiTheme="minorEastAsia" w:hint="eastAsia"/>
          <w:sz w:val="21"/>
          <w:szCs w:val="21"/>
        </w:rPr>
        <w:t>，到会的基金份额持有人代表</w:t>
      </w:r>
      <w:r w:rsidRPr="000239D0">
        <w:rPr>
          <w:rFonts w:asciiTheme="minorEastAsia" w:eastAsiaTheme="minorEastAsia" w:hAnsiTheme="minorEastAsia"/>
          <w:sz w:val="21"/>
          <w:szCs w:val="21"/>
        </w:rPr>
        <w:t>的基金份额不少于</w:t>
      </w:r>
      <w:r w:rsidRPr="000239D0">
        <w:rPr>
          <w:rFonts w:asciiTheme="minorEastAsia" w:eastAsiaTheme="minorEastAsia" w:hAnsiTheme="minorEastAsia" w:hint="eastAsia"/>
          <w:sz w:val="21"/>
          <w:szCs w:val="21"/>
        </w:rPr>
        <w:t>基金总份额50％。</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如上述条件未能满足，则召集人应当将会议至少推迟15个工作日后重新召集，并公告重新开会的时间和地点，</w:t>
      </w:r>
      <w:r w:rsidRPr="000239D0">
        <w:rPr>
          <w:rFonts w:asciiTheme="minorEastAsia" w:eastAsiaTheme="minorEastAsia" w:hAnsiTheme="minorEastAsia"/>
          <w:sz w:val="21"/>
          <w:szCs w:val="21"/>
        </w:rPr>
        <w:t>再次开会日期的提前通知期限为10天</w:t>
      </w:r>
      <w:r w:rsidRPr="000239D0">
        <w:rPr>
          <w:rFonts w:asciiTheme="minorEastAsia" w:eastAsiaTheme="minorEastAsia" w:hAnsiTheme="minorEastAsia" w:hint="eastAsia"/>
          <w:sz w:val="21"/>
          <w:szCs w:val="21"/>
        </w:rPr>
        <w:t>，但确定有权出席会议的基金份额持有人资格的权益登记日不变。重新以现场开会方式再次召集基金份额持有人大会的，仍应满足上述条件。</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（2）通讯方式开会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1）本《基金合同》所指通讯方式开会系指基金份额持有人将其对表决事项的投票以书面形式在表决截至日以前送达至召集人指定的地址。</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2）召集人按本《基金合同》规定公布会议通知后，在2个工作日内连续公布相关提示性公告。</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基金份额持有人本人在以书面通讯方式进行表决时，应向召集人以书面方式提交符合法律、法规和规章、本《基金合同》及会议通知规定的有关证明文件。基金份额持有人的代理人在以书面通讯方式进行表决时，应向召集人以书面方式提交有关基金份额持有人出具的有效的书面授权委托书和基金份额持有人应当提交的上述有关证明文件。不能满足上述要求的基金份额持有人或基金份额持有人的代理人所提交的书面表决意见被视为无效，其代表的基金份额不计入参加表决的总份额。</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召集人在公证机关的监督下按照会议通知规定的方式收取基金份额持有人的书面表决意见；在表决截止日以前实际送达召集人指定的地址的投票视为有效投票，本条款不适用本</w:t>
      </w:r>
      <w:r w:rsidRPr="000239D0">
        <w:rPr>
          <w:rFonts w:asciiTheme="minorEastAsia" w:eastAsiaTheme="minorEastAsia" w:hAnsiTheme="minorEastAsia" w:hint="eastAsia"/>
          <w:sz w:val="21"/>
          <w:szCs w:val="21"/>
        </w:rPr>
        <w:lastRenderedPageBreak/>
        <w:t>《基金合同》第二十八章第三条有关“视为送达”的规定。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4）以通讯方式开会须符合下列条件方视为有效：本人直接或委托授权代表出具有效书面意见的基金份额持有人</w:t>
      </w:r>
      <w:r w:rsidRPr="000239D0">
        <w:rPr>
          <w:rFonts w:asciiTheme="minorEastAsia" w:eastAsiaTheme="minorEastAsia" w:hAnsiTheme="minorEastAsia"/>
          <w:sz w:val="21"/>
          <w:szCs w:val="21"/>
        </w:rPr>
        <w:t>所持有的基金份额不少于</w:t>
      </w:r>
      <w:r w:rsidRPr="000239D0">
        <w:rPr>
          <w:rFonts w:asciiTheme="minorEastAsia" w:eastAsiaTheme="minorEastAsia" w:hAnsiTheme="minorEastAsia" w:hint="eastAsia"/>
          <w:sz w:val="21"/>
          <w:szCs w:val="21"/>
        </w:rPr>
        <w:t>基金份额总数的50％。</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如上述条件未能满足，则召集人应当将会议至少推迟15个工作日后重新召集，并公告重新开会的时间和地点，</w:t>
      </w:r>
      <w:r w:rsidRPr="000239D0">
        <w:rPr>
          <w:rFonts w:asciiTheme="minorEastAsia" w:eastAsiaTheme="minorEastAsia" w:hAnsiTheme="minorEastAsia"/>
          <w:sz w:val="21"/>
          <w:szCs w:val="21"/>
        </w:rPr>
        <w:t>再次开会日期的提前通知期限为10天</w:t>
      </w:r>
      <w:r w:rsidRPr="000239D0">
        <w:rPr>
          <w:rFonts w:asciiTheme="minorEastAsia" w:eastAsiaTheme="minorEastAsia" w:hAnsiTheme="minorEastAsia" w:hint="eastAsia"/>
          <w:sz w:val="21"/>
          <w:szCs w:val="21"/>
        </w:rPr>
        <w:t>，但确定有权出席会议的基金份额持有人资格的权益登记日不变。重新以通讯方式再次召集基金份额持有人大会的，仍应满足上述条件。</w:t>
      </w:r>
    </w:p>
    <w:p w:rsidR="005336CC" w:rsidRPr="000239D0" w:rsidRDefault="0023485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6、</w:t>
      </w:r>
      <w:r w:rsidR="005336CC" w:rsidRPr="000239D0">
        <w:rPr>
          <w:rFonts w:asciiTheme="minorEastAsia" w:eastAsiaTheme="minorEastAsia" w:hAnsiTheme="minorEastAsia" w:hint="eastAsia"/>
          <w:sz w:val="21"/>
          <w:szCs w:val="21"/>
        </w:rPr>
        <w:t>内容与程序</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（1）议事内容：</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w:t>
      </w:r>
      <w:r w:rsidRPr="000239D0">
        <w:rPr>
          <w:rFonts w:asciiTheme="minorEastAsia" w:eastAsiaTheme="minorEastAsia" w:hAnsiTheme="minorEastAsia"/>
          <w:sz w:val="21"/>
          <w:szCs w:val="21"/>
        </w:rPr>
        <w:t>议事内容</w:t>
      </w:r>
      <w:r w:rsidRPr="000239D0">
        <w:rPr>
          <w:rFonts w:asciiTheme="minorEastAsia" w:eastAsiaTheme="minorEastAsia" w:hAnsiTheme="minorEastAsia" w:hint="eastAsia"/>
          <w:sz w:val="21"/>
          <w:szCs w:val="21"/>
        </w:rPr>
        <w:t>包括“召开事由”所规定的事项；</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2）基金管理人、基金托管人、单独或合计持有本基金</w:t>
      </w:r>
      <w:r w:rsidRPr="000239D0">
        <w:rPr>
          <w:rFonts w:asciiTheme="minorEastAsia" w:eastAsiaTheme="minorEastAsia" w:hAnsiTheme="minorEastAsia"/>
          <w:sz w:val="21"/>
          <w:szCs w:val="21"/>
        </w:rPr>
        <w:t>10%</w:t>
      </w:r>
      <w:r w:rsidRPr="000239D0">
        <w:rPr>
          <w:rFonts w:asciiTheme="minorEastAsia" w:eastAsiaTheme="minorEastAsia" w:hAnsiTheme="minorEastAsia" w:hint="eastAsia"/>
          <w:sz w:val="21"/>
          <w:szCs w:val="21"/>
        </w:rPr>
        <w:t>以上</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含</w:t>
      </w:r>
      <w:r w:rsidRPr="000239D0">
        <w:rPr>
          <w:rFonts w:asciiTheme="minorEastAsia" w:eastAsiaTheme="minorEastAsia" w:hAnsiTheme="minorEastAsia"/>
          <w:sz w:val="21"/>
          <w:szCs w:val="21"/>
        </w:rPr>
        <w:t>10%)</w:t>
      </w:r>
      <w:r w:rsidRPr="000239D0">
        <w:rPr>
          <w:rFonts w:asciiTheme="minorEastAsia" w:eastAsiaTheme="minorEastAsia" w:hAnsiTheme="minorEastAsia" w:hint="eastAsia"/>
          <w:sz w:val="21"/>
          <w:szCs w:val="21"/>
        </w:rPr>
        <w:t>基金总份额的基金份额持有人可以在基金份额持有人大会召集人发出会议通知前向大会召集人提交需审议表决的议案；也可以在会议通知发出后向大会召集人提交临时提案。临时提案最迟应当在大会召开日前</w:t>
      </w:r>
      <w:r w:rsidRPr="000239D0">
        <w:rPr>
          <w:rFonts w:asciiTheme="minorEastAsia" w:eastAsiaTheme="minorEastAsia" w:hAnsiTheme="minorEastAsia"/>
          <w:sz w:val="21"/>
          <w:szCs w:val="21"/>
        </w:rPr>
        <w:t>15</w:t>
      </w:r>
      <w:r w:rsidRPr="000239D0">
        <w:rPr>
          <w:rFonts w:asciiTheme="minorEastAsia" w:eastAsiaTheme="minorEastAsia" w:hAnsiTheme="minorEastAsia" w:hint="eastAsia"/>
          <w:sz w:val="21"/>
          <w:szCs w:val="21"/>
        </w:rPr>
        <w:t>日提交召集人；召集人对于临时提案应当最迟在大会召开日前</w:t>
      </w:r>
      <w:r w:rsidRPr="000239D0">
        <w:rPr>
          <w:rFonts w:asciiTheme="minorEastAsia" w:eastAsiaTheme="minorEastAsia" w:hAnsiTheme="minorEastAsia"/>
          <w:sz w:val="21"/>
          <w:szCs w:val="21"/>
        </w:rPr>
        <w:t>10</w:t>
      </w:r>
      <w:r w:rsidRPr="000239D0">
        <w:rPr>
          <w:rFonts w:asciiTheme="minorEastAsia" w:eastAsiaTheme="minorEastAsia" w:hAnsiTheme="minorEastAsia" w:hint="eastAsia"/>
          <w:sz w:val="21"/>
          <w:szCs w:val="21"/>
        </w:rPr>
        <w:t>日公告，</w:t>
      </w:r>
      <w:r w:rsidRPr="000239D0">
        <w:rPr>
          <w:rFonts w:asciiTheme="minorEastAsia" w:eastAsiaTheme="minorEastAsia" w:hAnsiTheme="minorEastAsia"/>
          <w:sz w:val="21"/>
          <w:szCs w:val="21"/>
        </w:rPr>
        <w:t>否则会议的召开日期应当顺延并保证至少有10天的间隔期。</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w:t>
      </w:r>
      <w:r w:rsidRPr="000239D0">
        <w:rPr>
          <w:rFonts w:asciiTheme="minorEastAsia" w:eastAsiaTheme="minorEastAsia" w:hAnsiTheme="minorEastAsia"/>
          <w:sz w:val="21"/>
          <w:szCs w:val="21"/>
        </w:rPr>
        <w:t>基金份额持有人大会的召集人发出召集会议的通知后，对原有提案的修改应当在基金份额持有人大会召开日前10天公告，否则会议的召开日期应当顺延并保证至少有10天的间隔期。</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w:t>
      </w:r>
      <w:r w:rsidRPr="000239D0">
        <w:rPr>
          <w:rFonts w:asciiTheme="minorEastAsia" w:eastAsiaTheme="minorEastAsia" w:hAnsiTheme="minorEastAsia"/>
          <w:sz w:val="21"/>
          <w:szCs w:val="21"/>
        </w:rPr>
        <w:t>基金份额持有人大会不得对未事先公告的议事内容进行表决。</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（2）议事程序</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1)</w:t>
      </w:r>
      <w:r w:rsidRPr="000239D0">
        <w:rPr>
          <w:rFonts w:asciiTheme="minorEastAsia" w:eastAsiaTheme="minorEastAsia" w:hAnsiTheme="minorEastAsia" w:hint="eastAsia"/>
          <w:sz w:val="21"/>
          <w:szCs w:val="21"/>
        </w:rPr>
        <w:t>现场开会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在现场开会的方式下</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首先由大会主持人按照规定程序宣布会议议事程序及注意事项</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确定和公布监票人</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然后由大会主持人宣读提案</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经讨论后进行表决，经律师见证或公证员公证后形成大会决议。</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基金份额持有人大会由基金管理人授权代表主持。在基金管理人授权代表未能主持大会的情况下</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由基金托管人授权代表主持；如果基金管理人和基金托管人授权代表均未能主持大会，则由出席大会的基金份额持有人或其代理人以所代表的基金份额</w:t>
      </w:r>
      <w:r w:rsidRPr="000239D0">
        <w:rPr>
          <w:rFonts w:asciiTheme="minorEastAsia" w:eastAsiaTheme="minorEastAsia" w:hAnsiTheme="minorEastAsia"/>
          <w:sz w:val="21"/>
          <w:szCs w:val="21"/>
        </w:rPr>
        <w:t>50%</w:t>
      </w:r>
      <w:r w:rsidRPr="000239D0">
        <w:rPr>
          <w:rFonts w:asciiTheme="minorEastAsia" w:eastAsiaTheme="minorEastAsia" w:hAnsiTheme="minorEastAsia" w:hint="eastAsia"/>
          <w:sz w:val="21"/>
          <w:szCs w:val="21"/>
        </w:rPr>
        <w:t>以上多数</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不含</w:t>
      </w:r>
      <w:r w:rsidRPr="000239D0">
        <w:rPr>
          <w:rFonts w:asciiTheme="minorEastAsia" w:eastAsiaTheme="minorEastAsia" w:hAnsiTheme="minorEastAsia"/>
          <w:sz w:val="21"/>
          <w:szCs w:val="21"/>
        </w:rPr>
        <w:t>50%)</w:t>
      </w:r>
      <w:r w:rsidRPr="000239D0">
        <w:rPr>
          <w:rFonts w:asciiTheme="minorEastAsia" w:eastAsiaTheme="minorEastAsia" w:hAnsiTheme="minorEastAsia" w:hint="eastAsia"/>
          <w:sz w:val="21"/>
          <w:szCs w:val="21"/>
        </w:rPr>
        <w:t>选举产生一名代表作为该次基金份额持有人大会的主持人。</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召集人应当制作出席会议人员的签名册。签名册载明参加会议人员姓名</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或单位名称</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、身份证号码、住所地址、持有或者代表有表决权的基金份额、委托人姓名</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或单位名称</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等事项。</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2）通讯方式开会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在通讯方式开会的情况下，</w:t>
      </w:r>
      <w:r w:rsidRPr="000239D0">
        <w:rPr>
          <w:rFonts w:asciiTheme="minorEastAsia" w:eastAsiaTheme="minorEastAsia" w:hAnsiTheme="minorEastAsia"/>
          <w:sz w:val="21"/>
          <w:szCs w:val="21"/>
        </w:rPr>
        <w:t>公告会议通知时应当同时公布提案</w:t>
      </w:r>
      <w:r w:rsidRPr="000239D0">
        <w:rPr>
          <w:rFonts w:asciiTheme="minorEastAsia" w:eastAsiaTheme="minorEastAsia" w:hAnsiTheme="minorEastAsia" w:hint="eastAsia"/>
          <w:sz w:val="21"/>
          <w:szCs w:val="21"/>
        </w:rPr>
        <w:t>；在通知载明的表决截止</w:t>
      </w:r>
      <w:r w:rsidRPr="000239D0">
        <w:rPr>
          <w:rFonts w:asciiTheme="minorEastAsia" w:eastAsiaTheme="minorEastAsia" w:hAnsiTheme="minorEastAsia" w:hint="eastAsia"/>
          <w:sz w:val="21"/>
          <w:szCs w:val="21"/>
        </w:rPr>
        <w:lastRenderedPageBreak/>
        <w:t>日期后第二天在公证机构监督下统计全部有效表决，形成决议，报中国证监会备案。</w:t>
      </w:r>
    </w:p>
    <w:p w:rsidR="005336CC" w:rsidRPr="000239D0" w:rsidRDefault="00234856" w:rsidP="000B1E9F">
      <w:pPr>
        <w:snapToGrid w:val="0"/>
        <w:spacing w:line="360" w:lineRule="auto"/>
        <w:ind w:firstLineChars="245" w:firstLine="514"/>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7、</w:t>
      </w:r>
      <w:r w:rsidR="005336CC" w:rsidRPr="000239D0">
        <w:rPr>
          <w:rFonts w:asciiTheme="minorEastAsia" w:eastAsiaTheme="minorEastAsia" w:hAnsiTheme="minorEastAsia" w:hint="eastAsia"/>
          <w:sz w:val="21"/>
          <w:szCs w:val="21"/>
        </w:rPr>
        <w:t>表决</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（1）基金份额持有人所持每一份基金份额具有一票表决权，基金份额持有人可以委托代理人出席基金份额持有人大会并行使表决权；</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（2）基金份额持有人大会决议分为一般决议和特别决议。</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1）一般决议</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一般决议须经参加会议的基金份额持有人或其代理人所持表决权的50％以上通过方为有效。</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除下列2）所规定的须以特别决议通过的事项以外的其他事项均应以一般决议的方式通过。法律法规另有规定时从其规定。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2）特别决议</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须经基金份额持有人大会通过的特别决议应当经参加会议的基金份额持有人或其代理人所持表决权的三分之二以上通过方为有效。涉及转换本基金运作方式、本基金的终止、更换基金管理人、更换基金托管人等事由必须以特别决议通过方为有效。</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3）与某一表决事项有利害关系的基金份额持有人不得就该事项行使表决权；该基金份额持有人持有的基金份额所代表的表决权份额不计入有效的表决权总额；但是，上述有利害关系的基金份额持有人所代表的基金份额仍应计算入出席基金份额持有人大会之基金份额持有人及代理人所代表的基金份额总数。</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（4）基金份额持有人大会采取记名方式进行投票表决。</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（5）采取书面通讯方式进行表决时，除非在计票时有充分的相反证据证明，否则表面符合法律、法规和会议通知规定的书面表决意见即视为有效的表决；表决意见模糊不清或相互矛盾的视为无效表决。</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（6）基金份额持有人大会的各项提案或同一项提案内并列的各项议题应当分开审议、逐项表决。</w:t>
      </w:r>
    </w:p>
    <w:p w:rsidR="005336CC" w:rsidRPr="000239D0" w:rsidRDefault="0023485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8、</w:t>
      </w:r>
      <w:r w:rsidR="005336CC" w:rsidRPr="000239D0">
        <w:rPr>
          <w:rFonts w:asciiTheme="minorEastAsia" w:eastAsiaTheme="minorEastAsia" w:hAnsiTheme="minorEastAsia" w:hint="eastAsia"/>
          <w:sz w:val="21"/>
          <w:szCs w:val="21"/>
        </w:rPr>
        <w:t>计票</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1</w:t>
      </w:r>
      <w:r w:rsidRPr="000239D0">
        <w:rPr>
          <w:rFonts w:asciiTheme="minorEastAsia" w:eastAsiaTheme="minorEastAsia" w:hAnsiTheme="minorEastAsia" w:hint="eastAsia"/>
          <w:sz w:val="21"/>
          <w:szCs w:val="21"/>
        </w:rPr>
        <w:t>）现场开会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1)</w:t>
      </w:r>
      <w:r w:rsidRPr="000239D0">
        <w:rPr>
          <w:rFonts w:asciiTheme="minorEastAsia" w:eastAsiaTheme="minorEastAsia" w:hAnsiTheme="minorEastAsia" w:hint="eastAsia"/>
          <w:sz w:val="21"/>
          <w:szCs w:val="21"/>
        </w:rPr>
        <w:t>如基金份额持有人大会由基金管理人或基金托管人召集</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则基金份额持有人大会的主持人应当在会议开始后宣布在出席会议的基金份额持有人和代理人中选举两名代表与大会召集人授权的一名监督员共同担任监票人；如大会由基金份额持有人自行召集</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基金份额持有人大会的主持人应当在会议开始后宣布在出席会议的基金份额持有人和代理人中选举三名代表担任监票人。</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t>2)</w:t>
      </w:r>
      <w:r w:rsidRPr="000239D0">
        <w:rPr>
          <w:rFonts w:asciiTheme="minorEastAsia" w:eastAsiaTheme="minorEastAsia" w:hAnsiTheme="minorEastAsia" w:hint="eastAsia"/>
          <w:sz w:val="21"/>
          <w:szCs w:val="21"/>
        </w:rPr>
        <w:t>监票人应当在基金份额持有人表决后立即进行清点并由大会主持人当场公布计票结果。</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sz w:val="21"/>
          <w:szCs w:val="21"/>
        </w:rPr>
        <w:lastRenderedPageBreak/>
        <w:t>3)</w:t>
      </w:r>
      <w:r w:rsidRPr="000239D0">
        <w:rPr>
          <w:rFonts w:asciiTheme="minorEastAsia" w:eastAsiaTheme="minorEastAsia" w:hAnsiTheme="minorEastAsia" w:hint="eastAsia"/>
          <w:sz w:val="21"/>
          <w:szCs w:val="21"/>
        </w:rPr>
        <w:t>如果大会主持人对于提交的表决结果有怀疑</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可以对所投票数进行重新清点；如果大会主持人未进行重新清点</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而出席会议的基金份额持有人或者代理人对大会主持人宣布的表决结果有异议</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有权在宣布表决结果后立即要求重新清点</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大会主持人应当立即重新清点并公布重新清点结果。</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w:t>
      </w:r>
      <w:r w:rsidRPr="000239D0">
        <w:rPr>
          <w:rFonts w:asciiTheme="minorEastAsia" w:eastAsiaTheme="minorEastAsia" w:hAnsiTheme="minorEastAsia"/>
          <w:sz w:val="21"/>
          <w:szCs w:val="21"/>
        </w:rPr>
        <w:t>2</w:t>
      </w:r>
      <w:r w:rsidRPr="000239D0">
        <w:rPr>
          <w:rFonts w:asciiTheme="minorEastAsia" w:eastAsiaTheme="minorEastAsia" w:hAnsiTheme="minorEastAsia" w:hint="eastAsia"/>
          <w:sz w:val="21"/>
          <w:szCs w:val="21"/>
        </w:rPr>
        <w:t>）通讯方式开会</w:t>
      </w:r>
    </w:p>
    <w:p w:rsidR="005336CC" w:rsidRPr="000239D0" w:rsidRDefault="005336CC"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在通讯方式开会的情况下</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计票方式为：由大会召集人授权的两名监督员在基金托管人授权代表的监督下进行计票</w:t>
      </w:r>
      <w:r w:rsidRPr="000239D0">
        <w:rPr>
          <w:rFonts w:asciiTheme="minorEastAsia" w:eastAsiaTheme="minorEastAsia" w:hAnsiTheme="minorEastAsia"/>
          <w:sz w:val="21"/>
          <w:szCs w:val="21"/>
        </w:rPr>
        <w:t>,</w:t>
      </w:r>
      <w:r w:rsidRPr="000239D0">
        <w:rPr>
          <w:rFonts w:asciiTheme="minorEastAsia" w:eastAsiaTheme="minorEastAsia" w:hAnsiTheme="minorEastAsia" w:hint="eastAsia"/>
          <w:sz w:val="21"/>
          <w:szCs w:val="21"/>
        </w:rPr>
        <w:t>并由公证机关对其计票过程予以公证。</w:t>
      </w:r>
    </w:p>
    <w:p w:rsidR="005336CC" w:rsidRPr="000239D0" w:rsidRDefault="00234856" w:rsidP="000B1E9F">
      <w:pPr>
        <w:snapToGrid w:val="0"/>
        <w:spacing w:line="360" w:lineRule="auto"/>
        <w:ind w:firstLine="42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9、</w:t>
      </w:r>
      <w:r w:rsidR="005336CC" w:rsidRPr="000239D0">
        <w:rPr>
          <w:rFonts w:asciiTheme="minorEastAsia" w:eastAsiaTheme="minorEastAsia" w:hAnsiTheme="minorEastAsia" w:hint="eastAsia"/>
          <w:sz w:val="21"/>
          <w:szCs w:val="21"/>
        </w:rPr>
        <w:t>生效与公告</w:t>
      </w:r>
    </w:p>
    <w:p w:rsidR="005336CC" w:rsidRPr="000239D0" w:rsidRDefault="005336CC" w:rsidP="000B1E9F">
      <w:pPr>
        <w:pStyle w:val="a9"/>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基金份额持有人大会的召集人应自决议事项通过之日起五日内报中国证监会核准或备案，经中国证监会依法核准或者出具无异议意见之日起生效。</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sz w:val="21"/>
          <w:szCs w:val="21"/>
        </w:rPr>
        <w:t>基金管理人、基金托管人和基金份额持有人应当执行生效的基金份额持有人大会的决定。</w:t>
      </w:r>
      <w:r w:rsidRPr="000239D0">
        <w:rPr>
          <w:rFonts w:asciiTheme="minorEastAsia" w:eastAsiaTheme="minorEastAsia" w:hAnsiTheme="minorEastAsia" w:hint="eastAsia"/>
          <w:sz w:val="21"/>
          <w:szCs w:val="21"/>
        </w:rPr>
        <w:t>生效的基金份额持有人大会决议应</w:t>
      </w:r>
      <w:r w:rsidRPr="000239D0">
        <w:rPr>
          <w:rFonts w:asciiTheme="minorEastAsia" w:eastAsiaTheme="minorEastAsia" w:hAnsiTheme="minorEastAsia"/>
          <w:sz w:val="21"/>
          <w:szCs w:val="21"/>
        </w:rPr>
        <w:t>在</w:t>
      </w:r>
      <w:r w:rsidR="0034441C" w:rsidRPr="000239D0">
        <w:rPr>
          <w:rFonts w:asciiTheme="minorEastAsia" w:eastAsiaTheme="minorEastAsia" w:hAnsiTheme="minorEastAsia" w:hint="eastAsia"/>
          <w:sz w:val="21"/>
          <w:szCs w:val="21"/>
        </w:rPr>
        <w:t>指定媒介</w:t>
      </w:r>
      <w:r w:rsidRPr="000239D0">
        <w:rPr>
          <w:rFonts w:asciiTheme="minorEastAsia" w:eastAsiaTheme="minorEastAsia" w:hAnsiTheme="minorEastAsia" w:hint="eastAsia"/>
          <w:sz w:val="21"/>
          <w:szCs w:val="21"/>
        </w:rPr>
        <w:t>上公告。</w:t>
      </w:r>
    </w:p>
    <w:p w:rsidR="005336CC" w:rsidRPr="000239D0" w:rsidRDefault="00E16916"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82" w:name="_Toc219695855"/>
      <w:bookmarkStart w:id="183" w:name="_Toc36452426"/>
      <w:r w:rsidRPr="000239D0">
        <w:rPr>
          <w:rFonts w:asciiTheme="minorEastAsia" w:eastAsiaTheme="minorEastAsia" w:hAnsiTheme="minorEastAsia" w:hint="eastAsia"/>
          <w:b w:val="0"/>
          <w:bCs/>
        </w:rPr>
        <w:t>（五）</w:t>
      </w:r>
      <w:r w:rsidR="005336CC" w:rsidRPr="000239D0">
        <w:rPr>
          <w:rFonts w:asciiTheme="minorEastAsia" w:eastAsiaTheme="minorEastAsia" w:hAnsiTheme="minorEastAsia" w:hint="eastAsia"/>
          <w:b w:val="0"/>
          <w:bCs/>
        </w:rPr>
        <w:t>基金合同的终止</w:t>
      </w:r>
      <w:bookmarkEnd w:id="182"/>
      <w:bookmarkEnd w:id="183"/>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本基金出现下列情形之一的，经中国证监会批准后将终止：</w:t>
      </w:r>
    </w:p>
    <w:p w:rsidR="005336CC" w:rsidRPr="000239D0" w:rsidRDefault="00234856" w:rsidP="000B1E9F">
      <w:pPr>
        <w:pStyle w:val="a9"/>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存续期间内，基金份额持有人数量连续60个工作日达不到100人，或连续60个工作日基金资产净值低于人民币5000万元，基金管理人将宣布本基金终止；</w:t>
      </w:r>
    </w:p>
    <w:p w:rsidR="005336CC" w:rsidRPr="000239D0" w:rsidRDefault="00234856" w:rsidP="000B1E9F">
      <w:pPr>
        <w:pStyle w:val="a9"/>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经基金份额持有人大会表决终止的；</w:t>
      </w:r>
    </w:p>
    <w:p w:rsidR="005336CC" w:rsidRPr="000239D0" w:rsidRDefault="00234856" w:rsidP="000B1E9F">
      <w:pPr>
        <w:pStyle w:val="a9"/>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因重大违法、违规行为，被中国证监会责令终止的；</w:t>
      </w:r>
    </w:p>
    <w:p w:rsidR="005336CC" w:rsidRPr="000239D0" w:rsidRDefault="00234856" w:rsidP="000B1E9F">
      <w:pPr>
        <w:pStyle w:val="a9"/>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基金管理人因解散、破产、撤销、丧失基金管理资格、停止营业等事由，不能继续担任本基金管理人的职务，而无其它基金管理公司承受其原有权利及义务；</w:t>
      </w:r>
    </w:p>
    <w:p w:rsidR="005336CC" w:rsidRPr="000239D0" w:rsidRDefault="00234856" w:rsidP="000B1E9F">
      <w:pPr>
        <w:pStyle w:val="a9"/>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w:t>
      </w:r>
      <w:r w:rsidR="005336CC" w:rsidRPr="000239D0">
        <w:rPr>
          <w:rFonts w:asciiTheme="minorEastAsia" w:eastAsiaTheme="minorEastAsia" w:hAnsiTheme="minorEastAsia" w:hint="eastAsia"/>
          <w:sz w:val="21"/>
        </w:rPr>
        <w:t>基金托管人因解散、破产、撤销、丧失基金托管资格、停止营业等事由，不能继续担任本基金托管人的职务，而无其它托管机构承受其原有权利及义务；</w:t>
      </w:r>
    </w:p>
    <w:p w:rsidR="005336CC" w:rsidRPr="000239D0" w:rsidRDefault="00234856" w:rsidP="000B1E9F">
      <w:pPr>
        <w:pStyle w:val="a9"/>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w:t>
      </w:r>
      <w:r w:rsidR="005336CC" w:rsidRPr="000239D0">
        <w:rPr>
          <w:rFonts w:asciiTheme="minorEastAsia" w:eastAsiaTheme="minorEastAsia" w:hAnsiTheme="minorEastAsia"/>
          <w:sz w:val="21"/>
        </w:rPr>
        <w:t>由于投资方向变更引起的基金合并、撤销；</w:t>
      </w:r>
    </w:p>
    <w:p w:rsidR="005336CC" w:rsidRPr="000239D0" w:rsidRDefault="00234856" w:rsidP="000B1E9F">
      <w:pPr>
        <w:pStyle w:val="a9"/>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w:t>
      </w:r>
      <w:r w:rsidR="005336CC" w:rsidRPr="000239D0">
        <w:rPr>
          <w:rFonts w:asciiTheme="minorEastAsia" w:eastAsiaTheme="minorEastAsia" w:hAnsiTheme="minorEastAsia" w:hint="eastAsia"/>
          <w:sz w:val="21"/>
        </w:rPr>
        <w:t>中国证监会允许的其他情况。</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终止后，基金管理人和基金托管人依照《信托法》、《暂行办法》、《试点办法》、《基金合同》及其他有关规定，行使请求给付报酬、从基金资产中获得补偿的权利时，可以留置基金资产或者对基金资产的权利归属人提出请求。</w:t>
      </w:r>
    </w:p>
    <w:p w:rsidR="005336CC" w:rsidRPr="000239D0" w:rsidRDefault="00E16916"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84" w:name="_Toc219695856"/>
      <w:bookmarkStart w:id="185" w:name="_Toc36452427"/>
      <w:r w:rsidRPr="000239D0">
        <w:rPr>
          <w:rFonts w:asciiTheme="minorEastAsia" w:eastAsiaTheme="minorEastAsia" w:hAnsiTheme="minorEastAsia" w:hint="eastAsia"/>
          <w:b w:val="0"/>
          <w:bCs/>
        </w:rPr>
        <w:t>（六）</w:t>
      </w:r>
      <w:r w:rsidR="005336CC" w:rsidRPr="000239D0">
        <w:rPr>
          <w:rFonts w:asciiTheme="minorEastAsia" w:eastAsiaTheme="minorEastAsia" w:hAnsiTheme="minorEastAsia" w:hint="eastAsia"/>
          <w:b w:val="0"/>
          <w:bCs/>
        </w:rPr>
        <w:t>争议的处理</w:t>
      </w:r>
      <w:bookmarkEnd w:id="184"/>
      <w:bookmarkEnd w:id="185"/>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发起人、基金管理人、基金托管人之间因本《基金合同》产生的或与本《基金合同》有关的争议可首先通过友好协商解决，自一方书面要求协商解决争议之日起60日内如果争议未能以协商方式解决，则任何一方有权将争议提交中国国际经济贸易仲裁委员会根据提交仲裁时该会的仲裁规则进行仲裁。仲裁裁决是终局的，对仲裁各方当事人均具有约束力。除</w:t>
      </w:r>
      <w:r w:rsidRPr="000239D0">
        <w:rPr>
          <w:rFonts w:asciiTheme="minorEastAsia" w:eastAsiaTheme="minorEastAsia" w:hAnsiTheme="minorEastAsia" w:hint="eastAsia"/>
          <w:sz w:val="21"/>
        </w:rPr>
        <w:lastRenderedPageBreak/>
        <w:t>提交仲裁的争议之外，各方当事人仍应履行本《基金合同》的其他规定。</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份额持有人或基金投资者作为一方当事人与基金发起人、基金管理人、基金托管人的一方或数方作为另一方当事人之间发生争议，首先通过友好协商解决，自一方书面要求协商解决争议之日起60日内如果争议未能以协商方式解决，则任何一方有权向有管辖权的人民法院起诉，也可将事后达成的仲裁协议向仲裁机构申请仲裁。</w:t>
      </w:r>
    </w:p>
    <w:p w:rsidR="005336CC" w:rsidRPr="000239D0" w:rsidRDefault="00E16916"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86" w:name="_Toc219695857"/>
      <w:bookmarkStart w:id="187" w:name="_Toc36452428"/>
      <w:r w:rsidRPr="000239D0">
        <w:rPr>
          <w:rFonts w:asciiTheme="minorEastAsia" w:eastAsiaTheme="minorEastAsia" w:hAnsiTheme="minorEastAsia" w:hint="eastAsia"/>
          <w:b w:val="0"/>
          <w:bCs/>
        </w:rPr>
        <w:t>（七）</w:t>
      </w:r>
      <w:r w:rsidR="005336CC" w:rsidRPr="000239D0">
        <w:rPr>
          <w:rFonts w:asciiTheme="minorEastAsia" w:eastAsiaTheme="minorEastAsia" w:hAnsiTheme="minorEastAsia" w:hint="eastAsia"/>
          <w:b w:val="0"/>
          <w:bCs/>
        </w:rPr>
        <w:t>基金合同存放地和投资者取得基金合同的方式</w:t>
      </w:r>
      <w:bookmarkEnd w:id="186"/>
      <w:bookmarkEnd w:id="187"/>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本《基金合同》可印制成册，供投资者在基金管理人、基金托管人、代销机构办公场所查阅；投资者也可在支付一定工本费后获得本《基金合同》复印件或复制件，但应以《基金合同》正本为准。</w:t>
      </w: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234856" w:rsidRPr="000239D0" w:rsidRDefault="00234856" w:rsidP="000B1E9F">
      <w:pPr>
        <w:snapToGrid w:val="0"/>
        <w:spacing w:line="360" w:lineRule="auto"/>
        <w:ind w:firstLine="420"/>
        <w:rPr>
          <w:rFonts w:asciiTheme="minorEastAsia" w:eastAsiaTheme="minorEastAsia" w:hAnsiTheme="minorEastAsia"/>
          <w:sz w:val="21"/>
        </w:rPr>
      </w:pPr>
    </w:p>
    <w:p w:rsidR="00AE6990" w:rsidRPr="000239D0" w:rsidRDefault="00AE6990" w:rsidP="000B1E9F">
      <w:pPr>
        <w:snapToGrid w:val="0"/>
        <w:spacing w:line="360" w:lineRule="auto"/>
        <w:ind w:firstLine="482"/>
        <w:rPr>
          <w:rFonts w:asciiTheme="minorEastAsia" w:eastAsiaTheme="minorEastAsia" w:hAnsiTheme="minorEastAsia"/>
          <w:b/>
          <w:bCs/>
        </w:r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Cs/>
          <w:szCs w:val="20"/>
        </w:rPr>
      </w:pPr>
      <w:bookmarkStart w:id="188" w:name="_Toc219695858"/>
      <w:bookmarkStart w:id="189" w:name="_Toc36452429"/>
      <w:r w:rsidRPr="000239D0">
        <w:rPr>
          <w:rFonts w:asciiTheme="minorEastAsia" w:eastAsiaTheme="minorEastAsia" w:hAnsiTheme="minorEastAsia" w:hint="eastAsia"/>
          <w:b/>
          <w:bCs/>
          <w:kern w:val="44"/>
          <w:sz w:val="28"/>
          <w:szCs w:val="44"/>
        </w:rPr>
        <w:t>十九、基金托管协议的内容摘要</w:t>
      </w:r>
      <w:bookmarkEnd w:id="188"/>
      <w:bookmarkEnd w:id="189"/>
    </w:p>
    <w:p w:rsidR="005336CC" w:rsidRPr="000239D0" w:rsidRDefault="00907F5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90" w:name="_Toc219695859"/>
      <w:bookmarkStart w:id="191" w:name="_Toc36452430"/>
      <w:r w:rsidRPr="000239D0">
        <w:rPr>
          <w:rFonts w:asciiTheme="minorEastAsia" w:eastAsiaTheme="minorEastAsia" w:hAnsiTheme="minorEastAsia" w:hint="eastAsia"/>
          <w:b w:val="0"/>
          <w:bCs/>
        </w:rPr>
        <w:t>（一）</w:t>
      </w:r>
      <w:r w:rsidR="005336CC" w:rsidRPr="000239D0">
        <w:rPr>
          <w:rFonts w:asciiTheme="minorEastAsia" w:eastAsiaTheme="minorEastAsia" w:hAnsiTheme="minorEastAsia" w:hint="eastAsia"/>
          <w:b w:val="0"/>
          <w:bCs/>
        </w:rPr>
        <w:t>托管协议当事人</w:t>
      </w:r>
      <w:bookmarkEnd w:id="190"/>
      <w:bookmarkEnd w:id="191"/>
    </w:p>
    <w:p w:rsidR="005336CC" w:rsidRPr="000239D0" w:rsidRDefault="00234856" w:rsidP="000B1E9F">
      <w:pPr>
        <w:snapToGrid w:val="0"/>
        <w:spacing w:line="360" w:lineRule="auto"/>
        <w:ind w:right="26" w:firstLineChars="0" w:firstLine="0"/>
        <w:rPr>
          <w:rFonts w:asciiTheme="minorEastAsia" w:eastAsiaTheme="minorEastAsia" w:hAnsiTheme="minorEastAsia"/>
          <w:b/>
          <w:bCs/>
          <w:sz w:val="21"/>
        </w:rPr>
      </w:pPr>
      <w:r w:rsidRPr="000239D0">
        <w:rPr>
          <w:rFonts w:asciiTheme="minorEastAsia" w:eastAsiaTheme="minorEastAsia" w:hAnsiTheme="minorEastAsia" w:hint="eastAsia"/>
          <w:b/>
          <w:bCs/>
          <w:sz w:val="21"/>
        </w:rPr>
        <w:t>1、</w:t>
      </w:r>
      <w:r w:rsidR="005336CC" w:rsidRPr="000239D0">
        <w:rPr>
          <w:rFonts w:asciiTheme="minorEastAsia" w:eastAsiaTheme="minorEastAsia" w:hAnsiTheme="minorEastAsia" w:hint="eastAsia"/>
          <w:b/>
          <w:bCs/>
          <w:sz w:val="21"/>
        </w:rPr>
        <w:t>基金管理人（或简称“管理人”）</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名称：易方达基金管理有限公司</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注册地址：</w:t>
      </w:r>
      <w:r w:rsidR="00D026D9" w:rsidRPr="000239D0">
        <w:rPr>
          <w:rFonts w:asciiTheme="minorEastAsia" w:eastAsiaTheme="minorEastAsia" w:hAnsiTheme="minorEastAsia" w:hint="eastAsia"/>
          <w:sz w:val="21"/>
        </w:rPr>
        <w:t>广东省珠海市横琴新区宝华路6号105室－42891（集中办公区）</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办公地址：广州市</w:t>
      </w:r>
      <w:r w:rsidR="00A42E96" w:rsidRPr="000239D0">
        <w:rPr>
          <w:rFonts w:asciiTheme="minorEastAsia" w:eastAsiaTheme="minorEastAsia" w:hAnsiTheme="minorEastAsia" w:hint="eastAsia"/>
          <w:sz w:val="21"/>
        </w:rPr>
        <w:t>天河区珠江新城珠江东路30号广州银行大厦40-43楼</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w:t>
      </w:r>
      <w:r w:rsidR="00645328" w:rsidRPr="000239D0">
        <w:rPr>
          <w:rFonts w:asciiTheme="minorEastAsia" w:eastAsiaTheme="minorEastAsia" w:hAnsiTheme="minorEastAsia" w:hint="eastAsia"/>
          <w:sz w:val="21"/>
        </w:rPr>
        <w:t>刘晓艳</w:t>
      </w:r>
    </w:p>
    <w:p w:rsidR="005336CC" w:rsidRPr="000239D0" w:rsidRDefault="002818BE"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注册资本：13,244.2万元人民币</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经营范围：</w:t>
      </w:r>
      <w:r w:rsidR="00D026D9" w:rsidRPr="000239D0">
        <w:rPr>
          <w:rFonts w:asciiTheme="minorEastAsia" w:eastAsiaTheme="minorEastAsia" w:hAnsiTheme="minorEastAsia" w:hint="eastAsia"/>
          <w:sz w:val="21"/>
        </w:rPr>
        <w:t>公开募集证券投资基金管理、基金销售、特定客户资产管理</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组织形式：有限责任公司</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营业期限：持续经营</w:t>
      </w:r>
    </w:p>
    <w:p w:rsidR="005336CC" w:rsidRPr="000239D0" w:rsidRDefault="00234856" w:rsidP="000B1E9F">
      <w:pPr>
        <w:snapToGrid w:val="0"/>
        <w:spacing w:line="360" w:lineRule="auto"/>
        <w:ind w:right="26" w:firstLineChars="0" w:firstLine="0"/>
        <w:rPr>
          <w:rFonts w:asciiTheme="minorEastAsia" w:eastAsiaTheme="minorEastAsia" w:hAnsiTheme="minorEastAsia"/>
          <w:b/>
          <w:bCs/>
          <w:sz w:val="21"/>
        </w:rPr>
      </w:pPr>
      <w:r w:rsidRPr="000239D0">
        <w:rPr>
          <w:rFonts w:asciiTheme="minorEastAsia" w:eastAsiaTheme="minorEastAsia" w:hAnsiTheme="minorEastAsia" w:hint="eastAsia"/>
          <w:b/>
          <w:bCs/>
          <w:sz w:val="21"/>
        </w:rPr>
        <w:t>2、</w:t>
      </w:r>
      <w:r w:rsidR="005336CC" w:rsidRPr="000239D0">
        <w:rPr>
          <w:rFonts w:asciiTheme="minorEastAsia" w:eastAsiaTheme="minorEastAsia" w:hAnsiTheme="minorEastAsia" w:hint="eastAsia"/>
          <w:b/>
          <w:bCs/>
          <w:sz w:val="21"/>
        </w:rPr>
        <w:t>基金托管人（或简称“托管人”）</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名称：中国银行股份有限公司</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办公地址：北京市西城区复兴门内大街</w:t>
      </w:r>
      <w:r w:rsidRPr="000239D0">
        <w:rPr>
          <w:rFonts w:asciiTheme="minorEastAsia" w:eastAsiaTheme="minorEastAsia" w:hAnsiTheme="minorEastAsia"/>
          <w:sz w:val="21"/>
        </w:rPr>
        <w:t>1</w:t>
      </w:r>
      <w:r w:rsidRPr="000239D0">
        <w:rPr>
          <w:rFonts w:asciiTheme="minorEastAsia" w:eastAsiaTheme="minorEastAsia" w:hAnsiTheme="minorEastAsia" w:hint="eastAsia"/>
          <w:sz w:val="21"/>
        </w:rPr>
        <w:t>号</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法定代表人：</w:t>
      </w:r>
      <w:r w:rsidR="00D5265D" w:rsidRPr="000239D0">
        <w:rPr>
          <w:rFonts w:asciiTheme="minorEastAsia" w:eastAsiaTheme="minorEastAsia" w:hAnsiTheme="minorEastAsia" w:hint="eastAsia"/>
          <w:sz w:val="21"/>
        </w:rPr>
        <w:t>刘连舸</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企业类型：股份有限公司</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注册资本：</w:t>
      </w:r>
      <w:r w:rsidR="00341944" w:rsidRPr="000239D0">
        <w:rPr>
          <w:rFonts w:asciiTheme="minorEastAsia" w:eastAsiaTheme="minorEastAsia" w:hAnsiTheme="minorEastAsia" w:hint="eastAsia"/>
          <w:sz w:val="21"/>
          <w:szCs w:val="21"/>
        </w:rPr>
        <w:t>人民币贰仟玖佰肆拾叁亿捌仟柒佰柒拾玖万壹仟贰佰肆拾壹元整</w:t>
      </w:r>
    </w:p>
    <w:p w:rsidR="005336CC" w:rsidRPr="000239D0" w:rsidRDefault="005336CC" w:rsidP="000B1E9F">
      <w:pPr>
        <w:snapToGrid w:val="0"/>
        <w:spacing w:line="360" w:lineRule="auto"/>
        <w:ind w:right="26" w:firstLine="420"/>
        <w:rPr>
          <w:rFonts w:asciiTheme="minorEastAsia" w:eastAsiaTheme="minorEastAsia" w:hAnsiTheme="minorEastAsia"/>
          <w:sz w:val="21"/>
        </w:rPr>
      </w:pPr>
      <w:r w:rsidRPr="000239D0">
        <w:rPr>
          <w:rFonts w:asciiTheme="minorEastAsia" w:eastAsiaTheme="minorEastAsia" w:hAnsiTheme="minorEastAsia" w:hint="eastAsia"/>
          <w:sz w:val="21"/>
        </w:rPr>
        <w:t>企业类型：股份有限公司</w:t>
      </w:r>
    </w:p>
    <w:p w:rsidR="005336CC" w:rsidRPr="000239D0" w:rsidRDefault="005336CC" w:rsidP="000B1E9F">
      <w:pPr>
        <w:snapToGrid w:val="0"/>
        <w:spacing w:line="360" w:lineRule="auto"/>
        <w:ind w:right="26" w:firstLine="420"/>
        <w:rPr>
          <w:rFonts w:asciiTheme="minorEastAsia" w:eastAsiaTheme="minorEastAsia" w:hAnsiTheme="minorEastAsia"/>
          <w:b/>
          <w:bCs/>
          <w:sz w:val="21"/>
        </w:rPr>
      </w:pPr>
      <w:r w:rsidRPr="000239D0">
        <w:rPr>
          <w:rFonts w:asciiTheme="minorEastAsia" w:eastAsiaTheme="minorEastAsia" w:hAnsiTheme="minorEastAsia" w:hint="eastAsia"/>
          <w:sz w:val="21"/>
        </w:rPr>
        <w:t>存续期间：持续经营</w:t>
      </w:r>
    </w:p>
    <w:p w:rsidR="005336CC" w:rsidRPr="000239D0" w:rsidRDefault="00907F5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92" w:name="_Toc219695860"/>
      <w:bookmarkStart w:id="193" w:name="_Toc36452431"/>
      <w:r w:rsidRPr="000239D0">
        <w:rPr>
          <w:rFonts w:asciiTheme="minorEastAsia" w:eastAsiaTheme="minorEastAsia" w:hAnsiTheme="minorEastAsia" w:hint="eastAsia"/>
          <w:b w:val="0"/>
          <w:bCs/>
        </w:rPr>
        <w:t>（二）</w:t>
      </w:r>
      <w:r w:rsidR="005336CC" w:rsidRPr="000239D0">
        <w:rPr>
          <w:rFonts w:asciiTheme="minorEastAsia" w:eastAsiaTheme="minorEastAsia" w:hAnsiTheme="minorEastAsia" w:hint="eastAsia"/>
          <w:b w:val="0"/>
          <w:bCs/>
        </w:rPr>
        <w:t>基金托管人与基金管理人之间的业务监督、核查</w:t>
      </w:r>
      <w:bookmarkEnd w:id="192"/>
      <w:bookmarkEnd w:id="193"/>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根据《暂行办法》、《试点办法》、《基金契约》和有关证券法规的规定，托管人应对基金管理人就基金资产的投资对象、基金资产的投资组合比例、基金资产的核算、基金资产净值的计算、基金管理人报酬的计提和支付、基金托管人报酬的计提和支付、基金的申购与赎回、基金收益分配等行为的合法性、合规性进行监督和核查。</w:t>
      </w:r>
    </w:p>
    <w:p w:rsidR="006F74CC" w:rsidRPr="000239D0" w:rsidRDefault="006F74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其中，基金托管人根据《公开募集开放式证券投资基金流动性风险管理规定》对投资组合的比例做如下监督：</w:t>
      </w:r>
    </w:p>
    <w:p w:rsidR="006F74CC" w:rsidRPr="000239D0" w:rsidRDefault="006F74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基金管理人管理的且由本托管人托管的全部开放式基金持有一家上市公司发行的可流通股票，不得超过该上市公司可流通股票的15%；基金管理人管理的且由本托管人托管的全部投资组合持有一家上市公司发行的可流通股票，不得超过该上市公司可流通股票的30%；</w:t>
      </w:r>
    </w:p>
    <w:p w:rsidR="006F74CC" w:rsidRPr="000239D0" w:rsidRDefault="006F74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lastRenderedPageBreak/>
        <w:t>2）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6F74CC" w:rsidRPr="000239D0" w:rsidRDefault="006F74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5336CC" w:rsidRPr="000239D0" w:rsidRDefault="00C54914"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基金托管人发现基金管理人有违反《暂行办法》、《试点办法》、《基金契约》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5336CC" w:rsidRPr="000239D0" w:rsidRDefault="00C54914"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Pr="000239D0">
        <w:rPr>
          <w:rFonts w:asciiTheme="minorEastAsia" w:eastAsiaTheme="minorEastAsia" w:hAnsiTheme="minorEastAsia"/>
          <w:sz w:val="21"/>
        </w:rPr>
        <w:t>）</w:t>
      </w:r>
      <w:r w:rsidR="005336CC" w:rsidRPr="000239D0">
        <w:rPr>
          <w:rFonts w:asciiTheme="minorEastAsia" w:eastAsiaTheme="minorEastAsia" w:hAnsiTheme="minorEastAsia" w:hint="eastAsia"/>
          <w:sz w:val="21"/>
        </w:rPr>
        <w:t>如基金托管人认为基金管理人的作为或不作为违反了法律法规、《基金契约》或本托管协议，基金托管人应呈报中国证监会和其他监管部门，有权利并有义务行使法律法规、《基金契约》或本托管协议赋予、给予、规定的基金托管人的任何及所有权利和救济措施，以保护基金资产的安全和基金投资者的利益，包括但不限于就更换基金管理人事宜召集基金持有人大会、代表基金对因基金管理人的过错造成的基金资产的损失向基金管理人索赔。</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根据《暂行办法》、《试点办法》、《基金契约》及其他有关规定，基金管理人就基金托管人是否及时执行基金管理人的投资指令、是否将基金资产和自有资产分账管理、是否擅自动用基金资产、是否按时将分配给基金持有人的收益划入分红派息账户等事项，对基金托管人进行监督和核查。</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基金管理人定期对基金托管人保管的基金资产进行核查。基金管理人发现基金托管人未对基金资产实行分账管理、擅自挪用基金资产、因基金托管人的过错导致基金资产灭失、减损、或处于危险状态的，基金管理人应立即以书面的方式要求基金托管人予以纠正和采取必要的补救措施。基金管理人有义务要求基金托管人赔偿基金因此所遭受的损失。</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基金管理人发现基金托管人的行为违反《暂行办法》、《试点办法》、《基金契约》和有关法律、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(3)如基金管理人认为基金托管人的作为或不作为违反了法律法规、《基金契约》或本托管协议，基金管理人应呈报中国证监会和其他监管部门，有权利并有义务行使法律法规、《基</w:t>
      </w:r>
      <w:r w:rsidRPr="000239D0">
        <w:rPr>
          <w:rFonts w:asciiTheme="minorEastAsia" w:eastAsiaTheme="minorEastAsia" w:hAnsiTheme="minorEastAsia" w:hint="eastAsia"/>
          <w:sz w:val="21"/>
        </w:rPr>
        <w:lastRenderedPageBreak/>
        <w:t>金契约》或本托管协议赋予、给予、规定的基金管理人的任何及所有权利和救济措施，以保护基金资产的安全和基金投资者的利益，包括但不限于就更换基金托管人事宜召集基金持有人大会、代表基金对因基金托管人的过错造成的基金资产的损失向基金托管人索赔。</w:t>
      </w:r>
    </w:p>
    <w:p w:rsidR="005336CC" w:rsidRPr="000239D0" w:rsidRDefault="005336CC"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(4)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rsidR="005336CC" w:rsidRPr="000239D0" w:rsidRDefault="00907F5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94" w:name="_Toc219695861"/>
      <w:bookmarkStart w:id="195" w:name="_Toc36452432"/>
      <w:r w:rsidRPr="000239D0">
        <w:rPr>
          <w:rFonts w:asciiTheme="minorEastAsia" w:eastAsiaTheme="minorEastAsia" w:hAnsiTheme="minorEastAsia" w:hint="eastAsia"/>
          <w:b w:val="0"/>
          <w:bCs/>
        </w:rPr>
        <w:t>（三）</w:t>
      </w:r>
      <w:r w:rsidR="005336CC" w:rsidRPr="000239D0">
        <w:rPr>
          <w:rFonts w:asciiTheme="minorEastAsia" w:eastAsiaTheme="minorEastAsia" w:hAnsiTheme="minorEastAsia" w:hint="eastAsia"/>
          <w:b w:val="0"/>
          <w:bCs/>
        </w:rPr>
        <w:t>基金财产的保管</w:t>
      </w:r>
      <w:bookmarkEnd w:id="194"/>
      <w:bookmarkEnd w:id="195"/>
    </w:p>
    <w:p w:rsidR="005336CC" w:rsidRPr="000239D0" w:rsidRDefault="00234856" w:rsidP="000B1E9F">
      <w:pPr>
        <w:snapToGrid w:val="0"/>
        <w:spacing w:line="360" w:lineRule="auto"/>
        <w:ind w:firstLineChars="0" w:firstLine="0"/>
        <w:rPr>
          <w:rFonts w:asciiTheme="minorEastAsia" w:eastAsiaTheme="minorEastAsia" w:hAnsiTheme="minorEastAsia"/>
          <w:b/>
          <w:bCs/>
          <w:sz w:val="21"/>
        </w:rPr>
      </w:pPr>
      <w:r w:rsidRPr="000239D0">
        <w:rPr>
          <w:rFonts w:asciiTheme="minorEastAsia" w:eastAsiaTheme="minorEastAsia" w:hAnsiTheme="minorEastAsia" w:hint="eastAsia"/>
          <w:b/>
          <w:bCs/>
          <w:sz w:val="21"/>
        </w:rPr>
        <w:t>1、</w:t>
      </w:r>
      <w:r w:rsidR="005336CC" w:rsidRPr="000239D0">
        <w:rPr>
          <w:rFonts w:asciiTheme="minorEastAsia" w:eastAsiaTheme="minorEastAsia" w:hAnsiTheme="minorEastAsia" w:hint="eastAsia"/>
          <w:b/>
          <w:bCs/>
          <w:sz w:val="21"/>
        </w:rPr>
        <w:t>基金资产保管的原则</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易方达策略成长证券投资基金所有资产的保管责任，由基金托管人承担。基金托管人将遵守《信托法》、《暂行办法》、《试点办法》、《基金契约》及其他有关规定，为基金持有人的最大利益处理基金事务。基金托管人保证恪尽职守，依照诚实信用、勤勉尽责的原则，谨慎、有效的持有并保管基金资产。</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基金托管人应当购置并保持对于基金资产的托管所必要的设备和设施（包括硬件和软件），并对设备和设施进行维修、维护和更换，以保持设备和设施的正常运行。</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除依据《信托法》、《暂行办法》、《试点办法》、本《基金契约》及其他有关规定外，不为自己及任何第三人谋取利益，基金托管人违反此义务，利用基金资产为自己及任何第三方谋取利益，所得利益归于基金资产；基金托管人不得将基金资产转为其固有财产，不得将固有资产与基金资产进行交易，或将不同基金资产进行相互交易；违背此款规定的，将承担相应的责任，包括但不限于恢复基金资产的原状、承担赔偿责任。</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w:t>
      </w:r>
      <w:r w:rsidR="005336CC" w:rsidRPr="000239D0">
        <w:rPr>
          <w:rFonts w:asciiTheme="minorEastAsia" w:eastAsiaTheme="minorEastAsia" w:hAnsiTheme="minorEastAsia" w:hint="eastAsia"/>
          <w:sz w:val="21"/>
        </w:rPr>
        <w:t>基金托管人必须将基金资产与自有资产严格分开，并与其托管的其他基金资产严格分开；基金托管人应当为基金设立独立的账户，建立独立的账簿，与基金托管人的其他业务和其他基金的托管业务实行严格的分账管理，保证不同基金之间在名册登记、账户设置、资金划拨、账册记录等方面具有实质的独立性。</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w:t>
      </w:r>
      <w:r w:rsidR="005336CC" w:rsidRPr="000239D0">
        <w:rPr>
          <w:rFonts w:asciiTheme="minorEastAsia" w:eastAsiaTheme="minorEastAsia" w:hAnsiTheme="minorEastAsia" w:hint="eastAsia"/>
          <w:sz w:val="21"/>
        </w:rPr>
        <w:t>除依据《信托法》、《暂行办法》、《试点办法》、本《基金契约》及其他有关规定外，基金托管人不得委托第三人托管基金资产；</w:t>
      </w:r>
    </w:p>
    <w:p w:rsidR="005336CC" w:rsidRPr="000239D0" w:rsidRDefault="00234856"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w:t>
      </w:r>
      <w:r w:rsidR="005336CC" w:rsidRPr="000239D0">
        <w:rPr>
          <w:rFonts w:asciiTheme="minorEastAsia" w:eastAsiaTheme="minorEastAsia" w:hAnsiTheme="minorEastAsia" w:hint="eastAsia"/>
          <w:sz w:val="21"/>
        </w:rPr>
        <w:t>基金托管人应安全、完整地保管基金资产；未经基金管理人的正当指令，不得自行运用、处分、分配基金的任何资产。</w:t>
      </w:r>
    </w:p>
    <w:p w:rsidR="005336CC" w:rsidRPr="000239D0" w:rsidRDefault="00234856" w:rsidP="000B1E9F">
      <w:pPr>
        <w:snapToGrid w:val="0"/>
        <w:spacing w:line="360" w:lineRule="auto"/>
        <w:ind w:firstLineChars="0" w:firstLine="0"/>
        <w:rPr>
          <w:rFonts w:asciiTheme="minorEastAsia" w:eastAsiaTheme="minorEastAsia" w:hAnsiTheme="minorEastAsia"/>
          <w:b/>
          <w:bCs/>
          <w:sz w:val="21"/>
        </w:rPr>
      </w:pPr>
      <w:r w:rsidRPr="000239D0">
        <w:rPr>
          <w:rFonts w:asciiTheme="minorEastAsia" w:eastAsiaTheme="minorEastAsia" w:hAnsiTheme="minorEastAsia" w:hint="eastAsia"/>
          <w:b/>
          <w:sz w:val="21"/>
        </w:rPr>
        <w:t>2、</w:t>
      </w:r>
      <w:r w:rsidR="005336CC" w:rsidRPr="000239D0">
        <w:rPr>
          <w:rFonts w:asciiTheme="minorEastAsia" w:eastAsiaTheme="minorEastAsia" w:hAnsiTheme="minorEastAsia" w:hint="eastAsia"/>
          <w:b/>
          <w:bCs/>
          <w:sz w:val="21"/>
        </w:rPr>
        <w:t>基金成立时募集资金的验证</w:t>
      </w:r>
    </w:p>
    <w:p w:rsidR="005336CC" w:rsidRPr="000239D0" w:rsidRDefault="005336CC" w:rsidP="000B1E9F">
      <w:pPr>
        <w:pStyle w:val="22"/>
        <w:snapToGrid w:val="0"/>
        <w:spacing w:line="360" w:lineRule="auto"/>
        <w:ind w:left="0" w:firstLineChars="200" w:firstLine="420"/>
        <w:rPr>
          <w:rFonts w:asciiTheme="minorEastAsia" w:eastAsiaTheme="minorEastAsia" w:hAnsiTheme="minorEastAsia"/>
          <w:color w:val="auto"/>
          <w:sz w:val="21"/>
        </w:rPr>
      </w:pPr>
      <w:r w:rsidRPr="000239D0">
        <w:rPr>
          <w:rFonts w:asciiTheme="minorEastAsia" w:eastAsiaTheme="minorEastAsia" w:hAnsiTheme="minorEastAsia" w:hint="eastAsia"/>
          <w:color w:val="auto"/>
          <w:sz w:val="21"/>
        </w:rPr>
        <w:lastRenderedPageBreak/>
        <w:t>基金设立募集期满或基金发起人宣布停止募集时，基金发起人应将设立募集的全部资金存入其指定的验资专户；由基金发起人聘请具有从事相关业务资格的会计师事务所进行验资，出具验资报告，出具的验资报告应由参加验资的</w:t>
      </w:r>
      <w:r w:rsidRPr="000239D0">
        <w:rPr>
          <w:rFonts w:asciiTheme="minorEastAsia" w:eastAsiaTheme="minorEastAsia" w:hAnsiTheme="minorEastAsia"/>
          <w:color w:val="auto"/>
          <w:sz w:val="21"/>
        </w:rPr>
        <w:t>2</w:t>
      </w:r>
      <w:r w:rsidRPr="000239D0">
        <w:rPr>
          <w:rFonts w:asciiTheme="minorEastAsia" w:eastAsiaTheme="minorEastAsia" w:hAnsiTheme="minorEastAsia" w:hint="eastAsia"/>
          <w:color w:val="auto"/>
          <w:sz w:val="21"/>
        </w:rPr>
        <w:t>名以上（含</w:t>
      </w:r>
      <w:r w:rsidRPr="000239D0">
        <w:rPr>
          <w:rFonts w:asciiTheme="minorEastAsia" w:eastAsiaTheme="minorEastAsia" w:hAnsiTheme="minorEastAsia"/>
          <w:color w:val="auto"/>
          <w:sz w:val="21"/>
        </w:rPr>
        <w:t>2</w:t>
      </w:r>
      <w:r w:rsidRPr="000239D0">
        <w:rPr>
          <w:rFonts w:asciiTheme="minorEastAsia" w:eastAsiaTheme="minorEastAsia" w:hAnsiTheme="minorEastAsia" w:hint="eastAsia"/>
          <w:color w:val="auto"/>
          <w:sz w:val="21"/>
        </w:rPr>
        <w:t>名）中国注册会计师签字有效。</w:t>
      </w:r>
    </w:p>
    <w:p w:rsidR="005336CC" w:rsidRPr="000239D0" w:rsidRDefault="00234856" w:rsidP="000B1E9F">
      <w:pPr>
        <w:snapToGrid w:val="0"/>
        <w:spacing w:line="360" w:lineRule="auto"/>
        <w:ind w:firstLineChars="0" w:firstLine="0"/>
        <w:rPr>
          <w:rFonts w:asciiTheme="minorEastAsia" w:eastAsiaTheme="minorEastAsia" w:hAnsiTheme="minorEastAsia"/>
          <w:b/>
          <w:bCs/>
          <w:sz w:val="21"/>
        </w:rPr>
      </w:pPr>
      <w:r w:rsidRPr="000239D0">
        <w:rPr>
          <w:rFonts w:asciiTheme="minorEastAsia" w:eastAsiaTheme="minorEastAsia" w:hAnsiTheme="minorEastAsia" w:hint="eastAsia"/>
          <w:b/>
          <w:bCs/>
          <w:sz w:val="21"/>
        </w:rPr>
        <w:t>3、</w:t>
      </w:r>
      <w:r w:rsidR="005336CC" w:rsidRPr="000239D0">
        <w:rPr>
          <w:rFonts w:asciiTheme="minorEastAsia" w:eastAsiaTheme="minorEastAsia" w:hAnsiTheme="minorEastAsia" w:hint="eastAsia"/>
          <w:b/>
          <w:bCs/>
          <w:sz w:val="21"/>
        </w:rPr>
        <w:t>基金的银行账户的开设和管理</w:t>
      </w:r>
    </w:p>
    <w:p w:rsidR="005336CC" w:rsidRPr="000239D0" w:rsidRDefault="005336CC" w:rsidP="000B1E9F">
      <w:pPr>
        <w:numPr>
          <w:ilvl w:val="0"/>
          <w:numId w:val="48"/>
        </w:numPr>
        <w:overflowPunct w:val="0"/>
        <w:autoSpaceDE w:val="0"/>
        <w:autoSpaceDN w:val="0"/>
        <w:adjustRightInd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基金托管人应负责易方达策略成长证券投资基金银行账户的开设和管理。</w:t>
      </w:r>
    </w:p>
    <w:p w:rsidR="005336CC" w:rsidRPr="000239D0" w:rsidRDefault="005336CC" w:rsidP="000B1E9F">
      <w:pPr>
        <w:numPr>
          <w:ilvl w:val="0"/>
          <w:numId w:val="48"/>
        </w:numPr>
        <w:overflowPunct w:val="0"/>
        <w:autoSpaceDE w:val="0"/>
        <w:autoSpaceDN w:val="0"/>
        <w:adjustRightInd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托管人以本基金的名义在其营业机构开设基金的银行账户。本基金的银行预留印鉴，由基金托管人保管和使用。本基金的一切货币收支活动，包括但不限于投资、支付赎回金额、支付基金收益、收取申购款，均需通过本基金的银行账户进行。</w:t>
      </w:r>
    </w:p>
    <w:p w:rsidR="005336CC" w:rsidRPr="000239D0" w:rsidRDefault="005336CC" w:rsidP="000B1E9F">
      <w:pPr>
        <w:numPr>
          <w:ilvl w:val="0"/>
          <w:numId w:val="48"/>
        </w:numPr>
        <w:overflowPunct w:val="0"/>
        <w:autoSpaceDE w:val="0"/>
        <w:autoSpaceDN w:val="0"/>
        <w:adjustRightInd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本基金银行账户的开立和使用，限于满足开展本基金业务的需要。基金托管人和基金管理人不得假借基金的名义开立其他任何银行账户；亦不得使用基金的任何银行账户进行基金业务以外的活动。</w:t>
      </w:r>
    </w:p>
    <w:p w:rsidR="005336CC" w:rsidRPr="000239D0" w:rsidRDefault="005336CC" w:rsidP="000B1E9F">
      <w:pPr>
        <w:numPr>
          <w:ilvl w:val="0"/>
          <w:numId w:val="48"/>
        </w:numPr>
        <w:overflowPunct w:val="0"/>
        <w:autoSpaceDE w:val="0"/>
        <w:autoSpaceDN w:val="0"/>
        <w:adjustRightInd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银行账户的管理应符合《中华人民共和国票据法》、《人民币银行账户结算管理办法》、《现金管理条例》、《中国银监会利率管理的有关规定》、《关于大额现金支付管理的通知》、《支付结算办法》以及其他有关规定。</w:t>
      </w:r>
    </w:p>
    <w:p w:rsidR="005336CC" w:rsidRPr="000239D0" w:rsidRDefault="00234856" w:rsidP="000B1E9F">
      <w:pPr>
        <w:snapToGrid w:val="0"/>
        <w:spacing w:line="360" w:lineRule="auto"/>
        <w:ind w:firstLineChars="0" w:firstLine="0"/>
        <w:rPr>
          <w:rFonts w:asciiTheme="minorEastAsia" w:eastAsiaTheme="minorEastAsia" w:hAnsiTheme="minorEastAsia"/>
          <w:b/>
          <w:bCs/>
          <w:sz w:val="21"/>
        </w:rPr>
      </w:pPr>
      <w:r w:rsidRPr="000239D0">
        <w:rPr>
          <w:rFonts w:asciiTheme="minorEastAsia" w:eastAsiaTheme="minorEastAsia" w:hAnsiTheme="minorEastAsia" w:hint="eastAsia"/>
          <w:b/>
          <w:bCs/>
          <w:sz w:val="21"/>
        </w:rPr>
        <w:t>4、</w:t>
      </w:r>
      <w:r w:rsidR="005336CC" w:rsidRPr="000239D0">
        <w:rPr>
          <w:rFonts w:asciiTheme="minorEastAsia" w:eastAsiaTheme="minorEastAsia" w:hAnsiTheme="minorEastAsia" w:hint="eastAsia"/>
          <w:b/>
          <w:bCs/>
          <w:sz w:val="21"/>
        </w:rPr>
        <w:t>基金证券账户的开设和管理</w:t>
      </w:r>
    </w:p>
    <w:p w:rsidR="005336CC" w:rsidRPr="000239D0" w:rsidRDefault="005336CC" w:rsidP="000B1E9F">
      <w:pPr>
        <w:numPr>
          <w:ilvl w:val="0"/>
          <w:numId w:val="49"/>
        </w:numPr>
        <w:overflowPunct w:val="0"/>
        <w:autoSpaceDE w:val="0"/>
        <w:autoSpaceDN w:val="0"/>
        <w:adjustRightInd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基金托管人应当代表易方达策略成长证券投资基金，以托管人和本基金联名的方式在中国证券登记结算有限责任公司开设证券账户。</w:t>
      </w:r>
    </w:p>
    <w:p w:rsidR="005336CC" w:rsidRPr="000239D0" w:rsidRDefault="005336CC" w:rsidP="000B1E9F">
      <w:pPr>
        <w:numPr>
          <w:ilvl w:val="0"/>
          <w:numId w:val="49"/>
        </w:numPr>
        <w:overflowPunct w:val="0"/>
        <w:autoSpaceDE w:val="0"/>
        <w:autoSpaceDN w:val="0"/>
        <w:adjustRightInd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本基金证券账户的开立和使用，限于满足开展基金业务的需要。基金托管人和基金管理人不得出借和未经另一方同意擅自转让基金的任何证券账户；亦不得使用基金的任何证券账户进行本基金业务以外的活动。</w:t>
      </w:r>
    </w:p>
    <w:p w:rsidR="005336CC" w:rsidRPr="000239D0" w:rsidRDefault="005336CC" w:rsidP="000B1E9F">
      <w:pPr>
        <w:numPr>
          <w:ilvl w:val="0"/>
          <w:numId w:val="49"/>
        </w:numPr>
        <w:overflowPunct w:val="0"/>
        <w:autoSpaceDE w:val="0"/>
        <w:autoSpaceDN w:val="0"/>
        <w:adjustRightInd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若中国证监会或其他监管机构在本托管协议订立日之后允许基金从事其他投资品种的投资业务，涉及相关账户的开设、使用的，若无相关规定，则基金托管人比照并遵守上述关于账户开设、使用的规定。</w:t>
      </w:r>
    </w:p>
    <w:p w:rsidR="005336CC" w:rsidRPr="000239D0" w:rsidRDefault="00234856" w:rsidP="000B1E9F">
      <w:pPr>
        <w:snapToGrid w:val="0"/>
        <w:spacing w:line="360" w:lineRule="auto"/>
        <w:ind w:firstLineChars="0" w:firstLine="0"/>
        <w:rPr>
          <w:rFonts w:asciiTheme="minorEastAsia" w:eastAsiaTheme="minorEastAsia" w:hAnsiTheme="minorEastAsia"/>
          <w:b/>
          <w:bCs/>
          <w:sz w:val="21"/>
        </w:rPr>
      </w:pPr>
      <w:r w:rsidRPr="000239D0">
        <w:rPr>
          <w:rFonts w:asciiTheme="minorEastAsia" w:eastAsiaTheme="minorEastAsia" w:hAnsiTheme="minorEastAsia" w:hint="eastAsia"/>
          <w:b/>
          <w:sz w:val="21"/>
          <w:shd w:val="pct15" w:color="auto" w:fill="FFFFFF"/>
        </w:rPr>
        <w:t>5、</w:t>
      </w:r>
      <w:r w:rsidR="005336CC" w:rsidRPr="000239D0">
        <w:rPr>
          <w:rFonts w:asciiTheme="minorEastAsia" w:eastAsiaTheme="minorEastAsia" w:hAnsiTheme="minorEastAsia" w:hint="eastAsia"/>
          <w:b/>
          <w:bCs/>
          <w:sz w:val="21"/>
        </w:rPr>
        <w:t>国债托管专户的开设和管理</w:t>
      </w:r>
    </w:p>
    <w:p w:rsidR="005336CC" w:rsidRPr="000239D0" w:rsidRDefault="005336CC" w:rsidP="000B1E9F">
      <w:pPr>
        <w:numPr>
          <w:ilvl w:val="0"/>
          <w:numId w:val="50"/>
        </w:numPr>
        <w:overflowPunct w:val="0"/>
        <w:autoSpaceDE w:val="0"/>
        <w:autoSpaceDN w:val="0"/>
        <w:adjustRightInd w:val="0"/>
        <w:snapToGrid w:val="0"/>
        <w:spacing w:line="360" w:lineRule="auto"/>
        <w:rPr>
          <w:rFonts w:asciiTheme="minorEastAsia" w:eastAsiaTheme="minorEastAsia" w:hAnsiTheme="minorEastAsia"/>
          <w:sz w:val="21"/>
        </w:rPr>
      </w:pPr>
      <w:r w:rsidRPr="000239D0">
        <w:rPr>
          <w:rFonts w:asciiTheme="minorEastAsia" w:eastAsiaTheme="minorEastAsia" w:hAnsiTheme="minorEastAsia" w:hint="eastAsia"/>
          <w:sz w:val="21"/>
        </w:rPr>
        <w:t>基金成立后，基金管理人负责以易方达策略成长证券投资基金的名义申请并取得进入全国银行间同业拆借市场的交易资格，并代表基金进行交易；基金托管人负责以本基金的名义在中央国债登记结算有限责任公司开设债券托管帐户，并代表本基金进行债券和资金的清算。在上述手续办理完毕之后，由基金托管人负责向中国银监会进行报备。</w:t>
      </w:r>
    </w:p>
    <w:p w:rsidR="005336CC" w:rsidRPr="000239D0" w:rsidRDefault="005336CC" w:rsidP="000B1E9F">
      <w:pPr>
        <w:pStyle w:val="aa"/>
        <w:numPr>
          <w:ilvl w:val="0"/>
          <w:numId w:val="50"/>
        </w:numPr>
        <w:overflowPunct w:val="0"/>
        <w:autoSpaceDE w:val="0"/>
        <w:autoSpaceDN w:val="0"/>
        <w:adjustRightInd w:val="0"/>
        <w:snapToGrid w:val="0"/>
        <w:spacing w:line="360" w:lineRule="auto"/>
        <w:ind w:firstLine="0"/>
        <w:rPr>
          <w:rFonts w:asciiTheme="minorEastAsia" w:eastAsiaTheme="minorEastAsia" w:hAnsiTheme="minorEastAsia"/>
          <w:szCs w:val="24"/>
        </w:rPr>
      </w:pPr>
      <w:r w:rsidRPr="000239D0">
        <w:rPr>
          <w:rFonts w:asciiTheme="minorEastAsia" w:eastAsiaTheme="minorEastAsia" w:hAnsiTheme="minorEastAsia" w:hint="eastAsia"/>
          <w:szCs w:val="24"/>
        </w:rPr>
        <w:t>基金管理人和基金托管人同时代表基金签订全国银行间债券市场债券回购主协议，协议正本由基金托管人保管，协议副本由基金管理人保存。</w:t>
      </w:r>
    </w:p>
    <w:p w:rsidR="005336CC" w:rsidRPr="000239D0" w:rsidRDefault="00234856" w:rsidP="000B1E9F">
      <w:pPr>
        <w:snapToGrid w:val="0"/>
        <w:spacing w:line="360" w:lineRule="auto"/>
        <w:ind w:firstLineChars="0" w:firstLine="0"/>
        <w:rPr>
          <w:rFonts w:asciiTheme="minorEastAsia" w:eastAsiaTheme="minorEastAsia" w:hAnsiTheme="minorEastAsia"/>
          <w:b/>
          <w:bCs/>
          <w:sz w:val="21"/>
        </w:rPr>
      </w:pPr>
      <w:r w:rsidRPr="000239D0">
        <w:rPr>
          <w:rFonts w:asciiTheme="minorEastAsia" w:eastAsiaTheme="minorEastAsia" w:hAnsiTheme="minorEastAsia" w:hint="eastAsia"/>
          <w:b/>
          <w:bCs/>
          <w:sz w:val="21"/>
        </w:rPr>
        <w:t>6、</w:t>
      </w:r>
      <w:r w:rsidR="005336CC" w:rsidRPr="000239D0">
        <w:rPr>
          <w:rFonts w:asciiTheme="minorEastAsia" w:eastAsiaTheme="minorEastAsia" w:hAnsiTheme="minorEastAsia" w:hint="eastAsia"/>
          <w:b/>
          <w:bCs/>
          <w:sz w:val="21"/>
        </w:rPr>
        <w:t>基金资产投资的有关实物证券的保管</w:t>
      </w:r>
    </w:p>
    <w:p w:rsidR="005336CC" w:rsidRPr="000239D0" w:rsidRDefault="005336CC" w:rsidP="000B1E9F">
      <w:pPr>
        <w:pStyle w:val="30"/>
        <w:snapToGrid w:val="0"/>
        <w:spacing w:line="360" w:lineRule="auto"/>
        <w:ind w:firstLine="420"/>
        <w:rPr>
          <w:rFonts w:asciiTheme="minorEastAsia" w:eastAsiaTheme="minorEastAsia" w:hAnsiTheme="minorEastAsia"/>
          <w:color w:val="auto"/>
          <w:sz w:val="21"/>
        </w:rPr>
      </w:pPr>
      <w:r w:rsidRPr="000239D0">
        <w:rPr>
          <w:rFonts w:asciiTheme="minorEastAsia" w:eastAsiaTheme="minorEastAsia" w:hAnsiTheme="minorEastAsia" w:hint="eastAsia"/>
          <w:color w:val="auto"/>
          <w:sz w:val="21"/>
        </w:rPr>
        <w:t>实物证券由基金托管人存放于托管银行的保管库，但要与非基金的其他实物证券分开保管；也可存入中央国债登记结算有限责任公司或中国证券登记结算有限责任公司的代保管库。</w:t>
      </w:r>
      <w:r w:rsidRPr="000239D0">
        <w:rPr>
          <w:rFonts w:asciiTheme="minorEastAsia" w:eastAsiaTheme="minorEastAsia" w:hAnsiTheme="minorEastAsia" w:hint="eastAsia"/>
          <w:color w:val="auto"/>
          <w:sz w:val="21"/>
        </w:rPr>
        <w:lastRenderedPageBreak/>
        <w:t>保管凭证由基金托管人持有。实物证券的购买和转让，由基金托管人根据基金管理人的指令办理。</w:t>
      </w:r>
    </w:p>
    <w:p w:rsidR="005336CC" w:rsidRPr="000239D0" w:rsidRDefault="00234856" w:rsidP="000B1E9F">
      <w:pPr>
        <w:snapToGrid w:val="0"/>
        <w:spacing w:line="360" w:lineRule="auto"/>
        <w:ind w:firstLineChars="0" w:firstLine="0"/>
        <w:rPr>
          <w:rFonts w:asciiTheme="minorEastAsia" w:eastAsiaTheme="minorEastAsia" w:hAnsiTheme="minorEastAsia"/>
          <w:b/>
          <w:bCs/>
          <w:sz w:val="21"/>
        </w:rPr>
      </w:pPr>
      <w:r w:rsidRPr="000239D0">
        <w:rPr>
          <w:rFonts w:asciiTheme="minorEastAsia" w:eastAsiaTheme="minorEastAsia" w:hAnsiTheme="minorEastAsia" w:hint="eastAsia"/>
          <w:b/>
          <w:bCs/>
          <w:sz w:val="21"/>
        </w:rPr>
        <w:t>7、</w:t>
      </w:r>
      <w:r w:rsidR="005336CC" w:rsidRPr="000239D0">
        <w:rPr>
          <w:rFonts w:asciiTheme="minorEastAsia" w:eastAsiaTheme="minorEastAsia" w:hAnsiTheme="minorEastAsia" w:hint="eastAsia"/>
          <w:b/>
          <w:bCs/>
          <w:sz w:val="21"/>
        </w:rPr>
        <w:t>与基金资产有关的重大合同的保管</w:t>
      </w:r>
    </w:p>
    <w:p w:rsidR="005336CC" w:rsidRPr="000239D0" w:rsidRDefault="005336CC" w:rsidP="000B1E9F">
      <w:pPr>
        <w:pStyle w:val="30"/>
        <w:snapToGrid w:val="0"/>
        <w:spacing w:line="360" w:lineRule="auto"/>
        <w:ind w:firstLine="420"/>
        <w:rPr>
          <w:rFonts w:asciiTheme="minorEastAsia" w:eastAsiaTheme="minorEastAsia" w:hAnsiTheme="minorEastAsia"/>
          <w:color w:val="auto"/>
        </w:rPr>
      </w:pPr>
      <w:r w:rsidRPr="000239D0">
        <w:rPr>
          <w:rFonts w:asciiTheme="minorEastAsia" w:eastAsiaTheme="minorEastAsia" w:hAnsiTheme="minorEastAsia" w:hint="eastAsia"/>
          <w:color w:val="auto"/>
          <w:sz w:val="21"/>
        </w:rPr>
        <w:t>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rsidR="005336CC" w:rsidRPr="000239D0" w:rsidRDefault="00907F5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96" w:name="_Toc219695862"/>
      <w:bookmarkStart w:id="197" w:name="_Toc36452433"/>
      <w:r w:rsidRPr="000239D0">
        <w:rPr>
          <w:rFonts w:asciiTheme="minorEastAsia" w:eastAsiaTheme="minorEastAsia" w:hAnsiTheme="minorEastAsia" w:hint="eastAsia"/>
          <w:b w:val="0"/>
          <w:bCs/>
        </w:rPr>
        <w:t>（四）</w:t>
      </w:r>
      <w:r w:rsidR="005336CC" w:rsidRPr="000239D0">
        <w:rPr>
          <w:rFonts w:asciiTheme="minorEastAsia" w:eastAsiaTheme="minorEastAsia" w:hAnsiTheme="minorEastAsia" w:hint="eastAsia"/>
          <w:b w:val="0"/>
          <w:bCs/>
        </w:rPr>
        <w:t>基金资产净值计算与复核</w:t>
      </w:r>
      <w:bookmarkEnd w:id="196"/>
      <w:bookmarkEnd w:id="197"/>
    </w:p>
    <w:p w:rsidR="005336CC" w:rsidRPr="000239D0" w:rsidRDefault="005336CC" w:rsidP="000B1E9F">
      <w:pPr>
        <w:pStyle w:val="30"/>
        <w:snapToGrid w:val="0"/>
        <w:spacing w:line="360" w:lineRule="auto"/>
        <w:ind w:firstLine="420"/>
        <w:rPr>
          <w:rFonts w:asciiTheme="minorEastAsia" w:eastAsiaTheme="minorEastAsia" w:hAnsiTheme="minorEastAsia"/>
          <w:color w:val="auto"/>
          <w:sz w:val="21"/>
        </w:rPr>
      </w:pPr>
      <w:r w:rsidRPr="000239D0">
        <w:rPr>
          <w:rFonts w:asciiTheme="minorEastAsia" w:eastAsiaTheme="minorEastAsia" w:hAnsiTheme="minorEastAsia" w:hint="eastAsia"/>
          <w:color w:val="auto"/>
          <w:sz w:val="21"/>
        </w:rPr>
        <w:t>基金资产净值是指基金资产总值减去负债后的价值。基金单位资产净值是指计算日基金资产净值除以计算日基金单位总数后的价值。</w:t>
      </w:r>
    </w:p>
    <w:p w:rsidR="005336CC" w:rsidRPr="000239D0" w:rsidRDefault="005336CC" w:rsidP="000B1E9F">
      <w:pPr>
        <w:pStyle w:val="30"/>
        <w:snapToGrid w:val="0"/>
        <w:spacing w:line="360" w:lineRule="auto"/>
        <w:ind w:firstLine="420"/>
        <w:rPr>
          <w:rFonts w:asciiTheme="minorEastAsia" w:eastAsiaTheme="minorEastAsia" w:hAnsiTheme="minorEastAsia"/>
          <w:color w:val="auto"/>
        </w:rPr>
      </w:pPr>
      <w:r w:rsidRPr="000239D0">
        <w:rPr>
          <w:rFonts w:asciiTheme="minorEastAsia" w:eastAsiaTheme="minorEastAsia" w:hAnsiTheme="minorEastAsia" w:hint="eastAsia"/>
          <w:color w:val="auto"/>
          <w:sz w:val="21"/>
        </w:rPr>
        <w:t>基金管理人应每工作日对基金资产估值。估值原则应符合《基金契约》的规定。用于信息披露的基金资产净值和基金单位资产净值由基金管理人负责计算，基金托管人复核。基金管理人应于每个工作日结束后计算得出当日的基金单位资产净值，并在盖章后以加密传真方式发送给基金托管人。基金托管人应在收到上述传真后马上对净值计算结果进行复核，并在盖章后以加密传真方式将复核结果传送给基金管理人；如果基金托管人的复核结果与基金管理人的计算结果存在差异，且双方经协商未能达成一致，基金管理人有权按照其对基金净值的计算结果对外予以公布，基金托管人有权将相关情况报中国证监会备案。</w:t>
      </w:r>
    </w:p>
    <w:p w:rsidR="005336CC" w:rsidRPr="000239D0" w:rsidRDefault="00907F5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198" w:name="_Toc219695863"/>
      <w:bookmarkStart w:id="199" w:name="_Toc36452434"/>
      <w:r w:rsidRPr="000239D0">
        <w:rPr>
          <w:rFonts w:asciiTheme="minorEastAsia" w:eastAsiaTheme="minorEastAsia" w:hAnsiTheme="minorEastAsia" w:hint="eastAsia"/>
          <w:b w:val="0"/>
          <w:bCs/>
        </w:rPr>
        <w:t>（五）</w:t>
      </w:r>
      <w:r w:rsidR="005336CC" w:rsidRPr="000239D0">
        <w:rPr>
          <w:rFonts w:asciiTheme="minorEastAsia" w:eastAsiaTheme="minorEastAsia" w:hAnsiTheme="minorEastAsia" w:hint="eastAsia"/>
          <w:b w:val="0"/>
          <w:bCs/>
        </w:rPr>
        <w:t>基金份额持有人名册的登记与保管</w:t>
      </w:r>
      <w:bookmarkEnd w:id="198"/>
      <w:bookmarkEnd w:id="199"/>
    </w:p>
    <w:p w:rsidR="005336CC" w:rsidRPr="000239D0" w:rsidRDefault="005336CC" w:rsidP="000B1E9F">
      <w:pPr>
        <w:autoSpaceDE w:val="0"/>
        <w:autoSpaceDN w:val="0"/>
        <w:adjustRightInd w:val="0"/>
        <w:snapToGrid w:val="0"/>
        <w:spacing w:line="360" w:lineRule="auto"/>
        <w:ind w:firstLine="420"/>
        <w:rPr>
          <w:rFonts w:asciiTheme="minorEastAsia" w:eastAsiaTheme="minorEastAsia" w:hAnsiTheme="minorEastAsia"/>
          <w:b/>
          <w:bCs/>
          <w:sz w:val="21"/>
        </w:rPr>
      </w:pPr>
      <w:r w:rsidRPr="000239D0">
        <w:rPr>
          <w:rFonts w:asciiTheme="minorEastAsia" w:eastAsiaTheme="minorEastAsia" w:hAnsiTheme="minorEastAsia" w:hint="eastAsia"/>
          <w:sz w:val="21"/>
        </w:rPr>
        <w:t>基金持有人名册，包括基金设立募集期结束时的基金持有人名册、基金权益登记日的基金持有人名册、基金持有人大会登记日的基金持有人名册、每月最后一个交易日的基金持有人名册，由基金管理人从注册与过户登记人处取得，并负责保管。</w:t>
      </w:r>
    </w:p>
    <w:p w:rsidR="005336CC" w:rsidRPr="000239D0" w:rsidRDefault="00907F5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200" w:name="_Toc219695864"/>
      <w:bookmarkStart w:id="201" w:name="_Toc36452435"/>
      <w:r w:rsidRPr="000239D0">
        <w:rPr>
          <w:rFonts w:asciiTheme="minorEastAsia" w:eastAsiaTheme="minorEastAsia" w:hAnsiTheme="minorEastAsia" w:hint="eastAsia"/>
          <w:b w:val="0"/>
          <w:bCs/>
        </w:rPr>
        <w:t>（六）</w:t>
      </w:r>
      <w:r w:rsidR="005336CC" w:rsidRPr="000239D0">
        <w:rPr>
          <w:rFonts w:asciiTheme="minorEastAsia" w:eastAsiaTheme="minorEastAsia" w:hAnsiTheme="minorEastAsia" w:hint="eastAsia"/>
          <w:b w:val="0"/>
          <w:bCs/>
        </w:rPr>
        <w:t>争议解决方式</w:t>
      </w:r>
      <w:bookmarkEnd w:id="200"/>
      <w:bookmarkEnd w:id="201"/>
    </w:p>
    <w:p w:rsidR="005336CC" w:rsidRPr="000239D0" w:rsidRDefault="005336CC" w:rsidP="000B1E9F">
      <w:pPr>
        <w:autoSpaceDE w:val="0"/>
        <w:autoSpaceDN w:val="0"/>
        <w:adjustRightInd w:val="0"/>
        <w:snapToGrid w:val="0"/>
        <w:spacing w:line="360" w:lineRule="auto"/>
        <w:ind w:firstLine="420"/>
        <w:rPr>
          <w:rFonts w:asciiTheme="minorEastAsia" w:eastAsiaTheme="minorEastAsia" w:hAnsiTheme="minorEastAsia"/>
          <w:b/>
          <w:bCs/>
          <w:sz w:val="21"/>
        </w:rPr>
      </w:pPr>
      <w:r w:rsidRPr="000239D0">
        <w:rPr>
          <w:rFonts w:asciiTheme="minorEastAsia" w:eastAsiaTheme="minorEastAsia" w:hAnsiTheme="minorEastAsia" w:hint="eastAsia"/>
          <w:sz w:val="21"/>
        </w:rPr>
        <w:t>基金管理人、基金托管人之间因本协议产生的或与本协议有关的争议可通过友好协商解决，但若自一方书面提出协商解决争议之日起60日内争议未能以协商方式解决的，则任何一方有权将争议提交中国国际经济贸易仲裁委员会（北京），根据提交仲裁时该会的仲裁规则进行仲裁。仲裁裁决是终局的，对仲裁各方当事人均具有约束力。除提交仲裁的争议之外，各方当事人仍应履行本协议的其他规定。争议处理期间，双方当事人应恪守基金管理人和基金托管人职责，各自继续忠实、勤勉、尽责地履行《基金契约》和托管协议规定的义务，维护基金持有人的合法权益。</w:t>
      </w:r>
    </w:p>
    <w:p w:rsidR="005336CC" w:rsidRPr="000239D0" w:rsidRDefault="00907F5F" w:rsidP="000B1E9F">
      <w:pPr>
        <w:pStyle w:val="20"/>
        <w:snapToGrid w:val="0"/>
        <w:spacing w:beforeLines="0" w:afterLines="0" w:line="360" w:lineRule="auto"/>
        <w:ind w:firstLineChars="0" w:firstLine="0"/>
        <w:rPr>
          <w:rFonts w:asciiTheme="minorEastAsia" w:eastAsiaTheme="minorEastAsia" w:hAnsiTheme="minorEastAsia"/>
          <w:b w:val="0"/>
          <w:bCs/>
        </w:rPr>
      </w:pPr>
      <w:bookmarkStart w:id="202" w:name="_Toc219695865"/>
      <w:bookmarkStart w:id="203" w:name="_Toc36452436"/>
      <w:r w:rsidRPr="000239D0">
        <w:rPr>
          <w:rFonts w:asciiTheme="minorEastAsia" w:eastAsiaTheme="minorEastAsia" w:hAnsiTheme="minorEastAsia" w:hint="eastAsia"/>
          <w:b w:val="0"/>
          <w:bCs/>
        </w:rPr>
        <w:t>（七）</w:t>
      </w:r>
      <w:r w:rsidR="005336CC" w:rsidRPr="000239D0">
        <w:rPr>
          <w:rFonts w:asciiTheme="minorEastAsia" w:eastAsiaTheme="minorEastAsia" w:hAnsiTheme="minorEastAsia" w:hint="eastAsia"/>
          <w:b w:val="0"/>
          <w:bCs/>
        </w:rPr>
        <w:t>托管协议的修改与终止</w:t>
      </w:r>
      <w:bookmarkEnd w:id="202"/>
      <w:bookmarkEnd w:id="203"/>
    </w:p>
    <w:p w:rsidR="005336CC" w:rsidRPr="000239D0" w:rsidRDefault="008E4ABA" w:rsidP="000B1E9F">
      <w:pPr>
        <w:pStyle w:val="a9"/>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本协议双方当事人经协商一致，可以对协议进行修改。修改后的新协议，其内容不得与《基金契约》的规定有任何冲突。因法律、法规及国家有权机关颁布之规定的变更和调</w:t>
      </w:r>
      <w:r w:rsidR="005336CC" w:rsidRPr="000239D0">
        <w:rPr>
          <w:rFonts w:asciiTheme="minorEastAsia" w:eastAsiaTheme="minorEastAsia" w:hAnsiTheme="minorEastAsia" w:hint="eastAsia"/>
          <w:sz w:val="21"/>
        </w:rPr>
        <w:lastRenderedPageBreak/>
        <w:t>整而导致本协议的部分条款与之不符的，则本协议自行适用法律、法规及国家有权机关颁布之新规定。</w:t>
      </w:r>
    </w:p>
    <w:p w:rsidR="005336CC" w:rsidRPr="000239D0" w:rsidRDefault="008E4ABA" w:rsidP="000B1E9F">
      <w:pPr>
        <w:pStyle w:val="a9"/>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发生以下情况，本托管协议终止：</w:t>
      </w:r>
    </w:p>
    <w:p w:rsidR="005336CC" w:rsidRPr="000239D0" w:rsidRDefault="005336CC" w:rsidP="000B1E9F">
      <w:pPr>
        <w:pStyle w:val="a9"/>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(1)易方达策略成长证券投资基金或《基金契约》终止；</w:t>
      </w:r>
    </w:p>
    <w:p w:rsidR="005336CC" w:rsidRPr="000239D0" w:rsidRDefault="005336CC" w:rsidP="000B1E9F">
      <w:pPr>
        <w:pStyle w:val="a9"/>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(2)易方达策略成长证券投资基金更换基金托管人；</w:t>
      </w:r>
    </w:p>
    <w:p w:rsidR="005336CC" w:rsidRPr="000239D0" w:rsidRDefault="005336CC" w:rsidP="000B1E9F">
      <w:pPr>
        <w:pStyle w:val="a9"/>
        <w:adjustRightInd w:val="0"/>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(3)易方达策略成长证券投资基金更换基金管理人；</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(4)发生《暂行办法》、《试点办法》或其他法律法规规定的终止事项。</w:t>
      </w:r>
    </w:p>
    <w:p w:rsidR="00CE3865" w:rsidRPr="000239D0" w:rsidRDefault="00CE3865" w:rsidP="000B1E9F">
      <w:pPr>
        <w:widowControl/>
        <w:ind w:firstLineChars="0" w:firstLine="0"/>
        <w:jc w:val="left"/>
        <w:rPr>
          <w:rFonts w:asciiTheme="minorEastAsia" w:eastAsiaTheme="minorEastAsia" w:hAnsiTheme="minorEastAsia"/>
          <w:sz w:val="21"/>
        </w:rPr>
      </w:pPr>
      <w:r w:rsidRPr="000239D0">
        <w:rPr>
          <w:rFonts w:asciiTheme="minorEastAsia" w:eastAsiaTheme="minorEastAsia" w:hAnsiTheme="minorEastAsia"/>
          <w:sz w:val="21"/>
        </w:rPr>
        <w:br w:type="page"/>
      </w: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Cs/>
        </w:rPr>
      </w:pPr>
      <w:bookmarkStart w:id="204" w:name="_Toc219695866"/>
      <w:bookmarkStart w:id="205" w:name="_Toc36452437"/>
      <w:r w:rsidRPr="000239D0">
        <w:rPr>
          <w:rFonts w:asciiTheme="minorEastAsia" w:eastAsiaTheme="minorEastAsia" w:hAnsiTheme="minorEastAsia" w:hint="eastAsia"/>
          <w:b/>
          <w:bCs/>
          <w:kern w:val="44"/>
          <w:sz w:val="28"/>
          <w:szCs w:val="44"/>
        </w:rPr>
        <w:lastRenderedPageBreak/>
        <w:t>二十、对基金份额持有人的服务</w:t>
      </w:r>
      <w:bookmarkEnd w:id="204"/>
      <w:bookmarkEnd w:id="205"/>
    </w:p>
    <w:p w:rsidR="005336CC" w:rsidRPr="000239D0" w:rsidRDefault="005336CC" w:rsidP="000B1E9F">
      <w:pPr>
        <w:pStyle w:val="af1"/>
        <w:snapToGrid w:val="0"/>
        <w:spacing w:line="360" w:lineRule="auto"/>
        <w:ind w:firstLineChars="200"/>
        <w:rPr>
          <w:rFonts w:asciiTheme="minorEastAsia" w:eastAsiaTheme="minorEastAsia" w:hAnsiTheme="minorEastAsia"/>
          <w:b/>
        </w:rPr>
      </w:pPr>
      <w:r w:rsidRPr="000239D0">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5336CC" w:rsidRPr="000239D0" w:rsidRDefault="005336CC" w:rsidP="000B1E9F">
      <w:pPr>
        <w:autoSpaceDE w:val="0"/>
        <w:autoSpaceDN w:val="0"/>
        <w:adjustRightInd w:val="0"/>
        <w:snapToGrid w:val="0"/>
        <w:spacing w:line="360" w:lineRule="auto"/>
        <w:ind w:firstLineChars="100" w:firstLine="210"/>
        <w:rPr>
          <w:rFonts w:asciiTheme="minorEastAsia" w:eastAsiaTheme="minorEastAsia" w:hAnsiTheme="minorEastAsia"/>
          <w:bCs/>
        </w:rPr>
      </w:pPr>
      <w:r w:rsidRPr="000239D0">
        <w:rPr>
          <w:rFonts w:asciiTheme="minorEastAsia" w:eastAsiaTheme="minorEastAsia" w:hAnsiTheme="minorEastAsia" w:hint="eastAsia"/>
          <w:bCs/>
          <w:sz w:val="21"/>
        </w:rPr>
        <w:t>（一）</w:t>
      </w:r>
      <w:r w:rsidRPr="000239D0">
        <w:rPr>
          <w:rFonts w:asciiTheme="minorEastAsia" w:eastAsiaTheme="minorEastAsia" w:hAnsiTheme="minorEastAsia" w:hint="eastAsia"/>
          <w:bCs/>
        </w:rPr>
        <w:t>基金份额持有人投资交易确认服务</w:t>
      </w:r>
    </w:p>
    <w:p w:rsidR="005336CC" w:rsidRPr="000239D0" w:rsidRDefault="005336CC"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注册登记机构保留基金份额持有人名册上列明的所有基金份额持有人的基金交易记录。</w:t>
      </w:r>
    </w:p>
    <w:p w:rsidR="005336CC" w:rsidRPr="000239D0" w:rsidRDefault="005336CC"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基金管理人直销</w:t>
      </w:r>
      <w:r w:rsidR="00E40E54" w:rsidRPr="000239D0">
        <w:rPr>
          <w:rFonts w:asciiTheme="minorEastAsia" w:eastAsiaTheme="minorEastAsia" w:hAnsiTheme="minorEastAsia" w:hint="eastAsia"/>
        </w:rPr>
        <w:t>网点</w:t>
      </w:r>
      <w:r w:rsidRPr="000239D0">
        <w:rPr>
          <w:rFonts w:asciiTheme="minorEastAsia" w:eastAsiaTheme="minorEastAsia" w:hAnsiTheme="minorEastAsia" w:hint="eastAsia"/>
        </w:rPr>
        <w:t>应根据在基金管理人直销</w:t>
      </w:r>
      <w:r w:rsidR="00E40E54" w:rsidRPr="000239D0">
        <w:rPr>
          <w:rFonts w:asciiTheme="minorEastAsia" w:eastAsiaTheme="minorEastAsia" w:hAnsiTheme="minorEastAsia" w:hint="eastAsia"/>
        </w:rPr>
        <w:t>网点</w:t>
      </w:r>
      <w:r w:rsidRPr="000239D0">
        <w:rPr>
          <w:rFonts w:asciiTheme="minorEastAsia" w:eastAsiaTheme="minorEastAsia" w:hAnsiTheme="minorEastAsia" w:hint="eastAsia"/>
        </w:rPr>
        <w:t>进行交易的投资者的要求提</w:t>
      </w:r>
      <w:r w:rsidR="00E40E54" w:rsidRPr="000239D0">
        <w:rPr>
          <w:rFonts w:asciiTheme="minorEastAsia" w:eastAsiaTheme="minorEastAsia" w:hAnsiTheme="minorEastAsia" w:hint="eastAsia"/>
        </w:rPr>
        <w:t>供</w:t>
      </w:r>
      <w:r w:rsidRPr="000239D0">
        <w:rPr>
          <w:rFonts w:asciiTheme="minorEastAsia" w:eastAsiaTheme="minorEastAsia" w:hAnsiTheme="minorEastAsia" w:hint="eastAsia"/>
        </w:rPr>
        <w:t>成交确认单。基金</w:t>
      </w:r>
      <w:r w:rsidR="00050FC3" w:rsidRPr="000239D0">
        <w:rPr>
          <w:rFonts w:asciiTheme="minorEastAsia" w:eastAsiaTheme="minorEastAsia" w:hAnsiTheme="minorEastAsia" w:hint="eastAsia"/>
        </w:rPr>
        <w:t>非直销销售</w:t>
      </w:r>
      <w:r w:rsidRPr="000239D0">
        <w:rPr>
          <w:rFonts w:asciiTheme="minorEastAsia" w:eastAsiaTheme="minorEastAsia" w:hAnsiTheme="minorEastAsia" w:hint="eastAsia"/>
        </w:rPr>
        <w:t>机构应根据在</w:t>
      </w:r>
      <w:r w:rsidR="00050FC3" w:rsidRPr="000239D0">
        <w:rPr>
          <w:rFonts w:asciiTheme="minorEastAsia" w:eastAsiaTheme="minorEastAsia" w:hAnsiTheme="minorEastAsia" w:hint="eastAsia"/>
        </w:rPr>
        <w:t>销售</w:t>
      </w:r>
      <w:r w:rsidRPr="000239D0">
        <w:rPr>
          <w:rFonts w:asciiTheme="minorEastAsia" w:eastAsiaTheme="minorEastAsia" w:hAnsiTheme="minorEastAsia" w:hint="eastAsia"/>
        </w:rPr>
        <w:t>网点进行交易的投资者的要求提</w:t>
      </w:r>
      <w:r w:rsidR="00E40E54" w:rsidRPr="000239D0">
        <w:rPr>
          <w:rFonts w:asciiTheme="minorEastAsia" w:eastAsiaTheme="minorEastAsia" w:hAnsiTheme="minorEastAsia" w:hint="eastAsia"/>
        </w:rPr>
        <w:t>供</w:t>
      </w:r>
      <w:r w:rsidRPr="000239D0">
        <w:rPr>
          <w:rFonts w:asciiTheme="minorEastAsia" w:eastAsiaTheme="minorEastAsia" w:hAnsiTheme="minorEastAsia" w:hint="eastAsia"/>
        </w:rPr>
        <w:t>成交确认单。</w:t>
      </w:r>
    </w:p>
    <w:p w:rsidR="005336CC" w:rsidRPr="000239D0" w:rsidRDefault="005336CC" w:rsidP="000B1E9F">
      <w:pPr>
        <w:autoSpaceDE w:val="0"/>
        <w:autoSpaceDN w:val="0"/>
        <w:adjustRightInd w:val="0"/>
        <w:snapToGrid w:val="0"/>
        <w:spacing w:line="360" w:lineRule="auto"/>
        <w:ind w:firstLineChars="100" w:firstLine="240"/>
        <w:rPr>
          <w:rFonts w:asciiTheme="minorEastAsia" w:eastAsiaTheme="minorEastAsia" w:hAnsiTheme="minorEastAsia"/>
          <w:bCs/>
        </w:rPr>
      </w:pPr>
      <w:r w:rsidRPr="000239D0">
        <w:rPr>
          <w:rFonts w:asciiTheme="minorEastAsia" w:eastAsiaTheme="minorEastAsia" w:hAnsiTheme="minorEastAsia" w:hint="eastAsia"/>
          <w:bCs/>
        </w:rPr>
        <w:t>（二）基金份额持有人交易记录查询服务</w:t>
      </w:r>
    </w:p>
    <w:p w:rsidR="005336CC" w:rsidRPr="000239D0" w:rsidRDefault="005336CC"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本基金份额持有人可通过基金管理人的客户服务中心查询历史交易记录。</w:t>
      </w:r>
    </w:p>
    <w:p w:rsidR="00213377" w:rsidRPr="000239D0" w:rsidRDefault="00124C19" w:rsidP="000B1E9F">
      <w:pPr>
        <w:autoSpaceDE w:val="0"/>
        <w:autoSpaceDN w:val="0"/>
        <w:adjustRightInd w:val="0"/>
        <w:snapToGrid w:val="0"/>
        <w:spacing w:line="360" w:lineRule="auto"/>
        <w:ind w:firstLineChars="100" w:firstLine="240"/>
        <w:rPr>
          <w:rFonts w:asciiTheme="minorEastAsia" w:eastAsiaTheme="minorEastAsia" w:hAnsiTheme="minorEastAsia"/>
          <w:bCs/>
        </w:rPr>
      </w:pPr>
      <w:r w:rsidRPr="000239D0">
        <w:rPr>
          <w:rFonts w:asciiTheme="minorEastAsia" w:eastAsiaTheme="minorEastAsia" w:hAnsiTheme="minorEastAsia" w:hint="eastAsia"/>
          <w:bCs/>
        </w:rPr>
        <w:t>（三）</w:t>
      </w:r>
      <w:r w:rsidR="00213377" w:rsidRPr="000239D0">
        <w:rPr>
          <w:rFonts w:asciiTheme="minorEastAsia" w:eastAsiaTheme="minorEastAsia" w:hAnsiTheme="minorEastAsia" w:hint="eastAsia"/>
          <w:bCs/>
        </w:rPr>
        <w:t>基金份额持有人的对账单服务</w:t>
      </w:r>
    </w:p>
    <w:p w:rsidR="00213377" w:rsidRPr="000239D0" w:rsidRDefault="00213377"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w:t>
      </w:r>
      <w:r w:rsidR="008E4ABA" w:rsidRPr="000239D0">
        <w:rPr>
          <w:rFonts w:asciiTheme="minorEastAsia" w:eastAsiaTheme="minorEastAsia" w:hAnsiTheme="minorEastAsia" w:hint="eastAsia"/>
        </w:rPr>
        <w:t>、</w:t>
      </w:r>
      <w:r w:rsidRPr="000239D0">
        <w:rPr>
          <w:rFonts w:asciiTheme="minorEastAsia" w:eastAsiaTheme="minorEastAsia" w:hAnsiTheme="minorEastAsia" w:hint="eastAsia"/>
        </w:rPr>
        <w:t>基金份额持有人可登录本公司网站（http://www.efunds.com.cn）查阅对账单。</w:t>
      </w:r>
    </w:p>
    <w:p w:rsidR="00213377" w:rsidRPr="000239D0" w:rsidRDefault="00213377" w:rsidP="000B1E9F">
      <w:pPr>
        <w:pStyle w:val="aa"/>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2</w:t>
      </w:r>
      <w:r w:rsidR="008E4ABA" w:rsidRPr="000239D0">
        <w:rPr>
          <w:rFonts w:asciiTheme="minorEastAsia" w:eastAsiaTheme="minorEastAsia" w:hAnsiTheme="minorEastAsia" w:hint="eastAsia"/>
        </w:rPr>
        <w:t>、</w:t>
      </w:r>
      <w:r w:rsidRPr="000239D0">
        <w:rPr>
          <w:rFonts w:asciiTheme="minorEastAsia" w:eastAsiaTheme="minorEastAsia" w:hAnsiTheme="minorEastAsia" w:hint="eastAsia"/>
        </w:rPr>
        <w:t>基金份额持有人也可向本公司定制纸质、电子或短信形式的定期或不定期对账单。</w:t>
      </w:r>
    </w:p>
    <w:p w:rsidR="005336CC" w:rsidRPr="000239D0" w:rsidRDefault="00213377" w:rsidP="000B1E9F">
      <w:pPr>
        <w:pStyle w:val="af1"/>
        <w:snapToGrid w:val="0"/>
        <w:spacing w:line="360" w:lineRule="auto"/>
        <w:ind w:firstLine="0"/>
        <w:rPr>
          <w:rFonts w:asciiTheme="minorEastAsia" w:eastAsiaTheme="minorEastAsia" w:hAnsiTheme="minorEastAsia"/>
        </w:rPr>
      </w:pPr>
      <w:r w:rsidRPr="000239D0">
        <w:rPr>
          <w:rFonts w:asciiTheme="minorEastAsia" w:eastAsiaTheme="minorEastAsia" w:hAnsiTheme="minorEastAsia" w:hint="eastAsia"/>
        </w:rPr>
        <w:t>具体查阅和定制账单的方法可参见本公司网站或拨打客服热线咨询。</w:t>
      </w:r>
    </w:p>
    <w:p w:rsidR="005336CC" w:rsidRPr="000239D0" w:rsidRDefault="005336CC" w:rsidP="000B1E9F">
      <w:pPr>
        <w:autoSpaceDE w:val="0"/>
        <w:autoSpaceDN w:val="0"/>
        <w:adjustRightInd w:val="0"/>
        <w:snapToGrid w:val="0"/>
        <w:spacing w:line="360" w:lineRule="auto"/>
        <w:ind w:firstLineChars="100" w:firstLine="240"/>
        <w:rPr>
          <w:rFonts w:asciiTheme="minorEastAsia" w:eastAsiaTheme="minorEastAsia" w:hAnsiTheme="minorEastAsia"/>
          <w:bCs/>
        </w:rPr>
      </w:pPr>
      <w:r w:rsidRPr="000239D0">
        <w:rPr>
          <w:rFonts w:asciiTheme="minorEastAsia" w:eastAsiaTheme="minorEastAsia" w:hAnsiTheme="minorEastAsia" w:hint="eastAsia"/>
          <w:bCs/>
        </w:rPr>
        <w:t>（</w:t>
      </w:r>
      <w:r w:rsidR="00443B6C" w:rsidRPr="000239D0">
        <w:rPr>
          <w:rFonts w:asciiTheme="minorEastAsia" w:eastAsiaTheme="minorEastAsia" w:hAnsiTheme="minorEastAsia" w:hint="eastAsia"/>
          <w:bCs/>
        </w:rPr>
        <w:t>四</w:t>
      </w:r>
      <w:r w:rsidRPr="000239D0">
        <w:rPr>
          <w:rFonts w:asciiTheme="minorEastAsia" w:eastAsiaTheme="minorEastAsia" w:hAnsiTheme="minorEastAsia" w:hint="eastAsia"/>
          <w:bCs/>
        </w:rPr>
        <w:t>）定期定额投资计划</w:t>
      </w:r>
    </w:p>
    <w:p w:rsidR="00CA41CF" w:rsidRPr="000239D0" w:rsidRDefault="00CA41CF" w:rsidP="000B1E9F">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基金管理人可利用</w:t>
      </w:r>
      <w:r w:rsidR="00050FC3" w:rsidRPr="000239D0">
        <w:rPr>
          <w:rFonts w:asciiTheme="minorEastAsia" w:eastAsiaTheme="minorEastAsia" w:hAnsiTheme="minorEastAsia" w:hint="eastAsia"/>
        </w:rPr>
        <w:t>非直销销售</w:t>
      </w:r>
      <w:r w:rsidRPr="000239D0">
        <w:rPr>
          <w:rFonts w:asciiTheme="minorEastAsia" w:eastAsiaTheme="minorEastAsia" w:hAnsiTheme="minorEastAsia" w:hint="eastAsia"/>
        </w:rPr>
        <w:t>机构网点和</w:t>
      </w:r>
      <w:r w:rsidR="00177141" w:rsidRPr="000239D0">
        <w:rPr>
          <w:rFonts w:asciiTheme="minorEastAsia" w:eastAsiaTheme="minorEastAsia" w:hAnsiTheme="minorEastAsia" w:hint="eastAsia"/>
        </w:rPr>
        <w:t>本公司</w:t>
      </w:r>
      <w:r w:rsidRPr="000239D0">
        <w:rPr>
          <w:rFonts w:asciiTheme="minorEastAsia" w:eastAsiaTheme="minorEastAsia" w:hAnsiTheme="minorEastAsia" w:hint="eastAsia"/>
        </w:rPr>
        <w:t>网上交易系统为投资者提供定期定额投资的服务</w:t>
      </w:r>
      <w:r w:rsidR="00CC0923" w:rsidRPr="000239D0">
        <w:rPr>
          <w:rFonts w:asciiTheme="minorEastAsia" w:eastAsiaTheme="minorEastAsia" w:hAnsiTheme="minorEastAsia" w:hint="eastAsia"/>
        </w:rPr>
        <w:t>（本公司网上交易系统的定期定额投资服务目前仅对个人投资者开通）</w:t>
      </w:r>
      <w:r w:rsidRPr="000239D0">
        <w:rPr>
          <w:rFonts w:asciiTheme="minorEastAsia" w:eastAsiaTheme="minorEastAsia" w:hAnsiTheme="minorEastAsia" w:hint="eastAsia"/>
        </w:rPr>
        <w:t>。通过定期定额投资计划，投资者可以通过固定的渠道，定期定额申购基金份额，具体实施方法见有关公告。</w:t>
      </w:r>
    </w:p>
    <w:p w:rsidR="005336CC" w:rsidRPr="000239D0" w:rsidRDefault="005336CC" w:rsidP="000B1E9F">
      <w:pPr>
        <w:autoSpaceDE w:val="0"/>
        <w:autoSpaceDN w:val="0"/>
        <w:adjustRightInd w:val="0"/>
        <w:snapToGrid w:val="0"/>
        <w:spacing w:line="360" w:lineRule="auto"/>
        <w:ind w:firstLineChars="100" w:firstLine="240"/>
        <w:rPr>
          <w:rFonts w:asciiTheme="minorEastAsia" w:eastAsiaTheme="minorEastAsia" w:hAnsiTheme="minorEastAsia"/>
          <w:bCs/>
        </w:rPr>
      </w:pPr>
      <w:r w:rsidRPr="000239D0">
        <w:rPr>
          <w:rFonts w:asciiTheme="minorEastAsia" w:eastAsiaTheme="minorEastAsia" w:hAnsiTheme="minorEastAsia" w:hint="eastAsia"/>
          <w:bCs/>
        </w:rPr>
        <w:t>（</w:t>
      </w:r>
      <w:r w:rsidR="00443B6C" w:rsidRPr="000239D0">
        <w:rPr>
          <w:rFonts w:asciiTheme="minorEastAsia" w:eastAsiaTheme="minorEastAsia" w:hAnsiTheme="minorEastAsia" w:hint="eastAsia"/>
          <w:bCs/>
        </w:rPr>
        <w:t>五</w:t>
      </w:r>
      <w:r w:rsidRPr="000239D0">
        <w:rPr>
          <w:rFonts w:asciiTheme="minorEastAsia" w:eastAsiaTheme="minorEastAsia" w:hAnsiTheme="minorEastAsia" w:hint="eastAsia"/>
          <w:bCs/>
        </w:rPr>
        <w:t>）咨询服务</w:t>
      </w:r>
    </w:p>
    <w:p w:rsidR="005336CC" w:rsidRPr="000239D0" w:rsidRDefault="008E4ABA" w:rsidP="00AF28A3">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1、</w:t>
      </w:r>
      <w:r w:rsidR="005336CC" w:rsidRPr="000239D0">
        <w:rPr>
          <w:rFonts w:asciiTheme="minorEastAsia" w:eastAsiaTheme="minorEastAsia" w:hAnsiTheme="minorEastAsia" w:hint="eastAsia"/>
        </w:rPr>
        <w:t>客户服务电话</w:t>
      </w:r>
    </w:p>
    <w:p w:rsidR="005336CC" w:rsidRPr="000239D0" w:rsidRDefault="005336CC" w:rsidP="00AF28A3">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投资者如果想了解申购与赎回的交易情况、基金</w:t>
      </w:r>
      <w:r w:rsidR="00177141" w:rsidRPr="000239D0">
        <w:rPr>
          <w:rFonts w:asciiTheme="minorEastAsia" w:eastAsiaTheme="minorEastAsia" w:hAnsiTheme="minorEastAsia" w:hint="eastAsia"/>
        </w:rPr>
        <w:t>账户</w:t>
      </w:r>
      <w:r w:rsidRPr="000239D0">
        <w:rPr>
          <w:rFonts w:asciiTheme="minorEastAsia" w:eastAsiaTheme="minorEastAsia" w:hAnsiTheme="minorEastAsia" w:hint="eastAsia"/>
        </w:rPr>
        <w:t>余额、基金产品与服务等信息，</w:t>
      </w:r>
      <w:r w:rsidR="00890957" w:rsidRPr="000239D0">
        <w:rPr>
          <w:rFonts w:asciiTheme="minorEastAsia" w:eastAsiaTheme="minorEastAsia" w:hAnsiTheme="minorEastAsia" w:hint="eastAsia"/>
        </w:rPr>
        <w:t>或反馈投资过程中需要投诉与建议的情况，</w:t>
      </w:r>
      <w:r w:rsidRPr="000239D0">
        <w:rPr>
          <w:rFonts w:asciiTheme="minorEastAsia" w:eastAsiaTheme="minorEastAsia" w:hAnsiTheme="minorEastAsia" w:hint="eastAsia"/>
        </w:rPr>
        <w:t>可拨打如下电话：</w:t>
      </w:r>
      <w:r w:rsidRPr="000239D0">
        <w:rPr>
          <w:rFonts w:asciiTheme="minorEastAsia" w:eastAsiaTheme="minorEastAsia" w:hAnsiTheme="minorEastAsia"/>
        </w:rPr>
        <w:t>40088</w:t>
      </w:r>
      <w:r w:rsidRPr="000239D0">
        <w:rPr>
          <w:rFonts w:asciiTheme="minorEastAsia" w:eastAsiaTheme="minorEastAsia" w:hAnsiTheme="minorEastAsia" w:hint="eastAsia"/>
        </w:rPr>
        <w:t>18088</w:t>
      </w:r>
      <w:r w:rsidRPr="000239D0">
        <w:rPr>
          <w:rFonts w:asciiTheme="minorEastAsia" w:eastAsiaTheme="minorEastAsia" w:hAnsiTheme="minorEastAsia"/>
        </w:rPr>
        <w:t>（免长途话费）</w:t>
      </w:r>
      <w:r w:rsidRPr="000239D0">
        <w:rPr>
          <w:rFonts w:asciiTheme="minorEastAsia" w:eastAsiaTheme="minorEastAsia" w:hAnsiTheme="minorEastAsia" w:hint="eastAsia"/>
        </w:rPr>
        <w:t>。</w:t>
      </w:r>
      <w:r w:rsidR="00890957" w:rsidRPr="000239D0">
        <w:rPr>
          <w:rFonts w:asciiTheme="minorEastAsia" w:eastAsiaTheme="minorEastAsia" w:hAnsiTheme="minorEastAsia" w:hint="eastAsia"/>
        </w:rPr>
        <w:t>投资者如果认为自己不能准确理解本基金《招募说明书》、《基金合同》的具体内容，也可拨打上述电话详询。</w:t>
      </w:r>
    </w:p>
    <w:p w:rsidR="005336CC" w:rsidRPr="000239D0" w:rsidRDefault="008E4ABA" w:rsidP="00AF28A3">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2、</w:t>
      </w:r>
      <w:r w:rsidR="005336CC" w:rsidRPr="000239D0">
        <w:rPr>
          <w:rFonts w:asciiTheme="minorEastAsia" w:eastAsiaTheme="minorEastAsia" w:hAnsiTheme="minorEastAsia" w:hint="eastAsia"/>
        </w:rPr>
        <w:t>互联网站及电子信箱</w:t>
      </w:r>
    </w:p>
    <w:p w:rsidR="005336CC" w:rsidRPr="000239D0" w:rsidRDefault="005336CC" w:rsidP="00AF28A3">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网址：http://www.efunds.com.cn</w:t>
      </w:r>
    </w:p>
    <w:p w:rsidR="005336CC" w:rsidRPr="000239D0" w:rsidRDefault="005336CC" w:rsidP="00AF28A3">
      <w:pPr>
        <w:pStyle w:val="af1"/>
        <w:snapToGrid w:val="0"/>
        <w:spacing w:line="360" w:lineRule="auto"/>
        <w:ind w:firstLineChars="200"/>
        <w:rPr>
          <w:rFonts w:asciiTheme="minorEastAsia" w:eastAsiaTheme="minorEastAsia" w:hAnsiTheme="minorEastAsia"/>
        </w:rPr>
      </w:pPr>
      <w:r w:rsidRPr="000239D0">
        <w:rPr>
          <w:rFonts w:asciiTheme="minorEastAsia" w:eastAsiaTheme="minorEastAsia" w:hAnsiTheme="minorEastAsia" w:hint="eastAsia"/>
        </w:rPr>
        <w:t>电子信箱：service@efunds.com.cn</w:t>
      </w:r>
    </w:p>
    <w:p w:rsidR="001B2217" w:rsidRPr="000239D0" w:rsidRDefault="001B2217" w:rsidP="00AF28A3">
      <w:pPr>
        <w:pStyle w:val="af1"/>
        <w:snapToGrid w:val="0"/>
        <w:spacing w:line="360" w:lineRule="auto"/>
        <w:ind w:firstLineChars="200"/>
        <w:rPr>
          <w:rFonts w:asciiTheme="minorEastAsia" w:eastAsiaTheme="minorEastAsia" w:hAnsiTheme="minorEastAsia"/>
        </w:rPr>
        <w:sectPr w:rsidR="001B2217" w:rsidRPr="000239D0" w:rsidSect="007D09C8">
          <w:pgSz w:w="11906" w:h="16838" w:code="9"/>
          <w:pgMar w:top="1701" w:right="1301" w:bottom="1701" w:left="2268" w:header="1134" w:footer="1247" w:gutter="0"/>
          <w:cols w:space="425"/>
          <w:docGrid w:type="lines" w:linePitch="447"/>
        </w:sectPr>
      </w:pPr>
    </w:p>
    <w:p w:rsidR="00C32233"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rPr>
      </w:pPr>
      <w:bookmarkStart w:id="206" w:name="_Toc219695867"/>
      <w:bookmarkStart w:id="207" w:name="_Toc36452438"/>
      <w:r w:rsidRPr="000239D0">
        <w:rPr>
          <w:rFonts w:asciiTheme="minorEastAsia" w:eastAsiaTheme="minorEastAsia" w:hAnsiTheme="minorEastAsia" w:hint="eastAsia"/>
          <w:b/>
          <w:bCs/>
          <w:kern w:val="44"/>
          <w:sz w:val="28"/>
          <w:szCs w:val="44"/>
        </w:rPr>
        <w:lastRenderedPageBreak/>
        <w:t>二十一、其他应披露事项</w:t>
      </w:r>
      <w:bookmarkEnd w:id="206"/>
      <w:bookmarkEnd w:id="207"/>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701"/>
      </w:tblGrid>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6A02B7" w:rsidRPr="000239D0" w:rsidRDefault="00D82F63" w:rsidP="000B1E9F">
            <w:pPr>
              <w:spacing w:line="360" w:lineRule="auto"/>
              <w:ind w:firstLine="42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公告事项</w:t>
            </w:r>
          </w:p>
        </w:tc>
        <w:tc>
          <w:tcPr>
            <w:tcW w:w="1701" w:type="dxa"/>
            <w:tcBorders>
              <w:top w:val="single" w:sz="4" w:space="0" w:color="auto"/>
              <w:left w:val="single" w:sz="4" w:space="0" w:color="auto"/>
              <w:bottom w:val="single" w:sz="4" w:space="0" w:color="auto"/>
              <w:right w:val="single" w:sz="4" w:space="0" w:color="auto"/>
            </w:tcBorders>
            <w:vAlign w:val="center"/>
          </w:tcPr>
          <w:p w:rsidR="006A02B7" w:rsidRPr="000239D0" w:rsidRDefault="00D82F63" w:rsidP="000B1E9F">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披露日期</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易方达基金管理有限公司关于调整转换业务货币市场基金未付收益支付规则的公告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2019-06-20</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易方达基金管理有限公司关于旗下部分开放式基金参加佛山农商银行费率优惠活动的公告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2019-06-21</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易方达基金管理有限公司关于旗下部分公开募集证券投资基金可投资于科创板股票的公告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2019-06-22</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易方达基金管理有限公司关于旗下部分开放式基金参加德邦证券费率优惠活动的公告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2019-06-24</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易方达基金管理有限公司关于公司旗下部分基金估值调整情况的公告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2019-06-26</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易方达基金管理有限公司关于旗下部分开放式基金参加长城国瑞证券费率优惠活动的公告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2019-06-28</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易方达基金管理有限公司关于旗下部分开放式基金参加云南红塔银行费率优惠活动的公告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2019-07-05</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易方达基金管理有限公司关于旗下部分开放式基金参加安信证券定期定额投资费率优惠活动的公告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2019-07-15</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易方达基金管理有限公司关于旗下部分开放式基金参加红塔证券费率优惠活动的公告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2019-07-15</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易方达基金管理有限公司关于旗下部分开放式基金参加海通证券费率优惠活动的公告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2019-08-12</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易方达基金管理有限公司关于旗下部分开放式基金参加销售机构申购费率优惠活动的公告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2019-08-13</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易方达基金管理有限公司关于暂停北京中期时代基金销售有限公司办理旗下基金相关销售业务的公告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2019-08-13</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易方达基金管理有限公司关于暂停北京加和基金销售有限公司办理旗下基金相关销售业务的公告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2019-08-14</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易方达基金管理有限公司关于暂停上海凯石财富基金销售有限公司办理旗下基金相关销售业务的公告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2019-08-14</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易方达基金管理有限公司关于暂停深圳宜投基金销售有限公司办理旗下基金相关销售业务的公告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2019-08-14</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易方达基金管理有限公司关于暂停厦门市鑫鼎盛控股有限公司办理旗</w:t>
            </w:r>
            <w:r w:rsidRPr="000239D0">
              <w:rPr>
                <w:rFonts w:asciiTheme="minorEastAsia" w:eastAsiaTheme="minorEastAsia" w:hAnsiTheme="minorEastAsia" w:hint="eastAsia"/>
                <w:sz w:val="21"/>
                <w:szCs w:val="21"/>
              </w:rPr>
              <w:lastRenderedPageBreak/>
              <w:t>下基金相关销售业务的公告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lastRenderedPageBreak/>
              <w:t>2019-08-14</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易方达基金管理有限公司关于旗下部分开放式基金参加潍坊银行费率优惠活动的公告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2019-08-26</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易方达策略成长证券投资基金分红公告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2019-10-14</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易方达基金管理有限公司旗下基金季度报告提示性公告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2019-10-24</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易方达基金管理有限公司旗下部分开放式基金参加方正证券费率优惠活动的公告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2019-11-08</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易方达基金管理有限公司旗下部分开放式基金增加中邮证券为销售机构的公告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2019-12-13</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易方达基金管理有限公司关于公司旗下部分基金估值调整情况的公告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2019-12-17</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易方达基金管理有限公司旗下部分开放式基金参加中国邮政储蓄银行个人网上银行和手机银行申购费率优惠活动的公告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2019-12-30</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易方达基金管理有限公司关于公司股权变更的公告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2019-12-31</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易方达基金管理有限公司关于易方达策略成长证券投资基金根据《公开募集证券投资基金信息披露管理办法》修订基金合同、托管协议部分条款的公告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2019-12-31</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易方达基金管理有限公司旗下部分开放式基金参加交通银行手机银行费率优惠活动的公告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2019-12-31</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易方达基金管理有限公司旗下部分开放式基金参加昆仑银行费率优惠活动的公告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2019-12-31</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易方达基金管理有限公司旗下部分开放式基金参加苏州银行费率优惠活动的公告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2019-12-31</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易方达基金管理有限公司旗下部分开放式基金参加烟台银行定期定额投资费率优惠活动的公告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2019-12-31</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易方达基金管理有限公司旗下部分开放式基金参加中国工商银行“2020倾心回馈”基金定期定额投资费率优惠活动的公告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2019-12-31</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易方达基金管理有限公司旗下部分开放式基金参加中国工商银行个人电子银行渠道申购费率优惠活动的公告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2019-12-31</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易方达基金管理有限公司旗下部分开放式基金参加中国农业银行费率优惠活动的公告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2020-01-06</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易方达策略成长证券投资基金分红公告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2020-01-10</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易方达基金管理有限公司旗下基金2019年第4季度报告提示性公告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2020-01-18</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lastRenderedPageBreak/>
              <w:t>易方达基金管理有限公司旗下部分开放式基金参加泉州银行费率优惠活动的公告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2020-01-23</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易方达基金管理有限公司关于旗下基金2020年1月31日不开放申购、赎回、转换、定期定额投资等业务的提示性公告</w:t>
            </w:r>
          </w:p>
        </w:tc>
        <w:tc>
          <w:tcPr>
            <w:tcW w:w="1701" w:type="dxa"/>
            <w:tcBorders>
              <w:top w:val="single" w:sz="4" w:space="0" w:color="auto"/>
              <w:left w:val="single" w:sz="4" w:space="0" w:color="auto"/>
              <w:bottom w:val="single" w:sz="4" w:space="0" w:color="auto"/>
              <w:right w:val="single" w:sz="4" w:space="0" w:color="auto"/>
            </w:tcBorders>
            <w:vAlign w:val="center"/>
          </w:tcPr>
          <w:p w:rsidR="00D82F63" w:rsidRPr="000239D0" w:rsidRDefault="00D82F63"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2020-01-30</w:t>
            </w:r>
          </w:p>
        </w:tc>
      </w:tr>
      <w:tr w:rsidR="00FC46C4" w:rsidRPr="000239D0" w:rsidTr="00AF28A3">
        <w:tc>
          <w:tcPr>
            <w:tcW w:w="6536" w:type="dxa"/>
            <w:tcBorders>
              <w:top w:val="single" w:sz="4" w:space="0" w:color="auto"/>
              <w:left w:val="single" w:sz="4" w:space="0" w:color="auto"/>
              <w:bottom w:val="single" w:sz="4" w:space="0" w:color="auto"/>
              <w:right w:val="single" w:sz="4" w:space="0" w:color="auto"/>
            </w:tcBorders>
            <w:vAlign w:val="center"/>
          </w:tcPr>
          <w:p w:rsidR="00FC46C4" w:rsidRPr="000239D0" w:rsidRDefault="00FC46C4" w:rsidP="00FC46C4">
            <w:pPr>
              <w:spacing w:line="360" w:lineRule="auto"/>
              <w:ind w:firstLineChars="0" w:firstLine="0"/>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易方达基金管理有限公司及全资子公司投资旗下基金相关事宜的公告</w:t>
            </w:r>
          </w:p>
        </w:tc>
        <w:tc>
          <w:tcPr>
            <w:tcW w:w="1701" w:type="dxa"/>
            <w:tcBorders>
              <w:top w:val="single" w:sz="4" w:space="0" w:color="auto"/>
              <w:left w:val="single" w:sz="4" w:space="0" w:color="auto"/>
              <w:bottom w:val="single" w:sz="4" w:space="0" w:color="auto"/>
              <w:right w:val="single" w:sz="4" w:space="0" w:color="auto"/>
            </w:tcBorders>
            <w:vAlign w:val="center"/>
          </w:tcPr>
          <w:p w:rsidR="00FC46C4" w:rsidRPr="000239D0" w:rsidRDefault="00FC46C4" w:rsidP="00FC46C4">
            <w:pPr>
              <w:spacing w:line="360" w:lineRule="auto"/>
              <w:ind w:firstLineChars="0" w:firstLine="0"/>
              <w:jc w:val="center"/>
              <w:rPr>
                <w:rFonts w:asciiTheme="minorEastAsia" w:eastAsiaTheme="minorEastAsia" w:hAnsiTheme="minorEastAsia"/>
                <w:sz w:val="21"/>
                <w:szCs w:val="21"/>
              </w:rPr>
            </w:pPr>
            <w:r w:rsidRPr="000239D0">
              <w:rPr>
                <w:rFonts w:asciiTheme="minorEastAsia" w:eastAsiaTheme="minorEastAsia" w:hAnsiTheme="minorEastAsia" w:hint="eastAsia"/>
                <w:sz w:val="21"/>
                <w:szCs w:val="21"/>
              </w:rPr>
              <w:t>2020-02-04</w:t>
            </w:r>
          </w:p>
        </w:tc>
      </w:tr>
    </w:tbl>
    <w:p w:rsidR="00B52AD3" w:rsidRPr="000239D0" w:rsidRDefault="00E0276B" w:rsidP="000B1E9F">
      <w:pPr>
        <w:pStyle w:val="a7"/>
        <w:tabs>
          <w:tab w:val="num" w:pos="1695"/>
        </w:tabs>
        <w:snapToGrid w:val="0"/>
        <w:spacing w:line="360" w:lineRule="auto"/>
        <w:ind w:firstLineChars="0" w:firstLine="0"/>
        <w:rPr>
          <w:rFonts w:asciiTheme="minorEastAsia" w:eastAsiaTheme="minorEastAsia" w:hAnsiTheme="minorEastAsia"/>
          <w:sz w:val="21"/>
        </w:rPr>
      </w:pPr>
      <w:r w:rsidRPr="000239D0">
        <w:rPr>
          <w:rFonts w:asciiTheme="minorEastAsia" w:eastAsiaTheme="minorEastAsia" w:hAnsiTheme="minorEastAsia" w:hint="eastAsia"/>
          <w:sz w:val="21"/>
        </w:rPr>
        <w:t>注：以上公告事项披露在指定媒介及基金管理人网站上。</w:t>
      </w:r>
    </w:p>
    <w:p w:rsidR="00744FC2" w:rsidRPr="000239D0" w:rsidRDefault="00744FC2" w:rsidP="000B1E9F">
      <w:pPr>
        <w:pStyle w:val="a7"/>
        <w:tabs>
          <w:tab w:val="num" w:pos="1695"/>
        </w:tabs>
        <w:snapToGrid w:val="0"/>
        <w:spacing w:line="360" w:lineRule="auto"/>
        <w:ind w:firstLineChars="0" w:firstLine="0"/>
        <w:rPr>
          <w:rFonts w:asciiTheme="minorEastAsia" w:eastAsiaTheme="minorEastAsia" w:hAnsiTheme="minorEastAsia"/>
          <w:bCs/>
          <w:szCs w:val="20"/>
        </w:rPr>
      </w:pPr>
    </w:p>
    <w:p w:rsidR="002E15CE" w:rsidRPr="000239D0" w:rsidRDefault="002E15CE" w:rsidP="000B1E9F">
      <w:pPr>
        <w:pStyle w:val="a7"/>
        <w:tabs>
          <w:tab w:val="num" w:pos="1695"/>
        </w:tabs>
        <w:snapToGrid w:val="0"/>
        <w:spacing w:line="360" w:lineRule="auto"/>
        <w:ind w:firstLineChars="0" w:firstLine="0"/>
        <w:rPr>
          <w:rFonts w:asciiTheme="minorEastAsia" w:eastAsiaTheme="minorEastAsia" w:hAnsiTheme="minorEastAsia"/>
          <w:bCs/>
          <w:szCs w:val="20"/>
        </w:rPr>
      </w:pPr>
    </w:p>
    <w:p w:rsidR="002E15CE" w:rsidRPr="000239D0" w:rsidRDefault="002E15CE" w:rsidP="000B1E9F">
      <w:pPr>
        <w:pStyle w:val="a7"/>
        <w:tabs>
          <w:tab w:val="num" w:pos="1695"/>
        </w:tabs>
        <w:snapToGrid w:val="0"/>
        <w:spacing w:line="360" w:lineRule="auto"/>
        <w:ind w:firstLineChars="0" w:firstLine="0"/>
        <w:rPr>
          <w:rFonts w:asciiTheme="minorEastAsia" w:eastAsiaTheme="minorEastAsia" w:hAnsiTheme="minorEastAsia"/>
          <w:bCs/>
          <w:szCs w:val="20"/>
        </w:rPr>
      </w:pPr>
    </w:p>
    <w:p w:rsidR="00404236" w:rsidRPr="000239D0" w:rsidRDefault="00404236" w:rsidP="000B1E9F">
      <w:pPr>
        <w:pStyle w:val="a7"/>
        <w:tabs>
          <w:tab w:val="num" w:pos="1695"/>
        </w:tabs>
        <w:snapToGrid w:val="0"/>
        <w:spacing w:line="360" w:lineRule="auto"/>
        <w:ind w:firstLineChars="0" w:firstLine="0"/>
        <w:rPr>
          <w:rFonts w:asciiTheme="minorEastAsia" w:eastAsiaTheme="minorEastAsia" w:hAnsiTheme="minorEastAsia"/>
          <w:bCs/>
          <w:szCs w:val="20"/>
        </w:rPr>
      </w:pPr>
    </w:p>
    <w:p w:rsidR="00404236" w:rsidRPr="000239D0" w:rsidRDefault="00404236" w:rsidP="000B1E9F">
      <w:pPr>
        <w:pStyle w:val="a7"/>
        <w:tabs>
          <w:tab w:val="num" w:pos="1695"/>
        </w:tabs>
        <w:snapToGrid w:val="0"/>
        <w:spacing w:line="360" w:lineRule="auto"/>
        <w:ind w:firstLineChars="0" w:firstLine="0"/>
        <w:rPr>
          <w:rFonts w:asciiTheme="minorEastAsia" w:eastAsiaTheme="minorEastAsia" w:hAnsiTheme="minorEastAsia"/>
          <w:bCs/>
          <w:szCs w:val="20"/>
        </w:rPr>
      </w:pPr>
    </w:p>
    <w:p w:rsidR="00404236" w:rsidRPr="000239D0" w:rsidRDefault="00404236" w:rsidP="000B1E9F">
      <w:pPr>
        <w:pStyle w:val="a7"/>
        <w:tabs>
          <w:tab w:val="num" w:pos="1695"/>
        </w:tabs>
        <w:snapToGrid w:val="0"/>
        <w:spacing w:line="360" w:lineRule="auto"/>
        <w:ind w:firstLineChars="0" w:firstLine="0"/>
        <w:rPr>
          <w:rFonts w:asciiTheme="minorEastAsia" w:eastAsiaTheme="minorEastAsia" w:hAnsiTheme="minorEastAsia"/>
          <w:bCs/>
          <w:szCs w:val="20"/>
        </w:rPr>
      </w:pPr>
    </w:p>
    <w:p w:rsidR="001B63A4" w:rsidRPr="000239D0" w:rsidRDefault="001B63A4" w:rsidP="000B1E9F">
      <w:pPr>
        <w:pStyle w:val="a7"/>
        <w:tabs>
          <w:tab w:val="num" w:pos="1695"/>
        </w:tabs>
        <w:snapToGrid w:val="0"/>
        <w:spacing w:line="360" w:lineRule="auto"/>
        <w:ind w:firstLineChars="0" w:firstLine="0"/>
        <w:rPr>
          <w:rFonts w:asciiTheme="minorEastAsia" w:eastAsiaTheme="minorEastAsia" w:hAnsiTheme="minorEastAsia"/>
          <w:bCs/>
          <w:szCs w:val="20"/>
        </w:rPr>
        <w:sectPr w:rsidR="001B63A4" w:rsidRPr="000239D0" w:rsidSect="007D09C8">
          <w:pgSz w:w="11906" w:h="16838" w:code="9"/>
          <w:pgMar w:top="1701" w:right="1301" w:bottom="1701" w:left="2268" w:header="1134" w:footer="1247" w:gutter="0"/>
          <w:cols w:space="425"/>
          <w:docGrid w:type="lines" w:linePitch="447"/>
        </w:sect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Cs/>
          <w:szCs w:val="20"/>
        </w:rPr>
      </w:pPr>
      <w:bookmarkStart w:id="208" w:name="_Toc219695868"/>
      <w:bookmarkStart w:id="209" w:name="_Toc36452439"/>
      <w:r w:rsidRPr="000239D0">
        <w:rPr>
          <w:rFonts w:asciiTheme="minorEastAsia" w:eastAsiaTheme="minorEastAsia" w:hAnsiTheme="minorEastAsia" w:hint="eastAsia"/>
          <w:b/>
          <w:bCs/>
          <w:kern w:val="44"/>
          <w:sz w:val="28"/>
          <w:szCs w:val="44"/>
        </w:rPr>
        <w:lastRenderedPageBreak/>
        <w:t>二十二、招募说明书的存放及查阅方式</w:t>
      </w:r>
      <w:bookmarkEnd w:id="208"/>
      <w:bookmarkEnd w:id="209"/>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本招募说明书存放在基金管理人、基金托管人及基金</w:t>
      </w:r>
      <w:r w:rsidR="004C4C3D" w:rsidRPr="000239D0">
        <w:rPr>
          <w:rFonts w:asciiTheme="minorEastAsia" w:eastAsiaTheme="minorEastAsia" w:hAnsiTheme="minorEastAsia" w:hint="eastAsia"/>
          <w:sz w:val="21"/>
        </w:rPr>
        <w:t>销售</w:t>
      </w:r>
      <w:r w:rsidRPr="000239D0">
        <w:rPr>
          <w:rFonts w:asciiTheme="minorEastAsia" w:eastAsiaTheme="minorEastAsia" w:hAnsiTheme="minorEastAsia" w:hint="eastAsia"/>
          <w:sz w:val="21"/>
        </w:rPr>
        <w:t>机构住所，投资者可在营业时间免费查阅，也可按工本费购买复印件。</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基金管理人和基金托管人保证文本的内容与公告的内容完全一致。</w:t>
      </w: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2E15CE" w:rsidRPr="000239D0" w:rsidRDefault="002E15CE" w:rsidP="000B1E9F">
      <w:pPr>
        <w:snapToGrid w:val="0"/>
        <w:spacing w:line="360" w:lineRule="auto"/>
        <w:ind w:firstLine="420"/>
        <w:rPr>
          <w:rFonts w:asciiTheme="minorEastAsia" w:eastAsiaTheme="minorEastAsia" w:hAnsiTheme="minorEastAsia"/>
          <w:sz w:val="21"/>
        </w:rPr>
      </w:pPr>
    </w:p>
    <w:p w:rsidR="005336CC" w:rsidRPr="000239D0" w:rsidRDefault="005336CC" w:rsidP="000B1E9F">
      <w:pPr>
        <w:snapToGrid w:val="0"/>
        <w:spacing w:line="360" w:lineRule="auto"/>
        <w:ind w:firstLine="480"/>
        <w:rPr>
          <w:rFonts w:asciiTheme="minorEastAsia" w:eastAsiaTheme="minorEastAsia" w:hAnsiTheme="minorEastAsia"/>
        </w:rPr>
      </w:pPr>
    </w:p>
    <w:p w:rsidR="005336CC" w:rsidRPr="000239D0" w:rsidRDefault="005336CC" w:rsidP="000B1E9F">
      <w:pPr>
        <w:pStyle w:val="1"/>
        <w:keepLines/>
        <w:snapToGrid w:val="0"/>
        <w:spacing w:beforeLines="0" w:afterLines="0" w:line="360" w:lineRule="auto"/>
        <w:ind w:firstLineChars="0" w:firstLine="0"/>
        <w:rPr>
          <w:rFonts w:asciiTheme="minorEastAsia" w:eastAsiaTheme="minorEastAsia" w:hAnsiTheme="minorEastAsia"/>
          <w:bCs/>
          <w:szCs w:val="20"/>
        </w:rPr>
      </w:pPr>
      <w:bookmarkStart w:id="210" w:name="_Toc219695869"/>
      <w:bookmarkStart w:id="211" w:name="_Toc36452440"/>
      <w:bookmarkStart w:id="212" w:name="_GoBack"/>
      <w:bookmarkEnd w:id="212"/>
      <w:r w:rsidRPr="000239D0">
        <w:rPr>
          <w:rFonts w:asciiTheme="minorEastAsia" w:eastAsiaTheme="minorEastAsia" w:hAnsiTheme="minorEastAsia" w:hint="eastAsia"/>
          <w:b/>
          <w:bCs/>
          <w:kern w:val="44"/>
          <w:sz w:val="28"/>
          <w:szCs w:val="44"/>
        </w:rPr>
        <w:lastRenderedPageBreak/>
        <w:t>二十三、备查文件</w:t>
      </w:r>
      <w:bookmarkEnd w:id="210"/>
      <w:bookmarkEnd w:id="211"/>
    </w:p>
    <w:p w:rsidR="005336CC" w:rsidRPr="000239D0" w:rsidRDefault="007B7F8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1、</w:t>
      </w:r>
      <w:r w:rsidR="005336CC" w:rsidRPr="000239D0">
        <w:rPr>
          <w:rFonts w:asciiTheme="minorEastAsia" w:eastAsiaTheme="minorEastAsia" w:hAnsiTheme="minorEastAsia" w:hint="eastAsia"/>
          <w:sz w:val="21"/>
        </w:rPr>
        <w:t>中国证监会批准易方达策略成长证券投资基金设立的文件；</w:t>
      </w:r>
    </w:p>
    <w:p w:rsidR="005336CC" w:rsidRPr="000239D0" w:rsidRDefault="007B7F8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2、</w:t>
      </w:r>
      <w:r w:rsidR="005336CC" w:rsidRPr="000239D0">
        <w:rPr>
          <w:rFonts w:asciiTheme="minorEastAsia" w:eastAsiaTheme="minorEastAsia" w:hAnsiTheme="minorEastAsia" w:hint="eastAsia"/>
          <w:sz w:val="21"/>
        </w:rPr>
        <w:t>《易方达策略成长证券投资基金基金合同》；</w:t>
      </w:r>
    </w:p>
    <w:p w:rsidR="005336CC" w:rsidRPr="000239D0" w:rsidRDefault="007B7F8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3、</w:t>
      </w:r>
      <w:r w:rsidR="005336CC" w:rsidRPr="000239D0">
        <w:rPr>
          <w:rFonts w:asciiTheme="minorEastAsia" w:eastAsiaTheme="minorEastAsia" w:hAnsiTheme="minorEastAsia" w:hint="eastAsia"/>
          <w:sz w:val="21"/>
        </w:rPr>
        <w:t>《易方达策略成长证券投资基金托管协议》；</w:t>
      </w:r>
    </w:p>
    <w:p w:rsidR="005336CC" w:rsidRPr="000239D0" w:rsidRDefault="007B7F8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4、</w:t>
      </w:r>
      <w:r w:rsidR="005336CC" w:rsidRPr="000239D0">
        <w:rPr>
          <w:rFonts w:asciiTheme="minorEastAsia" w:eastAsiaTheme="minorEastAsia" w:hAnsiTheme="minorEastAsia" w:hint="eastAsia"/>
          <w:sz w:val="21"/>
        </w:rPr>
        <w:t>《易方达基金管理有限公司开放式基金业务规则》；</w:t>
      </w:r>
    </w:p>
    <w:p w:rsidR="005336CC" w:rsidRPr="000239D0" w:rsidRDefault="007B7F8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5、</w:t>
      </w:r>
      <w:r w:rsidR="005336CC" w:rsidRPr="000239D0">
        <w:rPr>
          <w:rFonts w:asciiTheme="minorEastAsia" w:eastAsiaTheme="minorEastAsia" w:hAnsiTheme="minorEastAsia" w:hint="eastAsia"/>
          <w:sz w:val="21"/>
        </w:rPr>
        <w:t>法律意见书；</w:t>
      </w:r>
    </w:p>
    <w:p w:rsidR="005336CC" w:rsidRPr="000239D0" w:rsidRDefault="007B7F8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6、</w:t>
      </w:r>
      <w:r w:rsidR="005336CC" w:rsidRPr="000239D0">
        <w:rPr>
          <w:rFonts w:asciiTheme="minorEastAsia" w:eastAsiaTheme="minorEastAsia" w:hAnsiTheme="minorEastAsia" w:hint="eastAsia"/>
          <w:sz w:val="21"/>
        </w:rPr>
        <w:t>基金管理人业务资格批件、营业执照；</w:t>
      </w:r>
    </w:p>
    <w:p w:rsidR="005336CC" w:rsidRPr="000239D0" w:rsidRDefault="007B7F88"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7、</w:t>
      </w:r>
      <w:r w:rsidR="005336CC" w:rsidRPr="000239D0">
        <w:rPr>
          <w:rFonts w:asciiTheme="minorEastAsia" w:eastAsiaTheme="minorEastAsia" w:hAnsiTheme="minorEastAsia" w:hint="eastAsia"/>
          <w:sz w:val="21"/>
        </w:rPr>
        <w:t>基金托管人业务资格批件、营业执照。</w:t>
      </w:r>
    </w:p>
    <w:p w:rsidR="005336CC" w:rsidRPr="000239D0" w:rsidRDefault="005336CC" w:rsidP="000B1E9F">
      <w:pPr>
        <w:snapToGrid w:val="0"/>
        <w:spacing w:line="360" w:lineRule="auto"/>
        <w:ind w:firstLine="420"/>
        <w:rPr>
          <w:rFonts w:asciiTheme="minorEastAsia" w:eastAsiaTheme="minorEastAsia" w:hAnsiTheme="minorEastAsia"/>
          <w:sz w:val="21"/>
        </w:rPr>
      </w:pPr>
      <w:r w:rsidRPr="000239D0">
        <w:rPr>
          <w:rFonts w:asciiTheme="minorEastAsia" w:eastAsiaTheme="minorEastAsia" w:hAnsiTheme="minorEastAsia" w:hint="eastAsia"/>
          <w:sz w:val="21"/>
        </w:rPr>
        <w:t>存放地点：基金管理人、基金托管人处</w:t>
      </w:r>
    </w:p>
    <w:p w:rsidR="005336CC" w:rsidRPr="000239D0" w:rsidRDefault="005336CC" w:rsidP="000B1E9F">
      <w:pPr>
        <w:pStyle w:val="a7"/>
        <w:snapToGrid w:val="0"/>
        <w:spacing w:line="360" w:lineRule="auto"/>
        <w:ind w:firstLine="420"/>
        <w:rPr>
          <w:rFonts w:asciiTheme="minorEastAsia" w:eastAsiaTheme="minorEastAsia" w:hAnsiTheme="minorEastAsia"/>
        </w:rPr>
      </w:pPr>
      <w:r w:rsidRPr="000239D0">
        <w:rPr>
          <w:rFonts w:asciiTheme="minorEastAsia" w:eastAsiaTheme="minorEastAsia" w:hAnsiTheme="minorEastAsia" w:hint="eastAsia"/>
          <w:sz w:val="21"/>
        </w:rPr>
        <w:t>查阅方式：投资者可在营业时间免费查阅，也可按工本费购买复印件。</w:t>
      </w:r>
    </w:p>
    <w:p w:rsidR="00986710" w:rsidRPr="000239D0" w:rsidRDefault="00986710" w:rsidP="000B1E9F">
      <w:pPr>
        <w:snapToGrid w:val="0"/>
        <w:spacing w:line="360" w:lineRule="auto"/>
        <w:ind w:firstLine="480"/>
        <w:jc w:val="right"/>
        <w:rPr>
          <w:rFonts w:asciiTheme="minorEastAsia" w:eastAsiaTheme="minorEastAsia" w:hAnsiTheme="minorEastAsia"/>
        </w:rPr>
      </w:pPr>
    </w:p>
    <w:p w:rsidR="008E4ABA" w:rsidRPr="000239D0" w:rsidRDefault="008E4ABA" w:rsidP="000B1E9F">
      <w:pPr>
        <w:snapToGrid w:val="0"/>
        <w:spacing w:line="360" w:lineRule="auto"/>
        <w:ind w:firstLine="480"/>
        <w:jc w:val="right"/>
        <w:rPr>
          <w:rFonts w:asciiTheme="minorEastAsia" w:eastAsiaTheme="minorEastAsia" w:hAnsiTheme="minorEastAsia"/>
        </w:rPr>
      </w:pPr>
    </w:p>
    <w:p w:rsidR="00713126" w:rsidRPr="000239D0" w:rsidRDefault="007578E8" w:rsidP="000B1E9F">
      <w:pPr>
        <w:pStyle w:val="a7"/>
        <w:snapToGrid w:val="0"/>
        <w:spacing w:line="360" w:lineRule="auto"/>
        <w:ind w:firstLine="420"/>
        <w:jc w:val="right"/>
        <w:rPr>
          <w:rFonts w:asciiTheme="minorEastAsia" w:eastAsiaTheme="minorEastAsia" w:hAnsiTheme="minorEastAsia"/>
          <w:sz w:val="21"/>
        </w:rPr>
      </w:pPr>
      <w:bookmarkStart w:id="213" w:name="_PictureBullets"/>
      <w:bookmarkEnd w:id="213"/>
      <w:r w:rsidRPr="000239D0">
        <w:rPr>
          <w:rFonts w:asciiTheme="minorEastAsia" w:eastAsiaTheme="minorEastAsia" w:hAnsiTheme="minorEastAsia" w:hint="eastAsia"/>
          <w:sz w:val="21"/>
        </w:rPr>
        <w:t>易方达基金管理有限公司</w:t>
      </w:r>
    </w:p>
    <w:p w:rsidR="007578E8" w:rsidRPr="000239D0" w:rsidRDefault="00D82F63" w:rsidP="000B1E9F">
      <w:pPr>
        <w:pStyle w:val="a7"/>
        <w:snapToGrid w:val="0"/>
        <w:spacing w:line="360" w:lineRule="auto"/>
        <w:ind w:right="315" w:firstLine="420"/>
        <w:jc w:val="right"/>
        <w:rPr>
          <w:rFonts w:asciiTheme="minorEastAsia" w:eastAsiaTheme="minorEastAsia" w:hAnsiTheme="minorEastAsia"/>
          <w:sz w:val="21"/>
        </w:rPr>
      </w:pPr>
      <w:r w:rsidRPr="000239D0">
        <w:rPr>
          <w:rFonts w:asciiTheme="minorEastAsia" w:eastAsiaTheme="minorEastAsia" w:hAnsiTheme="minorEastAsia"/>
          <w:sz w:val="21"/>
        </w:rPr>
        <w:t>2020年</w:t>
      </w:r>
      <w:r w:rsidR="00025B37" w:rsidRPr="000239D0">
        <w:rPr>
          <w:rFonts w:asciiTheme="minorEastAsia" w:eastAsiaTheme="minorEastAsia" w:hAnsiTheme="minorEastAsia"/>
          <w:sz w:val="21"/>
        </w:rPr>
        <w:t>7</w:t>
      </w:r>
      <w:r w:rsidRPr="000239D0">
        <w:rPr>
          <w:rFonts w:asciiTheme="minorEastAsia" w:eastAsiaTheme="minorEastAsia" w:hAnsiTheme="minorEastAsia"/>
          <w:sz w:val="21"/>
        </w:rPr>
        <w:t>月</w:t>
      </w:r>
      <w:r w:rsidR="00D75C1A" w:rsidRPr="000239D0">
        <w:rPr>
          <w:rFonts w:asciiTheme="minorEastAsia" w:eastAsiaTheme="minorEastAsia" w:hAnsiTheme="minorEastAsia"/>
          <w:sz w:val="21"/>
        </w:rPr>
        <w:t>1</w:t>
      </w:r>
      <w:r w:rsidR="00025B37" w:rsidRPr="000239D0">
        <w:rPr>
          <w:rFonts w:asciiTheme="minorEastAsia" w:eastAsiaTheme="minorEastAsia" w:hAnsiTheme="minorEastAsia"/>
          <w:sz w:val="21"/>
        </w:rPr>
        <w:t>5</w:t>
      </w:r>
      <w:r w:rsidRPr="000239D0">
        <w:rPr>
          <w:rFonts w:asciiTheme="minorEastAsia" w:eastAsiaTheme="minorEastAsia" w:hAnsiTheme="minorEastAsia"/>
          <w:sz w:val="21"/>
        </w:rPr>
        <w:t>日</w:t>
      </w:r>
    </w:p>
    <w:sectPr w:rsidR="007578E8" w:rsidRPr="000239D0" w:rsidSect="007D09C8">
      <w:pgSz w:w="11906" w:h="16838" w:code="9"/>
      <w:pgMar w:top="1701" w:right="1301" w:bottom="1701" w:left="2268" w:header="1134" w:footer="1247" w:gutter="0"/>
      <w:cols w:space="425"/>
      <w:docGrid w:type="lines" w:linePitch="44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56" w:rsidRDefault="00F52756">
      <w:pPr>
        <w:ind w:firstLine="480"/>
      </w:pPr>
      <w:r>
        <w:separator/>
      </w:r>
    </w:p>
    <w:p w:rsidR="00F52756" w:rsidRDefault="00F52756" w:rsidP="00F90B20">
      <w:pPr>
        <w:ind w:firstLine="480"/>
      </w:pPr>
    </w:p>
  </w:endnote>
  <w:endnote w:type="continuationSeparator" w:id="0">
    <w:p w:rsidR="00F52756" w:rsidRDefault="00F52756">
      <w:pPr>
        <w:ind w:firstLine="480"/>
      </w:pPr>
      <w:r>
        <w:continuationSeparator/>
      </w:r>
    </w:p>
    <w:p w:rsidR="00F52756" w:rsidRDefault="00F52756" w:rsidP="00F90B20">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9D" w:rsidRDefault="0097439D">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9D" w:rsidRDefault="0097439D">
    <w:pPr>
      <w:pStyle w:val="a6"/>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9D" w:rsidRDefault="0097439D">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9D" w:rsidRDefault="0097439D" w:rsidP="00FF3157">
    <w:pPr>
      <w:pStyle w:val="a6"/>
      <w:framePr w:wrap="around" w:vAnchor="text" w:hAnchor="margin" w:xAlign="center" w:y="1"/>
      <w:ind w:firstLineChars="0" w:firstLine="0"/>
      <w:rPr>
        <w:rStyle w:val="a5"/>
      </w:rPr>
    </w:pPr>
    <w:r>
      <w:rPr>
        <w:rStyle w:val="a5"/>
      </w:rPr>
      <w:fldChar w:fldCharType="begin"/>
    </w:r>
    <w:r>
      <w:rPr>
        <w:rStyle w:val="a5"/>
      </w:rPr>
      <w:instrText xml:space="preserve">PAGE  </w:instrText>
    </w:r>
    <w:r>
      <w:rPr>
        <w:rStyle w:val="a5"/>
      </w:rPr>
      <w:fldChar w:fldCharType="separate"/>
    </w:r>
    <w:r w:rsidR="008E4E47">
      <w:rPr>
        <w:rStyle w:val="a5"/>
        <w:noProof/>
      </w:rPr>
      <w:t>IV</w:t>
    </w:r>
    <w:r>
      <w:rPr>
        <w:rStyle w:val="a5"/>
      </w:rPr>
      <w:fldChar w:fldCharType="end"/>
    </w:r>
  </w:p>
  <w:p w:rsidR="0097439D" w:rsidRDefault="0097439D" w:rsidP="00FF3157">
    <w:pPr>
      <w:pStyle w:val="a6"/>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9D" w:rsidRDefault="0097439D">
    <w:pPr>
      <w:pStyle w:val="a6"/>
      <w:ind w:right="360" w:firstLine="360"/>
      <w:jc w:val="center"/>
    </w:pPr>
    <w:r>
      <w:rPr>
        <w:rStyle w:val="a5"/>
      </w:rPr>
      <w:fldChar w:fldCharType="begin"/>
    </w:r>
    <w:r>
      <w:rPr>
        <w:rStyle w:val="a5"/>
      </w:rPr>
      <w:instrText xml:space="preserve"> PAGE </w:instrText>
    </w:r>
    <w:r>
      <w:rPr>
        <w:rStyle w:val="a5"/>
      </w:rPr>
      <w:fldChar w:fldCharType="separate"/>
    </w:r>
    <w:r w:rsidR="008E4E47">
      <w:rPr>
        <w:rStyle w:val="a5"/>
        <w:noProof/>
      </w:rPr>
      <w:t>142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56" w:rsidRDefault="00F52756">
      <w:pPr>
        <w:ind w:firstLine="480"/>
      </w:pPr>
      <w:r>
        <w:separator/>
      </w:r>
    </w:p>
    <w:p w:rsidR="00F52756" w:rsidRDefault="00F52756" w:rsidP="00F90B20">
      <w:pPr>
        <w:ind w:firstLine="480"/>
      </w:pPr>
    </w:p>
  </w:footnote>
  <w:footnote w:type="continuationSeparator" w:id="0">
    <w:p w:rsidR="00F52756" w:rsidRDefault="00F52756">
      <w:pPr>
        <w:ind w:firstLine="480"/>
      </w:pPr>
      <w:r>
        <w:continuationSeparator/>
      </w:r>
    </w:p>
    <w:p w:rsidR="00F52756" w:rsidRDefault="00F52756" w:rsidP="00F90B20">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9D" w:rsidRDefault="0097439D">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9D" w:rsidRPr="001B63A4" w:rsidRDefault="0097439D" w:rsidP="006E403D">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9D" w:rsidRDefault="0097439D">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9D" w:rsidRDefault="0097439D" w:rsidP="00F90B20">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6D1"/>
    <w:multiLevelType w:val="hybridMultilevel"/>
    <w:tmpl w:val="A5600374"/>
    <w:lvl w:ilvl="0" w:tplc="FF2A8DA8">
      <w:start w:val="1"/>
      <w:numFmt w:val="decimal"/>
      <w:lvlText w:val="%1."/>
      <w:lvlJc w:val="left"/>
      <w:pPr>
        <w:tabs>
          <w:tab w:val="num" w:pos="780"/>
        </w:tabs>
        <w:ind w:left="420" w:firstLine="0"/>
      </w:pPr>
      <w:rPr>
        <w:rFonts w:hint="eastAsia"/>
      </w:rPr>
    </w:lvl>
    <w:lvl w:ilvl="1" w:tplc="D062E6B0">
      <w:start w:val="1"/>
      <w:numFmt w:val="decimal"/>
      <w:lvlText w:val="（%2）"/>
      <w:lvlJc w:val="left"/>
      <w:pPr>
        <w:tabs>
          <w:tab w:val="num" w:pos="987"/>
        </w:tabs>
        <w:ind w:left="987" w:hanging="703"/>
      </w:pPr>
      <w:rPr>
        <w:rFonts w:hint="eastAsia"/>
      </w:rPr>
    </w:lvl>
    <w:lvl w:ilvl="2" w:tplc="7988FD4C" w:tentative="1">
      <w:start w:val="1"/>
      <w:numFmt w:val="lowerRoman"/>
      <w:lvlText w:val="%3."/>
      <w:lvlJc w:val="right"/>
      <w:pPr>
        <w:tabs>
          <w:tab w:val="num" w:pos="1260"/>
        </w:tabs>
        <w:ind w:left="1260" w:hanging="420"/>
      </w:pPr>
    </w:lvl>
    <w:lvl w:ilvl="3" w:tplc="09AAFF06" w:tentative="1">
      <w:start w:val="1"/>
      <w:numFmt w:val="decimal"/>
      <w:lvlText w:val="%4."/>
      <w:lvlJc w:val="left"/>
      <w:pPr>
        <w:tabs>
          <w:tab w:val="num" w:pos="1680"/>
        </w:tabs>
        <w:ind w:left="1680" w:hanging="420"/>
      </w:pPr>
    </w:lvl>
    <w:lvl w:ilvl="4" w:tplc="5244937E" w:tentative="1">
      <w:start w:val="1"/>
      <w:numFmt w:val="lowerLetter"/>
      <w:lvlText w:val="%5)"/>
      <w:lvlJc w:val="left"/>
      <w:pPr>
        <w:tabs>
          <w:tab w:val="num" w:pos="2100"/>
        </w:tabs>
        <w:ind w:left="2100" w:hanging="420"/>
      </w:pPr>
    </w:lvl>
    <w:lvl w:ilvl="5" w:tplc="B02AA974" w:tentative="1">
      <w:start w:val="1"/>
      <w:numFmt w:val="lowerRoman"/>
      <w:lvlText w:val="%6."/>
      <w:lvlJc w:val="right"/>
      <w:pPr>
        <w:tabs>
          <w:tab w:val="num" w:pos="2520"/>
        </w:tabs>
        <w:ind w:left="2520" w:hanging="420"/>
      </w:pPr>
    </w:lvl>
    <w:lvl w:ilvl="6" w:tplc="30C2E358" w:tentative="1">
      <w:start w:val="1"/>
      <w:numFmt w:val="decimal"/>
      <w:lvlText w:val="%7."/>
      <w:lvlJc w:val="left"/>
      <w:pPr>
        <w:tabs>
          <w:tab w:val="num" w:pos="2940"/>
        </w:tabs>
        <w:ind w:left="2940" w:hanging="420"/>
      </w:pPr>
    </w:lvl>
    <w:lvl w:ilvl="7" w:tplc="68200DBA" w:tentative="1">
      <w:start w:val="1"/>
      <w:numFmt w:val="lowerLetter"/>
      <w:lvlText w:val="%8)"/>
      <w:lvlJc w:val="left"/>
      <w:pPr>
        <w:tabs>
          <w:tab w:val="num" w:pos="3360"/>
        </w:tabs>
        <w:ind w:left="3360" w:hanging="420"/>
      </w:pPr>
    </w:lvl>
    <w:lvl w:ilvl="8" w:tplc="DF66DC28" w:tentative="1">
      <w:start w:val="1"/>
      <w:numFmt w:val="lowerRoman"/>
      <w:lvlText w:val="%9."/>
      <w:lvlJc w:val="right"/>
      <w:pPr>
        <w:tabs>
          <w:tab w:val="num" w:pos="3780"/>
        </w:tabs>
        <w:ind w:left="3780" w:hanging="420"/>
      </w:pPr>
    </w:lvl>
  </w:abstractNum>
  <w:abstractNum w:abstractNumId="1" w15:restartNumberingAfterBreak="0">
    <w:nsid w:val="08100292"/>
    <w:multiLevelType w:val="hybridMultilevel"/>
    <w:tmpl w:val="89749156"/>
    <w:lvl w:ilvl="0" w:tplc="99AA8908">
      <w:start w:val="1"/>
      <w:numFmt w:val="decimal"/>
      <w:lvlText w:val="%1."/>
      <w:lvlJc w:val="left"/>
      <w:pPr>
        <w:tabs>
          <w:tab w:val="num" w:pos="780"/>
        </w:tabs>
        <w:ind w:left="420" w:firstLine="0"/>
      </w:pPr>
      <w:rPr>
        <w:rFonts w:hint="eastAsia"/>
      </w:rPr>
    </w:lvl>
    <w:lvl w:ilvl="1" w:tplc="5C326158">
      <w:start w:val="1"/>
      <w:numFmt w:val="decimal"/>
      <w:lvlText w:val="（%2）"/>
      <w:lvlJc w:val="left"/>
      <w:pPr>
        <w:tabs>
          <w:tab w:val="num" w:pos="1123"/>
        </w:tabs>
        <w:ind w:left="1123" w:hanging="70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9E539E1"/>
    <w:multiLevelType w:val="hybridMultilevel"/>
    <w:tmpl w:val="6A88411A"/>
    <w:lvl w:ilvl="0" w:tplc="9DF6616A">
      <w:start w:val="1"/>
      <w:numFmt w:val="decimal"/>
      <w:lvlText w:val="%1."/>
      <w:lvlJc w:val="left"/>
      <w:pPr>
        <w:tabs>
          <w:tab w:val="num" w:pos="780"/>
        </w:tabs>
        <w:ind w:left="420" w:firstLine="0"/>
      </w:pPr>
      <w:rPr>
        <w:rFonts w:hint="eastAsia"/>
      </w:rPr>
    </w:lvl>
    <w:lvl w:ilvl="1" w:tplc="D50CED9C">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A563056"/>
    <w:multiLevelType w:val="hybridMultilevel"/>
    <w:tmpl w:val="1D303D02"/>
    <w:lvl w:ilvl="0" w:tplc="9DF6616A">
      <w:start w:val="1"/>
      <w:numFmt w:val="decimal"/>
      <w:lvlText w:val="%1."/>
      <w:lvlJc w:val="left"/>
      <w:pPr>
        <w:tabs>
          <w:tab w:val="num" w:pos="780"/>
        </w:tabs>
        <w:ind w:left="42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D3133DA"/>
    <w:multiLevelType w:val="hybridMultilevel"/>
    <w:tmpl w:val="DA48BF5E"/>
    <w:lvl w:ilvl="0" w:tplc="9DF6616A">
      <w:start w:val="1"/>
      <w:numFmt w:val="decimal"/>
      <w:lvlText w:val="%1."/>
      <w:lvlJc w:val="left"/>
      <w:pPr>
        <w:tabs>
          <w:tab w:val="num" w:pos="780"/>
        </w:tabs>
        <w:ind w:left="0" w:firstLine="420"/>
      </w:pPr>
      <w:rPr>
        <w:rFonts w:hint="eastAsia"/>
      </w:rPr>
    </w:lvl>
    <w:lvl w:ilvl="1" w:tplc="04090019">
      <w:start w:val="1"/>
      <w:numFmt w:val="decimal"/>
      <w:lvlText w:val="(%2)."/>
      <w:lvlJc w:val="left"/>
      <w:pPr>
        <w:tabs>
          <w:tab w:val="num" w:pos="114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FF85D13"/>
    <w:multiLevelType w:val="hybridMultilevel"/>
    <w:tmpl w:val="01600BAA"/>
    <w:lvl w:ilvl="0" w:tplc="98EC22DE">
      <w:start w:val="1"/>
      <w:numFmt w:val="decimalEnclosedCircle"/>
      <w:lvlText w:val="%1"/>
      <w:lvlJc w:val="left"/>
      <w:pPr>
        <w:tabs>
          <w:tab w:val="num" w:pos="360"/>
        </w:tabs>
        <w:ind w:left="360" w:hanging="360"/>
      </w:pPr>
      <w:rPr>
        <w:rFonts w:hint="eastAsia"/>
      </w:rPr>
    </w:lvl>
    <w:lvl w:ilvl="1" w:tplc="C3F2928C"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07B66C2"/>
    <w:multiLevelType w:val="hybridMultilevel"/>
    <w:tmpl w:val="B434A088"/>
    <w:lvl w:ilvl="0" w:tplc="87C2BABC">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08C078C"/>
    <w:multiLevelType w:val="hybridMultilevel"/>
    <w:tmpl w:val="F056CCFA"/>
    <w:lvl w:ilvl="0" w:tplc="FFFFFFFF">
      <w:start w:val="1"/>
      <w:numFmt w:val="decimal"/>
      <w:lvlText w:val="%1)"/>
      <w:lvlJc w:val="left"/>
      <w:pPr>
        <w:tabs>
          <w:tab w:val="num" w:pos="900"/>
        </w:tabs>
        <w:ind w:left="900" w:hanging="420"/>
      </w:pPr>
    </w:lvl>
    <w:lvl w:ilvl="1" w:tplc="FFFFFFFF">
      <w:start w:val="1"/>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8" w15:restartNumberingAfterBreak="0">
    <w:nsid w:val="11FD43BA"/>
    <w:multiLevelType w:val="hybridMultilevel"/>
    <w:tmpl w:val="50E24F24"/>
    <w:lvl w:ilvl="0" w:tplc="FFFFFFFF">
      <w:start w:val="1"/>
      <w:numFmt w:val="decimal"/>
      <w:lvlText w:val="%1."/>
      <w:lvlJc w:val="left"/>
      <w:pPr>
        <w:tabs>
          <w:tab w:val="num" w:pos="420"/>
        </w:tabs>
        <w:ind w:left="420" w:hanging="420"/>
      </w:pPr>
    </w:lvl>
    <w:lvl w:ilvl="1" w:tplc="FFFFFFFF">
      <w:start w:val="2"/>
      <w:numFmt w:val="decimal"/>
      <w:lvlText w:val="%2、"/>
      <w:lvlJc w:val="left"/>
      <w:pPr>
        <w:tabs>
          <w:tab w:val="num" w:pos="780"/>
        </w:tabs>
        <w:ind w:left="780" w:hanging="360"/>
      </w:pPr>
      <w:rPr>
        <w:rFonts w:hint="eastAsia"/>
        <w:sz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15:restartNumberingAfterBreak="0">
    <w:nsid w:val="18216A54"/>
    <w:multiLevelType w:val="multilevel"/>
    <w:tmpl w:val="AA843F3A"/>
    <w:lvl w:ilvl="0">
      <w:start w:val="1"/>
      <w:numFmt w:val="decimal"/>
      <w:lvlText w:val="%1."/>
      <w:lvlJc w:val="left"/>
      <w:pPr>
        <w:tabs>
          <w:tab w:val="num" w:pos="780"/>
        </w:tabs>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18786AD1"/>
    <w:multiLevelType w:val="hybridMultilevel"/>
    <w:tmpl w:val="4E465C9A"/>
    <w:lvl w:ilvl="0" w:tplc="295AED06">
      <w:start w:val="1"/>
      <w:numFmt w:val="decimal"/>
      <w:lvlText w:val="%1."/>
      <w:lvlJc w:val="left"/>
      <w:pPr>
        <w:tabs>
          <w:tab w:val="num" w:pos="900"/>
        </w:tabs>
        <w:ind w:left="900" w:hanging="420"/>
      </w:pPr>
    </w:lvl>
    <w:lvl w:ilvl="1" w:tplc="B8E230D2" w:tentative="1">
      <w:start w:val="1"/>
      <w:numFmt w:val="lowerLetter"/>
      <w:lvlText w:val="%2)"/>
      <w:lvlJc w:val="left"/>
      <w:pPr>
        <w:tabs>
          <w:tab w:val="num" w:pos="1320"/>
        </w:tabs>
        <w:ind w:left="1320" w:hanging="420"/>
      </w:pPr>
    </w:lvl>
    <w:lvl w:ilvl="2" w:tplc="659CAEDC" w:tentative="1">
      <w:start w:val="1"/>
      <w:numFmt w:val="lowerRoman"/>
      <w:lvlText w:val="%3."/>
      <w:lvlJc w:val="right"/>
      <w:pPr>
        <w:tabs>
          <w:tab w:val="num" w:pos="1740"/>
        </w:tabs>
        <w:ind w:left="1740" w:hanging="420"/>
      </w:pPr>
    </w:lvl>
    <w:lvl w:ilvl="3" w:tplc="D6C00864" w:tentative="1">
      <w:start w:val="1"/>
      <w:numFmt w:val="decimal"/>
      <w:lvlText w:val="%4."/>
      <w:lvlJc w:val="left"/>
      <w:pPr>
        <w:tabs>
          <w:tab w:val="num" w:pos="2160"/>
        </w:tabs>
        <w:ind w:left="2160" w:hanging="420"/>
      </w:pPr>
    </w:lvl>
    <w:lvl w:ilvl="4" w:tplc="526A3C94" w:tentative="1">
      <w:start w:val="1"/>
      <w:numFmt w:val="lowerLetter"/>
      <w:lvlText w:val="%5)"/>
      <w:lvlJc w:val="left"/>
      <w:pPr>
        <w:tabs>
          <w:tab w:val="num" w:pos="2580"/>
        </w:tabs>
        <w:ind w:left="2580" w:hanging="420"/>
      </w:pPr>
    </w:lvl>
    <w:lvl w:ilvl="5" w:tplc="71926CD8" w:tentative="1">
      <w:start w:val="1"/>
      <w:numFmt w:val="lowerRoman"/>
      <w:lvlText w:val="%6."/>
      <w:lvlJc w:val="right"/>
      <w:pPr>
        <w:tabs>
          <w:tab w:val="num" w:pos="3000"/>
        </w:tabs>
        <w:ind w:left="3000" w:hanging="420"/>
      </w:pPr>
    </w:lvl>
    <w:lvl w:ilvl="6" w:tplc="124C2EFA" w:tentative="1">
      <w:start w:val="1"/>
      <w:numFmt w:val="decimal"/>
      <w:lvlText w:val="%7."/>
      <w:lvlJc w:val="left"/>
      <w:pPr>
        <w:tabs>
          <w:tab w:val="num" w:pos="3420"/>
        </w:tabs>
        <w:ind w:left="3420" w:hanging="420"/>
      </w:pPr>
    </w:lvl>
    <w:lvl w:ilvl="7" w:tplc="A11E8E52" w:tentative="1">
      <w:start w:val="1"/>
      <w:numFmt w:val="lowerLetter"/>
      <w:lvlText w:val="%8)"/>
      <w:lvlJc w:val="left"/>
      <w:pPr>
        <w:tabs>
          <w:tab w:val="num" w:pos="3840"/>
        </w:tabs>
        <w:ind w:left="3840" w:hanging="420"/>
      </w:pPr>
    </w:lvl>
    <w:lvl w:ilvl="8" w:tplc="59F69806" w:tentative="1">
      <w:start w:val="1"/>
      <w:numFmt w:val="lowerRoman"/>
      <w:lvlText w:val="%9."/>
      <w:lvlJc w:val="right"/>
      <w:pPr>
        <w:tabs>
          <w:tab w:val="num" w:pos="4260"/>
        </w:tabs>
        <w:ind w:left="4260" w:hanging="420"/>
      </w:pPr>
    </w:lvl>
  </w:abstractNum>
  <w:abstractNum w:abstractNumId="11" w15:restartNumberingAfterBreak="0">
    <w:nsid w:val="19CF4CF9"/>
    <w:multiLevelType w:val="hybridMultilevel"/>
    <w:tmpl w:val="4C7EE49C"/>
    <w:lvl w:ilvl="0" w:tplc="0409000F">
      <w:start w:val="1"/>
      <w:numFmt w:val="decimal"/>
      <w:lvlText w:val="（%1）"/>
      <w:lvlJc w:val="left"/>
      <w:pPr>
        <w:tabs>
          <w:tab w:val="num" w:pos="987"/>
        </w:tabs>
        <w:ind w:left="987" w:hanging="567"/>
      </w:pPr>
      <w:rPr>
        <w:rFonts w:hint="eastAsia"/>
      </w:rPr>
    </w:lvl>
    <w:lvl w:ilvl="1" w:tplc="04090019">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12" w15:restartNumberingAfterBreak="0">
    <w:nsid w:val="1A4038FD"/>
    <w:multiLevelType w:val="hybridMultilevel"/>
    <w:tmpl w:val="127218AA"/>
    <w:lvl w:ilvl="0" w:tplc="271E205C">
      <w:start w:val="1"/>
      <w:numFmt w:val="japaneseCounting"/>
      <w:pStyle w:val="211"/>
      <w:lvlText w:val="%1、"/>
      <w:lvlJc w:val="left"/>
      <w:pPr>
        <w:tabs>
          <w:tab w:val="num" w:pos="3243"/>
        </w:tabs>
        <w:ind w:left="3243"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B70BA6"/>
    <w:multiLevelType w:val="hybridMultilevel"/>
    <w:tmpl w:val="0F2A35AE"/>
    <w:lvl w:ilvl="0" w:tplc="0CB0371E">
      <w:start w:val="1"/>
      <w:numFmt w:val="chineseCountingThousand"/>
      <w:lvlText w:val="（%1）."/>
      <w:lvlJc w:val="left"/>
      <w:pPr>
        <w:tabs>
          <w:tab w:val="num" w:pos="1140"/>
        </w:tabs>
        <w:ind w:left="0" w:firstLine="420"/>
      </w:pPr>
      <w:rPr>
        <w:rFonts w:hint="eastAsia"/>
        <w:sz w:val="24"/>
      </w:rPr>
    </w:lvl>
    <w:lvl w:ilvl="1" w:tplc="E5F0DCC6">
      <w:start w:val="1"/>
      <w:numFmt w:val="decimal"/>
      <w:lvlText w:val="%2."/>
      <w:lvlJc w:val="left"/>
      <w:pPr>
        <w:tabs>
          <w:tab w:val="num" w:pos="780"/>
        </w:tabs>
        <w:ind w:left="0" w:firstLine="420"/>
      </w:pPr>
      <w:rPr>
        <w:rFonts w:hint="eastAsia"/>
      </w:rPr>
    </w:lvl>
    <w:lvl w:ilvl="2" w:tplc="4A5E8A74" w:tentative="1">
      <w:start w:val="1"/>
      <w:numFmt w:val="lowerRoman"/>
      <w:lvlText w:val="%3."/>
      <w:lvlJc w:val="right"/>
      <w:pPr>
        <w:tabs>
          <w:tab w:val="num" w:pos="1260"/>
        </w:tabs>
        <w:ind w:left="1260" w:hanging="420"/>
      </w:pPr>
    </w:lvl>
    <w:lvl w:ilvl="3" w:tplc="0C9897BA" w:tentative="1">
      <w:start w:val="1"/>
      <w:numFmt w:val="decimal"/>
      <w:lvlText w:val="%4."/>
      <w:lvlJc w:val="left"/>
      <w:pPr>
        <w:tabs>
          <w:tab w:val="num" w:pos="1680"/>
        </w:tabs>
        <w:ind w:left="1680" w:hanging="420"/>
      </w:pPr>
    </w:lvl>
    <w:lvl w:ilvl="4" w:tplc="59906C54" w:tentative="1">
      <w:start w:val="1"/>
      <w:numFmt w:val="lowerLetter"/>
      <w:lvlText w:val="%5)"/>
      <w:lvlJc w:val="left"/>
      <w:pPr>
        <w:tabs>
          <w:tab w:val="num" w:pos="2100"/>
        </w:tabs>
        <w:ind w:left="2100" w:hanging="420"/>
      </w:pPr>
    </w:lvl>
    <w:lvl w:ilvl="5" w:tplc="6BECA8EA" w:tentative="1">
      <w:start w:val="1"/>
      <w:numFmt w:val="lowerRoman"/>
      <w:lvlText w:val="%6."/>
      <w:lvlJc w:val="right"/>
      <w:pPr>
        <w:tabs>
          <w:tab w:val="num" w:pos="2520"/>
        </w:tabs>
        <w:ind w:left="2520" w:hanging="420"/>
      </w:pPr>
    </w:lvl>
    <w:lvl w:ilvl="6" w:tplc="CD4A0DB2" w:tentative="1">
      <w:start w:val="1"/>
      <w:numFmt w:val="decimal"/>
      <w:lvlText w:val="%7."/>
      <w:lvlJc w:val="left"/>
      <w:pPr>
        <w:tabs>
          <w:tab w:val="num" w:pos="2940"/>
        </w:tabs>
        <w:ind w:left="2940" w:hanging="420"/>
      </w:pPr>
    </w:lvl>
    <w:lvl w:ilvl="7" w:tplc="C7D24318" w:tentative="1">
      <w:start w:val="1"/>
      <w:numFmt w:val="lowerLetter"/>
      <w:lvlText w:val="%8)"/>
      <w:lvlJc w:val="left"/>
      <w:pPr>
        <w:tabs>
          <w:tab w:val="num" w:pos="3360"/>
        </w:tabs>
        <w:ind w:left="3360" w:hanging="420"/>
      </w:pPr>
    </w:lvl>
    <w:lvl w:ilvl="8" w:tplc="6E1A5A32" w:tentative="1">
      <w:start w:val="1"/>
      <w:numFmt w:val="lowerRoman"/>
      <w:lvlText w:val="%9."/>
      <w:lvlJc w:val="right"/>
      <w:pPr>
        <w:tabs>
          <w:tab w:val="num" w:pos="3780"/>
        </w:tabs>
        <w:ind w:left="3780" w:hanging="420"/>
      </w:pPr>
    </w:lvl>
  </w:abstractNum>
  <w:abstractNum w:abstractNumId="14" w15:restartNumberingAfterBreak="0">
    <w:nsid w:val="239E2F0F"/>
    <w:multiLevelType w:val="multilevel"/>
    <w:tmpl w:val="97B69774"/>
    <w:lvl w:ilvl="0">
      <w:start w:val="1"/>
      <w:numFmt w:val="chineseCountingThousand"/>
      <w:pStyle w:val="115"/>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pStyle w:val="3"/>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5" w15:restartNumberingAfterBreak="0">
    <w:nsid w:val="251A1BE7"/>
    <w:multiLevelType w:val="hybridMultilevel"/>
    <w:tmpl w:val="549C6A64"/>
    <w:lvl w:ilvl="0" w:tplc="568C9A68">
      <w:start w:val="1"/>
      <w:numFmt w:val="chineseCountingThousand"/>
      <w:lvlText w:val="（%1）"/>
      <w:lvlJc w:val="left"/>
      <w:pPr>
        <w:tabs>
          <w:tab w:val="num" w:pos="1140"/>
        </w:tabs>
        <w:ind w:left="0" w:firstLine="420"/>
      </w:pPr>
      <w:rPr>
        <w:rFonts w:hint="eastAsia"/>
      </w:rPr>
    </w:lvl>
    <w:lvl w:ilvl="1" w:tplc="189C66B4">
      <w:start w:val="1"/>
      <w:numFmt w:val="lowerLetter"/>
      <w:lvlText w:val="%2)"/>
      <w:lvlJc w:val="left"/>
      <w:pPr>
        <w:tabs>
          <w:tab w:val="num" w:pos="840"/>
        </w:tabs>
        <w:ind w:left="840" w:hanging="420"/>
      </w:pPr>
    </w:lvl>
    <w:lvl w:ilvl="2" w:tplc="74685B94" w:tentative="1">
      <w:start w:val="1"/>
      <w:numFmt w:val="lowerRoman"/>
      <w:lvlText w:val="%3."/>
      <w:lvlJc w:val="right"/>
      <w:pPr>
        <w:tabs>
          <w:tab w:val="num" w:pos="1260"/>
        </w:tabs>
        <w:ind w:left="1260" w:hanging="420"/>
      </w:pPr>
    </w:lvl>
    <w:lvl w:ilvl="3" w:tplc="9C9A5BF6" w:tentative="1">
      <w:start w:val="1"/>
      <w:numFmt w:val="decimal"/>
      <w:lvlText w:val="%4."/>
      <w:lvlJc w:val="left"/>
      <w:pPr>
        <w:tabs>
          <w:tab w:val="num" w:pos="1680"/>
        </w:tabs>
        <w:ind w:left="1680" w:hanging="420"/>
      </w:pPr>
    </w:lvl>
    <w:lvl w:ilvl="4" w:tplc="7CDA4AF2" w:tentative="1">
      <w:start w:val="1"/>
      <w:numFmt w:val="lowerLetter"/>
      <w:lvlText w:val="%5)"/>
      <w:lvlJc w:val="left"/>
      <w:pPr>
        <w:tabs>
          <w:tab w:val="num" w:pos="2100"/>
        </w:tabs>
        <w:ind w:left="2100" w:hanging="420"/>
      </w:pPr>
    </w:lvl>
    <w:lvl w:ilvl="5" w:tplc="763406B8" w:tentative="1">
      <w:start w:val="1"/>
      <w:numFmt w:val="lowerRoman"/>
      <w:lvlText w:val="%6."/>
      <w:lvlJc w:val="right"/>
      <w:pPr>
        <w:tabs>
          <w:tab w:val="num" w:pos="2520"/>
        </w:tabs>
        <w:ind w:left="2520" w:hanging="420"/>
      </w:pPr>
    </w:lvl>
    <w:lvl w:ilvl="6" w:tplc="34EC8D80" w:tentative="1">
      <w:start w:val="1"/>
      <w:numFmt w:val="decimal"/>
      <w:lvlText w:val="%7."/>
      <w:lvlJc w:val="left"/>
      <w:pPr>
        <w:tabs>
          <w:tab w:val="num" w:pos="2940"/>
        </w:tabs>
        <w:ind w:left="2940" w:hanging="420"/>
      </w:pPr>
    </w:lvl>
    <w:lvl w:ilvl="7" w:tplc="F8162B42" w:tentative="1">
      <w:start w:val="1"/>
      <w:numFmt w:val="lowerLetter"/>
      <w:lvlText w:val="%8)"/>
      <w:lvlJc w:val="left"/>
      <w:pPr>
        <w:tabs>
          <w:tab w:val="num" w:pos="3360"/>
        </w:tabs>
        <w:ind w:left="3360" w:hanging="420"/>
      </w:pPr>
    </w:lvl>
    <w:lvl w:ilvl="8" w:tplc="05608ACC" w:tentative="1">
      <w:start w:val="1"/>
      <w:numFmt w:val="lowerRoman"/>
      <w:lvlText w:val="%9."/>
      <w:lvlJc w:val="right"/>
      <w:pPr>
        <w:tabs>
          <w:tab w:val="num" w:pos="3780"/>
        </w:tabs>
        <w:ind w:left="3780" w:hanging="420"/>
      </w:pPr>
    </w:lvl>
  </w:abstractNum>
  <w:abstractNum w:abstractNumId="16" w15:restartNumberingAfterBreak="0">
    <w:nsid w:val="27B33931"/>
    <w:multiLevelType w:val="hybridMultilevel"/>
    <w:tmpl w:val="B9D48E8A"/>
    <w:lvl w:ilvl="0" w:tplc="682A70EC">
      <w:start w:val="1"/>
      <w:numFmt w:val="chineseCountingThousand"/>
      <w:lvlText w:val="（%1）."/>
      <w:lvlJc w:val="left"/>
      <w:pPr>
        <w:tabs>
          <w:tab w:val="num" w:pos="1140"/>
        </w:tabs>
        <w:ind w:left="0" w:firstLine="420"/>
      </w:pPr>
      <w:rPr>
        <w:rFonts w:hint="eastAsia"/>
      </w:rPr>
    </w:lvl>
    <w:lvl w:ilvl="1" w:tplc="04090019">
      <w:start w:val="1"/>
      <w:numFmt w:val="decimal"/>
      <w:lvlText w:val="（%2）"/>
      <w:lvlJc w:val="left"/>
      <w:pPr>
        <w:tabs>
          <w:tab w:val="num" w:pos="1140"/>
        </w:tabs>
        <w:ind w:left="0" w:firstLine="420"/>
      </w:pPr>
      <w:rPr>
        <w:rFonts w:hint="eastAsia"/>
      </w:rPr>
    </w:lvl>
    <w:lvl w:ilvl="2" w:tplc="ED0810DE">
      <w:start w:val="1"/>
      <w:numFmt w:val="decimal"/>
      <w:lvlText w:val="（%3）"/>
      <w:lvlJc w:val="left"/>
      <w:pPr>
        <w:ind w:left="1200" w:hanging="360"/>
      </w:pPr>
      <w:rPr>
        <w:rFonts w:hint="eastAsia"/>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28162108"/>
    <w:multiLevelType w:val="hybridMultilevel"/>
    <w:tmpl w:val="4F584346"/>
    <w:lvl w:ilvl="0" w:tplc="5D0875D8">
      <w:start w:val="1"/>
      <w:numFmt w:val="decimal"/>
      <w:lvlText w:val="%1."/>
      <w:lvlJc w:val="left"/>
      <w:pPr>
        <w:tabs>
          <w:tab w:val="num" w:pos="780"/>
        </w:tabs>
        <w:ind w:left="0" w:firstLine="420"/>
      </w:pPr>
      <w:rPr>
        <w:rFonts w:hint="eastAsia"/>
      </w:rPr>
    </w:lvl>
    <w:lvl w:ilvl="1" w:tplc="C8DE7F70">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8" w15:restartNumberingAfterBreak="0">
    <w:nsid w:val="341304DE"/>
    <w:multiLevelType w:val="hybridMultilevel"/>
    <w:tmpl w:val="AB403B86"/>
    <w:lvl w:ilvl="0" w:tplc="D9844590">
      <w:start w:val="1"/>
      <w:numFmt w:val="decimal"/>
      <w:lvlText w:val="(%1)"/>
      <w:lvlJc w:val="left"/>
      <w:pPr>
        <w:tabs>
          <w:tab w:val="num" w:pos="780"/>
        </w:tabs>
        <w:ind w:left="0" w:firstLine="420"/>
      </w:pPr>
      <w:rPr>
        <w:rFonts w:ascii="宋体" w:eastAsia="宋体" w:hint="eastAsia"/>
        <w:b w:val="0"/>
        <w:i w:val="0"/>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6397271"/>
    <w:multiLevelType w:val="hybridMultilevel"/>
    <w:tmpl w:val="6D747D98"/>
    <w:lvl w:ilvl="0" w:tplc="D618D024">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7E46BB2"/>
    <w:multiLevelType w:val="hybridMultilevel"/>
    <w:tmpl w:val="B300AC2E"/>
    <w:lvl w:ilvl="0" w:tplc="A9860894">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88E68AD"/>
    <w:multiLevelType w:val="hybridMultilevel"/>
    <w:tmpl w:val="0A4EB93A"/>
    <w:lvl w:ilvl="0" w:tplc="0409000F">
      <w:start w:val="1"/>
      <w:numFmt w:val="chineseCountingThousand"/>
      <w:pStyle w:val="2"/>
      <w:lvlText w:val="（%1）."/>
      <w:lvlJc w:val="left"/>
      <w:pPr>
        <w:tabs>
          <w:tab w:val="num" w:pos="1140"/>
        </w:tabs>
        <w:ind w:left="0" w:firstLine="420"/>
      </w:pPr>
      <w:rPr>
        <w:rFonts w:hint="eastAsia"/>
      </w:rPr>
    </w:lvl>
    <w:lvl w:ilvl="1" w:tplc="04090019">
      <w:start w:val="1"/>
      <w:numFmt w:val="decimal"/>
      <w:lvlText w:val="%2."/>
      <w:lvlJc w:val="left"/>
      <w:pPr>
        <w:tabs>
          <w:tab w:val="num" w:pos="780"/>
        </w:tabs>
        <w:ind w:left="0" w:firstLine="420"/>
      </w:pPr>
      <w:rPr>
        <w:rFonts w:hint="eastAsia"/>
      </w:rPr>
    </w:lvl>
    <w:lvl w:ilvl="2" w:tplc="0409001B">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CDE5292"/>
    <w:multiLevelType w:val="hybridMultilevel"/>
    <w:tmpl w:val="E3B2D78C"/>
    <w:lvl w:ilvl="0" w:tplc="5D0875D8">
      <w:start w:val="1"/>
      <w:numFmt w:val="decimal"/>
      <w:lvlText w:val="%1."/>
      <w:lvlJc w:val="left"/>
      <w:pPr>
        <w:tabs>
          <w:tab w:val="num" w:pos="780"/>
        </w:tabs>
        <w:ind w:left="0" w:firstLine="420"/>
      </w:pPr>
      <w:rPr>
        <w:rFonts w:hint="eastAsia"/>
      </w:rPr>
    </w:lvl>
    <w:lvl w:ilvl="1" w:tplc="012E9C98">
      <w:start w:val="1"/>
      <w:numFmt w:val="decimal"/>
      <w:lvlText w:val="（%2）"/>
      <w:lvlJc w:val="left"/>
      <w:pPr>
        <w:tabs>
          <w:tab w:val="num" w:pos="987"/>
        </w:tabs>
        <w:ind w:left="987" w:hanging="567"/>
      </w:pPr>
      <w:rPr>
        <w:rFonts w:hint="eastAsia"/>
      </w:rPr>
    </w:lvl>
    <w:lvl w:ilvl="2" w:tplc="67DE0988"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E02221F"/>
    <w:multiLevelType w:val="hybridMultilevel"/>
    <w:tmpl w:val="62E2D368"/>
    <w:lvl w:ilvl="0" w:tplc="EA80C1A2">
      <w:start w:val="1"/>
      <w:numFmt w:val="decimal"/>
      <w:lvlText w:val="（%1）"/>
      <w:lvlJc w:val="left"/>
      <w:pPr>
        <w:tabs>
          <w:tab w:val="num" w:pos="851"/>
        </w:tabs>
        <w:ind w:left="851" w:hanging="567"/>
      </w:pPr>
      <w:rPr>
        <w:rFonts w:hint="default"/>
        <w:b w:val="0"/>
        <w:i w:val="0"/>
        <w:sz w:val="21"/>
        <w:szCs w:val="21"/>
      </w:rPr>
    </w:lvl>
    <w:lvl w:ilvl="1" w:tplc="D89ED826"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3FA021DC"/>
    <w:multiLevelType w:val="hybridMultilevel"/>
    <w:tmpl w:val="67B87928"/>
    <w:lvl w:ilvl="0" w:tplc="CD5E4710">
      <w:start w:val="1"/>
      <w:numFmt w:val="decimal"/>
      <w:lvlText w:val="%1."/>
      <w:lvlJc w:val="left"/>
      <w:pPr>
        <w:tabs>
          <w:tab w:val="num" w:pos="78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3001BFD"/>
    <w:multiLevelType w:val="hybridMultilevel"/>
    <w:tmpl w:val="00F8790C"/>
    <w:lvl w:ilvl="0" w:tplc="85DCE3DC">
      <w:start w:val="1"/>
      <w:numFmt w:val="decimal"/>
      <w:lvlText w:val="%1."/>
      <w:lvlJc w:val="left"/>
      <w:pPr>
        <w:tabs>
          <w:tab w:val="num" w:pos="780"/>
        </w:tabs>
        <w:ind w:left="0" w:firstLine="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34C0486"/>
    <w:multiLevelType w:val="hybridMultilevel"/>
    <w:tmpl w:val="6D92F278"/>
    <w:lvl w:ilvl="0" w:tplc="9B92A0A6">
      <w:start w:val="1"/>
      <w:numFmt w:val="chineseCountingThousand"/>
      <w:lvlText w:val="（%1）."/>
      <w:lvlJc w:val="left"/>
      <w:pPr>
        <w:tabs>
          <w:tab w:val="num" w:pos="1140"/>
        </w:tabs>
        <w:ind w:left="0" w:firstLine="420"/>
      </w:pPr>
      <w:rPr>
        <w:rFonts w:hint="eastAsia"/>
      </w:rPr>
    </w:lvl>
    <w:lvl w:ilvl="1" w:tplc="04090019">
      <w:start w:val="1"/>
      <w:numFmt w:val="decimal"/>
      <w:lvlText w:val="%2."/>
      <w:lvlJc w:val="left"/>
      <w:pPr>
        <w:tabs>
          <w:tab w:val="num" w:pos="780"/>
        </w:tabs>
        <w:ind w:left="0" w:firstLine="420"/>
      </w:pPr>
      <w:rPr>
        <w:rFonts w:hint="eastAsia"/>
      </w:rPr>
    </w:lvl>
    <w:lvl w:ilvl="2" w:tplc="0409001B">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4D31E59"/>
    <w:multiLevelType w:val="hybridMultilevel"/>
    <w:tmpl w:val="623AAF50"/>
    <w:lvl w:ilvl="0" w:tplc="5D0875D8">
      <w:start w:val="1"/>
      <w:numFmt w:val="decimal"/>
      <w:lvlText w:val="%1."/>
      <w:lvlJc w:val="left"/>
      <w:pPr>
        <w:tabs>
          <w:tab w:val="num" w:pos="420"/>
        </w:tabs>
        <w:ind w:left="420" w:hanging="420"/>
      </w:pPr>
    </w:lvl>
    <w:lvl w:ilvl="1" w:tplc="85DCE3DC">
      <w:start w:val="2"/>
      <w:numFmt w:val="decimal"/>
      <w:lvlText w:val="%2、"/>
      <w:lvlJc w:val="left"/>
      <w:pPr>
        <w:tabs>
          <w:tab w:val="num" w:pos="780"/>
        </w:tabs>
        <w:ind w:left="780" w:hanging="360"/>
      </w:pPr>
      <w:rPr>
        <w:rFonts w:hint="default"/>
      </w:rPr>
    </w:lvl>
    <w:lvl w:ilvl="2" w:tplc="C8DE7F70"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56C7310"/>
    <w:multiLevelType w:val="hybridMultilevel"/>
    <w:tmpl w:val="2EC46E02"/>
    <w:lvl w:ilvl="0" w:tplc="FFFFFFFF">
      <w:start w:val="1"/>
      <w:numFmt w:val="japaneseCounting"/>
      <w:pStyle w:val="211211"/>
      <w:lvlText w:val="%1、"/>
      <w:lvlJc w:val="left"/>
      <w:pPr>
        <w:tabs>
          <w:tab w:val="num" w:pos="720"/>
        </w:tabs>
        <w:ind w:left="720" w:hanging="720"/>
      </w:pPr>
      <w:rPr>
        <w:rFonts w:hint="eastAsia"/>
      </w:rPr>
    </w:lvl>
    <w:lvl w:ilvl="1" w:tplc="3E42DE0E"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5E10252"/>
    <w:multiLevelType w:val="hybridMultilevel"/>
    <w:tmpl w:val="7C621DA8"/>
    <w:lvl w:ilvl="0" w:tplc="7AF81312">
      <w:start w:val="1"/>
      <w:numFmt w:val="decimal"/>
      <w:lvlText w:val="%1."/>
      <w:lvlJc w:val="left"/>
      <w:pPr>
        <w:tabs>
          <w:tab w:val="num" w:pos="780"/>
        </w:tabs>
        <w:ind w:left="0" w:firstLine="420"/>
      </w:pPr>
      <w:rPr>
        <w:rFonts w:hint="eastAsia"/>
      </w:rPr>
    </w:lvl>
    <w:lvl w:ilvl="1" w:tplc="18E0B8E4">
      <w:start w:val="1"/>
      <w:numFmt w:val="lowerLetter"/>
      <w:lvlText w:val="%2)"/>
      <w:lvlJc w:val="left"/>
      <w:pPr>
        <w:tabs>
          <w:tab w:val="num" w:pos="840"/>
        </w:tabs>
        <w:ind w:left="840" w:hanging="420"/>
      </w:pPr>
    </w:lvl>
    <w:lvl w:ilvl="2" w:tplc="8CA2BA04" w:tentative="1">
      <w:start w:val="1"/>
      <w:numFmt w:val="lowerRoman"/>
      <w:lvlText w:val="%3."/>
      <w:lvlJc w:val="right"/>
      <w:pPr>
        <w:tabs>
          <w:tab w:val="num" w:pos="1260"/>
        </w:tabs>
        <w:ind w:left="1260" w:hanging="420"/>
      </w:pPr>
    </w:lvl>
    <w:lvl w:ilvl="3" w:tplc="B720F366" w:tentative="1">
      <w:start w:val="1"/>
      <w:numFmt w:val="decimal"/>
      <w:lvlText w:val="%4."/>
      <w:lvlJc w:val="left"/>
      <w:pPr>
        <w:tabs>
          <w:tab w:val="num" w:pos="1680"/>
        </w:tabs>
        <w:ind w:left="1680" w:hanging="420"/>
      </w:pPr>
    </w:lvl>
    <w:lvl w:ilvl="4" w:tplc="55588BF2" w:tentative="1">
      <w:start w:val="1"/>
      <w:numFmt w:val="lowerLetter"/>
      <w:lvlText w:val="%5)"/>
      <w:lvlJc w:val="left"/>
      <w:pPr>
        <w:tabs>
          <w:tab w:val="num" w:pos="2100"/>
        </w:tabs>
        <w:ind w:left="2100" w:hanging="420"/>
      </w:pPr>
    </w:lvl>
    <w:lvl w:ilvl="5" w:tplc="6DBE7718" w:tentative="1">
      <w:start w:val="1"/>
      <w:numFmt w:val="lowerRoman"/>
      <w:lvlText w:val="%6."/>
      <w:lvlJc w:val="right"/>
      <w:pPr>
        <w:tabs>
          <w:tab w:val="num" w:pos="2520"/>
        </w:tabs>
        <w:ind w:left="2520" w:hanging="420"/>
      </w:pPr>
    </w:lvl>
    <w:lvl w:ilvl="6" w:tplc="5D12EF7C" w:tentative="1">
      <w:start w:val="1"/>
      <w:numFmt w:val="decimal"/>
      <w:lvlText w:val="%7."/>
      <w:lvlJc w:val="left"/>
      <w:pPr>
        <w:tabs>
          <w:tab w:val="num" w:pos="2940"/>
        </w:tabs>
        <w:ind w:left="2940" w:hanging="420"/>
      </w:pPr>
    </w:lvl>
    <w:lvl w:ilvl="7" w:tplc="08D2CEB6" w:tentative="1">
      <w:start w:val="1"/>
      <w:numFmt w:val="lowerLetter"/>
      <w:lvlText w:val="%8)"/>
      <w:lvlJc w:val="left"/>
      <w:pPr>
        <w:tabs>
          <w:tab w:val="num" w:pos="3360"/>
        </w:tabs>
        <w:ind w:left="3360" w:hanging="420"/>
      </w:pPr>
    </w:lvl>
    <w:lvl w:ilvl="8" w:tplc="D70A17AC" w:tentative="1">
      <w:start w:val="1"/>
      <w:numFmt w:val="lowerRoman"/>
      <w:lvlText w:val="%9."/>
      <w:lvlJc w:val="right"/>
      <w:pPr>
        <w:tabs>
          <w:tab w:val="num" w:pos="3780"/>
        </w:tabs>
        <w:ind w:left="3780" w:hanging="420"/>
      </w:pPr>
    </w:lvl>
  </w:abstractNum>
  <w:abstractNum w:abstractNumId="30"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pStyle w:val="2211"/>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31" w15:restartNumberingAfterBreak="0">
    <w:nsid w:val="484E0D30"/>
    <w:multiLevelType w:val="hybridMultilevel"/>
    <w:tmpl w:val="1A129046"/>
    <w:lvl w:ilvl="0" w:tplc="463279F4">
      <w:start w:val="1"/>
      <w:numFmt w:val="chineseCountingThousand"/>
      <w:lvlText w:val="（%1）."/>
      <w:lvlJc w:val="left"/>
      <w:pPr>
        <w:tabs>
          <w:tab w:val="num" w:pos="1140"/>
        </w:tabs>
        <w:ind w:left="0" w:firstLine="420"/>
      </w:pPr>
      <w:rPr>
        <w:rFonts w:hint="eastAsia"/>
      </w:rPr>
    </w:lvl>
    <w:lvl w:ilvl="1" w:tplc="EB1AE22E">
      <w:start w:val="1"/>
      <w:numFmt w:val="decimal"/>
      <w:lvlText w:val="%2."/>
      <w:lvlJc w:val="left"/>
      <w:pPr>
        <w:tabs>
          <w:tab w:val="num" w:pos="780"/>
        </w:tabs>
        <w:ind w:left="0" w:firstLine="420"/>
      </w:pPr>
      <w:rPr>
        <w:rFonts w:hint="eastAsia"/>
      </w:rPr>
    </w:lvl>
    <w:lvl w:ilvl="2" w:tplc="BEBCCCBA" w:tentative="1">
      <w:start w:val="1"/>
      <w:numFmt w:val="lowerRoman"/>
      <w:lvlText w:val="%3."/>
      <w:lvlJc w:val="right"/>
      <w:pPr>
        <w:tabs>
          <w:tab w:val="num" w:pos="1260"/>
        </w:tabs>
        <w:ind w:left="1260" w:hanging="420"/>
      </w:pPr>
    </w:lvl>
    <w:lvl w:ilvl="3" w:tplc="AF166664" w:tentative="1">
      <w:start w:val="1"/>
      <w:numFmt w:val="decimal"/>
      <w:lvlText w:val="%4."/>
      <w:lvlJc w:val="left"/>
      <w:pPr>
        <w:tabs>
          <w:tab w:val="num" w:pos="1680"/>
        </w:tabs>
        <w:ind w:left="1680" w:hanging="420"/>
      </w:pPr>
    </w:lvl>
    <w:lvl w:ilvl="4" w:tplc="6742E76E" w:tentative="1">
      <w:start w:val="1"/>
      <w:numFmt w:val="lowerLetter"/>
      <w:lvlText w:val="%5)"/>
      <w:lvlJc w:val="left"/>
      <w:pPr>
        <w:tabs>
          <w:tab w:val="num" w:pos="2100"/>
        </w:tabs>
        <w:ind w:left="2100" w:hanging="420"/>
      </w:pPr>
    </w:lvl>
    <w:lvl w:ilvl="5" w:tplc="EFCE43B8" w:tentative="1">
      <w:start w:val="1"/>
      <w:numFmt w:val="lowerRoman"/>
      <w:lvlText w:val="%6."/>
      <w:lvlJc w:val="right"/>
      <w:pPr>
        <w:tabs>
          <w:tab w:val="num" w:pos="2520"/>
        </w:tabs>
        <w:ind w:left="2520" w:hanging="420"/>
      </w:pPr>
    </w:lvl>
    <w:lvl w:ilvl="6" w:tplc="78BA03D2" w:tentative="1">
      <w:start w:val="1"/>
      <w:numFmt w:val="decimal"/>
      <w:lvlText w:val="%7."/>
      <w:lvlJc w:val="left"/>
      <w:pPr>
        <w:tabs>
          <w:tab w:val="num" w:pos="2940"/>
        </w:tabs>
        <w:ind w:left="2940" w:hanging="420"/>
      </w:pPr>
    </w:lvl>
    <w:lvl w:ilvl="7" w:tplc="E8FCD262" w:tentative="1">
      <w:start w:val="1"/>
      <w:numFmt w:val="lowerLetter"/>
      <w:lvlText w:val="%8)"/>
      <w:lvlJc w:val="left"/>
      <w:pPr>
        <w:tabs>
          <w:tab w:val="num" w:pos="3360"/>
        </w:tabs>
        <w:ind w:left="3360" w:hanging="420"/>
      </w:pPr>
    </w:lvl>
    <w:lvl w:ilvl="8" w:tplc="A0A66FCA" w:tentative="1">
      <w:start w:val="1"/>
      <w:numFmt w:val="lowerRoman"/>
      <w:lvlText w:val="%9."/>
      <w:lvlJc w:val="right"/>
      <w:pPr>
        <w:tabs>
          <w:tab w:val="num" w:pos="3780"/>
        </w:tabs>
        <w:ind w:left="3780" w:hanging="420"/>
      </w:pPr>
    </w:lvl>
  </w:abstractNum>
  <w:abstractNum w:abstractNumId="32" w15:restartNumberingAfterBreak="0">
    <w:nsid w:val="499C1B25"/>
    <w:multiLevelType w:val="hybridMultilevel"/>
    <w:tmpl w:val="0DE0B5D6"/>
    <w:lvl w:ilvl="0" w:tplc="5D0875D8">
      <w:start w:val="1"/>
      <w:numFmt w:val="decimal"/>
      <w:lvlText w:val="(%1)"/>
      <w:lvlJc w:val="left"/>
      <w:pPr>
        <w:tabs>
          <w:tab w:val="num" w:pos="780"/>
        </w:tabs>
        <w:ind w:left="0" w:firstLine="420"/>
      </w:pPr>
      <w:rPr>
        <w:rFonts w:ascii="宋体" w:eastAsia="宋体" w:hint="eastAsia"/>
        <w:b w:val="0"/>
        <w:i w:val="0"/>
        <w:sz w:val="21"/>
      </w:rPr>
    </w:lvl>
    <w:lvl w:ilvl="1" w:tplc="F8742176"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4A3B02E2"/>
    <w:multiLevelType w:val="hybridMultilevel"/>
    <w:tmpl w:val="6C72C8E6"/>
    <w:lvl w:ilvl="0" w:tplc="D618D024">
      <w:start w:val="1"/>
      <w:numFmt w:val="decimal"/>
      <w:lvlText w:val="（%1）"/>
      <w:lvlJc w:val="left"/>
      <w:pPr>
        <w:tabs>
          <w:tab w:val="num" w:pos="1134"/>
        </w:tabs>
        <w:ind w:left="1134" w:hanging="714"/>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4ACA75BC"/>
    <w:multiLevelType w:val="hybridMultilevel"/>
    <w:tmpl w:val="10641522"/>
    <w:lvl w:ilvl="0" w:tplc="100020CA">
      <w:start w:val="1"/>
      <w:numFmt w:val="bullet"/>
      <w:lvlText w:val=""/>
      <w:lvlJc w:val="left"/>
      <w:pPr>
        <w:tabs>
          <w:tab w:val="num" w:pos="420"/>
        </w:tabs>
        <w:ind w:left="420" w:firstLine="0"/>
      </w:pPr>
      <w:rPr>
        <w:rFonts w:ascii="Symbol" w:hAnsi="Symbol" w:hint="default"/>
      </w:rPr>
    </w:lvl>
    <w:lvl w:ilvl="1" w:tplc="4CA8392E" w:tentative="1">
      <w:start w:val="1"/>
      <w:numFmt w:val="bullet"/>
      <w:lvlText w:val=""/>
      <w:lvlJc w:val="left"/>
      <w:pPr>
        <w:tabs>
          <w:tab w:val="num" w:pos="840"/>
        </w:tabs>
        <w:ind w:left="840" w:firstLine="0"/>
      </w:pPr>
      <w:rPr>
        <w:rFonts w:ascii="Symbol" w:hAnsi="Symbol" w:hint="default"/>
      </w:rPr>
    </w:lvl>
    <w:lvl w:ilvl="2" w:tplc="0AB28FBC" w:tentative="1">
      <w:start w:val="1"/>
      <w:numFmt w:val="bullet"/>
      <w:lvlText w:val=""/>
      <w:lvlJc w:val="left"/>
      <w:pPr>
        <w:tabs>
          <w:tab w:val="num" w:pos="1260"/>
        </w:tabs>
        <w:ind w:left="1260" w:firstLine="0"/>
      </w:pPr>
      <w:rPr>
        <w:rFonts w:ascii="Symbol" w:hAnsi="Symbol" w:hint="default"/>
      </w:rPr>
    </w:lvl>
    <w:lvl w:ilvl="3" w:tplc="AEB84FF6" w:tentative="1">
      <w:start w:val="1"/>
      <w:numFmt w:val="bullet"/>
      <w:lvlText w:val=""/>
      <w:lvlJc w:val="left"/>
      <w:pPr>
        <w:tabs>
          <w:tab w:val="num" w:pos="1680"/>
        </w:tabs>
        <w:ind w:left="1680" w:firstLine="0"/>
      </w:pPr>
      <w:rPr>
        <w:rFonts w:ascii="Symbol" w:hAnsi="Symbol" w:hint="default"/>
      </w:rPr>
    </w:lvl>
    <w:lvl w:ilvl="4" w:tplc="0884EA52" w:tentative="1">
      <w:start w:val="1"/>
      <w:numFmt w:val="bullet"/>
      <w:lvlText w:val=""/>
      <w:lvlJc w:val="left"/>
      <w:pPr>
        <w:tabs>
          <w:tab w:val="num" w:pos="2100"/>
        </w:tabs>
        <w:ind w:left="2100" w:firstLine="0"/>
      </w:pPr>
      <w:rPr>
        <w:rFonts w:ascii="Symbol" w:hAnsi="Symbol" w:hint="default"/>
      </w:rPr>
    </w:lvl>
    <w:lvl w:ilvl="5" w:tplc="D48A63C2" w:tentative="1">
      <w:start w:val="1"/>
      <w:numFmt w:val="bullet"/>
      <w:lvlText w:val=""/>
      <w:lvlJc w:val="left"/>
      <w:pPr>
        <w:tabs>
          <w:tab w:val="num" w:pos="2520"/>
        </w:tabs>
        <w:ind w:left="2520" w:firstLine="0"/>
      </w:pPr>
      <w:rPr>
        <w:rFonts w:ascii="Symbol" w:hAnsi="Symbol" w:hint="default"/>
      </w:rPr>
    </w:lvl>
    <w:lvl w:ilvl="6" w:tplc="5E9E65C2" w:tentative="1">
      <w:start w:val="1"/>
      <w:numFmt w:val="bullet"/>
      <w:lvlText w:val=""/>
      <w:lvlJc w:val="left"/>
      <w:pPr>
        <w:tabs>
          <w:tab w:val="num" w:pos="2940"/>
        </w:tabs>
        <w:ind w:left="2940" w:firstLine="0"/>
      </w:pPr>
      <w:rPr>
        <w:rFonts w:ascii="Symbol" w:hAnsi="Symbol" w:hint="default"/>
      </w:rPr>
    </w:lvl>
    <w:lvl w:ilvl="7" w:tplc="35A68F9E" w:tentative="1">
      <w:start w:val="1"/>
      <w:numFmt w:val="bullet"/>
      <w:lvlText w:val=""/>
      <w:lvlJc w:val="left"/>
      <w:pPr>
        <w:tabs>
          <w:tab w:val="num" w:pos="3360"/>
        </w:tabs>
        <w:ind w:left="3360" w:firstLine="0"/>
      </w:pPr>
      <w:rPr>
        <w:rFonts w:ascii="Symbol" w:hAnsi="Symbol" w:hint="default"/>
      </w:rPr>
    </w:lvl>
    <w:lvl w:ilvl="8" w:tplc="4D0C4140" w:tentative="1">
      <w:start w:val="1"/>
      <w:numFmt w:val="bullet"/>
      <w:lvlText w:val=""/>
      <w:lvlJc w:val="left"/>
      <w:pPr>
        <w:tabs>
          <w:tab w:val="num" w:pos="3780"/>
        </w:tabs>
        <w:ind w:left="3780" w:firstLine="0"/>
      </w:pPr>
      <w:rPr>
        <w:rFonts w:ascii="Symbol" w:hAnsi="Symbol" w:hint="default"/>
      </w:rPr>
    </w:lvl>
  </w:abstractNum>
  <w:abstractNum w:abstractNumId="35" w15:restartNumberingAfterBreak="0">
    <w:nsid w:val="4BC87D0B"/>
    <w:multiLevelType w:val="hybridMultilevel"/>
    <w:tmpl w:val="B9EE6AB2"/>
    <w:lvl w:ilvl="0" w:tplc="E7E2513A">
      <w:start w:val="1"/>
      <w:numFmt w:val="decimal"/>
      <w:lvlText w:val="（%1）"/>
      <w:lvlJc w:val="left"/>
      <w:pPr>
        <w:tabs>
          <w:tab w:val="num" w:pos="780"/>
        </w:tabs>
        <w:ind w:left="42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4DEB6E58"/>
    <w:multiLevelType w:val="hybridMultilevel"/>
    <w:tmpl w:val="DA9666C0"/>
    <w:lvl w:ilvl="0" w:tplc="54000E30">
      <w:start w:val="1"/>
      <w:numFmt w:val="decimal"/>
      <w:lvlText w:val="%1."/>
      <w:lvlJc w:val="left"/>
      <w:pPr>
        <w:tabs>
          <w:tab w:val="num" w:pos="780"/>
        </w:tabs>
        <w:ind w:left="42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8" w15:restartNumberingAfterBreak="0">
    <w:nsid w:val="525D0DCD"/>
    <w:multiLevelType w:val="singleLevel"/>
    <w:tmpl w:val="8A62539A"/>
    <w:lvl w:ilvl="0">
      <w:start w:val="1"/>
      <w:numFmt w:val="decimal"/>
      <w:lvlText w:val="(%1)"/>
      <w:lvlJc w:val="left"/>
      <w:pPr>
        <w:tabs>
          <w:tab w:val="num" w:pos="425"/>
        </w:tabs>
        <w:ind w:left="425" w:hanging="425"/>
      </w:pPr>
      <w:rPr>
        <w:rFonts w:ascii="宋体" w:eastAsia="宋体" w:hint="eastAsia"/>
        <w:b w:val="0"/>
        <w:i w:val="0"/>
        <w:sz w:val="21"/>
      </w:rPr>
    </w:lvl>
  </w:abstractNum>
  <w:abstractNum w:abstractNumId="39" w15:restartNumberingAfterBreak="0">
    <w:nsid w:val="54336A17"/>
    <w:multiLevelType w:val="hybridMultilevel"/>
    <w:tmpl w:val="A762ECF8"/>
    <w:lvl w:ilvl="0" w:tplc="E6444372">
      <w:start w:val="1"/>
      <w:numFmt w:val="decimal"/>
      <w:lvlText w:val="%1."/>
      <w:lvlJc w:val="left"/>
      <w:pPr>
        <w:tabs>
          <w:tab w:val="num" w:pos="780"/>
        </w:tabs>
        <w:ind w:left="0" w:firstLine="420"/>
      </w:pPr>
      <w:rPr>
        <w:rFonts w:hint="eastAsia"/>
      </w:rPr>
    </w:lvl>
    <w:lvl w:ilvl="1" w:tplc="9B6AC80A"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780"/>
        </w:tabs>
        <w:ind w:left="0" w:firstLine="420"/>
      </w:pPr>
      <w:rPr>
        <w:rFonts w:hint="eastAsia"/>
      </w:rPr>
    </w:lvl>
    <w:lvl w:ilvl="4" w:tplc="04090019">
      <w:start w:val="1"/>
      <w:numFmt w:val="decimal"/>
      <w:lvlText w:val="%5)."/>
      <w:lvlJc w:val="left"/>
      <w:pPr>
        <w:tabs>
          <w:tab w:val="num" w:pos="2040"/>
        </w:tabs>
        <w:ind w:left="1260" w:firstLine="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5562621F"/>
    <w:multiLevelType w:val="hybridMultilevel"/>
    <w:tmpl w:val="CFF200B8"/>
    <w:lvl w:ilvl="0" w:tplc="D4C4F654">
      <w:start w:val="1"/>
      <w:numFmt w:val="decimal"/>
      <w:lvlText w:val="%1."/>
      <w:lvlJc w:val="left"/>
      <w:pPr>
        <w:tabs>
          <w:tab w:val="num" w:pos="780"/>
        </w:tabs>
        <w:ind w:left="420" w:firstLine="0"/>
      </w:pPr>
      <w:rPr>
        <w:rFonts w:hint="eastAsia"/>
      </w:rPr>
    </w:lvl>
    <w:lvl w:ilvl="1" w:tplc="ED0810DE">
      <w:start w:val="1"/>
      <w:numFmt w:val="decimal"/>
      <w:lvlText w:val="（%2）"/>
      <w:lvlJc w:val="left"/>
      <w:pPr>
        <w:tabs>
          <w:tab w:val="num" w:pos="1134"/>
        </w:tabs>
        <w:ind w:left="1134" w:hanging="714"/>
      </w:pPr>
      <w:rPr>
        <w:rFonts w:hint="eastAsia"/>
        <w:lang w:val="en-US"/>
      </w:rPr>
    </w:lvl>
    <w:lvl w:ilvl="2" w:tplc="24C61804">
      <w:start w:val="1"/>
      <w:numFmt w:val="decimal"/>
      <w:lvlText w:val="%3"/>
      <w:lvlJc w:val="left"/>
      <w:pPr>
        <w:tabs>
          <w:tab w:val="num" w:pos="780"/>
        </w:tabs>
        <w:ind w:left="420" w:firstLine="0"/>
      </w:pPr>
      <w:rPr>
        <w:rFonts w:hint="eastAsia"/>
      </w:rPr>
    </w:lvl>
    <w:lvl w:ilvl="3" w:tplc="A4F26416" w:tentative="1">
      <w:start w:val="1"/>
      <w:numFmt w:val="decimal"/>
      <w:lvlText w:val="%4."/>
      <w:lvlJc w:val="left"/>
      <w:pPr>
        <w:tabs>
          <w:tab w:val="num" w:pos="1680"/>
        </w:tabs>
        <w:ind w:left="1680" w:hanging="420"/>
      </w:pPr>
    </w:lvl>
    <w:lvl w:ilvl="4" w:tplc="3E361EEC" w:tentative="1">
      <w:start w:val="1"/>
      <w:numFmt w:val="lowerLetter"/>
      <w:lvlText w:val="%5)"/>
      <w:lvlJc w:val="left"/>
      <w:pPr>
        <w:tabs>
          <w:tab w:val="num" w:pos="2100"/>
        </w:tabs>
        <w:ind w:left="2100" w:hanging="420"/>
      </w:pPr>
    </w:lvl>
    <w:lvl w:ilvl="5" w:tplc="89AE3A76" w:tentative="1">
      <w:start w:val="1"/>
      <w:numFmt w:val="lowerRoman"/>
      <w:lvlText w:val="%6."/>
      <w:lvlJc w:val="right"/>
      <w:pPr>
        <w:tabs>
          <w:tab w:val="num" w:pos="2520"/>
        </w:tabs>
        <w:ind w:left="2520" w:hanging="420"/>
      </w:pPr>
    </w:lvl>
    <w:lvl w:ilvl="6" w:tplc="2AD8F122" w:tentative="1">
      <w:start w:val="1"/>
      <w:numFmt w:val="decimal"/>
      <w:lvlText w:val="%7."/>
      <w:lvlJc w:val="left"/>
      <w:pPr>
        <w:tabs>
          <w:tab w:val="num" w:pos="2940"/>
        </w:tabs>
        <w:ind w:left="2940" w:hanging="420"/>
      </w:pPr>
    </w:lvl>
    <w:lvl w:ilvl="7" w:tplc="50EE30B4" w:tentative="1">
      <w:start w:val="1"/>
      <w:numFmt w:val="lowerLetter"/>
      <w:lvlText w:val="%8)"/>
      <w:lvlJc w:val="left"/>
      <w:pPr>
        <w:tabs>
          <w:tab w:val="num" w:pos="3360"/>
        </w:tabs>
        <w:ind w:left="3360" w:hanging="420"/>
      </w:pPr>
    </w:lvl>
    <w:lvl w:ilvl="8" w:tplc="B2EEC466" w:tentative="1">
      <w:start w:val="1"/>
      <w:numFmt w:val="lowerRoman"/>
      <w:lvlText w:val="%9."/>
      <w:lvlJc w:val="right"/>
      <w:pPr>
        <w:tabs>
          <w:tab w:val="num" w:pos="3780"/>
        </w:tabs>
        <w:ind w:left="3780" w:hanging="420"/>
      </w:pPr>
    </w:lvl>
  </w:abstractNum>
  <w:abstractNum w:abstractNumId="41" w15:restartNumberingAfterBreak="0">
    <w:nsid w:val="5693180F"/>
    <w:multiLevelType w:val="hybridMultilevel"/>
    <w:tmpl w:val="701A356A"/>
    <w:lvl w:ilvl="0" w:tplc="B45E1958">
      <w:start w:val="1"/>
      <w:numFmt w:val="decimal"/>
      <w:lvlText w:val="%1."/>
      <w:lvlJc w:val="left"/>
      <w:pPr>
        <w:tabs>
          <w:tab w:val="num" w:pos="780"/>
        </w:tabs>
        <w:ind w:left="42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7F02101A" w:tentative="1">
      <w:start w:val="1"/>
      <w:numFmt w:val="decimal"/>
      <w:lvlText w:val="%4."/>
      <w:lvlJc w:val="left"/>
      <w:pPr>
        <w:tabs>
          <w:tab w:val="num" w:pos="1680"/>
        </w:tabs>
        <w:ind w:left="1680" w:hanging="420"/>
      </w:pPr>
    </w:lvl>
    <w:lvl w:ilvl="4" w:tplc="4B1496DC"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58450F3D"/>
    <w:multiLevelType w:val="hybridMultilevel"/>
    <w:tmpl w:val="88EC2E56"/>
    <w:lvl w:ilvl="0" w:tplc="E2A68464">
      <w:start w:val="1"/>
      <w:numFmt w:val="bullet"/>
      <w:lvlText w:val=""/>
      <w:lvlJc w:val="left"/>
      <w:pPr>
        <w:tabs>
          <w:tab w:val="num" w:pos="420"/>
        </w:tabs>
        <w:ind w:left="420" w:firstLine="0"/>
      </w:pPr>
      <w:rPr>
        <w:rFonts w:ascii="Symbol" w:hAnsi="Symbol" w:hint="default"/>
      </w:rPr>
    </w:lvl>
    <w:lvl w:ilvl="1" w:tplc="7FBCB79A" w:tentative="1">
      <w:start w:val="1"/>
      <w:numFmt w:val="bullet"/>
      <w:lvlText w:val=""/>
      <w:lvlJc w:val="left"/>
      <w:pPr>
        <w:tabs>
          <w:tab w:val="num" w:pos="840"/>
        </w:tabs>
        <w:ind w:left="840" w:firstLine="0"/>
      </w:pPr>
      <w:rPr>
        <w:rFonts w:ascii="Symbol" w:hAnsi="Symbol" w:hint="default"/>
      </w:rPr>
    </w:lvl>
    <w:lvl w:ilvl="2" w:tplc="422AD5AC" w:tentative="1">
      <w:start w:val="1"/>
      <w:numFmt w:val="bullet"/>
      <w:lvlText w:val=""/>
      <w:lvlJc w:val="left"/>
      <w:pPr>
        <w:tabs>
          <w:tab w:val="num" w:pos="1260"/>
        </w:tabs>
        <w:ind w:left="1260" w:firstLine="0"/>
      </w:pPr>
      <w:rPr>
        <w:rFonts w:ascii="Symbol" w:hAnsi="Symbol" w:hint="default"/>
      </w:rPr>
    </w:lvl>
    <w:lvl w:ilvl="3" w:tplc="D1E6DD0C" w:tentative="1">
      <w:start w:val="1"/>
      <w:numFmt w:val="bullet"/>
      <w:lvlText w:val=""/>
      <w:lvlJc w:val="left"/>
      <w:pPr>
        <w:tabs>
          <w:tab w:val="num" w:pos="1680"/>
        </w:tabs>
        <w:ind w:left="1680" w:firstLine="0"/>
      </w:pPr>
      <w:rPr>
        <w:rFonts w:ascii="Symbol" w:hAnsi="Symbol" w:hint="default"/>
      </w:rPr>
    </w:lvl>
    <w:lvl w:ilvl="4" w:tplc="98465524" w:tentative="1">
      <w:start w:val="1"/>
      <w:numFmt w:val="bullet"/>
      <w:lvlText w:val=""/>
      <w:lvlJc w:val="left"/>
      <w:pPr>
        <w:tabs>
          <w:tab w:val="num" w:pos="2100"/>
        </w:tabs>
        <w:ind w:left="2100" w:firstLine="0"/>
      </w:pPr>
      <w:rPr>
        <w:rFonts w:ascii="Symbol" w:hAnsi="Symbol" w:hint="default"/>
      </w:rPr>
    </w:lvl>
    <w:lvl w:ilvl="5" w:tplc="BF6E8F72" w:tentative="1">
      <w:start w:val="1"/>
      <w:numFmt w:val="bullet"/>
      <w:lvlText w:val=""/>
      <w:lvlJc w:val="left"/>
      <w:pPr>
        <w:tabs>
          <w:tab w:val="num" w:pos="2520"/>
        </w:tabs>
        <w:ind w:left="2520" w:firstLine="0"/>
      </w:pPr>
      <w:rPr>
        <w:rFonts w:ascii="Symbol" w:hAnsi="Symbol" w:hint="default"/>
      </w:rPr>
    </w:lvl>
    <w:lvl w:ilvl="6" w:tplc="6DDACD40" w:tentative="1">
      <w:start w:val="1"/>
      <w:numFmt w:val="bullet"/>
      <w:lvlText w:val=""/>
      <w:lvlJc w:val="left"/>
      <w:pPr>
        <w:tabs>
          <w:tab w:val="num" w:pos="2940"/>
        </w:tabs>
        <w:ind w:left="2940" w:firstLine="0"/>
      </w:pPr>
      <w:rPr>
        <w:rFonts w:ascii="Symbol" w:hAnsi="Symbol" w:hint="default"/>
      </w:rPr>
    </w:lvl>
    <w:lvl w:ilvl="7" w:tplc="84F6346E" w:tentative="1">
      <w:start w:val="1"/>
      <w:numFmt w:val="bullet"/>
      <w:lvlText w:val=""/>
      <w:lvlJc w:val="left"/>
      <w:pPr>
        <w:tabs>
          <w:tab w:val="num" w:pos="3360"/>
        </w:tabs>
        <w:ind w:left="3360" w:firstLine="0"/>
      </w:pPr>
      <w:rPr>
        <w:rFonts w:ascii="Symbol" w:hAnsi="Symbol" w:hint="default"/>
      </w:rPr>
    </w:lvl>
    <w:lvl w:ilvl="8" w:tplc="EA706940" w:tentative="1">
      <w:start w:val="1"/>
      <w:numFmt w:val="bullet"/>
      <w:lvlText w:val=""/>
      <w:lvlJc w:val="left"/>
      <w:pPr>
        <w:tabs>
          <w:tab w:val="num" w:pos="3780"/>
        </w:tabs>
        <w:ind w:left="3780" w:firstLine="0"/>
      </w:pPr>
      <w:rPr>
        <w:rFonts w:ascii="Symbol" w:hAnsi="Symbol" w:hint="default"/>
      </w:rPr>
    </w:lvl>
  </w:abstractNum>
  <w:abstractNum w:abstractNumId="43" w15:restartNumberingAfterBreak="0">
    <w:nsid w:val="5AB47223"/>
    <w:multiLevelType w:val="hybridMultilevel"/>
    <w:tmpl w:val="E86289CC"/>
    <w:lvl w:ilvl="0" w:tplc="9DF6616A">
      <w:start w:val="1"/>
      <w:numFmt w:val="chineseCountingThousand"/>
      <w:lvlText w:val="（%1）."/>
      <w:lvlJc w:val="left"/>
      <w:pPr>
        <w:tabs>
          <w:tab w:val="num" w:pos="1140"/>
        </w:tabs>
        <w:ind w:left="0" w:firstLine="420"/>
      </w:pPr>
      <w:rPr>
        <w:rFonts w:hint="eastAsia"/>
      </w:rPr>
    </w:lvl>
    <w:lvl w:ilvl="1" w:tplc="04090019">
      <w:start w:val="1"/>
      <w:numFmt w:val="decimal"/>
      <w:lvlText w:val="（%2）"/>
      <w:lvlJc w:val="left"/>
      <w:pPr>
        <w:tabs>
          <w:tab w:val="num" w:pos="114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5E5E11DD"/>
    <w:multiLevelType w:val="hybridMultilevel"/>
    <w:tmpl w:val="98149E28"/>
    <w:lvl w:ilvl="0" w:tplc="E31E93CA">
      <w:start w:val="1"/>
      <w:numFmt w:val="decimal"/>
      <w:lvlText w:val="%1."/>
      <w:lvlJc w:val="left"/>
      <w:pPr>
        <w:tabs>
          <w:tab w:val="num" w:pos="780"/>
        </w:tabs>
        <w:ind w:left="0" w:firstLine="420"/>
      </w:pPr>
      <w:rPr>
        <w:rFonts w:hint="eastAsia"/>
      </w:rPr>
    </w:lvl>
    <w:lvl w:ilvl="1" w:tplc="54CEF480">
      <w:numFmt w:val="none"/>
      <w:lvlText w:val=""/>
      <w:lvlJc w:val="left"/>
      <w:pPr>
        <w:tabs>
          <w:tab w:val="num" w:pos="360"/>
        </w:tabs>
      </w:pPr>
    </w:lvl>
    <w:lvl w:ilvl="2" w:tplc="808C1A68">
      <w:numFmt w:val="none"/>
      <w:lvlText w:val=""/>
      <w:lvlJc w:val="left"/>
      <w:pPr>
        <w:tabs>
          <w:tab w:val="num" w:pos="360"/>
        </w:tabs>
      </w:pPr>
    </w:lvl>
    <w:lvl w:ilvl="3" w:tplc="53BE2B74">
      <w:numFmt w:val="none"/>
      <w:lvlText w:val=""/>
      <w:lvlJc w:val="left"/>
      <w:pPr>
        <w:tabs>
          <w:tab w:val="num" w:pos="360"/>
        </w:tabs>
      </w:pPr>
    </w:lvl>
    <w:lvl w:ilvl="4" w:tplc="6F822CB4">
      <w:numFmt w:val="none"/>
      <w:lvlText w:val=""/>
      <w:lvlJc w:val="left"/>
      <w:pPr>
        <w:tabs>
          <w:tab w:val="num" w:pos="360"/>
        </w:tabs>
      </w:pPr>
    </w:lvl>
    <w:lvl w:ilvl="5" w:tplc="3BB4C904">
      <w:numFmt w:val="none"/>
      <w:lvlText w:val=""/>
      <w:lvlJc w:val="left"/>
      <w:pPr>
        <w:tabs>
          <w:tab w:val="num" w:pos="360"/>
        </w:tabs>
      </w:pPr>
    </w:lvl>
    <w:lvl w:ilvl="6" w:tplc="283E5FE8">
      <w:numFmt w:val="none"/>
      <w:lvlText w:val=""/>
      <w:lvlJc w:val="left"/>
      <w:pPr>
        <w:tabs>
          <w:tab w:val="num" w:pos="360"/>
        </w:tabs>
      </w:pPr>
    </w:lvl>
    <w:lvl w:ilvl="7" w:tplc="9D08B1C4">
      <w:numFmt w:val="none"/>
      <w:lvlText w:val=""/>
      <w:lvlJc w:val="left"/>
      <w:pPr>
        <w:tabs>
          <w:tab w:val="num" w:pos="360"/>
        </w:tabs>
      </w:pPr>
    </w:lvl>
    <w:lvl w:ilvl="8" w:tplc="58F29FC0">
      <w:numFmt w:val="none"/>
      <w:lvlText w:val=""/>
      <w:lvlJc w:val="left"/>
      <w:pPr>
        <w:tabs>
          <w:tab w:val="num" w:pos="360"/>
        </w:tabs>
      </w:pPr>
    </w:lvl>
  </w:abstractNum>
  <w:abstractNum w:abstractNumId="45" w15:restartNumberingAfterBreak="0">
    <w:nsid w:val="5F2E255C"/>
    <w:multiLevelType w:val="hybridMultilevel"/>
    <w:tmpl w:val="EC3E9580"/>
    <w:lvl w:ilvl="0" w:tplc="5D0875D8">
      <w:start w:val="1"/>
      <w:numFmt w:val="upperLetter"/>
      <w:lvlText w:val="%1."/>
      <w:lvlJc w:val="left"/>
      <w:pPr>
        <w:tabs>
          <w:tab w:val="num" w:pos="900"/>
        </w:tabs>
        <w:ind w:left="900" w:hanging="420"/>
      </w:pPr>
    </w:lvl>
    <w:lvl w:ilvl="1" w:tplc="C6EA711E">
      <w:start w:val="1"/>
      <w:numFmt w:val="decimal"/>
      <w:lvlText w:val="%2."/>
      <w:lvlJc w:val="left"/>
      <w:pPr>
        <w:tabs>
          <w:tab w:val="num" w:pos="420"/>
        </w:tabs>
        <w:ind w:left="420" w:hanging="420"/>
      </w:pPr>
    </w:lvl>
    <w:lvl w:ilvl="2" w:tplc="0409001B">
      <w:start w:val="1"/>
      <w:numFmt w:val="decimal"/>
      <w:lvlText w:val="%3、"/>
      <w:lvlJc w:val="left"/>
      <w:pPr>
        <w:tabs>
          <w:tab w:val="num" w:pos="1680"/>
        </w:tabs>
        <w:ind w:left="1680" w:hanging="36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6" w15:restartNumberingAfterBreak="0">
    <w:nsid w:val="61DB4A01"/>
    <w:multiLevelType w:val="hybridMultilevel"/>
    <w:tmpl w:val="B748E6F4"/>
    <w:lvl w:ilvl="0" w:tplc="F778739A">
      <w:start w:val="1"/>
      <w:numFmt w:val="decimal"/>
      <w:lvlText w:val="（%1）"/>
      <w:lvlJc w:val="left"/>
      <w:pPr>
        <w:tabs>
          <w:tab w:val="num" w:pos="780"/>
        </w:tabs>
        <w:ind w:left="42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61DB4F22"/>
    <w:multiLevelType w:val="hybridMultilevel"/>
    <w:tmpl w:val="3B98B5EE"/>
    <w:lvl w:ilvl="0" w:tplc="E8664F26">
      <w:start w:val="1"/>
      <w:numFmt w:val="decimal"/>
      <w:lvlText w:val="（%1）"/>
      <w:lvlJc w:val="left"/>
      <w:pPr>
        <w:tabs>
          <w:tab w:val="num" w:pos="987"/>
        </w:tabs>
        <w:ind w:left="987" w:hanging="567"/>
      </w:pPr>
      <w:rPr>
        <w:rFonts w:hint="eastAsia"/>
      </w:rPr>
    </w:lvl>
    <w:lvl w:ilvl="1" w:tplc="B762B2F0" w:tentative="1">
      <w:start w:val="1"/>
      <w:numFmt w:val="lowerLetter"/>
      <w:lvlText w:val="%2)"/>
      <w:lvlJc w:val="left"/>
      <w:pPr>
        <w:tabs>
          <w:tab w:val="num" w:pos="976"/>
        </w:tabs>
        <w:ind w:left="976" w:hanging="420"/>
      </w:pPr>
    </w:lvl>
    <w:lvl w:ilvl="2" w:tplc="4B207E82" w:tentative="1">
      <w:start w:val="1"/>
      <w:numFmt w:val="lowerRoman"/>
      <w:lvlText w:val="%3."/>
      <w:lvlJc w:val="right"/>
      <w:pPr>
        <w:tabs>
          <w:tab w:val="num" w:pos="1396"/>
        </w:tabs>
        <w:ind w:left="1396" w:hanging="420"/>
      </w:pPr>
    </w:lvl>
    <w:lvl w:ilvl="3" w:tplc="A876238E" w:tentative="1">
      <w:start w:val="1"/>
      <w:numFmt w:val="decimal"/>
      <w:lvlText w:val="%4."/>
      <w:lvlJc w:val="left"/>
      <w:pPr>
        <w:tabs>
          <w:tab w:val="num" w:pos="1816"/>
        </w:tabs>
        <w:ind w:left="1816" w:hanging="420"/>
      </w:pPr>
    </w:lvl>
    <w:lvl w:ilvl="4" w:tplc="8918F84A" w:tentative="1">
      <w:start w:val="1"/>
      <w:numFmt w:val="lowerLetter"/>
      <w:lvlText w:val="%5)"/>
      <w:lvlJc w:val="left"/>
      <w:pPr>
        <w:tabs>
          <w:tab w:val="num" w:pos="2236"/>
        </w:tabs>
        <w:ind w:left="2236" w:hanging="420"/>
      </w:pPr>
    </w:lvl>
    <w:lvl w:ilvl="5" w:tplc="FA845C00" w:tentative="1">
      <w:start w:val="1"/>
      <w:numFmt w:val="lowerRoman"/>
      <w:lvlText w:val="%6."/>
      <w:lvlJc w:val="right"/>
      <w:pPr>
        <w:tabs>
          <w:tab w:val="num" w:pos="2656"/>
        </w:tabs>
        <w:ind w:left="2656" w:hanging="420"/>
      </w:pPr>
    </w:lvl>
    <w:lvl w:ilvl="6" w:tplc="E842EAB0" w:tentative="1">
      <w:start w:val="1"/>
      <w:numFmt w:val="decimal"/>
      <w:lvlText w:val="%7."/>
      <w:lvlJc w:val="left"/>
      <w:pPr>
        <w:tabs>
          <w:tab w:val="num" w:pos="3076"/>
        </w:tabs>
        <w:ind w:left="3076" w:hanging="420"/>
      </w:pPr>
    </w:lvl>
    <w:lvl w:ilvl="7" w:tplc="EC8EB320" w:tentative="1">
      <w:start w:val="1"/>
      <w:numFmt w:val="lowerLetter"/>
      <w:lvlText w:val="%8)"/>
      <w:lvlJc w:val="left"/>
      <w:pPr>
        <w:tabs>
          <w:tab w:val="num" w:pos="3496"/>
        </w:tabs>
        <w:ind w:left="3496" w:hanging="420"/>
      </w:pPr>
    </w:lvl>
    <w:lvl w:ilvl="8" w:tplc="80B4FF80" w:tentative="1">
      <w:start w:val="1"/>
      <w:numFmt w:val="lowerRoman"/>
      <w:lvlText w:val="%9."/>
      <w:lvlJc w:val="right"/>
      <w:pPr>
        <w:tabs>
          <w:tab w:val="num" w:pos="3916"/>
        </w:tabs>
        <w:ind w:left="3916" w:hanging="420"/>
      </w:pPr>
    </w:lvl>
  </w:abstractNum>
  <w:abstractNum w:abstractNumId="48" w15:restartNumberingAfterBreak="0">
    <w:nsid w:val="62406A75"/>
    <w:multiLevelType w:val="hybridMultilevel"/>
    <w:tmpl w:val="AA843F3A"/>
    <w:lvl w:ilvl="0" w:tplc="FFFFFFFF">
      <w:start w:val="1"/>
      <w:numFmt w:val="decimal"/>
      <w:lvlText w:val="%1."/>
      <w:lvlJc w:val="left"/>
      <w:pPr>
        <w:tabs>
          <w:tab w:val="num" w:pos="780"/>
        </w:tabs>
        <w:ind w:left="42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6B766033"/>
    <w:multiLevelType w:val="hybridMultilevel"/>
    <w:tmpl w:val="D94CF1BE"/>
    <w:lvl w:ilvl="0" w:tplc="FFFFFFFF">
      <w:start w:val="1"/>
      <w:numFmt w:val="decimal"/>
      <w:lvlText w:val="(%1)"/>
      <w:lvlJc w:val="left"/>
      <w:pPr>
        <w:tabs>
          <w:tab w:val="num" w:pos="780"/>
        </w:tabs>
        <w:ind w:left="0" w:firstLine="420"/>
      </w:pPr>
      <w:rPr>
        <w:rFonts w:ascii="宋体" w:eastAsia="宋体" w:hint="eastAsia"/>
        <w:b w:val="0"/>
        <w:i w:val="0"/>
        <w:sz w:val="21"/>
      </w:rPr>
    </w:lvl>
    <w:lvl w:ilvl="1" w:tplc="FFFFFFFF">
      <w:start w:val="1"/>
      <w:numFmt w:val="decimal"/>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0" w15:restartNumberingAfterBreak="0">
    <w:nsid w:val="6D2044E0"/>
    <w:multiLevelType w:val="hybridMultilevel"/>
    <w:tmpl w:val="02F2662E"/>
    <w:lvl w:ilvl="0" w:tplc="271E205C">
      <w:start w:val="1"/>
      <w:numFmt w:val="decimal"/>
      <w:lvlText w:val="（%1）"/>
      <w:lvlJc w:val="left"/>
      <w:pPr>
        <w:tabs>
          <w:tab w:val="num" w:pos="780"/>
        </w:tabs>
        <w:ind w:left="42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6D331AD8"/>
    <w:multiLevelType w:val="hybridMultilevel"/>
    <w:tmpl w:val="10AACF0C"/>
    <w:lvl w:ilvl="0" w:tplc="1D9EBD6C">
      <w:start w:val="1"/>
      <w:numFmt w:val="decimal"/>
      <w:lvlText w:val="（%1）"/>
      <w:lvlJc w:val="left"/>
      <w:pPr>
        <w:tabs>
          <w:tab w:val="num" w:pos="851"/>
        </w:tabs>
        <w:ind w:left="851" w:hanging="567"/>
      </w:pPr>
      <w:rPr>
        <w:rFonts w:hint="eastAsia"/>
      </w:rPr>
    </w:lvl>
    <w:lvl w:ilvl="1" w:tplc="52EC8128" w:tentative="1">
      <w:start w:val="1"/>
      <w:numFmt w:val="lowerLetter"/>
      <w:lvlText w:val="%2)"/>
      <w:lvlJc w:val="left"/>
      <w:pPr>
        <w:tabs>
          <w:tab w:val="num" w:pos="840"/>
        </w:tabs>
        <w:ind w:left="840" w:hanging="420"/>
      </w:pPr>
    </w:lvl>
    <w:lvl w:ilvl="2" w:tplc="6C2EBE74" w:tentative="1">
      <w:start w:val="1"/>
      <w:numFmt w:val="lowerRoman"/>
      <w:lvlText w:val="%3."/>
      <w:lvlJc w:val="right"/>
      <w:pPr>
        <w:tabs>
          <w:tab w:val="num" w:pos="1260"/>
        </w:tabs>
        <w:ind w:left="1260" w:hanging="420"/>
      </w:pPr>
    </w:lvl>
    <w:lvl w:ilvl="3" w:tplc="1A92B06C" w:tentative="1">
      <w:start w:val="1"/>
      <w:numFmt w:val="decimal"/>
      <w:lvlText w:val="%4."/>
      <w:lvlJc w:val="left"/>
      <w:pPr>
        <w:tabs>
          <w:tab w:val="num" w:pos="1680"/>
        </w:tabs>
        <w:ind w:left="1680" w:hanging="420"/>
      </w:pPr>
    </w:lvl>
    <w:lvl w:ilvl="4" w:tplc="D1343C64" w:tentative="1">
      <w:start w:val="1"/>
      <w:numFmt w:val="lowerLetter"/>
      <w:lvlText w:val="%5)"/>
      <w:lvlJc w:val="left"/>
      <w:pPr>
        <w:tabs>
          <w:tab w:val="num" w:pos="2100"/>
        </w:tabs>
        <w:ind w:left="2100" w:hanging="420"/>
      </w:pPr>
    </w:lvl>
    <w:lvl w:ilvl="5" w:tplc="16DC74EC" w:tentative="1">
      <w:start w:val="1"/>
      <w:numFmt w:val="lowerRoman"/>
      <w:lvlText w:val="%6."/>
      <w:lvlJc w:val="right"/>
      <w:pPr>
        <w:tabs>
          <w:tab w:val="num" w:pos="2520"/>
        </w:tabs>
        <w:ind w:left="2520" w:hanging="420"/>
      </w:pPr>
    </w:lvl>
    <w:lvl w:ilvl="6" w:tplc="EA821034" w:tentative="1">
      <w:start w:val="1"/>
      <w:numFmt w:val="decimal"/>
      <w:lvlText w:val="%7."/>
      <w:lvlJc w:val="left"/>
      <w:pPr>
        <w:tabs>
          <w:tab w:val="num" w:pos="2940"/>
        </w:tabs>
        <w:ind w:left="2940" w:hanging="420"/>
      </w:pPr>
    </w:lvl>
    <w:lvl w:ilvl="7" w:tplc="EB4C5018" w:tentative="1">
      <w:start w:val="1"/>
      <w:numFmt w:val="lowerLetter"/>
      <w:lvlText w:val="%8)"/>
      <w:lvlJc w:val="left"/>
      <w:pPr>
        <w:tabs>
          <w:tab w:val="num" w:pos="3360"/>
        </w:tabs>
        <w:ind w:left="3360" w:hanging="420"/>
      </w:pPr>
    </w:lvl>
    <w:lvl w:ilvl="8" w:tplc="02F2540C" w:tentative="1">
      <w:start w:val="1"/>
      <w:numFmt w:val="lowerRoman"/>
      <w:lvlText w:val="%9."/>
      <w:lvlJc w:val="right"/>
      <w:pPr>
        <w:tabs>
          <w:tab w:val="num" w:pos="3780"/>
        </w:tabs>
        <w:ind w:left="3780" w:hanging="420"/>
      </w:pPr>
    </w:lvl>
  </w:abstractNum>
  <w:abstractNum w:abstractNumId="52" w15:restartNumberingAfterBreak="0">
    <w:nsid w:val="6D3E22E0"/>
    <w:multiLevelType w:val="hybridMultilevel"/>
    <w:tmpl w:val="496296F6"/>
    <w:lvl w:ilvl="0" w:tplc="E646935A">
      <w:start w:val="1"/>
      <w:numFmt w:val="bullet"/>
      <w:lvlText w:val=""/>
      <w:lvlJc w:val="left"/>
      <w:pPr>
        <w:tabs>
          <w:tab w:val="num" w:pos="420"/>
        </w:tabs>
        <w:ind w:left="420" w:firstLine="0"/>
      </w:pPr>
      <w:rPr>
        <w:rFonts w:ascii="Symbol" w:hAnsi="Symbol" w:hint="default"/>
      </w:rPr>
    </w:lvl>
    <w:lvl w:ilvl="1" w:tplc="80D4BA1C" w:tentative="1">
      <w:start w:val="1"/>
      <w:numFmt w:val="bullet"/>
      <w:lvlText w:val=""/>
      <w:lvlJc w:val="left"/>
      <w:pPr>
        <w:tabs>
          <w:tab w:val="num" w:pos="840"/>
        </w:tabs>
        <w:ind w:left="840" w:firstLine="0"/>
      </w:pPr>
      <w:rPr>
        <w:rFonts w:ascii="Symbol" w:hAnsi="Symbol" w:hint="default"/>
      </w:rPr>
    </w:lvl>
    <w:lvl w:ilvl="2" w:tplc="3550843C" w:tentative="1">
      <w:start w:val="1"/>
      <w:numFmt w:val="bullet"/>
      <w:lvlText w:val=""/>
      <w:lvlJc w:val="left"/>
      <w:pPr>
        <w:tabs>
          <w:tab w:val="num" w:pos="1260"/>
        </w:tabs>
        <w:ind w:left="1260" w:firstLine="0"/>
      </w:pPr>
      <w:rPr>
        <w:rFonts w:ascii="Symbol" w:hAnsi="Symbol" w:hint="default"/>
      </w:rPr>
    </w:lvl>
    <w:lvl w:ilvl="3" w:tplc="5A20D8FA" w:tentative="1">
      <w:start w:val="1"/>
      <w:numFmt w:val="bullet"/>
      <w:lvlText w:val=""/>
      <w:lvlJc w:val="left"/>
      <w:pPr>
        <w:tabs>
          <w:tab w:val="num" w:pos="1680"/>
        </w:tabs>
        <w:ind w:left="1680" w:firstLine="0"/>
      </w:pPr>
      <w:rPr>
        <w:rFonts w:ascii="Symbol" w:hAnsi="Symbol" w:hint="default"/>
      </w:rPr>
    </w:lvl>
    <w:lvl w:ilvl="4" w:tplc="66344680" w:tentative="1">
      <w:start w:val="1"/>
      <w:numFmt w:val="bullet"/>
      <w:lvlText w:val=""/>
      <w:lvlJc w:val="left"/>
      <w:pPr>
        <w:tabs>
          <w:tab w:val="num" w:pos="2100"/>
        </w:tabs>
        <w:ind w:left="2100" w:firstLine="0"/>
      </w:pPr>
      <w:rPr>
        <w:rFonts w:ascii="Symbol" w:hAnsi="Symbol" w:hint="default"/>
      </w:rPr>
    </w:lvl>
    <w:lvl w:ilvl="5" w:tplc="2E783C0A" w:tentative="1">
      <w:start w:val="1"/>
      <w:numFmt w:val="bullet"/>
      <w:lvlText w:val=""/>
      <w:lvlJc w:val="left"/>
      <w:pPr>
        <w:tabs>
          <w:tab w:val="num" w:pos="2520"/>
        </w:tabs>
        <w:ind w:left="2520" w:firstLine="0"/>
      </w:pPr>
      <w:rPr>
        <w:rFonts w:ascii="Symbol" w:hAnsi="Symbol" w:hint="default"/>
      </w:rPr>
    </w:lvl>
    <w:lvl w:ilvl="6" w:tplc="D700B89C" w:tentative="1">
      <w:start w:val="1"/>
      <w:numFmt w:val="bullet"/>
      <w:lvlText w:val=""/>
      <w:lvlJc w:val="left"/>
      <w:pPr>
        <w:tabs>
          <w:tab w:val="num" w:pos="2940"/>
        </w:tabs>
        <w:ind w:left="2940" w:firstLine="0"/>
      </w:pPr>
      <w:rPr>
        <w:rFonts w:ascii="Symbol" w:hAnsi="Symbol" w:hint="default"/>
      </w:rPr>
    </w:lvl>
    <w:lvl w:ilvl="7" w:tplc="B38A664C" w:tentative="1">
      <w:start w:val="1"/>
      <w:numFmt w:val="bullet"/>
      <w:lvlText w:val=""/>
      <w:lvlJc w:val="left"/>
      <w:pPr>
        <w:tabs>
          <w:tab w:val="num" w:pos="3360"/>
        </w:tabs>
        <w:ind w:left="3360" w:firstLine="0"/>
      </w:pPr>
      <w:rPr>
        <w:rFonts w:ascii="Symbol" w:hAnsi="Symbol" w:hint="default"/>
      </w:rPr>
    </w:lvl>
    <w:lvl w:ilvl="8" w:tplc="11DC9264" w:tentative="1">
      <w:start w:val="1"/>
      <w:numFmt w:val="bullet"/>
      <w:lvlText w:val=""/>
      <w:lvlJc w:val="left"/>
      <w:pPr>
        <w:tabs>
          <w:tab w:val="num" w:pos="3780"/>
        </w:tabs>
        <w:ind w:left="3780" w:firstLine="0"/>
      </w:pPr>
      <w:rPr>
        <w:rFonts w:ascii="Symbol" w:hAnsi="Symbol" w:hint="default"/>
      </w:rPr>
    </w:lvl>
  </w:abstractNum>
  <w:abstractNum w:abstractNumId="53" w15:restartNumberingAfterBreak="0">
    <w:nsid w:val="6E062EE6"/>
    <w:multiLevelType w:val="hybridMultilevel"/>
    <w:tmpl w:val="DC58BCA0"/>
    <w:lvl w:ilvl="0" w:tplc="46B8773C">
      <w:start w:val="1"/>
      <w:numFmt w:val="decimal"/>
      <w:lvlText w:val="%1."/>
      <w:lvlJc w:val="left"/>
      <w:pPr>
        <w:tabs>
          <w:tab w:val="num" w:pos="900"/>
        </w:tabs>
        <w:ind w:left="900" w:hanging="420"/>
      </w:pPr>
    </w:lvl>
    <w:lvl w:ilvl="1" w:tplc="D0FA895C"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4" w15:restartNumberingAfterBreak="0">
    <w:nsid w:val="71A50FBC"/>
    <w:multiLevelType w:val="hybridMultilevel"/>
    <w:tmpl w:val="ABAC8C72"/>
    <w:lvl w:ilvl="0" w:tplc="A458378E">
      <w:start w:val="1"/>
      <w:numFmt w:val="decimal"/>
      <w:lvlText w:val="(%1)"/>
      <w:lvlJc w:val="left"/>
      <w:pPr>
        <w:tabs>
          <w:tab w:val="num" w:pos="780"/>
        </w:tabs>
        <w:ind w:left="0" w:firstLine="420"/>
      </w:pPr>
      <w:rPr>
        <w:rFonts w:ascii="宋体" w:eastAsia="宋体" w:hint="eastAsia"/>
        <w:b w:val="0"/>
        <w:i w:val="0"/>
        <w:sz w:val="21"/>
      </w:rPr>
    </w:lvl>
    <w:lvl w:ilvl="1" w:tplc="C0AC28C8" w:tentative="1">
      <w:start w:val="1"/>
      <w:numFmt w:val="lowerLetter"/>
      <w:lvlText w:val="%2)"/>
      <w:lvlJc w:val="left"/>
      <w:pPr>
        <w:tabs>
          <w:tab w:val="num" w:pos="840"/>
        </w:tabs>
        <w:ind w:left="840" w:hanging="420"/>
      </w:pPr>
    </w:lvl>
    <w:lvl w:ilvl="2" w:tplc="DBD04E44" w:tentative="1">
      <w:start w:val="1"/>
      <w:numFmt w:val="lowerRoman"/>
      <w:lvlText w:val="%3."/>
      <w:lvlJc w:val="right"/>
      <w:pPr>
        <w:tabs>
          <w:tab w:val="num" w:pos="1260"/>
        </w:tabs>
        <w:ind w:left="1260" w:hanging="420"/>
      </w:pPr>
    </w:lvl>
    <w:lvl w:ilvl="3" w:tplc="E21E2538" w:tentative="1">
      <w:start w:val="1"/>
      <w:numFmt w:val="decimal"/>
      <w:lvlText w:val="%4."/>
      <w:lvlJc w:val="left"/>
      <w:pPr>
        <w:tabs>
          <w:tab w:val="num" w:pos="1680"/>
        </w:tabs>
        <w:ind w:left="1680" w:hanging="420"/>
      </w:pPr>
    </w:lvl>
    <w:lvl w:ilvl="4" w:tplc="23F84568" w:tentative="1">
      <w:start w:val="1"/>
      <w:numFmt w:val="lowerLetter"/>
      <w:lvlText w:val="%5)"/>
      <w:lvlJc w:val="left"/>
      <w:pPr>
        <w:tabs>
          <w:tab w:val="num" w:pos="2100"/>
        </w:tabs>
        <w:ind w:left="2100" w:hanging="420"/>
      </w:pPr>
    </w:lvl>
    <w:lvl w:ilvl="5" w:tplc="36F23A80" w:tentative="1">
      <w:start w:val="1"/>
      <w:numFmt w:val="lowerRoman"/>
      <w:lvlText w:val="%6."/>
      <w:lvlJc w:val="right"/>
      <w:pPr>
        <w:tabs>
          <w:tab w:val="num" w:pos="2520"/>
        </w:tabs>
        <w:ind w:left="2520" w:hanging="420"/>
      </w:pPr>
    </w:lvl>
    <w:lvl w:ilvl="6" w:tplc="B4F83A74" w:tentative="1">
      <w:start w:val="1"/>
      <w:numFmt w:val="decimal"/>
      <w:lvlText w:val="%7."/>
      <w:lvlJc w:val="left"/>
      <w:pPr>
        <w:tabs>
          <w:tab w:val="num" w:pos="2940"/>
        </w:tabs>
        <w:ind w:left="2940" w:hanging="420"/>
      </w:pPr>
    </w:lvl>
    <w:lvl w:ilvl="7" w:tplc="C3B46838" w:tentative="1">
      <w:start w:val="1"/>
      <w:numFmt w:val="lowerLetter"/>
      <w:lvlText w:val="%8)"/>
      <w:lvlJc w:val="left"/>
      <w:pPr>
        <w:tabs>
          <w:tab w:val="num" w:pos="3360"/>
        </w:tabs>
        <w:ind w:left="3360" w:hanging="420"/>
      </w:pPr>
    </w:lvl>
    <w:lvl w:ilvl="8" w:tplc="BA54D466" w:tentative="1">
      <w:start w:val="1"/>
      <w:numFmt w:val="lowerRoman"/>
      <w:lvlText w:val="%9."/>
      <w:lvlJc w:val="right"/>
      <w:pPr>
        <w:tabs>
          <w:tab w:val="num" w:pos="3780"/>
        </w:tabs>
        <w:ind w:left="3780" w:hanging="420"/>
      </w:pPr>
    </w:lvl>
  </w:abstractNum>
  <w:abstractNum w:abstractNumId="55" w15:restartNumberingAfterBreak="0">
    <w:nsid w:val="71C01A57"/>
    <w:multiLevelType w:val="hybridMultilevel"/>
    <w:tmpl w:val="12583FE6"/>
    <w:lvl w:ilvl="0" w:tplc="C7E8B920">
      <w:start w:val="1"/>
      <w:numFmt w:val="decimal"/>
      <w:lvlText w:val="（%1）"/>
      <w:lvlJc w:val="left"/>
      <w:pPr>
        <w:tabs>
          <w:tab w:val="num" w:pos="987"/>
        </w:tabs>
        <w:ind w:left="987" w:hanging="567"/>
      </w:pPr>
      <w:rPr>
        <w:rFonts w:hint="eastAsia"/>
      </w:rPr>
    </w:lvl>
    <w:lvl w:ilvl="1" w:tplc="04090019">
      <w:start w:val="1"/>
      <w:numFmt w:val="japaneseCounting"/>
      <w:lvlText w:val="（%2）"/>
      <w:lvlJc w:val="left"/>
      <w:pPr>
        <w:tabs>
          <w:tab w:val="num" w:pos="1276"/>
        </w:tabs>
        <w:ind w:left="1276" w:hanging="720"/>
      </w:pPr>
      <w:rPr>
        <w:rFonts w:hint="eastAsia"/>
        <w:b/>
      </w:r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56" w15:restartNumberingAfterBreak="0">
    <w:nsid w:val="76B43538"/>
    <w:multiLevelType w:val="hybridMultilevel"/>
    <w:tmpl w:val="D17C10FA"/>
    <w:lvl w:ilvl="0" w:tplc="9C64499A">
      <w:start w:val="1"/>
      <w:numFmt w:val="decimal"/>
      <w:lvlText w:val="（%1）"/>
      <w:lvlJc w:val="left"/>
      <w:pPr>
        <w:tabs>
          <w:tab w:val="num" w:pos="780"/>
        </w:tabs>
        <w:ind w:left="42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15:restartNumberingAfterBreak="0">
    <w:nsid w:val="76D800A8"/>
    <w:multiLevelType w:val="hybridMultilevel"/>
    <w:tmpl w:val="CCAA1C10"/>
    <w:lvl w:ilvl="0" w:tplc="D89ED826">
      <w:start w:val="1"/>
      <w:numFmt w:val="decimal"/>
      <w:lvlText w:val="（%1）"/>
      <w:lvlJc w:val="left"/>
      <w:pPr>
        <w:tabs>
          <w:tab w:val="num" w:pos="987"/>
        </w:tabs>
        <w:ind w:left="987" w:hanging="567"/>
      </w:pPr>
      <w:rPr>
        <w:rFonts w:hint="eastAsia"/>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58" w15:restartNumberingAfterBreak="0">
    <w:nsid w:val="77B4748A"/>
    <w:multiLevelType w:val="hybridMultilevel"/>
    <w:tmpl w:val="2C643F1E"/>
    <w:lvl w:ilvl="0" w:tplc="0409000F">
      <w:start w:val="1"/>
      <w:numFmt w:val="decimal"/>
      <w:lvlText w:val="%1."/>
      <w:lvlJc w:val="left"/>
      <w:pPr>
        <w:tabs>
          <w:tab w:val="num" w:pos="780"/>
        </w:tabs>
        <w:ind w:left="420" w:firstLine="0"/>
      </w:pPr>
      <w:rPr>
        <w:rFonts w:hint="eastAsia"/>
        <w:sz w:val="21"/>
        <w:szCs w:val="21"/>
      </w:rPr>
    </w:lvl>
    <w:lvl w:ilvl="1" w:tplc="F1E46036">
      <w:start w:val="1"/>
      <w:numFmt w:val="decimal"/>
      <w:lvlText w:val="（%2）"/>
      <w:lvlJc w:val="left"/>
      <w:pPr>
        <w:tabs>
          <w:tab w:val="num" w:pos="851"/>
        </w:tabs>
        <w:ind w:left="851" w:hanging="567"/>
      </w:pPr>
      <w:rPr>
        <w:rFonts w:hint="eastAsia"/>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781937A9"/>
    <w:multiLevelType w:val="hybridMultilevel"/>
    <w:tmpl w:val="00529AC6"/>
    <w:lvl w:ilvl="0" w:tplc="D618D024">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15:restartNumberingAfterBreak="0">
    <w:nsid w:val="78221051"/>
    <w:multiLevelType w:val="hybridMultilevel"/>
    <w:tmpl w:val="51DCFDD8"/>
    <w:lvl w:ilvl="0" w:tplc="271E205C">
      <w:start w:val="1"/>
      <w:numFmt w:val="decimal"/>
      <w:lvlText w:val="%1."/>
      <w:lvlJc w:val="left"/>
      <w:pPr>
        <w:tabs>
          <w:tab w:val="num" w:pos="846"/>
        </w:tabs>
        <w:ind w:left="846" w:hanging="420"/>
      </w:pPr>
    </w:lvl>
    <w:lvl w:ilvl="1" w:tplc="C1C41EB2"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61" w15:restartNumberingAfterBreak="0">
    <w:nsid w:val="7C244917"/>
    <w:multiLevelType w:val="hybridMultilevel"/>
    <w:tmpl w:val="94120130"/>
    <w:lvl w:ilvl="0" w:tplc="FFFFFFFF">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7E0E31A3"/>
    <w:multiLevelType w:val="hybridMultilevel"/>
    <w:tmpl w:val="EFCC16FE"/>
    <w:lvl w:ilvl="0" w:tplc="271E205C">
      <w:start w:val="1"/>
      <w:numFmt w:val="decimal"/>
      <w:lvlText w:val="（%1）"/>
      <w:lvlJc w:val="left"/>
      <w:pPr>
        <w:tabs>
          <w:tab w:val="num" w:pos="114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15:restartNumberingAfterBreak="0">
    <w:nsid w:val="7E531937"/>
    <w:multiLevelType w:val="hybridMultilevel"/>
    <w:tmpl w:val="EB885994"/>
    <w:lvl w:ilvl="0" w:tplc="C2CC9BF8">
      <w:start w:val="1"/>
      <w:numFmt w:val="decimal"/>
      <w:lvlText w:val="%1."/>
      <w:lvlJc w:val="left"/>
      <w:pPr>
        <w:tabs>
          <w:tab w:val="num" w:pos="780"/>
        </w:tabs>
        <w:ind w:left="0" w:firstLine="420"/>
      </w:pPr>
      <w:rPr>
        <w:rFonts w:hint="eastAsia"/>
      </w:rPr>
    </w:lvl>
    <w:lvl w:ilvl="1" w:tplc="271E205C">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4" w15:restartNumberingAfterBreak="0">
    <w:nsid w:val="7EC65600"/>
    <w:multiLevelType w:val="hybridMultilevel"/>
    <w:tmpl w:val="0F02385E"/>
    <w:lvl w:ilvl="0" w:tplc="FFFFFFFF">
      <w:start w:val="1"/>
      <w:numFmt w:val="decimal"/>
      <w:lvlText w:val="%1."/>
      <w:lvlJc w:val="left"/>
      <w:pPr>
        <w:tabs>
          <w:tab w:val="num" w:pos="1785"/>
        </w:tabs>
        <w:ind w:left="1785"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num w:numId="1">
    <w:abstractNumId w:val="38"/>
  </w:num>
  <w:num w:numId="2">
    <w:abstractNumId w:val="12"/>
  </w:num>
  <w:num w:numId="3">
    <w:abstractNumId w:val="28"/>
  </w:num>
  <w:num w:numId="4">
    <w:abstractNumId w:val="14"/>
  </w:num>
  <w:num w:numId="5">
    <w:abstractNumId w:val="30"/>
  </w:num>
  <w:num w:numId="6">
    <w:abstractNumId w:val="20"/>
  </w:num>
  <w:num w:numId="7">
    <w:abstractNumId w:val="40"/>
  </w:num>
  <w:num w:numId="8">
    <w:abstractNumId w:val="58"/>
  </w:num>
  <w:num w:numId="9">
    <w:abstractNumId w:val="0"/>
  </w:num>
  <w:num w:numId="10">
    <w:abstractNumId w:val="2"/>
  </w:num>
  <w:num w:numId="11">
    <w:abstractNumId w:val="41"/>
  </w:num>
  <w:num w:numId="12">
    <w:abstractNumId w:val="36"/>
  </w:num>
  <w:num w:numId="13">
    <w:abstractNumId w:val="3"/>
  </w:num>
  <w:num w:numId="14">
    <w:abstractNumId w:val="1"/>
  </w:num>
  <w:num w:numId="15">
    <w:abstractNumId w:val="51"/>
  </w:num>
  <w:num w:numId="16">
    <w:abstractNumId w:val="22"/>
  </w:num>
  <w:num w:numId="17">
    <w:abstractNumId w:val="19"/>
  </w:num>
  <w:num w:numId="18">
    <w:abstractNumId w:val="25"/>
  </w:num>
  <w:num w:numId="19">
    <w:abstractNumId w:val="11"/>
  </w:num>
  <w:num w:numId="20">
    <w:abstractNumId w:val="47"/>
  </w:num>
  <w:num w:numId="21">
    <w:abstractNumId w:val="57"/>
  </w:num>
  <w:num w:numId="22">
    <w:abstractNumId w:val="55"/>
  </w:num>
  <w:num w:numId="23">
    <w:abstractNumId w:val="44"/>
  </w:num>
  <w:num w:numId="24">
    <w:abstractNumId w:val="16"/>
  </w:num>
  <w:num w:numId="25">
    <w:abstractNumId w:val="62"/>
  </w:num>
  <w:num w:numId="26">
    <w:abstractNumId w:val="17"/>
  </w:num>
  <w:num w:numId="27">
    <w:abstractNumId w:val="31"/>
  </w:num>
  <w:num w:numId="28">
    <w:abstractNumId w:val="26"/>
  </w:num>
  <w:num w:numId="29">
    <w:abstractNumId w:val="33"/>
  </w:num>
  <w:num w:numId="30">
    <w:abstractNumId w:val="43"/>
  </w:num>
  <w:num w:numId="31">
    <w:abstractNumId w:val="49"/>
  </w:num>
  <w:num w:numId="32">
    <w:abstractNumId w:val="24"/>
  </w:num>
  <w:num w:numId="33">
    <w:abstractNumId w:val="21"/>
  </w:num>
  <w:num w:numId="34">
    <w:abstractNumId w:val="63"/>
  </w:num>
  <w:num w:numId="35">
    <w:abstractNumId w:val="13"/>
  </w:num>
  <w:num w:numId="36">
    <w:abstractNumId w:val="39"/>
  </w:num>
  <w:num w:numId="37">
    <w:abstractNumId w:val="4"/>
  </w:num>
  <w:num w:numId="38">
    <w:abstractNumId w:val="29"/>
  </w:num>
  <w:num w:numId="39">
    <w:abstractNumId w:val="15"/>
  </w:num>
  <w:num w:numId="40">
    <w:abstractNumId w:val="7"/>
  </w:num>
  <w:num w:numId="41">
    <w:abstractNumId w:val="10"/>
  </w:num>
  <w:num w:numId="42">
    <w:abstractNumId w:val="5"/>
  </w:num>
  <w:num w:numId="43">
    <w:abstractNumId w:val="45"/>
  </w:num>
  <w:num w:numId="44">
    <w:abstractNumId w:val="27"/>
  </w:num>
  <w:num w:numId="45">
    <w:abstractNumId w:val="37"/>
  </w:num>
  <w:num w:numId="46">
    <w:abstractNumId w:val="8"/>
  </w:num>
  <w:num w:numId="47">
    <w:abstractNumId w:val="59"/>
  </w:num>
  <w:num w:numId="48">
    <w:abstractNumId w:val="32"/>
  </w:num>
  <w:num w:numId="49">
    <w:abstractNumId w:val="18"/>
  </w:num>
  <w:num w:numId="50">
    <w:abstractNumId w:val="54"/>
  </w:num>
  <w:num w:numId="51">
    <w:abstractNumId w:val="60"/>
  </w:num>
  <w:num w:numId="52">
    <w:abstractNumId w:val="53"/>
  </w:num>
  <w:num w:numId="53">
    <w:abstractNumId w:val="64"/>
  </w:num>
  <w:num w:numId="54">
    <w:abstractNumId w:val="50"/>
  </w:num>
  <w:num w:numId="55">
    <w:abstractNumId w:val="23"/>
  </w:num>
  <w:num w:numId="56">
    <w:abstractNumId w:val="46"/>
  </w:num>
  <w:num w:numId="57">
    <w:abstractNumId w:val="35"/>
  </w:num>
  <w:num w:numId="58">
    <w:abstractNumId w:val="48"/>
  </w:num>
  <w:num w:numId="59">
    <w:abstractNumId w:val="9"/>
  </w:num>
  <w:num w:numId="60">
    <w:abstractNumId w:val="56"/>
  </w:num>
  <w:num w:numId="61">
    <w:abstractNumId w:val="6"/>
  </w:num>
  <w:num w:numId="62">
    <w:abstractNumId w:val="34"/>
  </w:num>
  <w:num w:numId="63">
    <w:abstractNumId w:val="42"/>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D3378"/>
    <w:rsid w:val="000004A2"/>
    <w:rsid w:val="00000F58"/>
    <w:rsid w:val="00000FB7"/>
    <w:rsid w:val="00002097"/>
    <w:rsid w:val="000022D0"/>
    <w:rsid w:val="00002B3F"/>
    <w:rsid w:val="00003929"/>
    <w:rsid w:val="00004129"/>
    <w:rsid w:val="00011C21"/>
    <w:rsid w:val="00013547"/>
    <w:rsid w:val="00013EA2"/>
    <w:rsid w:val="000200B3"/>
    <w:rsid w:val="00020A1E"/>
    <w:rsid w:val="00020CA7"/>
    <w:rsid w:val="0002105A"/>
    <w:rsid w:val="0002109A"/>
    <w:rsid w:val="00021AB3"/>
    <w:rsid w:val="00021DFD"/>
    <w:rsid w:val="000239D0"/>
    <w:rsid w:val="00024ADB"/>
    <w:rsid w:val="00025B37"/>
    <w:rsid w:val="000274D7"/>
    <w:rsid w:val="00030DD1"/>
    <w:rsid w:val="00033851"/>
    <w:rsid w:val="00034286"/>
    <w:rsid w:val="00037864"/>
    <w:rsid w:val="00040468"/>
    <w:rsid w:val="0004112C"/>
    <w:rsid w:val="00041C60"/>
    <w:rsid w:val="00042A4A"/>
    <w:rsid w:val="00043559"/>
    <w:rsid w:val="00044B98"/>
    <w:rsid w:val="00044FF5"/>
    <w:rsid w:val="000465F2"/>
    <w:rsid w:val="00047B1D"/>
    <w:rsid w:val="00050FC3"/>
    <w:rsid w:val="000556E5"/>
    <w:rsid w:val="0005575A"/>
    <w:rsid w:val="000557F8"/>
    <w:rsid w:val="00055822"/>
    <w:rsid w:val="00056998"/>
    <w:rsid w:val="00060AAD"/>
    <w:rsid w:val="00060BF4"/>
    <w:rsid w:val="000623C6"/>
    <w:rsid w:val="000626D3"/>
    <w:rsid w:val="0006382A"/>
    <w:rsid w:val="00063C30"/>
    <w:rsid w:val="000645B3"/>
    <w:rsid w:val="00065132"/>
    <w:rsid w:val="0006714D"/>
    <w:rsid w:val="000704EA"/>
    <w:rsid w:val="00070AE4"/>
    <w:rsid w:val="00070F03"/>
    <w:rsid w:val="00070FD6"/>
    <w:rsid w:val="00073CB3"/>
    <w:rsid w:val="00075C2A"/>
    <w:rsid w:val="00075F87"/>
    <w:rsid w:val="0007756E"/>
    <w:rsid w:val="00080F1F"/>
    <w:rsid w:val="00082926"/>
    <w:rsid w:val="00083AEE"/>
    <w:rsid w:val="00084358"/>
    <w:rsid w:val="00085B2A"/>
    <w:rsid w:val="00087507"/>
    <w:rsid w:val="00091603"/>
    <w:rsid w:val="00092AD5"/>
    <w:rsid w:val="000948A1"/>
    <w:rsid w:val="000962DD"/>
    <w:rsid w:val="00096373"/>
    <w:rsid w:val="00096B6A"/>
    <w:rsid w:val="000A0794"/>
    <w:rsid w:val="000A137C"/>
    <w:rsid w:val="000A22EE"/>
    <w:rsid w:val="000A3794"/>
    <w:rsid w:val="000A49C9"/>
    <w:rsid w:val="000A4E45"/>
    <w:rsid w:val="000A6228"/>
    <w:rsid w:val="000A78D9"/>
    <w:rsid w:val="000B0BEF"/>
    <w:rsid w:val="000B1E9F"/>
    <w:rsid w:val="000B211D"/>
    <w:rsid w:val="000B28D1"/>
    <w:rsid w:val="000B2C90"/>
    <w:rsid w:val="000B595C"/>
    <w:rsid w:val="000B7038"/>
    <w:rsid w:val="000C079A"/>
    <w:rsid w:val="000C0A32"/>
    <w:rsid w:val="000C1D91"/>
    <w:rsid w:val="000C2286"/>
    <w:rsid w:val="000C22E1"/>
    <w:rsid w:val="000C24AA"/>
    <w:rsid w:val="000C6B7A"/>
    <w:rsid w:val="000C7262"/>
    <w:rsid w:val="000C74C7"/>
    <w:rsid w:val="000C7A80"/>
    <w:rsid w:val="000D01C3"/>
    <w:rsid w:val="000D1DB2"/>
    <w:rsid w:val="000D2FE8"/>
    <w:rsid w:val="000D490D"/>
    <w:rsid w:val="000D7A3D"/>
    <w:rsid w:val="000D7FFA"/>
    <w:rsid w:val="000E1117"/>
    <w:rsid w:val="000E29FA"/>
    <w:rsid w:val="000E31AE"/>
    <w:rsid w:val="000E35F3"/>
    <w:rsid w:val="000E60DD"/>
    <w:rsid w:val="000E7887"/>
    <w:rsid w:val="000E7A79"/>
    <w:rsid w:val="000F1383"/>
    <w:rsid w:val="000F26F8"/>
    <w:rsid w:val="000F2D56"/>
    <w:rsid w:val="000F3AFA"/>
    <w:rsid w:val="000F435A"/>
    <w:rsid w:val="000F4491"/>
    <w:rsid w:val="000F4B6D"/>
    <w:rsid w:val="000F75A2"/>
    <w:rsid w:val="00101BD5"/>
    <w:rsid w:val="0010222E"/>
    <w:rsid w:val="00102714"/>
    <w:rsid w:val="0010356C"/>
    <w:rsid w:val="00104021"/>
    <w:rsid w:val="001049DF"/>
    <w:rsid w:val="001055D2"/>
    <w:rsid w:val="0011384A"/>
    <w:rsid w:val="0011385D"/>
    <w:rsid w:val="001142E5"/>
    <w:rsid w:val="001154C8"/>
    <w:rsid w:val="00115A21"/>
    <w:rsid w:val="00116E42"/>
    <w:rsid w:val="00117382"/>
    <w:rsid w:val="001205EF"/>
    <w:rsid w:val="00122213"/>
    <w:rsid w:val="00124162"/>
    <w:rsid w:val="00124C19"/>
    <w:rsid w:val="001251E0"/>
    <w:rsid w:val="001258E9"/>
    <w:rsid w:val="00126F2E"/>
    <w:rsid w:val="00131282"/>
    <w:rsid w:val="00131908"/>
    <w:rsid w:val="00133188"/>
    <w:rsid w:val="00133423"/>
    <w:rsid w:val="00133617"/>
    <w:rsid w:val="001336D3"/>
    <w:rsid w:val="00133B51"/>
    <w:rsid w:val="00133EEB"/>
    <w:rsid w:val="00133F62"/>
    <w:rsid w:val="00134D83"/>
    <w:rsid w:val="00135BA7"/>
    <w:rsid w:val="00135DE6"/>
    <w:rsid w:val="00136198"/>
    <w:rsid w:val="00136AC0"/>
    <w:rsid w:val="00137F9F"/>
    <w:rsid w:val="00140AD8"/>
    <w:rsid w:val="00140C61"/>
    <w:rsid w:val="001424AE"/>
    <w:rsid w:val="00144845"/>
    <w:rsid w:val="0015026D"/>
    <w:rsid w:val="00150D5D"/>
    <w:rsid w:val="001512BD"/>
    <w:rsid w:val="0015140C"/>
    <w:rsid w:val="00151C77"/>
    <w:rsid w:val="00152FF5"/>
    <w:rsid w:val="0015372D"/>
    <w:rsid w:val="00155276"/>
    <w:rsid w:val="00155AF2"/>
    <w:rsid w:val="0015654F"/>
    <w:rsid w:val="001577AF"/>
    <w:rsid w:val="001624A4"/>
    <w:rsid w:val="00162938"/>
    <w:rsid w:val="00163E97"/>
    <w:rsid w:val="001663F0"/>
    <w:rsid w:val="00171010"/>
    <w:rsid w:val="00173B14"/>
    <w:rsid w:val="00175844"/>
    <w:rsid w:val="0017651F"/>
    <w:rsid w:val="00177141"/>
    <w:rsid w:val="001806AB"/>
    <w:rsid w:val="001825AE"/>
    <w:rsid w:val="001847AD"/>
    <w:rsid w:val="001852D5"/>
    <w:rsid w:val="00191CF7"/>
    <w:rsid w:val="001931C2"/>
    <w:rsid w:val="00193430"/>
    <w:rsid w:val="00193ED5"/>
    <w:rsid w:val="00193FD2"/>
    <w:rsid w:val="001944CB"/>
    <w:rsid w:val="001952CB"/>
    <w:rsid w:val="00196512"/>
    <w:rsid w:val="00196966"/>
    <w:rsid w:val="001A0B51"/>
    <w:rsid w:val="001A1042"/>
    <w:rsid w:val="001A3DDF"/>
    <w:rsid w:val="001A4845"/>
    <w:rsid w:val="001A4EAB"/>
    <w:rsid w:val="001A5258"/>
    <w:rsid w:val="001B2217"/>
    <w:rsid w:val="001B31EF"/>
    <w:rsid w:val="001B36B3"/>
    <w:rsid w:val="001B63A4"/>
    <w:rsid w:val="001B793D"/>
    <w:rsid w:val="001B7FEC"/>
    <w:rsid w:val="001C0212"/>
    <w:rsid w:val="001C0617"/>
    <w:rsid w:val="001C2579"/>
    <w:rsid w:val="001C5913"/>
    <w:rsid w:val="001C59F2"/>
    <w:rsid w:val="001C5AD3"/>
    <w:rsid w:val="001C5BB3"/>
    <w:rsid w:val="001D06F7"/>
    <w:rsid w:val="001D1831"/>
    <w:rsid w:val="001D27EE"/>
    <w:rsid w:val="001D2F91"/>
    <w:rsid w:val="001D30EA"/>
    <w:rsid w:val="001D39FC"/>
    <w:rsid w:val="001D5290"/>
    <w:rsid w:val="001D5B08"/>
    <w:rsid w:val="001D5EC8"/>
    <w:rsid w:val="001D6734"/>
    <w:rsid w:val="001D79B8"/>
    <w:rsid w:val="001E1231"/>
    <w:rsid w:val="001E1663"/>
    <w:rsid w:val="001E392C"/>
    <w:rsid w:val="001E5DE5"/>
    <w:rsid w:val="001E6842"/>
    <w:rsid w:val="001F200D"/>
    <w:rsid w:val="001F265F"/>
    <w:rsid w:val="001F5249"/>
    <w:rsid w:val="001F54F1"/>
    <w:rsid w:val="001F7817"/>
    <w:rsid w:val="002015CE"/>
    <w:rsid w:val="0020206E"/>
    <w:rsid w:val="0020217C"/>
    <w:rsid w:val="00202466"/>
    <w:rsid w:val="0020352B"/>
    <w:rsid w:val="002042CB"/>
    <w:rsid w:val="00204C91"/>
    <w:rsid w:val="00205B16"/>
    <w:rsid w:val="002079C5"/>
    <w:rsid w:val="0021072B"/>
    <w:rsid w:val="002111BC"/>
    <w:rsid w:val="00212F99"/>
    <w:rsid w:val="00213377"/>
    <w:rsid w:val="00213782"/>
    <w:rsid w:val="00213B77"/>
    <w:rsid w:val="00215A8F"/>
    <w:rsid w:val="002160DB"/>
    <w:rsid w:val="0022017E"/>
    <w:rsid w:val="00220811"/>
    <w:rsid w:val="00221009"/>
    <w:rsid w:val="00221601"/>
    <w:rsid w:val="00222BCE"/>
    <w:rsid w:val="002236A0"/>
    <w:rsid w:val="00226E30"/>
    <w:rsid w:val="00227C0F"/>
    <w:rsid w:val="0023150F"/>
    <w:rsid w:val="00231555"/>
    <w:rsid w:val="002318EB"/>
    <w:rsid w:val="00234856"/>
    <w:rsid w:val="00236EB5"/>
    <w:rsid w:val="0024007A"/>
    <w:rsid w:val="002406BE"/>
    <w:rsid w:val="00240A34"/>
    <w:rsid w:val="00241594"/>
    <w:rsid w:val="002418BD"/>
    <w:rsid w:val="002419A8"/>
    <w:rsid w:val="00244041"/>
    <w:rsid w:val="002442D1"/>
    <w:rsid w:val="002456A6"/>
    <w:rsid w:val="00245AAA"/>
    <w:rsid w:val="002476B4"/>
    <w:rsid w:val="00247B10"/>
    <w:rsid w:val="00252950"/>
    <w:rsid w:val="00252AFD"/>
    <w:rsid w:val="00253B73"/>
    <w:rsid w:val="00255780"/>
    <w:rsid w:val="00255DD4"/>
    <w:rsid w:val="002577E4"/>
    <w:rsid w:val="00262756"/>
    <w:rsid w:val="00262C15"/>
    <w:rsid w:val="002642DE"/>
    <w:rsid w:val="00270698"/>
    <w:rsid w:val="0027177F"/>
    <w:rsid w:val="00271D38"/>
    <w:rsid w:val="00273A90"/>
    <w:rsid w:val="00274687"/>
    <w:rsid w:val="00274725"/>
    <w:rsid w:val="002768AA"/>
    <w:rsid w:val="00276E60"/>
    <w:rsid w:val="00277466"/>
    <w:rsid w:val="00277FBE"/>
    <w:rsid w:val="002818BE"/>
    <w:rsid w:val="00283F29"/>
    <w:rsid w:val="002840B3"/>
    <w:rsid w:val="0028566D"/>
    <w:rsid w:val="00286CBB"/>
    <w:rsid w:val="00286F0F"/>
    <w:rsid w:val="00290EB2"/>
    <w:rsid w:val="002923E8"/>
    <w:rsid w:val="00292B00"/>
    <w:rsid w:val="00292CB8"/>
    <w:rsid w:val="00293075"/>
    <w:rsid w:val="002937AB"/>
    <w:rsid w:val="002958A6"/>
    <w:rsid w:val="00296355"/>
    <w:rsid w:val="00296C45"/>
    <w:rsid w:val="002A0628"/>
    <w:rsid w:val="002A4F0A"/>
    <w:rsid w:val="002A4F50"/>
    <w:rsid w:val="002A5C6A"/>
    <w:rsid w:val="002A68B8"/>
    <w:rsid w:val="002A7340"/>
    <w:rsid w:val="002B0EEF"/>
    <w:rsid w:val="002B2041"/>
    <w:rsid w:val="002B22D3"/>
    <w:rsid w:val="002B29A8"/>
    <w:rsid w:val="002B3C9C"/>
    <w:rsid w:val="002B5B9C"/>
    <w:rsid w:val="002C0B50"/>
    <w:rsid w:val="002C0BCE"/>
    <w:rsid w:val="002C1BA5"/>
    <w:rsid w:val="002C3E44"/>
    <w:rsid w:val="002D0494"/>
    <w:rsid w:val="002D079A"/>
    <w:rsid w:val="002D0EC6"/>
    <w:rsid w:val="002D1C17"/>
    <w:rsid w:val="002D2C6D"/>
    <w:rsid w:val="002D4D15"/>
    <w:rsid w:val="002E0E21"/>
    <w:rsid w:val="002E0FB3"/>
    <w:rsid w:val="002E14C0"/>
    <w:rsid w:val="002E15CE"/>
    <w:rsid w:val="002E3978"/>
    <w:rsid w:val="002E4367"/>
    <w:rsid w:val="002E52AB"/>
    <w:rsid w:val="002E52B1"/>
    <w:rsid w:val="002E56DF"/>
    <w:rsid w:val="002E60D1"/>
    <w:rsid w:val="002E7AAF"/>
    <w:rsid w:val="002F0327"/>
    <w:rsid w:val="002F22BA"/>
    <w:rsid w:val="002F3321"/>
    <w:rsid w:val="002F3704"/>
    <w:rsid w:val="002F379F"/>
    <w:rsid w:val="002F4080"/>
    <w:rsid w:val="002F4C0B"/>
    <w:rsid w:val="003008E9"/>
    <w:rsid w:val="0030524C"/>
    <w:rsid w:val="00310201"/>
    <w:rsid w:val="003120D9"/>
    <w:rsid w:val="00312487"/>
    <w:rsid w:val="003124ED"/>
    <w:rsid w:val="0031260F"/>
    <w:rsid w:val="00313C13"/>
    <w:rsid w:val="00315D77"/>
    <w:rsid w:val="003161F9"/>
    <w:rsid w:val="003170AD"/>
    <w:rsid w:val="00317543"/>
    <w:rsid w:val="00317D5B"/>
    <w:rsid w:val="003204B2"/>
    <w:rsid w:val="00321CC4"/>
    <w:rsid w:val="00325235"/>
    <w:rsid w:val="00325EEF"/>
    <w:rsid w:val="00326397"/>
    <w:rsid w:val="00326510"/>
    <w:rsid w:val="003270CF"/>
    <w:rsid w:val="0032767E"/>
    <w:rsid w:val="003276F3"/>
    <w:rsid w:val="00332201"/>
    <w:rsid w:val="00332407"/>
    <w:rsid w:val="0033371D"/>
    <w:rsid w:val="00336111"/>
    <w:rsid w:val="00337FEF"/>
    <w:rsid w:val="00341944"/>
    <w:rsid w:val="00342909"/>
    <w:rsid w:val="003431F0"/>
    <w:rsid w:val="003440C5"/>
    <w:rsid w:val="0034441C"/>
    <w:rsid w:val="003453E0"/>
    <w:rsid w:val="003456BA"/>
    <w:rsid w:val="00345B40"/>
    <w:rsid w:val="00345D00"/>
    <w:rsid w:val="0034795D"/>
    <w:rsid w:val="003535DA"/>
    <w:rsid w:val="00355827"/>
    <w:rsid w:val="00356B56"/>
    <w:rsid w:val="003606F0"/>
    <w:rsid w:val="00362986"/>
    <w:rsid w:val="00362D27"/>
    <w:rsid w:val="0036321F"/>
    <w:rsid w:val="003642BE"/>
    <w:rsid w:val="0036448C"/>
    <w:rsid w:val="003644E4"/>
    <w:rsid w:val="003662CB"/>
    <w:rsid w:val="0036763F"/>
    <w:rsid w:val="00371B0A"/>
    <w:rsid w:val="0038060E"/>
    <w:rsid w:val="00380D7C"/>
    <w:rsid w:val="003837C2"/>
    <w:rsid w:val="00383C5C"/>
    <w:rsid w:val="00386B03"/>
    <w:rsid w:val="00386FD7"/>
    <w:rsid w:val="00390974"/>
    <w:rsid w:val="00390B6B"/>
    <w:rsid w:val="00391167"/>
    <w:rsid w:val="00391636"/>
    <w:rsid w:val="00391A16"/>
    <w:rsid w:val="003927D4"/>
    <w:rsid w:val="0039457F"/>
    <w:rsid w:val="0039715A"/>
    <w:rsid w:val="00397635"/>
    <w:rsid w:val="00397A83"/>
    <w:rsid w:val="003A0FAF"/>
    <w:rsid w:val="003A1A43"/>
    <w:rsid w:val="003A3D75"/>
    <w:rsid w:val="003A44ED"/>
    <w:rsid w:val="003A50C8"/>
    <w:rsid w:val="003A737A"/>
    <w:rsid w:val="003B10DD"/>
    <w:rsid w:val="003B146E"/>
    <w:rsid w:val="003B1508"/>
    <w:rsid w:val="003B1EE7"/>
    <w:rsid w:val="003B34EF"/>
    <w:rsid w:val="003B4C70"/>
    <w:rsid w:val="003C3C65"/>
    <w:rsid w:val="003C79D4"/>
    <w:rsid w:val="003C7B8B"/>
    <w:rsid w:val="003D0D72"/>
    <w:rsid w:val="003D5358"/>
    <w:rsid w:val="003D606A"/>
    <w:rsid w:val="003D63B8"/>
    <w:rsid w:val="003D7FEA"/>
    <w:rsid w:val="003E0BCB"/>
    <w:rsid w:val="003E15EA"/>
    <w:rsid w:val="003E165B"/>
    <w:rsid w:val="003E4324"/>
    <w:rsid w:val="003E4917"/>
    <w:rsid w:val="003E499C"/>
    <w:rsid w:val="003E61E8"/>
    <w:rsid w:val="003E6327"/>
    <w:rsid w:val="003F0BF4"/>
    <w:rsid w:val="003F2843"/>
    <w:rsid w:val="003F4ADE"/>
    <w:rsid w:val="003F525B"/>
    <w:rsid w:val="003F6668"/>
    <w:rsid w:val="00400D8B"/>
    <w:rsid w:val="00401BD0"/>
    <w:rsid w:val="00402E41"/>
    <w:rsid w:val="00402FBB"/>
    <w:rsid w:val="00403028"/>
    <w:rsid w:val="0040311D"/>
    <w:rsid w:val="00404236"/>
    <w:rsid w:val="00404F5E"/>
    <w:rsid w:val="0040502E"/>
    <w:rsid w:val="004073F9"/>
    <w:rsid w:val="00410CA0"/>
    <w:rsid w:val="00411505"/>
    <w:rsid w:val="00412E68"/>
    <w:rsid w:val="00413505"/>
    <w:rsid w:val="00413530"/>
    <w:rsid w:val="00413912"/>
    <w:rsid w:val="00414340"/>
    <w:rsid w:val="00416AD1"/>
    <w:rsid w:val="00416BEA"/>
    <w:rsid w:val="004171A2"/>
    <w:rsid w:val="00417284"/>
    <w:rsid w:val="00417A88"/>
    <w:rsid w:val="0042101E"/>
    <w:rsid w:val="00421527"/>
    <w:rsid w:val="00421A06"/>
    <w:rsid w:val="004223FD"/>
    <w:rsid w:val="00424673"/>
    <w:rsid w:val="00424B99"/>
    <w:rsid w:val="004254E4"/>
    <w:rsid w:val="0042726F"/>
    <w:rsid w:val="00427D47"/>
    <w:rsid w:val="0043301C"/>
    <w:rsid w:val="00435253"/>
    <w:rsid w:val="00435A59"/>
    <w:rsid w:val="00435AF7"/>
    <w:rsid w:val="00436337"/>
    <w:rsid w:val="00440B4F"/>
    <w:rsid w:val="00443B6C"/>
    <w:rsid w:val="00443C7E"/>
    <w:rsid w:val="00444499"/>
    <w:rsid w:val="0044453D"/>
    <w:rsid w:val="00446B01"/>
    <w:rsid w:val="004503AC"/>
    <w:rsid w:val="00452033"/>
    <w:rsid w:val="004542A3"/>
    <w:rsid w:val="004545E1"/>
    <w:rsid w:val="0045610B"/>
    <w:rsid w:val="00456481"/>
    <w:rsid w:val="00460B87"/>
    <w:rsid w:val="0046169A"/>
    <w:rsid w:val="00464FD7"/>
    <w:rsid w:val="0046526A"/>
    <w:rsid w:val="00467A3E"/>
    <w:rsid w:val="00467E4D"/>
    <w:rsid w:val="0047210C"/>
    <w:rsid w:val="0047294A"/>
    <w:rsid w:val="00473BB8"/>
    <w:rsid w:val="00473D00"/>
    <w:rsid w:val="004770B5"/>
    <w:rsid w:val="00480D56"/>
    <w:rsid w:val="00481B67"/>
    <w:rsid w:val="00484DF4"/>
    <w:rsid w:val="00485334"/>
    <w:rsid w:val="00485BDE"/>
    <w:rsid w:val="00486EFF"/>
    <w:rsid w:val="00487386"/>
    <w:rsid w:val="00490440"/>
    <w:rsid w:val="00491440"/>
    <w:rsid w:val="004921EE"/>
    <w:rsid w:val="00493763"/>
    <w:rsid w:val="00494713"/>
    <w:rsid w:val="004968CC"/>
    <w:rsid w:val="0049765C"/>
    <w:rsid w:val="004A39C8"/>
    <w:rsid w:val="004A40E1"/>
    <w:rsid w:val="004A6C3C"/>
    <w:rsid w:val="004B07DD"/>
    <w:rsid w:val="004B14D9"/>
    <w:rsid w:val="004B1B45"/>
    <w:rsid w:val="004B2D17"/>
    <w:rsid w:val="004B2ED8"/>
    <w:rsid w:val="004B3A62"/>
    <w:rsid w:val="004B3E30"/>
    <w:rsid w:val="004B4EE2"/>
    <w:rsid w:val="004B5D37"/>
    <w:rsid w:val="004B60EB"/>
    <w:rsid w:val="004B6C00"/>
    <w:rsid w:val="004B73B8"/>
    <w:rsid w:val="004C0218"/>
    <w:rsid w:val="004C31BF"/>
    <w:rsid w:val="004C3446"/>
    <w:rsid w:val="004C3632"/>
    <w:rsid w:val="004C4C3D"/>
    <w:rsid w:val="004C4F7F"/>
    <w:rsid w:val="004C5B80"/>
    <w:rsid w:val="004C6B22"/>
    <w:rsid w:val="004C7577"/>
    <w:rsid w:val="004D1D31"/>
    <w:rsid w:val="004D263B"/>
    <w:rsid w:val="004D656B"/>
    <w:rsid w:val="004D6B0A"/>
    <w:rsid w:val="004D717A"/>
    <w:rsid w:val="004D7D84"/>
    <w:rsid w:val="004E3729"/>
    <w:rsid w:val="004E3A18"/>
    <w:rsid w:val="004E3BAD"/>
    <w:rsid w:val="004E3F58"/>
    <w:rsid w:val="004E4E43"/>
    <w:rsid w:val="004F19B8"/>
    <w:rsid w:val="004F273B"/>
    <w:rsid w:val="004F66B1"/>
    <w:rsid w:val="004F6D51"/>
    <w:rsid w:val="00501D9F"/>
    <w:rsid w:val="00502C3B"/>
    <w:rsid w:val="00503370"/>
    <w:rsid w:val="0050344D"/>
    <w:rsid w:val="00503CF4"/>
    <w:rsid w:val="00505BE3"/>
    <w:rsid w:val="00506B28"/>
    <w:rsid w:val="00507B89"/>
    <w:rsid w:val="0051009F"/>
    <w:rsid w:val="00512D49"/>
    <w:rsid w:val="00513B38"/>
    <w:rsid w:val="00515432"/>
    <w:rsid w:val="00517188"/>
    <w:rsid w:val="00517ABB"/>
    <w:rsid w:val="005221C9"/>
    <w:rsid w:val="00522A3D"/>
    <w:rsid w:val="005234C5"/>
    <w:rsid w:val="00523761"/>
    <w:rsid w:val="00523A82"/>
    <w:rsid w:val="00524768"/>
    <w:rsid w:val="005251E8"/>
    <w:rsid w:val="0052629D"/>
    <w:rsid w:val="005262F7"/>
    <w:rsid w:val="005279E7"/>
    <w:rsid w:val="00533529"/>
    <w:rsid w:val="005336CC"/>
    <w:rsid w:val="00533CC8"/>
    <w:rsid w:val="00533E30"/>
    <w:rsid w:val="00534C34"/>
    <w:rsid w:val="00534D84"/>
    <w:rsid w:val="00535219"/>
    <w:rsid w:val="00536320"/>
    <w:rsid w:val="00536FD4"/>
    <w:rsid w:val="0053709E"/>
    <w:rsid w:val="005407C3"/>
    <w:rsid w:val="00545AA5"/>
    <w:rsid w:val="00545EBC"/>
    <w:rsid w:val="00546243"/>
    <w:rsid w:val="0055059D"/>
    <w:rsid w:val="00550C61"/>
    <w:rsid w:val="00550ECC"/>
    <w:rsid w:val="00550FD0"/>
    <w:rsid w:val="00554868"/>
    <w:rsid w:val="00554A8D"/>
    <w:rsid w:val="00554D26"/>
    <w:rsid w:val="005554F7"/>
    <w:rsid w:val="00557370"/>
    <w:rsid w:val="00561BA4"/>
    <w:rsid w:val="0056272A"/>
    <w:rsid w:val="0056460A"/>
    <w:rsid w:val="00564F90"/>
    <w:rsid w:val="005656E8"/>
    <w:rsid w:val="005706EE"/>
    <w:rsid w:val="00570702"/>
    <w:rsid w:val="00573474"/>
    <w:rsid w:val="005740EC"/>
    <w:rsid w:val="00577C89"/>
    <w:rsid w:val="0058030F"/>
    <w:rsid w:val="00580BE2"/>
    <w:rsid w:val="005816C5"/>
    <w:rsid w:val="00582406"/>
    <w:rsid w:val="005838ED"/>
    <w:rsid w:val="005839BC"/>
    <w:rsid w:val="00585A19"/>
    <w:rsid w:val="00590887"/>
    <w:rsid w:val="00590D12"/>
    <w:rsid w:val="005921FE"/>
    <w:rsid w:val="00592209"/>
    <w:rsid w:val="00593E71"/>
    <w:rsid w:val="005945D3"/>
    <w:rsid w:val="005955B5"/>
    <w:rsid w:val="00596FEF"/>
    <w:rsid w:val="005A1B61"/>
    <w:rsid w:val="005A1FB1"/>
    <w:rsid w:val="005A3B5D"/>
    <w:rsid w:val="005A4A26"/>
    <w:rsid w:val="005B0C51"/>
    <w:rsid w:val="005B0C8B"/>
    <w:rsid w:val="005B1212"/>
    <w:rsid w:val="005B1DC4"/>
    <w:rsid w:val="005B332A"/>
    <w:rsid w:val="005B360A"/>
    <w:rsid w:val="005B3C4F"/>
    <w:rsid w:val="005B3D28"/>
    <w:rsid w:val="005B5CB5"/>
    <w:rsid w:val="005C11C3"/>
    <w:rsid w:val="005C307C"/>
    <w:rsid w:val="005C4EDE"/>
    <w:rsid w:val="005D11CD"/>
    <w:rsid w:val="005D2586"/>
    <w:rsid w:val="005D5871"/>
    <w:rsid w:val="005D6AE4"/>
    <w:rsid w:val="005E10B1"/>
    <w:rsid w:val="005E1631"/>
    <w:rsid w:val="005E33A2"/>
    <w:rsid w:val="005E512E"/>
    <w:rsid w:val="005E650E"/>
    <w:rsid w:val="005E6660"/>
    <w:rsid w:val="005E6ED7"/>
    <w:rsid w:val="005F1E9A"/>
    <w:rsid w:val="005F2D6B"/>
    <w:rsid w:val="005F59E3"/>
    <w:rsid w:val="005F6A0C"/>
    <w:rsid w:val="00600D27"/>
    <w:rsid w:val="00600F09"/>
    <w:rsid w:val="00602B13"/>
    <w:rsid w:val="006032D0"/>
    <w:rsid w:val="006033B3"/>
    <w:rsid w:val="00604BD0"/>
    <w:rsid w:val="0060549E"/>
    <w:rsid w:val="006064C9"/>
    <w:rsid w:val="00610455"/>
    <w:rsid w:val="006107B2"/>
    <w:rsid w:val="0061089A"/>
    <w:rsid w:val="006109B3"/>
    <w:rsid w:val="006109F0"/>
    <w:rsid w:val="00617607"/>
    <w:rsid w:val="00621468"/>
    <w:rsid w:val="006222C6"/>
    <w:rsid w:val="00622A49"/>
    <w:rsid w:val="00622F74"/>
    <w:rsid w:val="00627148"/>
    <w:rsid w:val="00633B8E"/>
    <w:rsid w:val="00640EBE"/>
    <w:rsid w:val="006414D9"/>
    <w:rsid w:val="00643D4C"/>
    <w:rsid w:val="00643F22"/>
    <w:rsid w:val="006451E6"/>
    <w:rsid w:val="00645328"/>
    <w:rsid w:val="00650021"/>
    <w:rsid w:val="00650A04"/>
    <w:rsid w:val="00651887"/>
    <w:rsid w:val="00651A34"/>
    <w:rsid w:val="00653821"/>
    <w:rsid w:val="00655940"/>
    <w:rsid w:val="006570FB"/>
    <w:rsid w:val="006578D1"/>
    <w:rsid w:val="00661D15"/>
    <w:rsid w:val="00663489"/>
    <w:rsid w:val="00663FB3"/>
    <w:rsid w:val="006644FC"/>
    <w:rsid w:val="0066514F"/>
    <w:rsid w:val="00665C2A"/>
    <w:rsid w:val="00666432"/>
    <w:rsid w:val="00670448"/>
    <w:rsid w:val="0067194F"/>
    <w:rsid w:val="00672EFF"/>
    <w:rsid w:val="00674403"/>
    <w:rsid w:val="00674EAC"/>
    <w:rsid w:val="00675D6A"/>
    <w:rsid w:val="00675F72"/>
    <w:rsid w:val="00676358"/>
    <w:rsid w:val="006779B5"/>
    <w:rsid w:val="006804B0"/>
    <w:rsid w:val="00680896"/>
    <w:rsid w:val="00682CE6"/>
    <w:rsid w:val="00683392"/>
    <w:rsid w:val="00683609"/>
    <w:rsid w:val="006841F7"/>
    <w:rsid w:val="0068549E"/>
    <w:rsid w:val="00686635"/>
    <w:rsid w:val="00687387"/>
    <w:rsid w:val="00687DB1"/>
    <w:rsid w:val="00694930"/>
    <w:rsid w:val="00695976"/>
    <w:rsid w:val="006970E8"/>
    <w:rsid w:val="006974DC"/>
    <w:rsid w:val="006A02B7"/>
    <w:rsid w:val="006A08A6"/>
    <w:rsid w:val="006A204C"/>
    <w:rsid w:val="006A2469"/>
    <w:rsid w:val="006A2C3C"/>
    <w:rsid w:val="006A46DE"/>
    <w:rsid w:val="006A610E"/>
    <w:rsid w:val="006A6110"/>
    <w:rsid w:val="006A78D6"/>
    <w:rsid w:val="006B0631"/>
    <w:rsid w:val="006B084B"/>
    <w:rsid w:val="006B3935"/>
    <w:rsid w:val="006B4707"/>
    <w:rsid w:val="006B562C"/>
    <w:rsid w:val="006B7222"/>
    <w:rsid w:val="006B7331"/>
    <w:rsid w:val="006C05A9"/>
    <w:rsid w:val="006C0D79"/>
    <w:rsid w:val="006C1157"/>
    <w:rsid w:val="006C1985"/>
    <w:rsid w:val="006C217C"/>
    <w:rsid w:val="006C24E3"/>
    <w:rsid w:val="006C4600"/>
    <w:rsid w:val="006C5B24"/>
    <w:rsid w:val="006C5DB0"/>
    <w:rsid w:val="006C7C3D"/>
    <w:rsid w:val="006D01FD"/>
    <w:rsid w:val="006D0895"/>
    <w:rsid w:val="006D53A1"/>
    <w:rsid w:val="006D5D5F"/>
    <w:rsid w:val="006D5FB4"/>
    <w:rsid w:val="006D77F9"/>
    <w:rsid w:val="006D7949"/>
    <w:rsid w:val="006E19D1"/>
    <w:rsid w:val="006E25B9"/>
    <w:rsid w:val="006E360B"/>
    <w:rsid w:val="006E3784"/>
    <w:rsid w:val="006E403D"/>
    <w:rsid w:val="006F1526"/>
    <w:rsid w:val="006F1787"/>
    <w:rsid w:val="006F1805"/>
    <w:rsid w:val="006F303B"/>
    <w:rsid w:val="006F36A0"/>
    <w:rsid w:val="006F49DE"/>
    <w:rsid w:val="006F569D"/>
    <w:rsid w:val="006F5E30"/>
    <w:rsid w:val="006F74CC"/>
    <w:rsid w:val="007006CE"/>
    <w:rsid w:val="007022A8"/>
    <w:rsid w:val="00702603"/>
    <w:rsid w:val="0070392B"/>
    <w:rsid w:val="00703FB0"/>
    <w:rsid w:val="00704353"/>
    <w:rsid w:val="00704382"/>
    <w:rsid w:val="00704A9D"/>
    <w:rsid w:val="0070622C"/>
    <w:rsid w:val="0070669A"/>
    <w:rsid w:val="00710A3C"/>
    <w:rsid w:val="007110DF"/>
    <w:rsid w:val="007123D8"/>
    <w:rsid w:val="007128CD"/>
    <w:rsid w:val="00713126"/>
    <w:rsid w:val="0071337C"/>
    <w:rsid w:val="00714701"/>
    <w:rsid w:val="00715505"/>
    <w:rsid w:val="007175B1"/>
    <w:rsid w:val="00717956"/>
    <w:rsid w:val="00717E44"/>
    <w:rsid w:val="007200B2"/>
    <w:rsid w:val="0072084D"/>
    <w:rsid w:val="00721793"/>
    <w:rsid w:val="0072330A"/>
    <w:rsid w:val="00723BF7"/>
    <w:rsid w:val="007309C6"/>
    <w:rsid w:val="00730DBA"/>
    <w:rsid w:val="007315B6"/>
    <w:rsid w:val="007332FA"/>
    <w:rsid w:val="00733864"/>
    <w:rsid w:val="00735E49"/>
    <w:rsid w:val="0074374A"/>
    <w:rsid w:val="00744399"/>
    <w:rsid w:val="007449F3"/>
    <w:rsid w:val="00744FC2"/>
    <w:rsid w:val="00747743"/>
    <w:rsid w:val="00750279"/>
    <w:rsid w:val="00751A14"/>
    <w:rsid w:val="00753813"/>
    <w:rsid w:val="007544AB"/>
    <w:rsid w:val="007559BC"/>
    <w:rsid w:val="00755F6E"/>
    <w:rsid w:val="00756681"/>
    <w:rsid w:val="0075668E"/>
    <w:rsid w:val="00756826"/>
    <w:rsid w:val="007578E8"/>
    <w:rsid w:val="007578F3"/>
    <w:rsid w:val="00757DFD"/>
    <w:rsid w:val="007607CC"/>
    <w:rsid w:val="00760E0D"/>
    <w:rsid w:val="00761380"/>
    <w:rsid w:val="007614D5"/>
    <w:rsid w:val="0076733D"/>
    <w:rsid w:val="00771628"/>
    <w:rsid w:val="0077175A"/>
    <w:rsid w:val="00771930"/>
    <w:rsid w:val="00771AD0"/>
    <w:rsid w:val="00773CAB"/>
    <w:rsid w:val="007748DF"/>
    <w:rsid w:val="00774C93"/>
    <w:rsid w:val="0077799D"/>
    <w:rsid w:val="007801F6"/>
    <w:rsid w:val="00782460"/>
    <w:rsid w:val="00782DEB"/>
    <w:rsid w:val="0078696A"/>
    <w:rsid w:val="007870C3"/>
    <w:rsid w:val="00787295"/>
    <w:rsid w:val="00787CE0"/>
    <w:rsid w:val="007902F7"/>
    <w:rsid w:val="007959F7"/>
    <w:rsid w:val="00795C93"/>
    <w:rsid w:val="007974CF"/>
    <w:rsid w:val="007A2C54"/>
    <w:rsid w:val="007A5711"/>
    <w:rsid w:val="007B028C"/>
    <w:rsid w:val="007B1272"/>
    <w:rsid w:val="007B13C6"/>
    <w:rsid w:val="007B17DD"/>
    <w:rsid w:val="007B2FF0"/>
    <w:rsid w:val="007B3378"/>
    <w:rsid w:val="007B3967"/>
    <w:rsid w:val="007B3B8D"/>
    <w:rsid w:val="007B3C37"/>
    <w:rsid w:val="007B6C0B"/>
    <w:rsid w:val="007B7F88"/>
    <w:rsid w:val="007C0B5F"/>
    <w:rsid w:val="007C3B09"/>
    <w:rsid w:val="007C4A79"/>
    <w:rsid w:val="007C4D06"/>
    <w:rsid w:val="007C5220"/>
    <w:rsid w:val="007C67E3"/>
    <w:rsid w:val="007C7CAE"/>
    <w:rsid w:val="007C7F01"/>
    <w:rsid w:val="007D09C8"/>
    <w:rsid w:val="007D3DE6"/>
    <w:rsid w:val="007D461F"/>
    <w:rsid w:val="007D4F15"/>
    <w:rsid w:val="007D506C"/>
    <w:rsid w:val="007D521B"/>
    <w:rsid w:val="007D53F9"/>
    <w:rsid w:val="007E06AC"/>
    <w:rsid w:val="007E0B41"/>
    <w:rsid w:val="007E3CFD"/>
    <w:rsid w:val="007E4B23"/>
    <w:rsid w:val="007E711D"/>
    <w:rsid w:val="007F033F"/>
    <w:rsid w:val="007F0CC6"/>
    <w:rsid w:val="007F149B"/>
    <w:rsid w:val="007F159E"/>
    <w:rsid w:val="007F303A"/>
    <w:rsid w:val="007F3991"/>
    <w:rsid w:val="007F40E1"/>
    <w:rsid w:val="007F65BD"/>
    <w:rsid w:val="007F666C"/>
    <w:rsid w:val="007F697D"/>
    <w:rsid w:val="007F7172"/>
    <w:rsid w:val="007F7F41"/>
    <w:rsid w:val="008000B5"/>
    <w:rsid w:val="008003BA"/>
    <w:rsid w:val="00800FB8"/>
    <w:rsid w:val="0080145E"/>
    <w:rsid w:val="00802112"/>
    <w:rsid w:val="00802F5F"/>
    <w:rsid w:val="008060D5"/>
    <w:rsid w:val="008062DD"/>
    <w:rsid w:val="00806867"/>
    <w:rsid w:val="00807459"/>
    <w:rsid w:val="008079AB"/>
    <w:rsid w:val="008113B1"/>
    <w:rsid w:val="0081159A"/>
    <w:rsid w:val="00812E55"/>
    <w:rsid w:val="008136B9"/>
    <w:rsid w:val="00813C15"/>
    <w:rsid w:val="00813FE1"/>
    <w:rsid w:val="00814E69"/>
    <w:rsid w:val="0081663B"/>
    <w:rsid w:val="00816740"/>
    <w:rsid w:val="00817C9F"/>
    <w:rsid w:val="00821AB6"/>
    <w:rsid w:val="008245EC"/>
    <w:rsid w:val="0082474E"/>
    <w:rsid w:val="00826B2E"/>
    <w:rsid w:val="0082713D"/>
    <w:rsid w:val="00831164"/>
    <w:rsid w:val="00833564"/>
    <w:rsid w:val="00835A6B"/>
    <w:rsid w:val="008362D1"/>
    <w:rsid w:val="00836CD9"/>
    <w:rsid w:val="0083759F"/>
    <w:rsid w:val="008402C6"/>
    <w:rsid w:val="00841D12"/>
    <w:rsid w:val="00842773"/>
    <w:rsid w:val="00845721"/>
    <w:rsid w:val="00846359"/>
    <w:rsid w:val="00847DB2"/>
    <w:rsid w:val="00847E71"/>
    <w:rsid w:val="00850AF4"/>
    <w:rsid w:val="00853A14"/>
    <w:rsid w:val="00856DC8"/>
    <w:rsid w:val="008573BA"/>
    <w:rsid w:val="00857B26"/>
    <w:rsid w:val="00860892"/>
    <w:rsid w:val="008608F3"/>
    <w:rsid w:val="008611DE"/>
    <w:rsid w:val="00861F55"/>
    <w:rsid w:val="00863BA4"/>
    <w:rsid w:val="00865B2E"/>
    <w:rsid w:val="008665E8"/>
    <w:rsid w:val="008716EF"/>
    <w:rsid w:val="00872E4B"/>
    <w:rsid w:val="008746F9"/>
    <w:rsid w:val="00876727"/>
    <w:rsid w:val="00876FDC"/>
    <w:rsid w:val="00881516"/>
    <w:rsid w:val="00881CFE"/>
    <w:rsid w:val="00885547"/>
    <w:rsid w:val="00885A76"/>
    <w:rsid w:val="00890840"/>
    <w:rsid w:val="00890957"/>
    <w:rsid w:val="00890ECF"/>
    <w:rsid w:val="00892153"/>
    <w:rsid w:val="0089259F"/>
    <w:rsid w:val="008943C3"/>
    <w:rsid w:val="00896038"/>
    <w:rsid w:val="008A04CB"/>
    <w:rsid w:val="008A0F77"/>
    <w:rsid w:val="008A2CFC"/>
    <w:rsid w:val="008A6556"/>
    <w:rsid w:val="008A6BA9"/>
    <w:rsid w:val="008A7A1A"/>
    <w:rsid w:val="008B073A"/>
    <w:rsid w:val="008B2056"/>
    <w:rsid w:val="008B304E"/>
    <w:rsid w:val="008B4210"/>
    <w:rsid w:val="008B6117"/>
    <w:rsid w:val="008B6266"/>
    <w:rsid w:val="008C0916"/>
    <w:rsid w:val="008C1CFC"/>
    <w:rsid w:val="008C24A3"/>
    <w:rsid w:val="008C298F"/>
    <w:rsid w:val="008C2E2C"/>
    <w:rsid w:val="008C41D3"/>
    <w:rsid w:val="008D048E"/>
    <w:rsid w:val="008D04C2"/>
    <w:rsid w:val="008D06AF"/>
    <w:rsid w:val="008D3A82"/>
    <w:rsid w:val="008D599D"/>
    <w:rsid w:val="008D59E8"/>
    <w:rsid w:val="008D6DBE"/>
    <w:rsid w:val="008E077D"/>
    <w:rsid w:val="008E29DC"/>
    <w:rsid w:val="008E4867"/>
    <w:rsid w:val="008E4ABA"/>
    <w:rsid w:val="008E4B77"/>
    <w:rsid w:val="008E4E47"/>
    <w:rsid w:val="008E510A"/>
    <w:rsid w:val="008E6DE4"/>
    <w:rsid w:val="008F00D6"/>
    <w:rsid w:val="008F02C9"/>
    <w:rsid w:val="008F0601"/>
    <w:rsid w:val="008F065E"/>
    <w:rsid w:val="008F083D"/>
    <w:rsid w:val="008F0DA9"/>
    <w:rsid w:val="008F1797"/>
    <w:rsid w:val="008F231F"/>
    <w:rsid w:val="008F3C6A"/>
    <w:rsid w:val="008F41EF"/>
    <w:rsid w:val="008F446A"/>
    <w:rsid w:val="008F6337"/>
    <w:rsid w:val="00900D62"/>
    <w:rsid w:val="009010BB"/>
    <w:rsid w:val="00901489"/>
    <w:rsid w:val="009056C3"/>
    <w:rsid w:val="009058DB"/>
    <w:rsid w:val="00907E65"/>
    <w:rsid w:val="00907F5F"/>
    <w:rsid w:val="009133CE"/>
    <w:rsid w:val="009133D8"/>
    <w:rsid w:val="0091354E"/>
    <w:rsid w:val="009218EE"/>
    <w:rsid w:val="00922C31"/>
    <w:rsid w:val="00923274"/>
    <w:rsid w:val="009232FD"/>
    <w:rsid w:val="00923BBA"/>
    <w:rsid w:val="009245BF"/>
    <w:rsid w:val="009259BF"/>
    <w:rsid w:val="00925E85"/>
    <w:rsid w:val="009265BE"/>
    <w:rsid w:val="00926BDE"/>
    <w:rsid w:val="009270B3"/>
    <w:rsid w:val="00927427"/>
    <w:rsid w:val="009274D2"/>
    <w:rsid w:val="00930A54"/>
    <w:rsid w:val="00931296"/>
    <w:rsid w:val="009324BD"/>
    <w:rsid w:val="0093402B"/>
    <w:rsid w:val="00934400"/>
    <w:rsid w:val="00934A2F"/>
    <w:rsid w:val="00942295"/>
    <w:rsid w:val="0094236E"/>
    <w:rsid w:val="00944C7D"/>
    <w:rsid w:val="00945500"/>
    <w:rsid w:val="00945E47"/>
    <w:rsid w:val="00946EB0"/>
    <w:rsid w:val="009470C4"/>
    <w:rsid w:val="00951B8E"/>
    <w:rsid w:val="00952118"/>
    <w:rsid w:val="0095221F"/>
    <w:rsid w:val="00952E67"/>
    <w:rsid w:val="00953577"/>
    <w:rsid w:val="00954092"/>
    <w:rsid w:val="00954195"/>
    <w:rsid w:val="009552AE"/>
    <w:rsid w:val="00956C1F"/>
    <w:rsid w:val="00956C20"/>
    <w:rsid w:val="00960103"/>
    <w:rsid w:val="009614EB"/>
    <w:rsid w:val="00963E68"/>
    <w:rsid w:val="00966B55"/>
    <w:rsid w:val="009671D3"/>
    <w:rsid w:val="00967EEA"/>
    <w:rsid w:val="00967FAE"/>
    <w:rsid w:val="0097002C"/>
    <w:rsid w:val="00970EDC"/>
    <w:rsid w:val="00971D84"/>
    <w:rsid w:val="00973321"/>
    <w:rsid w:val="0097439D"/>
    <w:rsid w:val="00975B63"/>
    <w:rsid w:val="00977D4D"/>
    <w:rsid w:val="00981725"/>
    <w:rsid w:val="00982072"/>
    <w:rsid w:val="00983160"/>
    <w:rsid w:val="009842AB"/>
    <w:rsid w:val="009857C8"/>
    <w:rsid w:val="00985A7E"/>
    <w:rsid w:val="009862BD"/>
    <w:rsid w:val="00986710"/>
    <w:rsid w:val="0099086F"/>
    <w:rsid w:val="00990C85"/>
    <w:rsid w:val="00991760"/>
    <w:rsid w:val="0099279B"/>
    <w:rsid w:val="009936B0"/>
    <w:rsid w:val="00993F5C"/>
    <w:rsid w:val="00994320"/>
    <w:rsid w:val="00994566"/>
    <w:rsid w:val="00994568"/>
    <w:rsid w:val="00994ED5"/>
    <w:rsid w:val="00995CC1"/>
    <w:rsid w:val="009960E8"/>
    <w:rsid w:val="009971F4"/>
    <w:rsid w:val="00997F16"/>
    <w:rsid w:val="009A25C1"/>
    <w:rsid w:val="009A2FD6"/>
    <w:rsid w:val="009A33F9"/>
    <w:rsid w:val="009A56AA"/>
    <w:rsid w:val="009A57AA"/>
    <w:rsid w:val="009A5B39"/>
    <w:rsid w:val="009A7D5D"/>
    <w:rsid w:val="009B1BA0"/>
    <w:rsid w:val="009B1E8E"/>
    <w:rsid w:val="009B2729"/>
    <w:rsid w:val="009B2854"/>
    <w:rsid w:val="009B44A3"/>
    <w:rsid w:val="009B75E6"/>
    <w:rsid w:val="009C03C3"/>
    <w:rsid w:val="009C1998"/>
    <w:rsid w:val="009C26C9"/>
    <w:rsid w:val="009C2BD4"/>
    <w:rsid w:val="009C3367"/>
    <w:rsid w:val="009C5966"/>
    <w:rsid w:val="009C60F1"/>
    <w:rsid w:val="009D1A49"/>
    <w:rsid w:val="009D1B5B"/>
    <w:rsid w:val="009D3960"/>
    <w:rsid w:val="009D4148"/>
    <w:rsid w:val="009D4ACA"/>
    <w:rsid w:val="009D4FAD"/>
    <w:rsid w:val="009D50E5"/>
    <w:rsid w:val="009D558B"/>
    <w:rsid w:val="009D6869"/>
    <w:rsid w:val="009D68C9"/>
    <w:rsid w:val="009E1D44"/>
    <w:rsid w:val="009E27C4"/>
    <w:rsid w:val="009E2F60"/>
    <w:rsid w:val="009E5924"/>
    <w:rsid w:val="009E64A0"/>
    <w:rsid w:val="009E6D7F"/>
    <w:rsid w:val="009F005A"/>
    <w:rsid w:val="009F057B"/>
    <w:rsid w:val="009F1338"/>
    <w:rsid w:val="009F151C"/>
    <w:rsid w:val="009F1EFE"/>
    <w:rsid w:val="009F4E1B"/>
    <w:rsid w:val="009F69E1"/>
    <w:rsid w:val="00A028C1"/>
    <w:rsid w:val="00A03639"/>
    <w:rsid w:val="00A052CC"/>
    <w:rsid w:val="00A06D1F"/>
    <w:rsid w:val="00A07D7C"/>
    <w:rsid w:val="00A10B98"/>
    <w:rsid w:val="00A1138D"/>
    <w:rsid w:val="00A117C0"/>
    <w:rsid w:val="00A11BAE"/>
    <w:rsid w:val="00A1295B"/>
    <w:rsid w:val="00A142AF"/>
    <w:rsid w:val="00A15E61"/>
    <w:rsid w:val="00A15EB3"/>
    <w:rsid w:val="00A1604D"/>
    <w:rsid w:val="00A2050C"/>
    <w:rsid w:val="00A20B22"/>
    <w:rsid w:val="00A23AE7"/>
    <w:rsid w:val="00A23AE9"/>
    <w:rsid w:val="00A23DD8"/>
    <w:rsid w:val="00A25758"/>
    <w:rsid w:val="00A25996"/>
    <w:rsid w:val="00A26B6E"/>
    <w:rsid w:val="00A2710E"/>
    <w:rsid w:val="00A3045F"/>
    <w:rsid w:val="00A31DF3"/>
    <w:rsid w:val="00A32012"/>
    <w:rsid w:val="00A32911"/>
    <w:rsid w:val="00A3569A"/>
    <w:rsid w:val="00A35B11"/>
    <w:rsid w:val="00A3655D"/>
    <w:rsid w:val="00A37726"/>
    <w:rsid w:val="00A40066"/>
    <w:rsid w:val="00A40949"/>
    <w:rsid w:val="00A42E96"/>
    <w:rsid w:val="00A435B1"/>
    <w:rsid w:val="00A46752"/>
    <w:rsid w:val="00A5299D"/>
    <w:rsid w:val="00A53B14"/>
    <w:rsid w:val="00A54197"/>
    <w:rsid w:val="00A542D0"/>
    <w:rsid w:val="00A54D1F"/>
    <w:rsid w:val="00A56EAC"/>
    <w:rsid w:val="00A608A7"/>
    <w:rsid w:val="00A6239A"/>
    <w:rsid w:val="00A62D0F"/>
    <w:rsid w:val="00A6308E"/>
    <w:rsid w:val="00A63982"/>
    <w:rsid w:val="00A6528D"/>
    <w:rsid w:val="00A66C02"/>
    <w:rsid w:val="00A6706E"/>
    <w:rsid w:val="00A73698"/>
    <w:rsid w:val="00A73878"/>
    <w:rsid w:val="00A73DBA"/>
    <w:rsid w:val="00A73DE7"/>
    <w:rsid w:val="00A7680E"/>
    <w:rsid w:val="00A808E8"/>
    <w:rsid w:val="00A867C8"/>
    <w:rsid w:val="00A87291"/>
    <w:rsid w:val="00A9092B"/>
    <w:rsid w:val="00A933C4"/>
    <w:rsid w:val="00A93B05"/>
    <w:rsid w:val="00A94CA6"/>
    <w:rsid w:val="00A94FA2"/>
    <w:rsid w:val="00A96802"/>
    <w:rsid w:val="00A96CEC"/>
    <w:rsid w:val="00A97B62"/>
    <w:rsid w:val="00AA1D6C"/>
    <w:rsid w:val="00AA2E92"/>
    <w:rsid w:val="00AA344E"/>
    <w:rsid w:val="00AA6128"/>
    <w:rsid w:val="00AB39B7"/>
    <w:rsid w:val="00AB4B29"/>
    <w:rsid w:val="00AB5725"/>
    <w:rsid w:val="00AB65D4"/>
    <w:rsid w:val="00AB7ACA"/>
    <w:rsid w:val="00AC0017"/>
    <w:rsid w:val="00AC0945"/>
    <w:rsid w:val="00AC380F"/>
    <w:rsid w:val="00AC6F5C"/>
    <w:rsid w:val="00AC7CE4"/>
    <w:rsid w:val="00AC7E02"/>
    <w:rsid w:val="00AD16AA"/>
    <w:rsid w:val="00AD252D"/>
    <w:rsid w:val="00AD5ABC"/>
    <w:rsid w:val="00AD5D1B"/>
    <w:rsid w:val="00AD684A"/>
    <w:rsid w:val="00AD73D9"/>
    <w:rsid w:val="00AE03B6"/>
    <w:rsid w:val="00AE3116"/>
    <w:rsid w:val="00AE383B"/>
    <w:rsid w:val="00AE3E63"/>
    <w:rsid w:val="00AE4869"/>
    <w:rsid w:val="00AE4933"/>
    <w:rsid w:val="00AE558A"/>
    <w:rsid w:val="00AE6990"/>
    <w:rsid w:val="00AE7239"/>
    <w:rsid w:val="00AF20C6"/>
    <w:rsid w:val="00AF2346"/>
    <w:rsid w:val="00AF25D4"/>
    <w:rsid w:val="00AF28A3"/>
    <w:rsid w:val="00AF43AE"/>
    <w:rsid w:val="00AF5D24"/>
    <w:rsid w:val="00AF5D66"/>
    <w:rsid w:val="00AF70CE"/>
    <w:rsid w:val="00B01193"/>
    <w:rsid w:val="00B11BE4"/>
    <w:rsid w:val="00B12DC4"/>
    <w:rsid w:val="00B14A7D"/>
    <w:rsid w:val="00B14E98"/>
    <w:rsid w:val="00B1568A"/>
    <w:rsid w:val="00B16135"/>
    <w:rsid w:val="00B16BBF"/>
    <w:rsid w:val="00B16DE3"/>
    <w:rsid w:val="00B22269"/>
    <w:rsid w:val="00B2258F"/>
    <w:rsid w:val="00B22A57"/>
    <w:rsid w:val="00B22E34"/>
    <w:rsid w:val="00B23AA3"/>
    <w:rsid w:val="00B24161"/>
    <w:rsid w:val="00B24934"/>
    <w:rsid w:val="00B27354"/>
    <w:rsid w:val="00B30336"/>
    <w:rsid w:val="00B31450"/>
    <w:rsid w:val="00B346A9"/>
    <w:rsid w:val="00B351F5"/>
    <w:rsid w:val="00B35F77"/>
    <w:rsid w:val="00B37030"/>
    <w:rsid w:val="00B40ADE"/>
    <w:rsid w:val="00B420B0"/>
    <w:rsid w:val="00B421AA"/>
    <w:rsid w:val="00B42F28"/>
    <w:rsid w:val="00B437F7"/>
    <w:rsid w:val="00B43B81"/>
    <w:rsid w:val="00B4525F"/>
    <w:rsid w:val="00B46153"/>
    <w:rsid w:val="00B465E2"/>
    <w:rsid w:val="00B471BE"/>
    <w:rsid w:val="00B47C14"/>
    <w:rsid w:val="00B47C4C"/>
    <w:rsid w:val="00B47CA7"/>
    <w:rsid w:val="00B47D29"/>
    <w:rsid w:val="00B51073"/>
    <w:rsid w:val="00B513E3"/>
    <w:rsid w:val="00B52AD3"/>
    <w:rsid w:val="00B54D56"/>
    <w:rsid w:val="00B565C3"/>
    <w:rsid w:val="00B56CB0"/>
    <w:rsid w:val="00B57137"/>
    <w:rsid w:val="00B57F43"/>
    <w:rsid w:val="00B6127A"/>
    <w:rsid w:val="00B6131E"/>
    <w:rsid w:val="00B61D0A"/>
    <w:rsid w:val="00B62528"/>
    <w:rsid w:val="00B6277C"/>
    <w:rsid w:val="00B629D4"/>
    <w:rsid w:val="00B62DDB"/>
    <w:rsid w:val="00B65B79"/>
    <w:rsid w:val="00B66337"/>
    <w:rsid w:val="00B71B0A"/>
    <w:rsid w:val="00B74ADF"/>
    <w:rsid w:val="00B767BF"/>
    <w:rsid w:val="00B76E51"/>
    <w:rsid w:val="00B8053C"/>
    <w:rsid w:val="00B80CF7"/>
    <w:rsid w:val="00B82CA9"/>
    <w:rsid w:val="00B8448D"/>
    <w:rsid w:val="00B85DC8"/>
    <w:rsid w:val="00B85EA0"/>
    <w:rsid w:val="00B863C3"/>
    <w:rsid w:val="00B86BAE"/>
    <w:rsid w:val="00B919D3"/>
    <w:rsid w:val="00B92078"/>
    <w:rsid w:val="00B928CB"/>
    <w:rsid w:val="00B935B6"/>
    <w:rsid w:val="00B939D9"/>
    <w:rsid w:val="00B94C2F"/>
    <w:rsid w:val="00B94C72"/>
    <w:rsid w:val="00B9781A"/>
    <w:rsid w:val="00BA0878"/>
    <w:rsid w:val="00BA0B6C"/>
    <w:rsid w:val="00BA0F01"/>
    <w:rsid w:val="00BA16FE"/>
    <w:rsid w:val="00BA294E"/>
    <w:rsid w:val="00BA35DA"/>
    <w:rsid w:val="00BA408A"/>
    <w:rsid w:val="00BA609C"/>
    <w:rsid w:val="00BA6798"/>
    <w:rsid w:val="00BB0F28"/>
    <w:rsid w:val="00BB14F0"/>
    <w:rsid w:val="00BB3E74"/>
    <w:rsid w:val="00BB44AF"/>
    <w:rsid w:val="00BB474D"/>
    <w:rsid w:val="00BB6167"/>
    <w:rsid w:val="00BB673C"/>
    <w:rsid w:val="00BB6FC5"/>
    <w:rsid w:val="00BB709A"/>
    <w:rsid w:val="00BC12D4"/>
    <w:rsid w:val="00BC1359"/>
    <w:rsid w:val="00BC30C9"/>
    <w:rsid w:val="00BC3931"/>
    <w:rsid w:val="00BC4173"/>
    <w:rsid w:val="00BC4E3B"/>
    <w:rsid w:val="00BC6D3C"/>
    <w:rsid w:val="00BC7F8D"/>
    <w:rsid w:val="00BD0289"/>
    <w:rsid w:val="00BD291F"/>
    <w:rsid w:val="00BD7D7F"/>
    <w:rsid w:val="00BE0220"/>
    <w:rsid w:val="00BE16E9"/>
    <w:rsid w:val="00BE6823"/>
    <w:rsid w:val="00BE777C"/>
    <w:rsid w:val="00BF0352"/>
    <w:rsid w:val="00BF0BC7"/>
    <w:rsid w:val="00BF1921"/>
    <w:rsid w:val="00BF2EE7"/>
    <w:rsid w:val="00BF471A"/>
    <w:rsid w:val="00BF47E3"/>
    <w:rsid w:val="00BF512F"/>
    <w:rsid w:val="00BF5396"/>
    <w:rsid w:val="00BF70D4"/>
    <w:rsid w:val="00C00CA7"/>
    <w:rsid w:val="00C01B72"/>
    <w:rsid w:val="00C02B53"/>
    <w:rsid w:val="00C02ED0"/>
    <w:rsid w:val="00C03487"/>
    <w:rsid w:val="00C051C9"/>
    <w:rsid w:val="00C05DC8"/>
    <w:rsid w:val="00C068ED"/>
    <w:rsid w:val="00C07B16"/>
    <w:rsid w:val="00C115D5"/>
    <w:rsid w:val="00C12FAD"/>
    <w:rsid w:val="00C14CA4"/>
    <w:rsid w:val="00C17984"/>
    <w:rsid w:val="00C17A88"/>
    <w:rsid w:val="00C215D9"/>
    <w:rsid w:val="00C2170E"/>
    <w:rsid w:val="00C22B0C"/>
    <w:rsid w:val="00C23371"/>
    <w:rsid w:val="00C236B5"/>
    <w:rsid w:val="00C23F41"/>
    <w:rsid w:val="00C305F2"/>
    <w:rsid w:val="00C32058"/>
    <w:rsid w:val="00C32233"/>
    <w:rsid w:val="00C32546"/>
    <w:rsid w:val="00C325B7"/>
    <w:rsid w:val="00C328AA"/>
    <w:rsid w:val="00C34AFD"/>
    <w:rsid w:val="00C34B51"/>
    <w:rsid w:val="00C34C78"/>
    <w:rsid w:val="00C3793A"/>
    <w:rsid w:val="00C442DF"/>
    <w:rsid w:val="00C46522"/>
    <w:rsid w:val="00C47163"/>
    <w:rsid w:val="00C47A99"/>
    <w:rsid w:val="00C51201"/>
    <w:rsid w:val="00C51B95"/>
    <w:rsid w:val="00C534A3"/>
    <w:rsid w:val="00C54914"/>
    <w:rsid w:val="00C5539D"/>
    <w:rsid w:val="00C57BA8"/>
    <w:rsid w:val="00C6284D"/>
    <w:rsid w:val="00C63D6B"/>
    <w:rsid w:val="00C65080"/>
    <w:rsid w:val="00C6573D"/>
    <w:rsid w:val="00C659B9"/>
    <w:rsid w:val="00C65AAA"/>
    <w:rsid w:val="00C65DEC"/>
    <w:rsid w:val="00C6605E"/>
    <w:rsid w:val="00C66088"/>
    <w:rsid w:val="00C661B2"/>
    <w:rsid w:val="00C71BB8"/>
    <w:rsid w:val="00C71C03"/>
    <w:rsid w:val="00C71FBC"/>
    <w:rsid w:val="00C735F4"/>
    <w:rsid w:val="00C7376F"/>
    <w:rsid w:val="00C75851"/>
    <w:rsid w:val="00C75FFA"/>
    <w:rsid w:val="00C7631B"/>
    <w:rsid w:val="00C7717E"/>
    <w:rsid w:val="00C77E27"/>
    <w:rsid w:val="00C801B2"/>
    <w:rsid w:val="00C8069E"/>
    <w:rsid w:val="00C80DFA"/>
    <w:rsid w:val="00C82CED"/>
    <w:rsid w:val="00C86440"/>
    <w:rsid w:val="00C901C5"/>
    <w:rsid w:val="00C92724"/>
    <w:rsid w:val="00C928E1"/>
    <w:rsid w:val="00C95495"/>
    <w:rsid w:val="00C96566"/>
    <w:rsid w:val="00CA20DD"/>
    <w:rsid w:val="00CA233B"/>
    <w:rsid w:val="00CA2516"/>
    <w:rsid w:val="00CA2B44"/>
    <w:rsid w:val="00CA38F1"/>
    <w:rsid w:val="00CA41CF"/>
    <w:rsid w:val="00CA760A"/>
    <w:rsid w:val="00CB1B6E"/>
    <w:rsid w:val="00CB425E"/>
    <w:rsid w:val="00CB7009"/>
    <w:rsid w:val="00CB7440"/>
    <w:rsid w:val="00CC0923"/>
    <w:rsid w:val="00CC0B0B"/>
    <w:rsid w:val="00CC1CAA"/>
    <w:rsid w:val="00CC47B4"/>
    <w:rsid w:val="00CC515A"/>
    <w:rsid w:val="00CC6ADD"/>
    <w:rsid w:val="00CC7381"/>
    <w:rsid w:val="00CD3FE8"/>
    <w:rsid w:val="00CD4AE9"/>
    <w:rsid w:val="00CD4D1C"/>
    <w:rsid w:val="00CD5BF4"/>
    <w:rsid w:val="00CD72D2"/>
    <w:rsid w:val="00CE02AE"/>
    <w:rsid w:val="00CE0D38"/>
    <w:rsid w:val="00CE170A"/>
    <w:rsid w:val="00CE1ED0"/>
    <w:rsid w:val="00CE3865"/>
    <w:rsid w:val="00CE7309"/>
    <w:rsid w:val="00CF12E3"/>
    <w:rsid w:val="00CF32AF"/>
    <w:rsid w:val="00CF6077"/>
    <w:rsid w:val="00CF785E"/>
    <w:rsid w:val="00CF7AF1"/>
    <w:rsid w:val="00D0016D"/>
    <w:rsid w:val="00D00E24"/>
    <w:rsid w:val="00D0103B"/>
    <w:rsid w:val="00D02452"/>
    <w:rsid w:val="00D026D9"/>
    <w:rsid w:val="00D02C5E"/>
    <w:rsid w:val="00D05BA3"/>
    <w:rsid w:val="00D06D94"/>
    <w:rsid w:val="00D10698"/>
    <w:rsid w:val="00D1085B"/>
    <w:rsid w:val="00D117A0"/>
    <w:rsid w:val="00D12878"/>
    <w:rsid w:val="00D149EB"/>
    <w:rsid w:val="00D208C9"/>
    <w:rsid w:val="00D21AD9"/>
    <w:rsid w:val="00D22BBA"/>
    <w:rsid w:val="00D2448E"/>
    <w:rsid w:val="00D25CEC"/>
    <w:rsid w:val="00D26356"/>
    <w:rsid w:val="00D267B4"/>
    <w:rsid w:val="00D30C5D"/>
    <w:rsid w:val="00D33892"/>
    <w:rsid w:val="00D35502"/>
    <w:rsid w:val="00D35EC1"/>
    <w:rsid w:val="00D36494"/>
    <w:rsid w:val="00D36545"/>
    <w:rsid w:val="00D36BC9"/>
    <w:rsid w:val="00D40411"/>
    <w:rsid w:val="00D422D0"/>
    <w:rsid w:val="00D44C0C"/>
    <w:rsid w:val="00D44E10"/>
    <w:rsid w:val="00D4564A"/>
    <w:rsid w:val="00D45786"/>
    <w:rsid w:val="00D45B5F"/>
    <w:rsid w:val="00D47A2F"/>
    <w:rsid w:val="00D50558"/>
    <w:rsid w:val="00D5265D"/>
    <w:rsid w:val="00D52A22"/>
    <w:rsid w:val="00D53224"/>
    <w:rsid w:val="00D543F3"/>
    <w:rsid w:val="00D5558E"/>
    <w:rsid w:val="00D564AD"/>
    <w:rsid w:val="00D60271"/>
    <w:rsid w:val="00D614D4"/>
    <w:rsid w:val="00D6186B"/>
    <w:rsid w:val="00D63505"/>
    <w:rsid w:val="00D63AE2"/>
    <w:rsid w:val="00D666FF"/>
    <w:rsid w:val="00D679FC"/>
    <w:rsid w:val="00D72B25"/>
    <w:rsid w:val="00D738AB"/>
    <w:rsid w:val="00D753C0"/>
    <w:rsid w:val="00D75C1A"/>
    <w:rsid w:val="00D77543"/>
    <w:rsid w:val="00D8184D"/>
    <w:rsid w:val="00D8216A"/>
    <w:rsid w:val="00D82F63"/>
    <w:rsid w:val="00D83EFF"/>
    <w:rsid w:val="00D8686D"/>
    <w:rsid w:val="00D8728A"/>
    <w:rsid w:val="00D87D05"/>
    <w:rsid w:val="00D87F25"/>
    <w:rsid w:val="00D928A2"/>
    <w:rsid w:val="00D9322B"/>
    <w:rsid w:val="00D9351E"/>
    <w:rsid w:val="00D9455F"/>
    <w:rsid w:val="00DA1C50"/>
    <w:rsid w:val="00DA27CB"/>
    <w:rsid w:val="00DA3063"/>
    <w:rsid w:val="00DA35C0"/>
    <w:rsid w:val="00DA3E79"/>
    <w:rsid w:val="00DA42EA"/>
    <w:rsid w:val="00DA5992"/>
    <w:rsid w:val="00DA6027"/>
    <w:rsid w:val="00DB1C9B"/>
    <w:rsid w:val="00DB2932"/>
    <w:rsid w:val="00DB3879"/>
    <w:rsid w:val="00DB494D"/>
    <w:rsid w:val="00DB64C3"/>
    <w:rsid w:val="00DB7161"/>
    <w:rsid w:val="00DB7898"/>
    <w:rsid w:val="00DB7A37"/>
    <w:rsid w:val="00DB7B33"/>
    <w:rsid w:val="00DC09A1"/>
    <w:rsid w:val="00DC0CDB"/>
    <w:rsid w:val="00DC6BAF"/>
    <w:rsid w:val="00DC7467"/>
    <w:rsid w:val="00DD04E1"/>
    <w:rsid w:val="00DD07A3"/>
    <w:rsid w:val="00DD22F5"/>
    <w:rsid w:val="00DD3A27"/>
    <w:rsid w:val="00DD4EC2"/>
    <w:rsid w:val="00DD4F2E"/>
    <w:rsid w:val="00DD762C"/>
    <w:rsid w:val="00DE312A"/>
    <w:rsid w:val="00DE35E2"/>
    <w:rsid w:val="00DE6680"/>
    <w:rsid w:val="00DE6FAE"/>
    <w:rsid w:val="00DE79E9"/>
    <w:rsid w:val="00DF0875"/>
    <w:rsid w:val="00DF2591"/>
    <w:rsid w:val="00DF3E13"/>
    <w:rsid w:val="00DF5D6E"/>
    <w:rsid w:val="00DF6530"/>
    <w:rsid w:val="00DF70E8"/>
    <w:rsid w:val="00DF7B93"/>
    <w:rsid w:val="00E0276B"/>
    <w:rsid w:val="00E03D49"/>
    <w:rsid w:val="00E05291"/>
    <w:rsid w:val="00E05813"/>
    <w:rsid w:val="00E05C58"/>
    <w:rsid w:val="00E06CDD"/>
    <w:rsid w:val="00E06E4B"/>
    <w:rsid w:val="00E07B84"/>
    <w:rsid w:val="00E11EFE"/>
    <w:rsid w:val="00E128D0"/>
    <w:rsid w:val="00E12B8A"/>
    <w:rsid w:val="00E144A3"/>
    <w:rsid w:val="00E157EB"/>
    <w:rsid w:val="00E15F45"/>
    <w:rsid w:val="00E16916"/>
    <w:rsid w:val="00E16A05"/>
    <w:rsid w:val="00E175C1"/>
    <w:rsid w:val="00E208FC"/>
    <w:rsid w:val="00E237EE"/>
    <w:rsid w:val="00E255C2"/>
    <w:rsid w:val="00E2625E"/>
    <w:rsid w:val="00E26340"/>
    <w:rsid w:val="00E31417"/>
    <w:rsid w:val="00E34AC1"/>
    <w:rsid w:val="00E36B65"/>
    <w:rsid w:val="00E36C80"/>
    <w:rsid w:val="00E40E54"/>
    <w:rsid w:val="00E4277C"/>
    <w:rsid w:val="00E42974"/>
    <w:rsid w:val="00E42C02"/>
    <w:rsid w:val="00E43145"/>
    <w:rsid w:val="00E4321A"/>
    <w:rsid w:val="00E4393B"/>
    <w:rsid w:val="00E459B0"/>
    <w:rsid w:val="00E467D6"/>
    <w:rsid w:val="00E4692D"/>
    <w:rsid w:val="00E46A7F"/>
    <w:rsid w:val="00E46E61"/>
    <w:rsid w:val="00E47049"/>
    <w:rsid w:val="00E47C31"/>
    <w:rsid w:val="00E503AD"/>
    <w:rsid w:val="00E503B3"/>
    <w:rsid w:val="00E507FB"/>
    <w:rsid w:val="00E50975"/>
    <w:rsid w:val="00E51182"/>
    <w:rsid w:val="00E514AF"/>
    <w:rsid w:val="00E51DDE"/>
    <w:rsid w:val="00E522E2"/>
    <w:rsid w:val="00E52EB9"/>
    <w:rsid w:val="00E53616"/>
    <w:rsid w:val="00E565B3"/>
    <w:rsid w:val="00E56843"/>
    <w:rsid w:val="00E56CF9"/>
    <w:rsid w:val="00E5758B"/>
    <w:rsid w:val="00E57A2B"/>
    <w:rsid w:val="00E601B3"/>
    <w:rsid w:val="00E607D8"/>
    <w:rsid w:val="00E60DEE"/>
    <w:rsid w:val="00E61693"/>
    <w:rsid w:val="00E6290E"/>
    <w:rsid w:val="00E62BC9"/>
    <w:rsid w:val="00E64471"/>
    <w:rsid w:val="00E6455C"/>
    <w:rsid w:val="00E65527"/>
    <w:rsid w:val="00E6662C"/>
    <w:rsid w:val="00E66673"/>
    <w:rsid w:val="00E7019C"/>
    <w:rsid w:val="00E718DA"/>
    <w:rsid w:val="00E72BBB"/>
    <w:rsid w:val="00E72F35"/>
    <w:rsid w:val="00E73E9A"/>
    <w:rsid w:val="00E7536D"/>
    <w:rsid w:val="00E77DC8"/>
    <w:rsid w:val="00E80E8F"/>
    <w:rsid w:val="00E8104D"/>
    <w:rsid w:val="00E810D1"/>
    <w:rsid w:val="00E81333"/>
    <w:rsid w:val="00E816CA"/>
    <w:rsid w:val="00E81E12"/>
    <w:rsid w:val="00E82E67"/>
    <w:rsid w:val="00E82F05"/>
    <w:rsid w:val="00E84004"/>
    <w:rsid w:val="00E870F8"/>
    <w:rsid w:val="00E92071"/>
    <w:rsid w:val="00E93759"/>
    <w:rsid w:val="00E94123"/>
    <w:rsid w:val="00E94F9B"/>
    <w:rsid w:val="00E97F4C"/>
    <w:rsid w:val="00EA0122"/>
    <w:rsid w:val="00EA15FF"/>
    <w:rsid w:val="00EA394E"/>
    <w:rsid w:val="00EA3A04"/>
    <w:rsid w:val="00EA3B91"/>
    <w:rsid w:val="00EA5858"/>
    <w:rsid w:val="00EA5DD8"/>
    <w:rsid w:val="00EA5FA6"/>
    <w:rsid w:val="00EB1211"/>
    <w:rsid w:val="00EB196E"/>
    <w:rsid w:val="00EB5B50"/>
    <w:rsid w:val="00EB76F2"/>
    <w:rsid w:val="00EB7A24"/>
    <w:rsid w:val="00EC01D5"/>
    <w:rsid w:val="00EC301E"/>
    <w:rsid w:val="00EC4033"/>
    <w:rsid w:val="00ED14BB"/>
    <w:rsid w:val="00ED2B68"/>
    <w:rsid w:val="00ED303F"/>
    <w:rsid w:val="00ED3378"/>
    <w:rsid w:val="00ED4BCF"/>
    <w:rsid w:val="00ED57AD"/>
    <w:rsid w:val="00EE0DF2"/>
    <w:rsid w:val="00EE2C14"/>
    <w:rsid w:val="00EE3153"/>
    <w:rsid w:val="00EE6359"/>
    <w:rsid w:val="00EE645F"/>
    <w:rsid w:val="00EF011C"/>
    <w:rsid w:val="00EF0688"/>
    <w:rsid w:val="00EF203B"/>
    <w:rsid w:val="00EF32A9"/>
    <w:rsid w:val="00EF33D6"/>
    <w:rsid w:val="00EF4800"/>
    <w:rsid w:val="00EF4B00"/>
    <w:rsid w:val="00EF5505"/>
    <w:rsid w:val="00EF5631"/>
    <w:rsid w:val="00EF5667"/>
    <w:rsid w:val="00EF5D91"/>
    <w:rsid w:val="00EF6485"/>
    <w:rsid w:val="00F0022F"/>
    <w:rsid w:val="00F00F81"/>
    <w:rsid w:val="00F0237C"/>
    <w:rsid w:val="00F0374D"/>
    <w:rsid w:val="00F05972"/>
    <w:rsid w:val="00F079EF"/>
    <w:rsid w:val="00F07C3E"/>
    <w:rsid w:val="00F07EDC"/>
    <w:rsid w:val="00F13DBF"/>
    <w:rsid w:val="00F15F5D"/>
    <w:rsid w:val="00F165FB"/>
    <w:rsid w:val="00F21E10"/>
    <w:rsid w:val="00F25F22"/>
    <w:rsid w:val="00F267E7"/>
    <w:rsid w:val="00F34785"/>
    <w:rsid w:val="00F37021"/>
    <w:rsid w:val="00F407C9"/>
    <w:rsid w:val="00F423C6"/>
    <w:rsid w:val="00F44008"/>
    <w:rsid w:val="00F4430B"/>
    <w:rsid w:val="00F44864"/>
    <w:rsid w:val="00F51439"/>
    <w:rsid w:val="00F51B6B"/>
    <w:rsid w:val="00F52756"/>
    <w:rsid w:val="00F52F51"/>
    <w:rsid w:val="00F5366E"/>
    <w:rsid w:val="00F544A7"/>
    <w:rsid w:val="00F54679"/>
    <w:rsid w:val="00F5613C"/>
    <w:rsid w:val="00F56E05"/>
    <w:rsid w:val="00F6123D"/>
    <w:rsid w:val="00F6138F"/>
    <w:rsid w:val="00F61EF6"/>
    <w:rsid w:val="00F6549D"/>
    <w:rsid w:val="00F67A0A"/>
    <w:rsid w:val="00F67E80"/>
    <w:rsid w:val="00F700A8"/>
    <w:rsid w:val="00F70C7B"/>
    <w:rsid w:val="00F717B4"/>
    <w:rsid w:val="00F72583"/>
    <w:rsid w:val="00F725A8"/>
    <w:rsid w:val="00F73CD1"/>
    <w:rsid w:val="00F7521A"/>
    <w:rsid w:val="00F753FE"/>
    <w:rsid w:val="00F75C9E"/>
    <w:rsid w:val="00F76D5E"/>
    <w:rsid w:val="00F76EDE"/>
    <w:rsid w:val="00F81E50"/>
    <w:rsid w:val="00F829C0"/>
    <w:rsid w:val="00F83CD5"/>
    <w:rsid w:val="00F84B63"/>
    <w:rsid w:val="00F858CD"/>
    <w:rsid w:val="00F86980"/>
    <w:rsid w:val="00F86D4C"/>
    <w:rsid w:val="00F90B20"/>
    <w:rsid w:val="00F90F11"/>
    <w:rsid w:val="00F9344A"/>
    <w:rsid w:val="00F93A7D"/>
    <w:rsid w:val="00F94CFE"/>
    <w:rsid w:val="00F96A53"/>
    <w:rsid w:val="00FA144D"/>
    <w:rsid w:val="00FA2369"/>
    <w:rsid w:val="00FA29A7"/>
    <w:rsid w:val="00FA36D5"/>
    <w:rsid w:val="00FA3FC7"/>
    <w:rsid w:val="00FA7698"/>
    <w:rsid w:val="00FB1C7C"/>
    <w:rsid w:val="00FB2933"/>
    <w:rsid w:val="00FB324B"/>
    <w:rsid w:val="00FB3494"/>
    <w:rsid w:val="00FB4752"/>
    <w:rsid w:val="00FB588F"/>
    <w:rsid w:val="00FB6DCF"/>
    <w:rsid w:val="00FC1D23"/>
    <w:rsid w:val="00FC3F7D"/>
    <w:rsid w:val="00FC46C4"/>
    <w:rsid w:val="00FC75C4"/>
    <w:rsid w:val="00FD1187"/>
    <w:rsid w:val="00FD1FF9"/>
    <w:rsid w:val="00FD42B4"/>
    <w:rsid w:val="00FD4492"/>
    <w:rsid w:val="00FD5897"/>
    <w:rsid w:val="00FD68D8"/>
    <w:rsid w:val="00FD69C3"/>
    <w:rsid w:val="00FD7380"/>
    <w:rsid w:val="00FD7529"/>
    <w:rsid w:val="00FE0C2F"/>
    <w:rsid w:val="00FE4AF6"/>
    <w:rsid w:val="00FF0EC0"/>
    <w:rsid w:val="00FF277E"/>
    <w:rsid w:val="00FF3157"/>
    <w:rsid w:val="00FF4CB9"/>
    <w:rsid w:val="00FF5AF6"/>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85A9745-82B1-4743-ACC9-F3AA14B6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02C"/>
    <w:pPr>
      <w:widowControl w:val="0"/>
      <w:ind w:firstLineChars="200" w:firstLine="200"/>
      <w:jc w:val="both"/>
    </w:pPr>
    <w:rPr>
      <w:kern w:val="2"/>
      <w:sz w:val="24"/>
    </w:rPr>
  </w:style>
  <w:style w:type="paragraph" w:styleId="1">
    <w:name w:val="heading 1"/>
    <w:aliases w:val="Heading 0,H1,PIM 1,Heading 11,level 1,Level 1 Head,h1,123321,Level 1 Topic Heading"/>
    <w:basedOn w:val="a"/>
    <w:next w:val="a"/>
    <w:qFormat/>
    <w:rsid w:val="0097002C"/>
    <w:pPr>
      <w:keepNext/>
      <w:spacing w:beforeLines="100" w:afterLines="100"/>
      <w:jc w:val="center"/>
      <w:outlineLvl w:val="0"/>
    </w:pPr>
    <w:rPr>
      <w:rFonts w:ascii="黑体" w:eastAsia="黑体"/>
      <w:sz w:val="32"/>
      <w:szCs w:val="32"/>
    </w:rPr>
  </w:style>
  <w:style w:type="paragraph" w:styleId="20">
    <w:name w:val="heading 2"/>
    <w:aliases w:val="标题 2 Char Char,H2,Heading 2 Hidden,Heading 2 CCBS,2nd level,h2,2,Header 2,PIM2,l2,Level 2 Head,proj2,proj21,proj22,proj23,proj24,proj25,proj26,proj27,proj28,proj29,proj210,proj211,proj212,proj221,proj231,proj241,proj251,proj261,proj271,proj281"/>
    <w:basedOn w:val="a"/>
    <w:next w:val="a"/>
    <w:qFormat/>
    <w:rsid w:val="0097002C"/>
    <w:pPr>
      <w:keepNext/>
      <w:keepLines/>
      <w:spacing w:beforeLines="100" w:afterLines="100"/>
      <w:outlineLvl w:val="1"/>
    </w:pPr>
    <w:rPr>
      <w:rFonts w:ascii="Arial" w:hAnsi="Arial"/>
      <w:b/>
      <w:sz w:val="28"/>
      <w:szCs w:val="28"/>
    </w:rPr>
  </w:style>
  <w:style w:type="paragraph" w:styleId="3">
    <w:name w:val="heading 3"/>
    <w:basedOn w:val="a"/>
    <w:next w:val="a"/>
    <w:qFormat/>
    <w:rsid w:val="0097002C"/>
    <w:pPr>
      <w:numPr>
        <w:ilvl w:val="2"/>
        <w:numId w:val="4"/>
      </w:numPr>
      <w:spacing w:before="260" w:after="260" w:line="416" w:lineRule="auto"/>
      <w:ind w:firstLineChars="0"/>
      <w:outlineLvl w:val="2"/>
    </w:pPr>
    <w:rPr>
      <w:rFonts w:ascii="仿宋_GB2312" w:eastAsia="仿宋_GB2312"/>
    </w:rPr>
  </w:style>
  <w:style w:type="paragraph" w:styleId="4">
    <w:name w:val="heading 4"/>
    <w:basedOn w:val="a"/>
    <w:next w:val="a"/>
    <w:qFormat/>
    <w:rsid w:val="0097002C"/>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97002C"/>
    <w:pPr>
      <w:keepNext/>
      <w:keepLines/>
      <w:numPr>
        <w:ilvl w:val="4"/>
        <w:numId w:val="4"/>
      </w:numPr>
      <w:spacing w:before="280" w:after="290" w:line="376" w:lineRule="auto"/>
      <w:outlineLvl w:val="4"/>
    </w:pPr>
    <w:rPr>
      <w:b/>
      <w:bCs/>
      <w:sz w:val="28"/>
      <w:szCs w:val="28"/>
    </w:rPr>
  </w:style>
  <w:style w:type="paragraph" w:styleId="6">
    <w:name w:val="heading 6"/>
    <w:basedOn w:val="a"/>
    <w:next w:val="a"/>
    <w:qFormat/>
    <w:rsid w:val="0097002C"/>
    <w:pPr>
      <w:keepNext/>
      <w:keepLines/>
      <w:numPr>
        <w:ilvl w:val="5"/>
        <w:numId w:val="4"/>
      </w:numPr>
      <w:spacing w:before="240" w:after="64" w:line="320" w:lineRule="auto"/>
      <w:outlineLvl w:val="5"/>
    </w:pPr>
    <w:rPr>
      <w:rFonts w:ascii="Arial" w:eastAsia="黑体" w:hAnsi="Arial"/>
      <w:b/>
      <w:bCs/>
      <w:szCs w:val="24"/>
    </w:rPr>
  </w:style>
  <w:style w:type="paragraph" w:styleId="7">
    <w:name w:val="heading 7"/>
    <w:basedOn w:val="a"/>
    <w:next w:val="a"/>
    <w:qFormat/>
    <w:rsid w:val="0097002C"/>
    <w:pPr>
      <w:keepNext/>
      <w:keepLines/>
      <w:numPr>
        <w:ilvl w:val="6"/>
        <w:numId w:val="4"/>
      </w:numPr>
      <w:spacing w:before="240" w:after="64" w:line="320" w:lineRule="auto"/>
      <w:outlineLvl w:val="6"/>
    </w:pPr>
    <w:rPr>
      <w:b/>
      <w:bCs/>
      <w:szCs w:val="24"/>
    </w:rPr>
  </w:style>
  <w:style w:type="paragraph" w:styleId="8">
    <w:name w:val="heading 8"/>
    <w:basedOn w:val="a"/>
    <w:next w:val="a"/>
    <w:qFormat/>
    <w:rsid w:val="0097002C"/>
    <w:pPr>
      <w:keepNext/>
      <w:keepLines/>
      <w:numPr>
        <w:ilvl w:val="7"/>
        <w:numId w:val="4"/>
      </w:numPr>
      <w:spacing w:before="240" w:after="64" w:line="320" w:lineRule="auto"/>
      <w:outlineLvl w:val="7"/>
    </w:pPr>
    <w:rPr>
      <w:rFonts w:ascii="Arial" w:eastAsia="黑体" w:hAnsi="Arial"/>
      <w:szCs w:val="24"/>
    </w:rPr>
  </w:style>
  <w:style w:type="paragraph" w:styleId="9">
    <w:name w:val="heading 9"/>
    <w:basedOn w:val="a"/>
    <w:next w:val="a"/>
    <w:qFormat/>
    <w:rsid w:val="0097002C"/>
    <w:pPr>
      <w:keepNext/>
      <w:keepLines/>
      <w:numPr>
        <w:ilvl w:val="8"/>
        <w:numId w:val="4"/>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
    <w:name w:val="样式 标题 2 + 段前: 1 行 段后: 1 行"/>
    <w:basedOn w:val="20"/>
    <w:rsid w:val="0097002C"/>
    <w:pPr>
      <w:numPr>
        <w:numId w:val="2"/>
      </w:numPr>
      <w:tabs>
        <w:tab w:val="clear" w:pos="3243"/>
        <w:tab w:val="num" w:pos="360"/>
      </w:tabs>
      <w:spacing w:before="447" w:after="447"/>
      <w:ind w:left="0" w:firstLine="200"/>
    </w:pPr>
    <w:rPr>
      <w:rFonts w:cs="宋体"/>
      <w:b w:val="0"/>
      <w:szCs w:val="20"/>
    </w:rPr>
  </w:style>
  <w:style w:type="paragraph" w:styleId="10">
    <w:name w:val="toc 1"/>
    <w:basedOn w:val="a"/>
    <w:next w:val="a"/>
    <w:autoRedefine/>
    <w:uiPriority w:val="39"/>
    <w:rsid w:val="0036321F"/>
    <w:pPr>
      <w:tabs>
        <w:tab w:val="right" w:leader="dot" w:pos="8080"/>
      </w:tabs>
      <w:ind w:leftChars="100" w:left="240" w:rightChars="100" w:right="240" w:firstLineChars="0" w:firstLine="0"/>
      <w:jc w:val="left"/>
    </w:pPr>
    <w:rPr>
      <w:rFonts w:ascii="宋体" w:hAnsi="宋体"/>
      <w:caps/>
      <w:noProof/>
      <w:szCs w:val="28"/>
    </w:rPr>
  </w:style>
  <w:style w:type="paragraph" w:styleId="21">
    <w:name w:val="toc 2"/>
    <w:basedOn w:val="a"/>
    <w:next w:val="a"/>
    <w:autoRedefine/>
    <w:uiPriority w:val="39"/>
    <w:rsid w:val="0036321F"/>
    <w:pPr>
      <w:tabs>
        <w:tab w:val="right" w:leader="dot" w:pos="8080"/>
      </w:tabs>
      <w:ind w:left="320" w:firstLine="420"/>
      <w:jc w:val="left"/>
    </w:pPr>
    <w:rPr>
      <w:smallCaps/>
      <w:sz w:val="21"/>
    </w:rPr>
  </w:style>
  <w:style w:type="paragraph" w:customStyle="1" w:styleId="2111">
    <w:name w:val="样式 标题 2 + 段前: 1 行 段后: 1 行1"/>
    <w:basedOn w:val="20"/>
    <w:rsid w:val="0097002C"/>
    <w:pPr>
      <w:ind w:firstLine="0"/>
    </w:pPr>
    <w:rPr>
      <w:rFonts w:cs="宋体"/>
      <w:bCs/>
      <w:szCs w:val="20"/>
    </w:rPr>
  </w:style>
  <w:style w:type="paragraph" w:customStyle="1" w:styleId="2112">
    <w:name w:val="样式 标题 2 + 段前: 1 行 段后: 1 行2"/>
    <w:basedOn w:val="20"/>
    <w:rsid w:val="0097002C"/>
    <w:rPr>
      <w:rFonts w:cs="宋体"/>
      <w:bCs/>
      <w:szCs w:val="20"/>
    </w:rPr>
  </w:style>
  <w:style w:type="paragraph" w:customStyle="1" w:styleId="11">
    <w:name w:val="样式 标题 1 + 黑体 非加粗"/>
    <w:basedOn w:val="1"/>
    <w:rsid w:val="0097002C"/>
    <w:pPr>
      <w:pageBreakBefore/>
    </w:pPr>
    <w:rPr>
      <w:rFonts w:hAnsi="黑体"/>
      <w:b/>
    </w:rPr>
  </w:style>
  <w:style w:type="paragraph" w:styleId="a3">
    <w:name w:val="Body Text"/>
    <w:aliases w:val="正文文字 Char Char Char Char Char Char Char"/>
    <w:basedOn w:val="a"/>
    <w:link w:val="Char"/>
    <w:rsid w:val="0097002C"/>
    <w:pPr>
      <w:autoSpaceDE w:val="0"/>
      <w:autoSpaceDN w:val="0"/>
      <w:textAlignment w:val="bottom"/>
    </w:pPr>
    <w:rPr>
      <w:rFonts w:ascii="黑体" w:eastAsia="黑体"/>
      <w:sz w:val="30"/>
    </w:rPr>
  </w:style>
  <w:style w:type="paragraph" w:styleId="a4">
    <w:name w:val="header"/>
    <w:basedOn w:val="a"/>
    <w:link w:val="Char0"/>
    <w:uiPriority w:val="99"/>
    <w:rsid w:val="0097002C"/>
    <w:pPr>
      <w:pBdr>
        <w:bottom w:val="single" w:sz="6" w:space="1" w:color="auto"/>
      </w:pBdr>
      <w:tabs>
        <w:tab w:val="center" w:pos="4153"/>
        <w:tab w:val="right" w:pos="8306"/>
      </w:tabs>
      <w:snapToGrid w:val="0"/>
      <w:jc w:val="center"/>
    </w:pPr>
    <w:rPr>
      <w:rFonts w:eastAsia="仿宋_GB2312"/>
      <w:sz w:val="18"/>
    </w:rPr>
  </w:style>
  <w:style w:type="character" w:styleId="a5">
    <w:name w:val="page number"/>
    <w:basedOn w:val="a0"/>
    <w:rsid w:val="0097002C"/>
  </w:style>
  <w:style w:type="paragraph" w:styleId="a6">
    <w:name w:val="footer"/>
    <w:basedOn w:val="a"/>
    <w:link w:val="Char1"/>
    <w:uiPriority w:val="99"/>
    <w:rsid w:val="0097002C"/>
    <w:pPr>
      <w:tabs>
        <w:tab w:val="center" w:pos="4153"/>
        <w:tab w:val="right" w:pos="8306"/>
      </w:tabs>
      <w:snapToGrid w:val="0"/>
      <w:jc w:val="left"/>
    </w:pPr>
    <w:rPr>
      <w:rFonts w:eastAsia="仿宋_GB2312"/>
      <w:sz w:val="18"/>
    </w:rPr>
  </w:style>
  <w:style w:type="paragraph" w:styleId="a7">
    <w:name w:val="Plain Text"/>
    <w:basedOn w:val="a"/>
    <w:link w:val="Char10"/>
    <w:rsid w:val="0097002C"/>
    <w:rPr>
      <w:rFonts w:ascii="宋体" w:hAnsi="Courier New"/>
      <w:szCs w:val="21"/>
    </w:rPr>
  </w:style>
  <w:style w:type="paragraph" w:customStyle="1" w:styleId="211211">
    <w:name w:val="样式 样式 标题 2 + 段前: 1 行 段后: 1 行2 + 段前: 1 行 段后: 1 行"/>
    <w:basedOn w:val="2112"/>
    <w:rsid w:val="0097002C"/>
    <w:pPr>
      <w:numPr>
        <w:numId w:val="3"/>
      </w:numPr>
    </w:pPr>
  </w:style>
  <w:style w:type="paragraph" w:styleId="a8">
    <w:name w:val="Balloon Text"/>
    <w:basedOn w:val="a"/>
    <w:link w:val="Char2"/>
    <w:semiHidden/>
    <w:rsid w:val="0097002C"/>
    <w:rPr>
      <w:sz w:val="18"/>
      <w:szCs w:val="18"/>
    </w:rPr>
  </w:style>
  <w:style w:type="paragraph" w:customStyle="1" w:styleId="211111">
    <w:name w:val="样式 样式 标题 2 + 段前: 1 行 段后: 1 行1 + 段前: 1 行 段后: 1 行"/>
    <w:basedOn w:val="2111"/>
    <w:rsid w:val="0097002C"/>
  </w:style>
  <w:style w:type="paragraph" w:customStyle="1" w:styleId="2111111">
    <w:name w:val="样式 样式 样式 标题 2 + 段前: 1 行 段后: 1 行1 + 段前: 1 行 段后: 1 行 + 段前: 1 行 段后..."/>
    <w:basedOn w:val="211111"/>
    <w:rsid w:val="0097002C"/>
    <w:pPr>
      <w:numPr>
        <w:ilvl w:val="1"/>
        <w:numId w:val="4"/>
      </w:numPr>
      <w:spacing w:before="447" w:after="447"/>
      <w:ind w:firstLineChars="0"/>
    </w:pPr>
  </w:style>
  <w:style w:type="paragraph" w:customStyle="1" w:styleId="115">
    <w:name w:val="样式 标题 1 + 段前: 1.5 行"/>
    <w:basedOn w:val="a"/>
    <w:rsid w:val="0097002C"/>
    <w:pPr>
      <w:numPr>
        <w:numId w:val="4"/>
      </w:numPr>
      <w:ind w:firstLineChars="0"/>
    </w:pPr>
  </w:style>
  <w:style w:type="paragraph" w:customStyle="1" w:styleId="111">
    <w:name w:val="样式 标题 1 + 段前: 1 行 段后: 1 行"/>
    <w:basedOn w:val="1"/>
    <w:rsid w:val="0097002C"/>
    <w:pPr>
      <w:pageBreakBefore/>
    </w:pPr>
    <w:rPr>
      <w:rFonts w:cs="宋体"/>
      <w:szCs w:val="20"/>
    </w:rPr>
  </w:style>
  <w:style w:type="paragraph" w:customStyle="1" w:styleId="1211">
    <w:name w:val="样式 标题 1 + 首行缩进:  2 字符 段前: 1 行 段后: 1 行"/>
    <w:basedOn w:val="1"/>
    <w:rsid w:val="0097002C"/>
    <w:pPr>
      <w:pageBreakBefore/>
      <w:ind w:firstLineChars="0" w:firstLine="0"/>
    </w:pPr>
    <w:rPr>
      <w:rFonts w:cs="宋体"/>
      <w:szCs w:val="20"/>
    </w:rPr>
  </w:style>
  <w:style w:type="paragraph" w:customStyle="1" w:styleId="2211">
    <w:name w:val="样式 标题 2 + 首行缩进:  2 字符 段前: 1 行 段后: 1 行"/>
    <w:basedOn w:val="20"/>
    <w:rsid w:val="0097002C"/>
    <w:pPr>
      <w:numPr>
        <w:ilvl w:val="1"/>
        <w:numId w:val="5"/>
      </w:numPr>
      <w:ind w:firstLineChars="0"/>
    </w:pPr>
    <w:rPr>
      <w:rFonts w:cs="宋体"/>
      <w:bCs/>
      <w:szCs w:val="20"/>
    </w:rPr>
  </w:style>
  <w:style w:type="paragraph" w:customStyle="1" w:styleId="22111">
    <w:name w:val="样式 标题 2 + 首行缩进:  2 字符 段前: 1 行 段后: 1 行1"/>
    <w:basedOn w:val="20"/>
    <w:rsid w:val="0097002C"/>
    <w:pPr>
      <w:ind w:firstLineChars="0" w:firstLine="0"/>
    </w:pPr>
    <w:rPr>
      <w:rFonts w:cs="宋体"/>
      <w:bCs/>
      <w:szCs w:val="20"/>
    </w:rPr>
  </w:style>
  <w:style w:type="paragraph" w:styleId="22">
    <w:name w:val="Body Text Indent 2"/>
    <w:basedOn w:val="a"/>
    <w:rsid w:val="0097002C"/>
    <w:pPr>
      <w:autoSpaceDE w:val="0"/>
      <w:autoSpaceDN w:val="0"/>
      <w:adjustRightInd w:val="0"/>
      <w:ind w:left="-105" w:firstLineChars="0" w:firstLine="0"/>
    </w:pPr>
    <w:rPr>
      <w:rFonts w:ascii="宋体" w:hAnsi="宋体"/>
      <w:color w:val="000000"/>
      <w:szCs w:val="21"/>
    </w:rPr>
  </w:style>
  <w:style w:type="paragraph" w:styleId="a9">
    <w:name w:val="Body Text Indent"/>
    <w:basedOn w:val="a"/>
    <w:rsid w:val="0097002C"/>
    <w:pPr>
      <w:ind w:firstLine="480"/>
    </w:pPr>
    <w:rPr>
      <w:rFonts w:ascii="宋体" w:hAnsi="宋体"/>
      <w:szCs w:val="24"/>
    </w:rPr>
  </w:style>
  <w:style w:type="paragraph" w:styleId="aa">
    <w:name w:val="Normal Indent"/>
    <w:aliases w:val="正文缩进1,ALT+Z"/>
    <w:basedOn w:val="a"/>
    <w:rsid w:val="0097002C"/>
    <w:pPr>
      <w:ind w:firstLineChars="0" w:firstLine="420"/>
    </w:pPr>
    <w:rPr>
      <w:sz w:val="21"/>
    </w:rPr>
  </w:style>
  <w:style w:type="paragraph" w:styleId="30">
    <w:name w:val="Body Text Indent 3"/>
    <w:basedOn w:val="a"/>
    <w:link w:val="3Char"/>
    <w:rsid w:val="0097002C"/>
    <w:pPr>
      <w:ind w:firstLine="480"/>
    </w:pPr>
    <w:rPr>
      <w:rFonts w:ascii="宋体" w:hAnsi="宋体"/>
      <w:color w:val="FF0000"/>
    </w:rPr>
  </w:style>
  <w:style w:type="character" w:customStyle="1" w:styleId="tt11">
    <w:name w:val="tt11"/>
    <w:basedOn w:val="a0"/>
    <w:rsid w:val="0097002C"/>
    <w:rPr>
      <w:spacing w:val="400"/>
      <w:sz w:val="22"/>
      <w:szCs w:val="22"/>
    </w:rPr>
  </w:style>
  <w:style w:type="character" w:styleId="ab">
    <w:name w:val="Hyperlink"/>
    <w:basedOn w:val="a0"/>
    <w:uiPriority w:val="99"/>
    <w:rsid w:val="0097002C"/>
    <w:rPr>
      <w:color w:val="0000FF"/>
      <w:u w:val="single"/>
    </w:rPr>
  </w:style>
  <w:style w:type="paragraph" w:customStyle="1" w:styleId="211311">
    <w:name w:val="样式 样式 标题 2 + 段前: 1 行 段后: 1 行3 + 段前: 1 行 段后: 1 行"/>
    <w:basedOn w:val="a"/>
    <w:rsid w:val="0097002C"/>
    <w:pPr>
      <w:keepNext/>
      <w:keepLines/>
      <w:spacing w:beforeLines="100" w:afterLines="100"/>
      <w:ind w:firstLineChars="0" w:firstLine="0"/>
      <w:jc w:val="center"/>
      <w:outlineLvl w:val="1"/>
    </w:pPr>
    <w:rPr>
      <w:rFonts w:ascii="Arial" w:hAnsi="Arial"/>
      <w:b/>
      <w:bCs/>
      <w:sz w:val="28"/>
    </w:rPr>
  </w:style>
  <w:style w:type="paragraph" w:styleId="23">
    <w:name w:val="Body Text First Indent 2"/>
    <w:basedOn w:val="a"/>
    <w:rsid w:val="0097002C"/>
    <w:rPr>
      <w:szCs w:val="24"/>
    </w:rPr>
  </w:style>
  <w:style w:type="paragraph" w:customStyle="1" w:styleId="31">
    <w:name w:val="3"/>
    <w:basedOn w:val="a"/>
    <w:next w:val="30"/>
    <w:rsid w:val="0097002C"/>
    <w:pPr>
      <w:ind w:firstLine="480"/>
    </w:pPr>
    <w:rPr>
      <w:rFonts w:ascii="宋体" w:hAnsi="宋体"/>
      <w:color w:val="FF0000"/>
    </w:rPr>
  </w:style>
  <w:style w:type="character" w:styleId="ac">
    <w:name w:val="FollowedHyperlink"/>
    <w:basedOn w:val="a0"/>
    <w:uiPriority w:val="99"/>
    <w:rsid w:val="0097002C"/>
    <w:rPr>
      <w:color w:val="800080"/>
      <w:u w:val="single"/>
    </w:rPr>
  </w:style>
  <w:style w:type="character" w:customStyle="1" w:styleId="big1">
    <w:name w:val="big1"/>
    <w:basedOn w:val="a0"/>
    <w:rsid w:val="0097002C"/>
    <w:rPr>
      <w:spacing w:val="360"/>
      <w:sz w:val="22"/>
      <w:szCs w:val="22"/>
    </w:rPr>
  </w:style>
  <w:style w:type="character" w:customStyle="1" w:styleId="afont1">
    <w:name w:val="afont1"/>
    <w:basedOn w:val="a0"/>
    <w:rsid w:val="0097002C"/>
    <w:rPr>
      <w:rFonts w:ascii="Arial Narrow" w:hAnsi="Arial Narrow" w:hint="default"/>
      <w:sz w:val="21"/>
      <w:szCs w:val="21"/>
    </w:rPr>
  </w:style>
  <w:style w:type="paragraph" w:styleId="ad">
    <w:name w:val="Normal (Web)"/>
    <w:basedOn w:val="a"/>
    <w:rsid w:val="0097002C"/>
    <w:pPr>
      <w:widowControl/>
      <w:spacing w:before="100" w:beforeAutospacing="1" w:after="100" w:afterAutospacing="1"/>
      <w:ind w:firstLineChars="0" w:firstLine="0"/>
      <w:jc w:val="left"/>
    </w:pPr>
    <w:rPr>
      <w:rFonts w:ascii="宋体" w:hAnsi="宋体"/>
      <w:kern w:val="0"/>
      <w:szCs w:val="24"/>
    </w:rPr>
  </w:style>
  <w:style w:type="paragraph" w:customStyle="1" w:styleId="xl25">
    <w:name w:val="xl25"/>
    <w:basedOn w:val="a"/>
    <w:rsid w:val="0097002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kern w:val="0"/>
      <w:sz w:val="20"/>
    </w:rPr>
  </w:style>
  <w:style w:type="paragraph" w:customStyle="1" w:styleId="font5">
    <w:name w:val="font5"/>
    <w:basedOn w:val="a"/>
    <w:rsid w:val="0097002C"/>
    <w:pPr>
      <w:widowControl/>
      <w:spacing w:before="100" w:beforeAutospacing="1" w:after="100" w:afterAutospacing="1"/>
      <w:ind w:firstLineChars="0" w:firstLine="0"/>
      <w:jc w:val="left"/>
    </w:pPr>
    <w:rPr>
      <w:rFonts w:ascii="宋体" w:hAnsi="宋体" w:hint="eastAsia"/>
      <w:kern w:val="0"/>
      <w:sz w:val="18"/>
      <w:szCs w:val="18"/>
    </w:rPr>
  </w:style>
  <w:style w:type="paragraph" w:customStyle="1" w:styleId="xl22">
    <w:name w:val="xl22"/>
    <w:basedOn w:val="a"/>
    <w:rsid w:val="0097002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Arial Unicode MS" w:eastAsia="Arial Unicode MS" w:hAnsi="Arial Unicode MS"/>
      <w:kern w:val="0"/>
      <w:szCs w:val="24"/>
    </w:rPr>
  </w:style>
  <w:style w:type="paragraph" w:customStyle="1" w:styleId="xl23">
    <w:name w:val="xl23"/>
    <w:basedOn w:val="a"/>
    <w:rsid w:val="0097002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Arial Unicode MS" w:eastAsia="Arial Unicode MS" w:hAnsi="Arial Unicode MS"/>
      <w:color w:val="333333"/>
      <w:kern w:val="0"/>
      <w:sz w:val="23"/>
      <w:szCs w:val="23"/>
    </w:rPr>
  </w:style>
  <w:style w:type="paragraph" w:customStyle="1" w:styleId="xl24">
    <w:name w:val="xl24"/>
    <w:basedOn w:val="a"/>
    <w:rsid w:val="0097002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Arial Unicode MS" w:eastAsia="Arial Unicode MS" w:hAnsi="Arial Unicode MS"/>
      <w:color w:val="333333"/>
      <w:kern w:val="0"/>
      <w:sz w:val="23"/>
      <w:szCs w:val="23"/>
    </w:rPr>
  </w:style>
  <w:style w:type="paragraph" w:customStyle="1" w:styleId="xl26">
    <w:name w:val="xl26"/>
    <w:basedOn w:val="a"/>
    <w:rsid w:val="0097002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Arial Unicode MS" w:eastAsia="Arial Unicode MS" w:hAnsi="Arial Unicode MS"/>
      <w:kern w:val="0"/>
      <w:szCs w:val="24"/>
    </w:rPr>
  </w:style>
  <w:style w:type="paragraph" w:customStyle="1" w:styleId="xl27">
    <w:name w:val="xl27"/>
    <w:basedOn w:val="a"/>
    <w:rsid w:val="0097002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Arial Unicode MS" w:eastAsia="Arial Unicode MS" w:hAnsi="Arial Unicode MS"/>
      <w:kern w:val="0"/>
      <w:sz w:val="23"/>
      <w:szCs w:val="23"/>
    </w:rPr>
  </w:style>
  <w:style w:type="paragraph" w:customStyle="1" w:styleId="font6">
    <w:name w:val="font6"/>
    <w:basedOn w:val="a"/>
    <w:rsid w:val="0097002C"/>
    <w:pPr>
      <w:widowControl/>
      <w:spacing w:before="100" w:beforeAutospacing="1" w:after="100" w:afterAutospacing="1"/>
      <w:ind w:firstLineChars="0" w:firstLine="0"/>
      <w:jc w:val="left"/>
    </w:pPr>
    <w:rPr>
      <w:rFonts w:ascii="宋体" w:hAnsi="宋体" w:hint="eastAsia"/>
      <w:kern w:val="0"/>
      <w:sz w:val="20"/>
    </w:rPr>
  </w:style>
  <w:style w:type="paragraph" w:customStyle="1" w:styleId="font7">
    <w:name w:val="font7"/>
    <w:basedOn w:val="a"/>
    <w:rsid w:val="0097002C"/>
    <w:pPr>
      <w:widowControl/>
      <w:spacing w:before="100" w:beforeAutospacing="1" w:after="100" w:afterAutospacing="1"/>
      <w:ind w:firstLineChars="0" w:firstLine="0"/>
      <w:jc w:val="left"/>
    </w:pPr>
    <w:rPr>
      <w:rFonts w:eastAsia="Arial Unicode MS"/>
      <w:kern w:val="0"/>
      <w:sz w:val="20"/>
    </w:rPr>
  </w:style>
  <w:style w:type="character" w:customStyle="1" w:styleId="big">
    <w:name w:val="big"/>
    <w:basedOn w:val="a0"/>
    <w:rsid w:val="0097002C"/>
  </w:style>
  <w:style w:type="paragraph" w:styleId="ae">
    <w:name w:val="Document Map"/>
    <w:basedOn w:val="a"/>
    <w:semiHidden/>
    <w:rsid w:val="0097002C"/>
    <w:pPr>
      <w:shd w:val="clear" w:color="auto" w:fill="000080"/>
    </w:pPr>
  </w:style>
  <w:style w:type="character" w:customStyle="1" w:styleId="read1">
    <w:name w:val="read1"/>
    <w:basedOn w:val="a0"/>
    <w:rsid w:val="0097002C"/>
    <w:rPr>
      <w:rFonts w:ascii="ˎ̥" w:hAnsi="ˎ̥" w:hint="default"/>
      <w:strike w:val="0"/>
      <w:dstrike w:val="0"/>
      <w:color w:val="000000"/>
      <w:u w:val="none"/>
      <w:effect w:val="none"/>
    </w:rPr>
  </w:style>
  <w:style w:type="character" w:customStyle="1" w:styleId="da">
    <w:name w:val="da"/>
    <w:basedOn w:val="a0"/>
    <w:rsid w:val="0097002C"/>
  </w:style>
  <w:style w:type="character" w:customStyle="1" w:styleId="2CharCharChar">
    <w:name w:val="标题 2 Char Char Char"/>
    <w:basedOn w:val="a0"/>
    <w:rsid w:val="0097002C"/>
    <w:rPr>
      <w:rFonts w:ascii="Arial" w:eastAsia="宋体" w:hAnsi="Arial"/>
      <w:b/>
      <w:kern w:val="2"/>
      <w:sz w:val="28"/>
      <w:szCs w:val="28"/>
      <w:lang w:val="en-US" w:eastAsia="zh-CN" w:bidi="ar-SA"/>
    </w:rPr>
  </w:style>
  <w:style w:type="character" w:customStyle="1" w:styleId="12">
    <w:name w:val="正文文本1"/>
    <w:aliases w:val="正文文字 Char Char Char Char Char Char Char Char"/>
    <w:basedOn w:val="a0"/>
    <w:rsid w:val="0097002C"/>
    <w:rPr>
      <w:rFonts w:ascii="仿宋_GB2312" w:eastAsia="仿宋_GB2312"/>
      <w:sz w:val="28"/>
      <w:lang w:val="en-US" w:eastAsia="zh-CN" w:bidi="ar-SA"/>
    </w:rPr>
  </w:style>
  <w:style w:type="paragraph" w:styleId="af">
    <w:name w:val="List Number"/>
    <w:basedOn w:val="a"/>
    <w:rsid w:val="0097002C"/>
    <w:pPr>
      <w:tabs>
        <w:tab w:val="num" w:pos="360"/>
      </w:tabs>
      <w:ind w:left="360" w:hangingChars="200" w:hanging="360"/>
    </w:pPr>
    <w:rPr>
      <w:sz w:val="21"/>
      <w:szCs w:val="24"/>
    </w:rPr>
  </w:style>
  <w:style w:type="paragraph" w:styleId="24">
    <w:name w:val="List Number 2"/>
    <w:basedOn w:val="a"/>
    <w:rsid w:val="0097002C"/>
    <w:pPr>
      <w:tabs>
        <w:tab w:val="num" w:pos="780"/>
      </w:tabs>
      <w:ind w:leftChars="200" w:left="780" w:hangingChars="200" w:hanging="360"/>
    </w:pPr>
    <w:rPr>
      <w:sz w:val="21"/>
      <w:szCs w:val="24"/>
    </w:rPr>
  </w:style>
  <w:style w:type="paragraph" w:styleId="32">
    <w:name w:val="List Number 3"/>
    <w:basedOn w:val="a"/>
    <w:rsid w:val="0097002C"/>
    <w:pPr>
      <w:tabs>
        <w:tab w:val="num" w:pos="1200"/>
      </w:tabs>
      <w:ind w:leftChars="400" w:left="1200" w:hangingChars="200" w:hanging="360"/>
    </w:pPr>
    <w:rPr>
      <w:sz w:val="21"/>
      <w:szCs w:val="24"/>
    </w:rPr>
  </w:style>
  <w:style w:type="paragraph" w:styleId="40">
    <w:name w:val="List Number 4"/>
    <w:basedOn w:val="a"/>
    <w:rsid w:val="0097002C"/>
    <w:pPr>
      <w:tabs>
        <w:tab w:val="num" w:pos="1620"/>
      </w:tabs>
      <w:ind w:leftChars="600" w:left="1620" w:hangingChars="200" w:hanging="360"/>
    </w:pPr>
    <w:rPr>
      <w:sz w:val="21"/>
      <w:szCs w:val="24"/>
    </w:rPr>
  </w:style>
  <w:style w:type="paragraph" w:styleId="50">
    <w:name w:val="List Number 5"/>
    <w:basedOn w:val="a"/>
    <w:rsid w:val="0097002C"/>
    <w:pPr>
      <w:tabs>
        <w:tab w:val="num" w:pos="2040"/>
      </w:tabs>
      <w:ind w:leftChars="800" w:left="2040" w:hangingChars="200" w:hanging="360"/>
    </w:pPr>
    <w:rPr>
      <w:sz w:val="21"/>
      <w:szCs w:val="24"/>
    </w:rPr>
  </w:style>
  <w:style w:type="paragraph" w:styleId="af0">
    <w:name w:val="List Bullet"/>
    <w:basedOn w:val="a"/>
    <w:autoRedefine/>
    <w:rsid w:val="0097002C"/>
    <w:pPr>
      <w:tabs>
        <w:tab w:val="num" w:pos="360"/>
      </w:tabs>
      <w:ind w:left="360" w:hangingChars="200" w:hanging="360"/>
    </w:pPr>
    <w:rPr>
      <w:sz w:val="21"/>
      <w:szCs w:val="24"/>
    </w:rPr>
  </w:style>
  <w:style w:type="paragraph" w:styleId="25">
    <w:name w:val="List Bullet 2"/>
    <w:basedOn w:val="a"/>
    <w:autoRedefine/>
    <w:rsid w:val="0097002C"/>
    <w:pPr>
      <w:tabs>
        <w:tab w:val="num" w:pos="780"/>
      </w:tabs>
      <w:ind w:leftChars="200" w:left="780" w:hangingChars="200" w:hanging="360"/>
    </w:pPr>
    <w:rPr>
      <w:sz w:val="21"/>
      <w:szCs w:val="24"/>
    </w:rPr>
  </w:style>
  <w:style w:type="paragraph" w:styleId="33">
    <w:name w:val="List Bullet 3"/>
    <w:basedOn w:val="a"/>
    <w:autoRedefine/>
    <w:rsid w:val="0097002C"/>
    <w:pPr>
      <w:tabs>
        <w:tab w:val="num" w:pos="1200"/>
      </w:tabs>
      <w:ind w:leftChars="400" w:left="1200" w:hangingChars="200" w:hanging="360"/>
    </w:pPr>
    <w:rPr>
      <w:sz w:val="21"/>
      <w:szCs w:val="24"/>
    </w:rPr>
  </w:style>
  <w:style w:type="paragraph" w:styleId="41">
    <w:name w:val="List Bullet 4"/>
    <w:basedOn w:val="a"/>
    <w:autoRedefine/>
    <w:rsid w:val="0097002C"/>
    <w:pPr>
      <w:tabs>
        <w:tab w:val="num" w:pos="1620"/>
      </w:tabs>
      <w:ind w:leftChars="600" w:left="1620" w:hangingChars="200" w:hanging="360"/>
    </w:pPr>
    <w:rPr>
      <w:sz w:val="21"/>
      <w:szCs w:val="24"/>
    </w:rPr>
  </w:style>
  <w:style w:type="paragraph" w:styleId="51">
    <w:name w:val="List Bullet 5"/>
    <w:basedOn w:val="a"/>
    <w:autoRedefine/>
    <w:rsid w:val="0097002C"/>
    <w:pPr>
      <w:tabs>
        <w:tab w:val="num" w:pos="2040"/>
      </w:tabs>
      <w:ind w:leftChars="800" w:left="2040" w:hangingChars="200" w:hanging="360"/>
    </w:pPr>
    <w:rPr>
      <w:sz w:val="21"/>
      <w:szCs w:val="24"/>
    </w:rPr>
  </w:style>
  <w:style w:type="character" w:customStyle="1" w:styleId="font141">
    <w:name w:val="font141"/>
    <w:basedOn w:val="a0"/>
    <w:rsid w:val="0097002C"/>
    <w:rPr>
      <w:rFonts w:ascii="宋体" w:eastAsia="宋体" w:hAnsi="宋体" w:hint="eastAsia"/>
      <w:spacing w:val="300"/>
      <w:sz w:val="21"/>
      <w:szCs w:val="21"/>
    </w:rPr>
  </w:style>
  <w:style w:type="paragraph" w:customStyle="1" w:styleId="xl33">
    <w:name w:val="xl33"/>
    <w:basedOn w:val="a"/>
    <w:rsid w:val="0097002C"/>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Arial Unicode MS" w:eastAsia="Arial Unicode MS" w:hAnsi="Arial Unicode MS" w:cs="Arial Unicode MS"/>
      <w:kern w:val="0"/>
      <w:szCs w:val="24"/>
    </w:rPr>
  </w:style>
  <w:style w:type="paragraph" w:customStyle="1" w:styleId="af1">
    <w:name w:val="特点"/>
    <w:aliases w:val="表正文,正文非缩进,段1"/>
    <w:basedOn w:val="a"/>
    <w:next w:val="aa"/>
    <w:rsid w:val="0097002C"/>
    <w:pPr>
      <w:ind w:firstLineChars="0" w:firstLine="420"/>
    </w:pPr>
    <w:rPr>
      <w:sz w:val="21"/>
    </w:rPr>
  </w:style>
  <w:style w:type="paragraph" w:styleId="34">
    <w:name w:val="toc 3"/>
    <w:basedOn w:val="a"/>
    <w:next w:val="a"/>
    <w:autoRedefine/>
    <w:uiPriority w:val="39"/>
    <w:rsid w:val="008E29DC"/>
    <w:pPr>
      <w:ind w:left="840" w:firstLine="480"/>
    </w:pPr>
  </w:style>
  <w:style w:type="paragraph" w:styleId="42">
    <w:name w:val="toc 4"/>
    <w:basedOn w:val="a"/>
    <w:next w:val="a"/>
    <w:autoRedefine/>
    <w:uiPriority w:val="39"/>
    <w:rsid w:val="0097002C"/>
    <w:pPr>
      <w:ind w:left="1260"/>
    </w:pPr>
  </w:style>
  <w:style w:type="paragraph" w:styleId="52">
    <w:name w:val="toc 5"/>
    <w:basedOn w:val="a"/>
    <w:next w:val="a"/>
    <w:autoRedefine/>
    <w:uiPriority w:val="39"/>
    <w:rsid w:val="0097002C"/>
    <w:pPr>
      <w:ind w:left="1680"/>
    </w:pPr>
  </w:style>
  <w:style w:type="paragraph" w:styleId="60">
    <w:name w:val="toc 6"/>
    <w:basedOn w:val="a"/>
    <w:next w:val="a"/>
    <w:autoRedefine/>
    <w:uiPriority w:val="39"/>
    <w:rsid w:val="0097002C"/>
    <w:pPr>
      <w:ind w:left="2100"/>
    </w:pPr>
  </w:style>
  <w:style w:type="paragraph" w:styleId="70">
    <w:name w:val="toc 7"/>
    <w:basedOn w:val="a"/>
    <w:next w:val="a"/>
    <w:autoRedefine/>
    <w:uiPriority w:val="39"/>
    <w:rsid w:val="0097002C"/>
    <w:pPr>
      <w:ind w:left="2520"/>
    </w:pPr>
  </w:style>
  <w:style w:type="paragraph" w:styleId="80">
    <w:name w:val="toc 8"/>
    <w:basedOn w:val="a"/>
    <w:next w:val="a"/>
    <w:autoRedefine/>
    <w:uiPriority w:val="39"/>
    <w:rsid w:val="0097002C"/>
    <w:pPr>
      <w:ind w:left="2940"/>
    </w:pPr>
  </w:style>
  <w:style w:type="paragraph" w:styleId="90">
    <w:name w:val="toc 9"/>
    <w:basedOn w:val="a"/>
    <w:next w:val="a"/>
    <w:autoRedefine/>
    <w:uiPriority w:val="39"/>
    <w:rsid w:val="0097002C"/>
    <w:pPr>
      <w:ind w:left="3360"/>
    </w:pPr>
  </w:style>
  <w:style w:type="paragraph" w:customStyle="1" w:styleId="13">
    <w:name w:val="1"/>
    <w:basedOn w:val="a"/>
    <w:rsid w:val="0097002C"/>
    <w:pPr>
      <w:spacing w:before="100" w:beforeAutospacing="1" w:after="120" w:afterAutospacing="1" w:line="360" w:lineRule="auto"/>
      <w:ind w:leftChars="200" w:left="420" w:firstLineChars="0" w:firstLine="0"/>
    </w:pPr>
    <w:rPr>
      <w:sz w:val="21"/>
      <w:szCs w:val="24"/>
    </w:rPr>
  </w:style>
  <w:style w:type="paragraph" w:customStyle="1" w:styleId="2113">
    <w:name w:val="样式 标题 2 + 段前: 1 行 段后: 1 行3"/>
    <w:basedOn w:val="20"/>
    <w:rsid w:val="0097002C"/>
    <w:pPr>
      <w:spacing w:beforeAutospacing="1" w:afterAutospacing="1" w:line="360" w:lineRule="auto"/>
      <w:ind w:firstLineChars="0" w:firstLine="0"/>
    </w:pPr>
    <w:rPr>
      <w:bCs/>
      <w:szCs w:val="20"/>
    </w:rPr>
  </w:style>
  <w:style w:type="paragraph" w:styleId="26">
    <w:name w:val="Body Text 2"/>
    <w:basedOn w:val="a"/>
    <w:rsid w:val="0097002C"/>
    <w:pPr>
      <w:ind w:firstLineChars="0" w:firstLine="0"/>
    </w:pPr>
    <w:rPr>
      <w:rFonts w:ascii="宋体" w:hAnsi="宋体"/>
      <w:sz w:val="28"/>
    </w:rPr>
  </w:style>
  <w:style w:type="paragraph" w:styleId="af2">
    <w:name w:val="Block Text"/>
    <w:basedOn w:val="a"/>
    <w:rsid w:val="0097002C"/>
    <w:pPr>
      <w:spacing w:line="400" w:lineRule="exact"/>
      <w:ind w:left="840" w:right="26" w:firstLine="480"/>
    </w:pPr>
    <w:rPr>
      <w:rFonts w:ascii="宋体" w:hAnsi="宋体"/>
    </w:rPr>
  </w:style>
  <w:style w:type="paragraph" w:customStyle="1" w:styleId="27">
    <w:name w:val="样式 首行缩进:  2 字符"/>
    <w:basedOn w:val="a"/>
    <w:rsid w:val="0097002C"/>
    <w:pPr>
      <w:spacing w:before="100" w:beforeAutospacing="1" w:after="100" w:afterAutospacing="1" w:line="360" w:lineRule="auto"/>
      <w:ind w:firstLine="480"/>
    </w:pPr>
    <w:rPr>
      <w:sz w:val="21"/>
    </w:rPr>
  </w:style>
  <w:style w:type="paragraph" w:styleId="af3">
    <w:name w:val="Date"/>
    <w:basedOn w:val="a"/>
    <w:next w:val="a"/>
    <w:rsid w:val="0097002C"/>
    <w:pPr>
      <w:ind w:leftChars="2500" w:left="100"/>
    </w:pPr>
    <w:rPr>
      <w:b/>
      <w:bCs/>
    </w:rPr>
  </w:style>
  <w:style w:type="paragraph" w:styleId="af4">
    <w:name w:val="Body Text First Indent"/>
    <w:basedOn w:val="a3"/>
    <w:rsid w:val="0097002C"/>
    <w:pPr>
      <w:autoSpaceDE/>
      <w:autoSpaceDN/>
      <w:spacing w:after="120"/>
      <w:ind w:firstLineChars="100" w:firstLine="420"/>
      <w:textAlignment w:val="auto"/>
    </w:pPr>
    <w:rPr>
      <w:rFonts w:ascii="Times New Roman" w:eastAsia="宋体"/>
      <w:sz w:val="21"/>
      <w:szCs w:val="24"/>
    </w:rPr>
  </w:style>
  <w:style w:type="character" w:styleId="af5">
    <w:name w:val="annotation reference"/>
    <w:basedOn w:val="a0"/>
    <w:semiHidden/>
    <w:rsid w:val="0097002C"/>
    <w:rPr>
      <w:sz w:val="21"/>
      <w:szCs w:val="21"/>
    </w:rPr>
  </w:style>
  <w:style w:type="paragraph" w:customStyle="1" w:styleId="af6">
    <w:name w:val="表标题"/>
    <w:basedOn w:val="aa"/>
    <w:rsid w:val="0097002C"/>
    <w:pPr>
      <w:tabs>
        <w:tab w:val="num" w:pos="720"/>
      </w:tabs>
      <w:spacing w:before="120" w:after="60" w:line="288" w:lineRule="auto"/>
      <w:ind w:left="425" w:hanging="425"/>
    </w:pPr>
    <w:rPr>
      <w:sz w:val="28"/>
    </w:rPr>
  </w:style>
  <w:style w:type="character" w:styleId="af7">
    <w:name w:val="Strong"/>
    <w:basedOn w:val="a0"/>
    <w:uiPriority w:val="22"/>
    <w:qFormat/>
    <w:rsid w:val="0097002C"/>
    <w:rPr>
      <w:b/>
      <w:bCs/>
    </w:rPr>
  </w:style>
  <w:style w:type="character" w:customStyle="1" w:styleId="bold1">
    <w:name w:val="bold1"/>
    <w:basedOn w:val="a0"/>
    <w:rsid w:val="0097002C"/>
    <w:rPr>
      <w:b/>
      <w:bCs/>
      <w:color w:val="000000"/>
      <w:sz w:val="21"/>
      <w:szCs w:val="21"/>
    </w:rPr>
  </w:style>
  <w:style w:type="character" w:customStyle="1" w:styleId="txtcontent11">
    <w:name w:val="txtcontent11"/>
    <w:basedOn w:val="a0"/>
    <w:rsid w:val="0097002C"/>
    <w:rPr>
      <w:rFonts w:hint="default"/>
      <w:b w:val="0"/>
      <w:bCs w:val="0"/>
      <w:color w:val="000000"/>
      <w:spacing w:val="360"/>
      <w:sz w:val="21"/>
      <w:szCs w:val="21"/>
    </w:rPr>
  </w:style>
  <w:style w:type="paragraph" w:customStyle="1" w:styleId="font14">
    <w:name w:val="font14"/>
    <w:basedOn w:val="a"/>
    <w:rsid w:val="001E5DE5"/>
    <w:pPr>
      <w:widowControl/>
      <w:spacing w:before="100" w:beforeAutospacing="1" w:after="100" w:afterAutospacing="1" w:line="360" w:lineRule="auto"/>
      <w:ind w:firstLineChars="0" w:firstLine="0"/>
      <w:jc w:val="left"/>
    </w:pPr>
    <w:rPr>
      <w:kern w:val="0"/>
      <w:sz w:val="21"/>
      <w:szCs w:val="21"/>
    </w:rPr>
  </w:style>
  <w:style w:type="paragraph" w:customStyle="1" w:styleId="CharCharCharChar">
    <w:name w:val="Char Char Char Char"/>
    <w:basedOn w:val="a"/>
    <w:autoRedefine/>
    <w:rsid w:val="006C5DB0"/>
    <w:pPr>
      <w:tabs>
        <w:tab w:val="num" w:pos="360"/>
      </w:tabs>
      <w:ind w:firstLineChars="0" w:firstLine="0"/>
    </w:pPr>
    <w:rPr>
      <w:szCs w:val="24"/>
    </w:rPr>
  </w:style>
  <w:style w:type="paragraph" w:customStyle="1" w:styleId="CharCharCharChar1">
    <w:name w:val="Char Char Char Char1"/>
    <w:basedOn w:val="a"/>
    <w:autoRedefine/>
    <w:rsid w:val="0050344D"/>
    <w:pPr>
      <w:tabs>
        <w:tab w:val="num" w:pos="360"/>
      </w:tabs>
      <w:ind w:firstLineChars="0" w:firstLine="0"/>
    </w:pPr>
    <w:rPr>
      <w:szCs w:val="24"/>
    </w:rPr>
  </w:style>
  <w:style w:type="paragraph" w:customStyle="1" w:styleId="ParaChar">
    <w:name w:val="默认段落字体 Para Char"/>
    <w:basedOn w:val="a"/>
    <w:autoRedefine/>
    <w:rsid w:val="00424673"/>
    <w:pPr>
      <w:tabs>
        <w:tab w:val="num" w:pos="360"/>
      </w:tabs>
      <w:ind w:firstLineChars="0" w:firstLine="0"/>
    </w:pPr>
    <w:rPr>
      <w:szCs w:val="24"/>
    </w:rPr>
  </w:style>
  <w:style w:type="character" w:styleId="HTML">
    <w:name w:val="HTML Typewriter"/>
    <w:basedOn w:val="a0"/>
    <w:uiPriority w:val="99"/>
    <w:rsid w:val="00C051C9"/>
    <w:rPr>
      <w:rFonts w:ascii="黑体" w:eastAsia="黑体" w:hAnsi="Courier New" w:cs="Courier New"/>
      <w:sz w:val="20"/>
      <w:szCs w:val="20"/>
    </w:rPr>
  </w:style>
  <w:style w:type="paragraph" w:styleId="HTML0">
    <w:name w:val="HTML Preformatted"/>
    <w:basedOn w:val="a"/>
    <w:link w:val="HTMLChar"/>
    <w:uiPriority w:val="99"/>
    <w:rsid w:val="00C05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黑体" w:eastAsia="黑体" w:hAnsi="Courier New" w:cs="Courier New"/>
      <w:kern w:val="0"/>
      <w:sz w:val="20"/>
    </w:rPr>
  </w:style>
  <w:style w:type="character" w:customStyle="1" w:styleId="af8">
    <w:name w:val="a"/>
    <w:basedOn w:val="a0"/>
    <w:rsid w:val="00C051C9"/>
  </w:style>
  <w:style w:type="character" w:customStyle="1" w:styleId="text1">
    <w:name w:val="text1"/>
    <w:basedOn w:val="a0"/>
    <w:rsid w:val="00C051C9"/>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0"/>
    <w:rsid w:val="00C051C9"/>
    <w:rPr>
      <w:rFonts w:ascii="Arial" w:hAnsi="Arial" w:cs="Arial" w:hint="default"/>
    </w:rPr>
  </w:style>
  <w:style w:type="character" w:customStyle="1" w:styleId="fontcolor3">
    <w:name w:val="fontcolor3"/>
    <w:basedOn w:val="a0"/>
    <w:rsid w:val="00C051C9"/>
    <w:rPr>
      <w:color w:val="6C057B"/>
    </w:rPr>
  </w:style>
  <w:style w:type="paragraph" w:customStyle="1" w:styleId="CharCharCharCharCharChar1CharCharChar">
    <w:name w:val="Char Char Char Char Char Char1 Char Char Char"/>
    <w:basedOn w:val="a"/>
    <w:rsid w:val="00DB7A37"/>
    <w:pPr>
      <w:autoSpaceDE w:val="0"/>
      <w:autoSpaceDN w:val="0"/>
      <w:adjustRightInd w:val="0"/>
      <w:ind w:firstLineChars="0" w:firstLine="0"/>
      <w:jc w:val="left"/>
      <w:textAlignment w:val="baseline"/>
    </w:pPr>
    <w:rPr>
      <w:rFonts w:ascii="宋体"/>
      <w:kern w:val="0"/>
      <w:sz w:val="34"/>
    </w:rPr>
  </w:style>
  <w:style w:type="paragraph" w:customStyle="1" w:styleId="ParaCharCharCharCharCharCharCharCharCharCharCharChar">
    <w:name w:val="默认段落字体 Para Char Char Char Char Char Char Char Char Char Char Char Char"/>
    <w:basedOn w:val="a"/>
    <w:autoRedefine/>
    <w:rsid w:val="006064C9"/>
    <w:pPr>
      <w:tabs>
        <w:tab w:val="num" w:pos="840"/>
      </w:tabs>
      <w:ind w:left="840" w:firstLineChars="0" w:hanging="360"/>
    </w:pPr>
    <w:rPr>
      <w:szCs w:val="24"/>
    </w:rPr>
  </w:style>
  <w:style w:type="paragraph" w:customStyle="1" w:styleId="Char3">
    <w:name w:val="Char"/>
    <w:basedOn w:val="a"/>
    <w:rsid w:val="00C7376F"/>
    <w:pPr>
      <w:ind w:firstLineChars="0" w:firstLine="0"/>
    </w:pPr>
    <w:rPr>
      <w:sz w:val="21"/>
      <w:szCs w:val="24"/>
    </w:rPr>
  </w:style>
  <w:style w:type="character" w:customStyle="1" w:styleId="15">
    <w:name w:val="15"/>
    <w:basedOn w:val="a0"/>
    <w:rsid w:val="00C7376F"/>
  </w:style>
  <w:style w:type="paragraph" w:customStyle="1" w:styleId="CharCharCharCharCharCharChar">
    <w:name w:val="Char Char Char Char Char Char Char"/>
    <w:basedOn w:val="a"/>
    <w:rsid w:val="00C7376F"/>
    <w:pPr>
      <w:ind w:firstLineChars="0" w:firstLine="0"/>
    </w:pPr>
    <w:rPr>
      <w:sz w:val="21"/>
      <w:szCs w:val="24"/>
    </w:rPr>
  </w:style>
  <w:style w:type="character" w:customStyle="1" w:styleId="Char4">
    <w:name w:val="纯文本 Char"/>
    <w:basedOn w:val="a0"/>
    <w:rsid w:val="0020352B"/>
    <w:rPr>
      <w:rFonts w:ascii="宋体" w:eastAsia="宋体" w:hAnsi="Courier New"/>
      <w:kern w:val="2"/>
      <w:sz w:val="24"/>
      <w:szCs w:val="21"/>
      <w:lang w:val="en-US" w:eastAsia="zh-CN" w:bidi="ar-SA"/>
    </w:rPr>
  </w:style>
  <w:style w:type="paragraph" w:styleId="af9">
    <w:name w:val="Salutation"/>
    <w:basedOn w:val="a"/>
    <w:next w:val="a"/>
    <w:rsid w:val="0020352B"/>
    <w:pPr>
      <w:ind w:firstLineChars="0" w:firstLine="0"/>
    </w:pPr>
    <w:rPr>
      <w:sz w:val="21"/>
      <w:szCs w:val="24"/>
    </w:rPr>
  </w:style>
  <w:style w:type="paragraph" w:styleId="35">
    <w:name w:val="Body Text 3"/>
    <w:basedOn w:val="a"/>
    <w:rsid w:val="0020352B"/>
    <w:pPr>
      <w:spacing w:after="120"/>
      <w:ind w:firstLineChars="0" w:firstLine="0"/>
    </w:pPr>
    <w:rPr>
      <w:sz w:val="16"/>
      <w:szCs w:val="16"/>
    </w:rPr>
  </w:style>
  <w:style w:type="paragraph" w:customStyle="1" w:styleId="afa">
    <w:name w:val="正文所"/>
    <w:basedOn w:val="a"/>
    <w:rsid w:val="0020352B"/>
    <w:pPr>
      <w:spacing w:line="360" w:lineRule="auto"/>
      <w:ind w:firstLine="420"/>
    </w:pPr>
    <w:rPr>
      <w:sz w:val="21"/>
      <w:szCs w:val="24"/>
    </w:rPr>
  </w:style>
  <w:style w:type="paragraph" w:customStyle="1" w:styleId="2">
    <w:name w:val="列表2"/>
    <w:basedOn w:val="a"/>
    <w:next w:val="afb"/>
    <w:rsid w:val="0020352B"/>
    <w:pPr>
      <w:numPr>
        <w:numId w:val="33"/>
      </w:numPr>
      <w:spacing w:line="360" w:lineRule="auto"/>
      <w:ind w:firstLineChars="0" w:firstLine="0"/>
    </w:pPr>
    <w:rPr>
      <w:rFonts w:ascii="宋体"/>
      <w:sz w:val="21"/>
    </w:rPr>
  </w:style>
  <w:style w:type="paragraph" w:styleId="afb">
    <w:name w:val="Title"/>
    <w:basedOn w:val="a"/>
    <w:qFormat/>
    <w:rsid w:val="0020352B"/>
    <w:pPr>
      <w:spacing w:before="240" w:after="60"/>
      <w:ind w:firstLineChars="0" w:firstLine="0"/>
      <w:jc w:val="center"/>
      <w:outlineLvl w:val="0"/>
    </w:pPr>
    <w:rPr>
      <w:rFonts w:ascii="Arial" w:hAnsi="Arial" w:cs="Arial"/>
      <w:b/>
      <w:bCs/>
      <w:sz w:val="32"/>
      <w:szCs w:val="32"/>
    </w:rPr>
  </w:style>
  <w:style w:type="paragraph" w:styleId="afc">
    <w:name w:val="Closing"/>
    <w:basedOn w:val="a"/>
    <w:rsid w:val="0020352B"/>
    <w:pPr>
      <w:ind w:leftChars="2100" w:left="100" w:firstLineChars="0" w:firstLine="0"/>
    </w:pPr>
    <w:rPr>
      <w:sz w:val="21"/>
      <w:szCs w:val="24"/>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
    <w:autoRedefine/>
    <w:rsid w:val="0020352B"/>
    <w:pPr>
      <w:tabs>
        <w:tab w:val="num" w:pos="987"/>
      </w:tabs>
      <w:ind w:left="987" w:firstLineChars="0" w:hanging="283"/>
    </w:pPr>
    <w:rPr>
      <w:szCs w:val="24"/>
    </w:rPr>
  </w:style>
  <w:style w:type="paragraph" w:styleId="afd">
    <w:name w:val="Note Heading"/>
    <w:basedOn w:val="a"/>
    <w:next w:val="a"/>
    <w:rsid w:val="0020352B"/>
    <w:pPr>
      <w:ind w:firstLineChars="0" w:firstLine="0"/>
      <w:jc w:val="center"/>
    </w:pPr>
    <w:rPr>
      <w:sz w:val="21"/>
      <w:szCs w:val="24"/>
    </w:rPr>
  </w:style>
  <w:style w:type="table" w:styleId="afe">
    <w:name w:val="Table Grid"/>
    <w:basedOn w:val="a1"/>
    <w:qFormat/>
    <w:rsid w:val="002035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2">
    <w:name w:val="xl32"/>
    <w:basedOn w:val="a"/>
    <w:rsid w:val="0020352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Chars="0" w:firstLine="0"/>
      <w:jc w:val="center"/>
    </w:pPr>
    <w:rPr>
      <w:rFonts w:ascii="Arial Unicode MS" w:eastAsia="Arial Unicode MS" w:hAnsi="Arial Unicode MS" w:cs="Arial Unicode MS"/>
      <w:color w:val="000000"/>
      <w:kern w:val="0"/>
      <w:sz w:val="22"/>
      <w:szCs w:val="22"/>
    </w:rPr>
  </w:style>
  <w:style w:type="character" w:customStyle="1" w:styleId="HTMLChar">
    <w:name w:val="HTML 预设格式 Char"/>
    <w:basedOn w:val="a0"/>
    <w:link w:val="HTML0"/>
    <w:uiPriority w:val="99"/>
    <w:rsid w:val="00A03639"/>
    <w:rPr>
      <w:rFonts w:ascii="黑体" w:eastAsia="黑体" w:hAnsi="Courier New" w:cs="Courier New"/>
    </w:rPr>
  </w:style>
  <w:style w:type="character" w:customStyle="1" w:styleId="Char0">
    <w:name w:val="页眉 Char"/>
    <w:basedOn w:val="a0"/>
    <w:link w:val="a4"/>
    <w:uiPriority w:val="99"/>
    <w:rsid w:val="00A03639"/>
    <w:rPr>
      <w:rFonts w:eastAsia="仿宋_GB2312"/>
      <w:kern w:val="2"/>
      <w:sz w:val="18"/>
    </w:rPr>
  </w:style>
  <w:style w:type="character" w:customStyle="1" w:styleId="Char1">
    <w:name w:val="页脚 Char"/>
    <w:basedOn w:val="a0"/>
    <w:link w:val="a6"/>
    <w:uiPriority w:val="99"/>
    <w:rsid w:val="00A03639"/>
    <w:rPr>
      <w:rFonts w:eastAsia="仿宋_GB2312"/>
      <w:kern w:val="2"/>
      <w:sz w:val="18"/>
    </w:rPr>
  </w:style>
  <w:style w:type="character" w:customStyle="1" w:styleId="Char">
    <w:name w:val="正文文本 Char"/>
    <w:aliases w:val="正文文字 Char Char Char Char Char Char Char Char1"/>
    <w:basedOn w:val="a0"/>
    <w:link w:val="a3"/>
    <w:rsid w:val="00A03639"/>
    <w:rPr>
      <w:rFonts w:ascii="黑体" w:eastAsia="黑体"/>
      <w:kern w:val="2"/>
      <w:sz w:val="30"/>
    </w:rPr>
  </w:style>
  <w:style w:type="character" w:customStyle="1" w:styleId="3Char">
    <w:name w:val="正文文本缩进 3 Char"/>
    <w:basedOn w:val="a0"/>
    <w:link w:val="30"/>
    <w:rsid w:val="00A03639"/>
    <w:rPr>
      <w:rFonts w:ascii="宋体" w:hAnsi="宋体"/>
      <w:color w:val="FF0000"/>
      <w:kern w:val="2"/>
      <w:sz w:val="24"/>
    </w:rPr>
  </w:style>
  <w:style w:type="character" w:customStyle="1" w:styleId="Char2">
    <w:name w:val="批注框文本 Char"/>
    <w:basedOn w:val="a0"/>
    <w:link w:val="a8"/>
    <w:semiHidden/>
    <w:rsid w:val="00A03639"/>
    <w:rPr>
      <w:kern w:val="2"/>
      <w:sz w:val="18"/>
      <w:szCs w:val="18"/>
    </w:rPr>
  </w:style>
  <w:style w:type="paragraph" w:customStyle="1" w:styleId="Char11">
    <w:name w:val="Char1"/>
    <w:basedOn w:val="a"/>
    <w:rsid w:val="00A03639"/>
    <w:pPr>
      <w:ind w:firstLineChars="0" w:firstLine="0"/>
    </w:pPr>
    <w:rPr>
      <w:sz w:val="21"/>
      <w:szCs w:val="24"/>
    </w:rPr>
  </w:style>
  <w:style w:type="paragraph" w:customStyle="1" w:styleId="CharCharCharCharCharCharChar1">
    <w:name w:val="Char Char Char Char Char Char Char1"/>
    <w:basedOn w:val="a"/>
    <w:rsid w:val="00A03639"/>
    <w:pPr>
      <w:ind w:firstLineChars="0" w:firstLine="0"/>
    </w:pPr>
    <w:rPr>
      <w:sz w:val="21"/>
      <w:szCs w:val="24"/>
    </w:rPr>
  </w:style>
  <w:style w:type="character" w:customStyle="1" w:styleId="Char10">
    <w:name w:val="纯文本 Char1"/>
    <w:basedOn w:val="a0"/>
    <w:link w:val="a7"/>
    <w:locked/>
    <w:rsid w:val="00A03639"/>
    <w:rPr>
      <w:rFonts w:ascii="宋体" w:hAnsi="Courier New"/>
      <w:kern w:val="2"/>
      <w:sz w:val="24"/>
      <w:szCs w:val="21"/>
    </w:rPr>
  </w:style>
  <w:style w:type="character" w:customStyle="1" w:styleId="CharChar11">
    <w:name w:val="Char Char11"/>
    <w:basedOn w:val="a0"/>
    <w:locked/>
    <w:rsid w:val="00610455"/>
    <w:rPr>
      <w:rFonts w:ascii="宋体" w:eastAsia="宋体" w:hAnsi="Courier New" w:cs="Courier New"/>
      <w:kern w:val="2"/>
      <w:sz w:val="21"/>
      <w:szCs w:val="21"/>
      <w:lang w:val="en-US" w:eastAsia="zh-CN" w:bidi="ar-SA"/>
    </w:rPr>
  </w:style>
  <w:style w:type="paragraph" w:styleId="aff">
    <w:name w:val="Revision"/>
    <w:hidden/>
    <w:uiPriority w:val="99"/>
    <w:semiHidden/>
    <w:rsid w:val="008E4B77"/>
    <w:rPr>
      <w:kern w:val="2"/>
      <w:sz w:val="24"/>
    </w:rPr>
  </w:style>
  <w:style w:type="paragraph" w:customStyle="1" w:styleId="Default">
    <w:name w:val="Default"/>
    <w:rsid w:val="00D9322B"/>
    <w:pPr>
      <w:widowControl w:val="0"/>
      <w:autoSpaceDE w:val="0"/>
      <w:autoSpaceDN w:val="0"/>
      <w:adjustRightInd w:val="0"/>
    </w:pPr>
    <w:rPr>
      <w:rFonts w:ascii="宋体" w:cs="宋体"/>
      <w:color w:val="000000"/>
      <w:sz w:val="24"/>
      <w:szCs w:val="24"/>
    </w:rPr>
  </w:style>
  <w:style w:type="paragraph" w:styleId="aff0">
    <w:name w:val="List Paragraph"/>
    <w:basedOn w:val="a"/>
    <w:uiPriority w:val="34"/>
    <w:qFormat/>
    <w:rsid w:val="00C02B53"/>
    <w:pPr>
      <w:ind w:firstLine="420"/>
    </w:pPr>
  </w:style>
  <w:style w:type="paragraph" w:styleId="aff1">
    <w:name w:val="annotation text"/>
    <w:basedOn w:val="a"/>
    <w:link w:val="Char5"/>
    <w:semiHidden/>
    <w:unhideWhenUsed/>
    <w:rsid w:val="007748DF"/>
    <w:pPr>
      <w:jc w:val="left"/>
    </w:pPr>
  </w:style>
  <w:style w:type="character" w:customStyle="1" w:styleId="Char5">
    <w:name w:val="批注文字 Char"/>
    <w:basedOn w:val="a0"/>
    <w:link w:val="aff1"/>
    <w:semiHidden/>
    <w:rsid w:val="007748DF"/>
    <w:rPr>
      <w:kern w:val="2"/>
      <w:sz w:val="24"/>
    </w:rPr>
  </w:style>
  <w:style w:type="paragraph" w:styleId="aff2">
    <w:name w:val="annotation subject"/>
    <w:basedOn w:val="aff1"/>
    <w:next w:val="aff1"/>
    <w:link w:val="Char6"/>
    <w:semiHidden/>
    <w:unhideWhenUsed/>
    <w:rsid w:val="007748DF"/>
    <w:rPr>
      <w:b/>
      <w:bCs/>
    </w:rPr>
  </w:style>
  <w:style w:type="character" w:customStyle="1" w:styleId="Char6">
    <w:name w:val="批注主题 Char"/>
    <w:basedOn w:val="Char5"/>
    <w:link w:val="aff2"/>
    <w:semiHidden/>
    <w:rsid w:val="007748DF"/>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330">
      <w:bodyDiv w:val="1"/>
      <w:marLeft w:val="0"/>
      <w:marRight w:val="0"/>
      <w:marTop w:val="0"/>
      <w:marBottom w:val="0"/>
      <w:divBdr>
        <w:top w:val="none" w:sz="0" w:space="0" w:color="auto"/>
        <w:left w:val="none" w:sz="0" w:space="0" w:color="auto"/>
        <w:bottom w:val="none" w:sz="0" w:space="0" w:color="auto"/>
        <w:right w:val="none" w:sz="0" w:space="0" w:color="auto"/>
      </w:divBdr>
    </w:div>
    <w:div w:id="4790382">
      <w:bodyDiv w:val="1"/>
      <w:marLeft w:val="0"/>
      <w:marRight w:val="0"/>
      <w:marTop w:val="0"/>
      <w:marBottom w:val="0"/>
      <w:divBdr>
        <w:top w:val="none" w:sz="0" w:space="0" w:color="auto"/>
        <w:left w:val="none" w:sz="0" w:space="0" w:color="auto"/>
        <w:bottom w:val="none" w:sz="0" w:space="0" w:color="auto"/>
        <w:right w:val="none" w:sz="0" w:space="0" w:color="auto"/>
      </w:divBdr>
    </w:div>
    <w:div w:id="17046636">
      <w:bodyDiv w:val="1"/>
      <w:marLeft w:val="0"/>
      <w:marRight w:val="0"/>
      <w:marTop w:val="0"/>
      <w:marBottom w:val="0"/>
      <w:divBdr>
        <w:top w:val="none" w:sz="0" w:space="0" w:color="auto"/>
        <w:left w:val="none" w:sz="0" w:space="0" w:color="auto"/>
        <w:bottom w:val="none" w:sz="0" w:space="0" w:color="auto"/>
        <w:right w:val="none" w:sz="0" w:space="0" w:color="auto"/>
      </w:divBdr>
    </w:div>
    <w:div w:id="27151039">
      <w:bodyDiv w:val="1"/>
      <w:marLeft w:val="0"/>
      <w:marRight w:val="0"/>
      <w:marTop w:val="0"/>
      <w:marBottom w:val="0"/>
      <w:divBdr>
        <w:top w:val="none" w:sz="0" w:space="0" w:color="auto"/>
        <w:left w:val="none" w:sz="0" w:space="0" w:color="auto"/>
        <w:bottom w:val="none" w:sz="0" w:space="0" w:color="auto"/>
        <w:right w:val="none" w:sz="0" w:space="0" w:color="auto"/>
      </w:divBdr>
    </w:div>
    <w:div w:id="36249844">
      <w:bodyDiv w:val="1"/>
      <w:marLeft w:val="0"/>
      <w:marRight w:val="0"/>
      <w:marTop w:val="0"/>
      <w:marBottom w:val="0"/>
      <w:divBdr>
        <w:top w:val="none" w:sz="0" w:space="0" w:color="auto"/>
        <w:left w:val="none" w:sz="0" w:space="0" w:color="auto"/>
        <w:bottom w:val="none" w:sz="0" w:space="0" w:color="auto"/>
        <w:right w:val="none" w:sz="0" w:space="0" w:color="auto"/>
      </w:divBdr>
    </w:div>
    <w:div w:id="37627438">
      <w:bodyDiv w:val="1"/>
      <w:marLeft w:val="0"/>
      <w:marRight w:val="0"/>
      <w:marTop w:val="0"/>
      <w:marBottom w:val="0"/>
      <w:divBdr>
        <w:top w:val="none" w:sz="0" w:space="0" w:color="auto"/>
        <w:left w:val="none" w:sz="0" w:space="0" w:color="auto"/>
        <w:bottom w:val="none" w:sz="0" w:space="0" w:color="auto"/>
        <w:right w:val="none" w:sz="0" w:space="0" w:color="auto"/>
      </w:divBdr>
    </w:div>
    <w:div w:id="42142339">
      <w:bodyDiv w:val="1"/>
      <w:marLeft w:val="0"/>
      <w:marRight w:val="0"/>
      <w:marTop w:val="0"/>
      <w:marBottom w:val="0"/>
      <w:divBdr>
        <w:top w:val="none" w:sz="0" w:space="0" w:color="auto"/>
        <w:left w:val="none" w:sz="0" w:space="0" w:color="auto"/>
        <w:bottom w:val="none" w:sz="0" w:space="0" w:color="auto"/>
        <w:right w:val="none" w:sz="0" w:space="0" w:color="auto"/>
      </w:divBdr>
    </w:div>
    <w:div w:id="64764338">
      <w:bodyDiv w:val="1"/>
      <w:marLeft w:val="0"/>
      <w:marRight w:val="0"/>
      <w:marTop w:val="0"/>
      <w:marBottom w:val="0"/>
      <w:divBdr>
        <w:top w:val="none" w:sz="0" w:space="0" w:color="auto"/>
        <w:left w:val="none" w:sz="0" w:space="0" w:color="auto"/>
        <w:bottom w:val="none" w:sz="0" w:space="0" w:color="auto"/>
        <w:right w:val="none" w:sz="0" w:space="0" w:color="auto"/>
      </w:divBdr>
    </w:div>
    <w:div w:id="70398075">
      <w:bodyDiv w:val="1"/>
      <w:marLeft w:val="0"/>
      <w:marRight w:val="0"/>
      <w:marTop w:val="0"/>
      <w:marBottom w:val="0"/>
      <w:divBdr>
        <w:top w:val="none" w:sz="0" w:space="0" w:color="auto"/>
        <w:left w:val="none" w:sz="0" w:space="0" w:color="auto"/>
        <w:bottom w:val="none" w:sz="0" w:space="0" w:color="auto"/>
        <w:right w:val="none" w:sz="0" w:space="0" w:color="auto"/>
      </w:divBdr>
    </w:div>
    <w:div w:id="71395506">
      <w:bodyDiv w:val="1"/>
      <w:marLeft w:val="0"/>
      <w:marRight w:val="0"/>
      <w:marTop w:val="0"/>
      <w:marBottom w:val="0"/>
      <w:divBdr>
        <w:top w:val="none" w:sz="0" w:space="0" w:color="auto"/>
        <w:left w:val="none" w:sz="0" w:space="0" w:color="auto"/>
        <w:bottom w:val="none" w:sz="0" w:space="0" w:color="auto"/>
        <w:right w:val="none" w:sz="0" w:space="0" w:color="auto"/>
      </w:divBdr>
    </w:div>
    <w:div w:id="74056319">
      <w:bodyDiv w:val="1"/>
      <w:marLeft w:val="0"/>
      <w:marRight w:val="0"/>
      <w:marTop w:val="0"/>
      <w:marBottom w:val="0"/>
      <w:divBdr>
        <w:top w:val="none" w:sz="0" w:space="0" w:color="auto"/>
        <w:left w:val="none" w:sz="0" w:space="0" w:color="auto"/>
        <w:bottom w:val="none" w:sz="0" w:space="0" w:color="auto"/>
        <w:right w:val="none" w:sz="0" w:space="0" w:color="auto"/>
      </w:divBdr>
    </w:div>
    <w:div w:id="81411498">
      <w:bodyDiv w:val="1"/>
      <w:marLeft w:val="0"/>
      <w:marRight w:val="0"/>
      <w:marTop w:val="0"/>
      <w:marBottom w:val="0"/>
      <w:divBdr>
        <w:top w:val="none" w:sz="0" w:space="0" w:color="auto"/>
        <w:left w:val="none" w:sz="0" w:space="0" w:color="auto"/>
        <w:bottom w:val="none" w:sz="0" w:space="0" w:color="auto"/>
        <w:right w:val="none" w:sz="0" w:space="0" w:color="auto"/>
      </w:divBdr>
    </w:div>
    <w:div w:id="103425151">
      <w:bodyDiv w:val="1"/>
      <w:marLeft w:val="0"/>
      <w:marRight w:val="0"/>
      <w:marTop w:val="0"/>
      <w:marBottom w:val="0"/>
      <w:divBdr>
        <w:top w:val="none" w:sz="0" w:space="0" w:color="auto"/>
        <w:left w:val="none" w:sz="0" w:space="0" w:color="auto"/>
        <w:bottom w:val="none" w:sz="0" w:space="0" w:color="auto"/>
        <w:right w:val="none" w:sz="0" w:space="0" w:color="auto"/>
      </w:divBdr>
    </w:div>
    <w:div w:id="111091468">
      <w:bodyDiv w:val="1"/>
      <w:marLeft w:val="0"/>
      <w:marRight w:val="0"/>
      <w:marTop w:val="0"/>
      <w:marBottom w:val="0"/>
      <w:divBdr>
        <w:top w:val="none" w:sz="0" w:space="0" w:color="auto"/>
        <w:left w:val="none" w:sz="0" w:space="0" w:color="auto"/>
        <w:bottom w:val="none" w:sz="0" w:space="0" w:color="auto"/>
        <w:right w:val="none" w:sz="0" w:space="0" w:color="auto"/>
      </w:divBdr>
    </w:div>
    <w:div w:id="117376698">
      <w:bodyDiv w:val="1"/>
      <w:marLeft w:val="0"/>
      <w:marRight w:val="0"/>
      <w:marTop w:val="0"/>
      <w:marBottom w:val="0"/>
      <w:divBdr>
        <w:top w:val="none" w:sz="0" w:space="0" w:color="auto"/>
        <w:left w:val="none" w:sz="0" w:space="0" w:color="auto"/>
        <w:bottom w:val="none" w:sz="0" w:space="0" w:color="auto"/>
        <w:right w:val="none" w:sz="0" w:space="0" w:color="auto"/>
      </w:divBdr>
    </w:div>
    <w:div w:id="143009946">
      <w:bodyDiv w:val="1"/>
      <w:marLeft w:val="0"/>
      <w:marRight w:val="0"/>
      <w:marTop w:val="0"/>
      <w:marBottom w:val="0"/>
      <w:divBdr>
        <w:top w:val="none" w:sz="0" w:space="0" w:color="auto"/>
        <w:left w:val="none" w:sz="0" w:space="0" w:color="auto"/>
        <w:bottom w:val="none" w:sz="0" w:space="0" w:color="auto"/>
        <w:right w:val="none" w:sz="0" w:space="0" w:color="auto"/>
      </w:divBdr>
    </w:div>
    <w:div w:id="149759299">
      <w:bodyDiv w:val="1"/>
      <w:marLeft w:val="0"/>
      <w:marRight w:val="0"/>
      <w:marTop w:val="0"/>
      <w:marBottom w:val="0"/>
      <w:divBdr>
        <w:top w:val="none" w:sz="0" w:space="0" w:color="auto"/>
        <w:left w:val="none" w:sz="0" w:space="0" w:color="auto"/>
        <w:bottom w:val="none" w:sz="0" w:space="0" w:color="auto"/>
        <w:right w:val="none" w:sz="0" w:space="0" w:color="auto"/>
      </w:divBdr>
    </w:div>
    <w:div w:id="160895540">
      <w:bodyDiv w:val="1"/>
      <w:marLeft w:val="0"/>
      <w:marRight w:val="0"/>
      <w:marTop w:val="0"/>
      <w:marBottom w:val="0"/>
      <w:divBdr>
        <w:top w:val="none" w:sz="0" w:space="0" w:color="auto"/>
        <w:left w:val="none" w:sz="0" w:space="0" w:color="auto"/>
        <w:bottom w:val="none" w:sz="0" w:space="0" w:color="auto"/>
        <w:right w:val="none" w:sz="0" w:space="0" w:color="auto"/>
      </w:divBdr>
    </w:div>
    <w:div w:id="166748547">
      <w:bodyDiv w:val="1"/>
      <w:marLeft w:val="0"/>
      <w:marRight w:val="0"/>
      <w:marTop w:val="0"/>
      <w:marBottom w:val="0"/>
      <w:divBdr>
        <w:top w:val="none" w:sz="0" w:space="0" w:color="auto"/>
        <w:left w:val="none" w:sz="0" w:space="0" w:color="auto"/>
        <w:bottom w:val="none" w:sz="0" w:space="0" w:color="auto"/>
        <w:right w:val="none" w:sz="0" w:space="0" w:color="auto"/>
      </w:divBdr>
    </w:div>
    <w:div w:id="177083537">
      <w:bodyDiv w:val="1"/>
      <w:marLeft w:val="0"/>
      <w:marRight w:val="0"/>
      <w:marTop w:val="0"/>
      <w:marBottom w:val="0"/>
      <w:divBdr>
        <w:top w:val="none" w:sz="0" w:space="0" w:color="auto"/>
        <w:left w:val="none" w:sz="0" w:space="0" w:color="auto"/>
        <w:bottom w:val="none" w:sz="0" w:space="0" w:color="auto"/>
        <w:right w:val="none" w:sz="0" w:space="0" w:color="auto"/>
      </w:divBdr>
    </w:div>
    <w:div w:id="206652270">
      <w:bodyDiv w:val="1"/>
      <w:marLeft w:val="0"/>
      <w:marRight w:val="0"/>
      <w:marTop w:val="0"/>
      <w:marBottom w:val="0"/>
      <w:divBdr>
        <w:top w:val="none" w:sz="0" w:space="0" w:color="auto"/>
        <w:left w:val="none" w:sz="0" w:space="0" w:color="auto"/>
        <w:bottom w:val="none" w:sz="0" w:space="0" w:color="auto"/>
        <w:right w:val="none" w:sz="0" w:space="0" w:color="auto"/>
      </w:divBdr>
    </w:div>
    <w:div w:id="214195691">
      <w:bodyDiv w:val="1"/>
      <w:marLeft w:val="0"/>
      <w:marRight w:val="0"/>
      <w:marTop w:val="0"/>
      <w:marBottom w:val="0"/>
      <w:divBdr>
        <w:top w:val="none" w:sz="0" w:space="0" w:color="auto"/>
        <w:left w:val="none" w:sz="0" w:space="0" w:color="auto"/>
        <w:bottom w:val="none" w:sz="0" w:space="0" w:color="auto"/>
        <w:right w:val="none" w:sz="0" w:space="0" w:color="auto"/>
      </w:divBdr>
    </w:div>
    <w:div w:id="214508940">
      <w:bodyDiv w:val="1"/>
      <w:marLeft w:val="0"/>
      <w:marRight w:val="0"/>
      <w:marTop w:val="0"/>
      <w:marBottom w:val="0"/>
      <w:divBdr>
        <w:top w:val="none" w:sz="0" w:space="0" w:color="auto"/>
        <w:left w:val="none" w:sz="0" w:space="0" w:color="auto"/>
        <w:bottom w:val="none" w:sz="0" w:space="0" w:color="auto"/>
        <w:right w:val="none" w:sz="0" w:space="0" w:color="auto"/>
      </w:divBdr>
    </w:div>
    <w:div w:id="226038371">
      <w:bodyDiv w:val="1"/>
      <w:marLeft w:val="0"/>
      <w:marRight w:val="0"/>
      <w:marTop w:val="0"/>
      <w:marBottom w:val="0"/>
      <w:divBdr>
        <w:top w:val="none" w:sz="0" w:space="0" w:color="auto"/>
        <w:left w:val="none" w:sz="0" w:space="0" w:color="auto"/>
        <w:bottom w:val="none" w:sz="0" w:space="0" w:color="auto"/>
        <w:right w:val="none" w:sz="0" w:space="0" w:color="auto"/>
      </w:divBdr>
    </w:div>
    <w:div w:id="246620552">
      <w:bodyDiv w:val="1"/>
      <w:marLeft w:val="0"/>
      <w:marRight w:val="0"/>
      <w:marTop w:val="0"/>
      <w:marBottom w:val="0"/>
      <w:divBdr>
        <w:top w:val="none" w:sz="0" w:space="0" w:color="auto"/>
        <w:left w:val="none" w:sz="0" w:space="0" w:color="auto"/>
        <w:bottom w:val="none" w:sz="0" w:space="0" w:color="auto"/>
        <w:right w:val="none" w:sz="0" w:space="0" w:color="auto"/>
      </w:divBdr>
    </w:div>
    <w:div w:id="250282524">
      <w:bodyDiv w:val="1"/>
      <w:marLeft w:val="0"/>
      <w:marRight w:val="0"/>
      <w:marTop w:val="0"/>
      <w:marBottom w:val="0"/>
      <w:divBdr>
        <w:top w:val="none" w:sz="0" w:space="0" w:color="auto"/>
        <w:left w:val="none" w:sz="0" w:space="0" w:color="auto"/>
        <w:bottom w:val="none" w:sz="0" w:space="0" w:color="auto"/>
        <w:right w:val="none" w:sz="0" w:space="0" w:color="auto"/>
      </w:divBdr>
    </w:div>
    <w:div w:id="278610237">
      <w:bodyDiv w:val="1"/>
      <w:marLeft w:val="0"/>
      <w:marRight w:val="0"/>
      <w:marTop w:val="0"/>
      <w:marBottom w:val="0"/>
      <w:divBdr>
        <w:top w:val="none" w:sz="0" w:space="0" w:color="auto"/>
        <w:left w:val="none" w:sz="0" w:space="0" w:color="auto"/>
        <w:bottom w:val="none" w:sz="0" w:space="0" w:color="auto"/>
        <w:right w:val="none" w:sz="0" w:space="0" w:color="auto"/>
      </w:divBdr>
    </w:div>
    <w:div w:id="289752397">
      <w:bodyDiv w:val="1"/>
      <w:marLeft w:val="0"/>
      <w:marRight w:val="0"/>
      <w:marTop w:val="0"/>
      <w:marBottom w:val="0"/>
      <w:divBdr>
        <w:top w:val="none" w:sz="0" w:space="0" w:color="auto"/>
        <w:left w:val="none" w:sz="0" w:space="0" w:color="auto"/>
        <w:bottom w:val="none" w:sz="0" w:space="0" w:color="auto"/>
        <w:right w:val="none" w:sz="0" w:space="0" w:color="auto"/>
      </w:divBdr>
    </w:div>
    <w:div w:id="293147652">
      <w:bodyDiv w:val="1"/>
      <w:marLeft w:val="0"/>
      <w:marRight w:val="0"/>
      <w:marTop w:val="0"/>
      <w:marBottom w:val="0"/>
      <w:divBdr>
        <w:top w:val="none" w:sz="0" w:space="0" w:color="auto"/>
        <w:left w:val="none" w:sz="0" w:space="0" w:color="auto"/>
        <w:bottom w:val="none" w:sz="0" w:space="0" w:color="auto"/>
        <w:right w:val="none" w:sz="0" w:space="0" w:color="auto"/>
      </w:divBdr>
    </w:div>
    <w:div w:id="301817001">
      <w:bodyDiv w:val="1"/>
      <w:marLeft w:val="0"/>
      <w:marRight w:val="0"/>
      <w:marTop w:val="0"/>
      <w:marBottom w:val="0"/>
      <w:divBdr>
        <w:top w:val="none" w:sz="0" w:space="0" w:color="auto"/>
        <w:left w:val="none" w:sz="0" w:space="0" w:color="auto"/>
        <w:bottom w:val="none" w:sz="0" w:space="0" w:color="auto"/>
        <w:right w:val="none" w:sz="0" w:space="0" w:color="auto"/>
      </w:divBdr>
    </w:div>
    <w:div w:id="309142471">
      <w:bodyDiv w:val="1"/>
      <w:marLeft w:val="0"/>
      <w:marRight w:val="0"/>
      <w:marTop w:val="0"/>
      <w:marBottom w:val="0"/>
      <w:divBdr>
        <w:top w:val="none" w:sz="0" w:space="0" w:color="auto"/>
        <w:left w:val="none" w:sz="0" w:space="0" w:color="auto"/>
        <w:bottom w:val="none" w:sz="0" w:space="0" w:color="auto"/>
        <w:right w:val="none" w:sz="0" w:space="0" w:color="auto"/>
      </w:divBdr>
    </w:div>
    <w:div w:id="310332892">
      <w:bodyDiv w:val="1"/>
      <w:marLeft w:val="0"/>
      <w:marRight w:val="0"/>
      <w:marTop w:val="0"/>
      <w:marBottom w:val="0"/>
      <w:divBdr>
        <w:top w:val="none" w:sz="0" w:space="0" w:color="auto"/>
        <w:left w:val="none" w:sz="0" w:space="0" w:color="auto"/>
        <w:bottom w:val="none" w:sz="0" w:space="0" w:color="auto"/>
        <w:right w:val="none" w:sz="0" w:space="0" w:color="auto"/>
      </w:divBdr>
    </w:div>
    <w:div w:id="323093768">
      <w:bodyDiv w:val="1"/>
      <w:marLeft w:val="0"/>
      <w:marRight w:val="0"/>
      <w:marTop w:val="0"/>
      <w:marBottom w:val="0"/>
      <w:divBdr>
        <w:top w:val="none" w:sz="0" w:space="0" w:color="auto"/>
        <w:left w:val="none" w:sz="0" w:space="0" w:color="auto"/>
        <w:bottom w:val="none" w:sz="0" w:space="0" w:color="auto"/>
        <w:right w:val="none" w:sz="0" w:space="0" w:color="auto"/>
      </w:divBdr>
    </w:div>
    <w:div w:id="335033434">
      <w:bodyDiv w:val="1"/>
      <w:marLeft w:val="0"/>
      <w:marRight w:val="0"/>
      <w:marTop w:val="0"/>
      <w:marBottom w:val="0"/>
      <w:divBdr>
        <w:top w:val="none" w:sz="0" w:space="0" w:color="auto"/>
        <w:left w:val="none" w:sz="0" w:space="0" w:color="auto"/>
        <w:bottom w:val="none" w:sz="0" w:space="0" w:color="auto"/>
        <w:right w:val="none" w:sz="0" w:space="0" w:color="auto"/>
      </w:divBdr>
    </w:div>
    <w:div w:id="349458261">
      <w:bodyDiv w:val="1"/>
      <w:marLeft w:val="0"/>
      <w:marRight w:val="0"/>
      <w:marTop w:val="0"/>
      <w:marBottom w:val="0"/>
      <w:divBdr>
        <w:top w:val="none" w:sz="0" w:space="0" w:color="auto"/>
        <w:left w:val="none" w:sz="0" w:space="0" w:color="auto"/>
        <w:bottom w:val="none" w:sz="0" w:space="0" w:color="auto"/>
        <w:right w:val="none" w:sz="0" w:space="0" w:color="auto"/>
      </w:divBdr>
    </w:div>
    <w:div w:id="350256519">
      <w:bodyDiv w:val="1"/>
      <w:marLeft w:val="0"/>
      <w:marRight w:val="0"/>
      <w:marTop w:val="0"/>
      <w:marBottom w:val="0"/>
      <w:divBdr>
        <w:top w:val="none" w:sz="0" w:space="0" w:color="auto"/>
        <w:left w:val="none" w:sz="0" w:space="0" w:color="auto"/>
        <w:bottom w:val="none" w:sz="0" w:space="0" w:color="auto"/>
        <w:right w:val="none" w:sz="0" w:space="0" w:color="auto"/>
      </w:divBdr>
    </w:div>
    <w:div w:id="359084705">
      <w:bodyDiv w:val="1"/>
      <w:marLeft w:val="0"/>
      <w:marRight w:val="0"/>
      <w:marTop w:val="0"/>
      <w:marBottom w:val="0"/>
      <w:divBdr>
        <w:top w:val="none" w:sz="0" w:space="0" w:color="auto"/>
        <w:left w:val="none" w:sz="0" w:space="0" w:color="auto"/>
        <w:bottom w:val="none" w:sz="0" w:space="0" w:color="auto"/>
        <w:right w:val="none" w:sz="0" w:space="0" w:color="auto"/>
      </w:divBdr>
    </w:div>
    <w:div w:id="369377169">
      <w:bodyDiv w:val="1"/>
      <w:marLeft w:val="0"/>
      <w:marRight w:val="0"/>
      <w:marTop w:val="0"/>
      <w:marBottom w:val="0"/>
      <w:divBdr>
        <w:top w:val="none" w:sz="0" w:space="0" w:color="auto"/>
        <w:left w:val="none" w:sz="0" w:space="0" w:color="auto"/>
        <w:bottom w:val="none" w:sz="0" w:space="0" w:color="auto"/>
        <w:right w:val="none" w:sz="0" w:space="0" w:color="auto"/>
      </w:divBdr>
    </w:div>
    <w:div w:id="419496689">
      <w:bodyDiv w:val="1"/>
      <w:marLeft w:val="0"/>
      <w:marRight w:val="0"/>
      <w:marTop w:val="0"/>
      <w:marBottom w:val="0"/>
      <w:divBdr>
        <w:top w:val="none" w:sz="0" w:space="0" w:color="auto"/>
        <w:left w:val="none" w:sz="0" w:space="0" w:color="auto"/>
        <w:bottom w:val="none" w:sz="0" w:space="0" w:color="auto"/>
        <w:right w:val="none" w:sz="0" w:space="0" w:color="auto"/>
      </w:divBdr>
    </w:div>
    <w:div w:id="423384356">
      <w:bodyDiv w:val="1"/>
      <w:marLeft w:val="0"/>
      <w:marRight w:val="0"/>
      <w:marTop w:val="0"/>
      <w:marBottom w:val="0"/>
      <w:divBdr>
        <w:top w:val="none" w:sz="0" w:space="0" w:color="auto"/>
        <w:left w:val="none" w:sz="0" w:space="0" w:color="auto"/>
        <w:bottom w:val="none" w:sz="0" w:space="0" w:color="auto"/>
        <w:right w:val="none" w:sz="0" w:space="0" w:color="auto"/>
      </w:divBdr>
    </w:div>
    <w:div w:id="430899570">
      <w:bodyDiv w:val="1"/>
      <w:marLeft w:val="0"/>
      <w:marRight w:val="0"/>
      <w:marTop w:val="0"/>
      <w:marBottom w:val="0"/>
      <w:divBdr>
        <w:top w:val="none" w:sz="0" w:space="0" w:color="auto"/>
        <w:left w:val="none" w:sz="0" w:space="0" w:color="auto"/>
        <w:bottom w:val="none" w:sz="0" w:space="0" w:color="auto"/>
        <w:right w:val="none" w:sz="0" w:space="0" w:color="auto"/>
      </w:divBdr>
    </w:div>
    <w:div w:id="447511818">
      <w:bodyDiv w:val="1"/>
      <w:marLeft w:val="0"/>
      <w:marRight w:val="0"/>
      <w:marTop w:val="0"/>
      <w:marBottom w:val="0"/>
      <w:divBdr>
        <w:top w:val="none" w:sz="0" w:space="0" w:color="auto"/>
        <w:left w:val="none" w:sz="0" w:space="0" w:color="auto"/>
        <w:bottom w:val="none" w:sz="0" w:space="0" w:color="auto"/>
        <w:right w:val="none" w:sz="0" w:space="0" w:color="auto"/>
      </w:divBdr>
    </w:div>
    <w:div w:id="453444294">
      <w:bodyDiv w:val="1"/>
      <w:marLeft w:val="0"/>
      <w:marRight w:val="0"/>
      <w:marTop w:val="0"/>
      <w:marBottom w:val="0"/>
      <w:divBdr>
        <w:top w:val="none" w:sz="0" w:space="0" w:color="auto"/>
        <w:left w:val="none" w:sz="0" w:space="0" w:color="auto"/>
        <w:bottom w:val="none" w:sz="0" w:space="0" w:color="auto"/>
        <w:right w:val="none" w:sz="0" w:space="0" w:color="auto"/>
      </w:divBdr>
    </w:div>
    <w:div w:id="453600720">
      <w:bodyDiv w:val="1"/>
      <w:marLeft w:val="0"/>
      <w:marRight w:val="0"/>
      <w:marTop w:val="0"/>
      <w:marBottom w:val="0"/>
      <w:divBdr>
        <w:top w:val="none" w:sz="0" w:space="0" w:color="auto"/>
        <w:left w:val="none" w:sz="0" w:space="0" w:color="auto"/>
        <w:bottom w:val="none" w:sz="0" w:space="0" w:color="auto"/>
        <w:right w:val="none" w:sz="0" w:space="0" w:color="auto"/>
      </w:divBdr>
    </w:div>
    <w:div w:id="454716706">
      <w:bodyDiv w:val="1"/>
      <w:marLeft w:val="0"/>
      <w:marRight w:val="0"/>
      <w:marTop w:val="0"/>
      <w:marBottom w:val="0"/>
      <w:divBdr>
        <w:top w:val="none" w:sz="0" w:space="0" w:color="auto"/>
        <w:left w:val="none" w:sz="0" w:space="0" w:color="auto"/>
        <w:bottom w:val="none" w:sz="0" w:space="0" w:color="auto"/>
        <w:right w:val="none" w:sz="0" w:space="0" w:color="auto"/>
      </w:divBdr>
    </w:div>
    <w:div w:id="492379715">
      <w:bodyDiv w:val="1"/>
      <w:marLeft w:val="0"/>
      <w:marRight w:val="0"/>
      <w:marTop w:val="0"/>
      <w:marBottom w:val="0"/>
      <w:divBdr>
        <w:top w:val="none" w:sz="0" w:space="0" w:color="auto"/>
        <w:left w:val="none" w:sz="0" w:space="0" w:color="auto"/>
        <w:bottom w:val="none" w:sz="0" w:space="0" w:color="auto"/>
        <w:right w:val="none" w:sz="0" w:space="0" w:color="auto"/>
      </w:divBdr>
    </w:div>
    <w:div w:id="517890316">
      <w:bodyDiv w:val="1"/>
      <w:marLeft w:val="0"/>
      <w:marRight w:val="0"/>
      <w:marTop w:val="0"/>
      <w:marBottom w:val="0"/>
      <w:divBdr>
        <w:top w:val="none" w:sz="0" w:space="0" w:color="auto"/>
        <w:left w:val="none" w:sz="0" w:space="0" w:color="auto"/>
        <w:bottom w:val="none" w:sz="0" w:space="0" w:color="auto"/>
        <w:right w:val="none" w:sz="0" w:space="0" w:color="auto"/>
      </w:divBdr>
    </w:div>
    <w:div w:id="526600393">
      <w:bodyDiv w:val="1"/>
      <w:marLeft w:val="0"/>
      <w:marRight w:val="0"/>
      <w:marTop w:val="0"/>
      <w:marBottom w:val="0"/>
      <w:divBdr>
        <w:top w:val="none" w:sz="0" w:space="0" w:color="auto"/>
        <w:left w:val="none" w:sz="0" w:space="0" w:color="auto"/>
        <w:bottom w:val="none" w:sz="0" w:space="0" w:color="auto"/>
        <w:right w:val="none" w:sz="0" w:space="0" w:color="auto"/>
      </w:divBdr>
    </w:div>
    <w:div w:id="540823953">
      <w:bodyDiv w:val="1"/>
      <w:marLeft w:val="0"/>
      <w:marRight w:val="0"/>
      <w:marTop w:val="0"/>
      <w:marBottom w:val="0"/>
      <w:divBdr>
        <w:top w:val="none" w:sz="0" w:space="0" w:color="auto"/>
        <w:left w:val="none" w:sz="0" w:space="0" w:color="auto"/>
        <w:bottom w:val="none" w:sz="0" w:space="0" w:color="auto"/>
        <w:right w:val="none" w:sz="0" w:space="0" w:color="auto"/>
      </w:divBdr>
    </w:div>
    <w:div w:id="581373108">
      <w:bodyDiv w:val="1"/>
      <w:marLeft w:val="0"/>
      <w:marRight w:val="0"/>
      <w:marTop w:val="0"/>
      <w:marBottom w:val="0"/>
      <w:divBdr>
        <w:top w:val="none" w:sz="0" w:space="0" w:color="auto"/>
        <w:left w:val="none" w:sz="0" w:space="0" w:color="auto"/>
        <w:bottom w:val="none" w:sz="0" w:space="0" w:color="auto"/>
        <w:right w:val="none" w:sz="0" w:space="0" w:color="auto"/>
      </w:divBdr>
    </w:div>
    <w:div w:id="582378537">
      <w:bodyDiv w:val="1"/>
      <w:marLeft w:val="0"/>
      <w:marRight w:val="0"/>
      <w:marTop w:val="0"/>
      <w:marBottom w:val="0"/>
      <w:divBdr>
        <w:top w:val="none" w:sz="0" w:space="0" w:color="auto"/>
        <w:left w:val="none" w:sz="0" w:space="0" w:color="auto"/>
        <w:bottom w:val="none" w:sz="0" w:space="0" w:color="auto"/>
        <w:right w:val="none" w:sz="0" w:space="0" w:color="auto"/>
      </w:divBdr>
    </w:div>
    <w:div w:id="584652540">
      <w:bodyDiv w:val="1"/>
      <w:marLeft w:val="0"/>
      <w:marRight w:val="0"/>
      <w:marTop w:val="0"/>
      <w:marBottom w:val="0"/>
      <w:divBdr>
        <w:top w:val="none" w:sz="0" w:space="0" w:color="auto"/>
        <w:left w:val="none" w:sz="0" w:space="0" w:color="auto"/>
        <w:bottom w:val="none" w:sz="0" w:space="0" w:color="auto"/>
        <w:right w:val="none" w:sz="0" w:space="0" w:color="auto"/>
      </w:divBdr>
    </w:div>
    <w:div w:id="599067838">
      <w:bodyDiv w:val="1"/>
      <w:marLeft w:val="0"/>
      <w:marRight w:val="0"/>
      <w:marTop w:val="0"/>
      <w:marBottom w:val="0"/>
      <w:divBdr>
        <w:top w:val="none" w:sz="0" w:space="0" w:color="auto"/>
        <w:left w:val="none" w:sz="0" w:space="0" w:color="auto"/>
        <w:bottom w:val="none" w:sz="0" w:space="0" w:color="auto"/>
        <w:right w:val="none" w:sz="0" w:space="0" w:color="auto"/>
      </w:divBdr>
    </w:div>
    <w:div w:id="606236369">
      <w:bodyDiv w:val="1"/>
      <w:marLeft w:val="0"/>
      <w:marRight w:val="0"/>
      <w:marTop w:val="0"/>
      <w:marBottom w:val="0"/>
      <w:divBdr>
        <w:top w:val="none" w:sz="0" w:space="0" w:color="auto"/>
        <w:left w:val="none" w:sz="0" w:space="0" w:color="auto"/>
        <w:bottom w:val="none" w:sz="0" w:space="0" w:color="auto"/>
        <w:right w:val="none" w:sz="0" w:space="0" w:color="auto"/>
      </w:divBdr>
    </w:div>
    <w:div w:id="624623718">
      <w:bodyDiv w:val="1"/>
      <w:marLeft w:val="0"/>
      <w:marRight w:val="0"/>
      <w:marTop w:val="0"/>
      <w:marBottom w:val="0"/>
      <w:divBdr>
        <w:top w:val="none" w:sz="0" w:space="0" w:color="auto"/>
        <w:left w:val="none" w:sz="0" w:space="0" w:color="auto"/>
        <w:bottom w:val="none" w:sz="0" w:space="0" w:color="auto"/>
        <w:right w:val="none" w:sz="0" w:space="0" w:color="auto"/>
      </w:divBdr>
    </w:div>
    <w:div w:id="688872813">
      <w:bodyDiv w:val="1"/>
      <w:marLeft w:val="0"/>
      <w:marRight w:val="0"/>
      <w:marTop w:val="0"/>
      <w:marBottom w:val="0"/>
      <w:divBdr>
        <w:top w:val="none" w:sz="0" w:space="0" w:color="auto"/>
        <w:left w:val="none" w:sz="0" w:space="0" w:color="auto"/>
        <w:bottom w:val="none" w:sz="0" w:space="0" w:color="auto"/>
        <w:right w:val="none" w:sz="0" w:space="0" w:color="auto"/>
      </w:divBdr>
    </w:div>
    <w:div w:id="704671792">
      <w:bodyDiv w:val="1"/>
      <w:marLeft w:val="0"/>
      <w:marRight w:val="0"/>
      <w:marTop w:val="0"/>
      <w:marBottom w:val="0"/>
      <w:divBdr>
        <w:top w:val="none" w:sz="0" w:space="0" w:color="auto"/>
        <w:left w:val="none" w:sz="0" w:space="0" w:color="auto"/>
        <w:bottom w:val="none" w:sz="0" w:space="0" w:color="auto"/>
        <w:right w:val="none" w:sz="0" w:space="0" w:color="auto"/>
      </w:divBdr>
    </w:div>
    <w:div w:id="719743862">
      <w:bodyDiv w:val="1"/>
      <w:marLeft w:val="0"/>
      <w:marRight w:val="0"/>
      <w:marTop w:val="0"/>
      <w:marBottom w:val="0"/>
      <w:divBdr>
        <w:top w:val="none" w:sz="0" w:space="0" w:color="auto"/>
        <w:left w:val="none" w:sz="0" w:space="0" w:color="auto"/>
        <w:bottom w:val="none" w:sz="0" w:space="0" w:color="auto"/>
        <w:right w:val="none" w:sz="0" w:space="0" w:color="auto"/>
      </w:divBdr>
    </w:div>
    <w:div w:id="738093521">
      <w:bodyDiv w:val="1"/>
      <w:marLeft w:val="0"/>
      <w:marRight w:val="0"/>
      <w:marTop w:val="0"/>
      <w:marBottom w:val="0"/>
      <w:divBdr>
        <w:top w:val="none" w:sz="0" w:space="0" w:color="auto"/>
        <w:left w:val="none" w:sz="0" w:space="0" w:color="auto"/>
        <w:bottom w:val="none" w:sz="0" w:space="0" w:color="auto"/>
        <w:right w:val="none" w:sz="0" w:space="0" w:color="auto"/>
      </w:divBdr>
    </w:div>
    <w:div w:id="741367772">
      <w:bodyDiv w:val="1"/>
      <w:marLeft w:val="0"/>
      <w:marRight w:val="0"/>
      <w:marTop w:val="0"/>
      <w:marBottom w:val="0"/>
      <w:divBdr>
        <w:top w:val="none" w:sz="0" w:space="0" w:color="auto"/>
        <w:left w:val="none" w:sz="0" w:space="0" w:color="auto"/>
        <w:bottom w:val="none" w:sz="0" w:space="0" w:color="auto"/>
        <w:right w:val="none" w:sz="0" w:space="0" w:color="auto"/>
      </w:divBdr>
    </w:div>
    <w:div w:id="745418604">
      <w:bodyDiv w:val="1"/>
      <w:marLeft w:val="0"/>
      <w:marRight w:val="0"/>
      <w:marTop w:val="0"/>
      <w:marBottom w:val="0"/>
      <w:divBdr>
        <w:top w:val="none" w:sz="0" w:space="0" w:color="auto"/>
        <w:left w:val="none" w:sz="0" w:space="0" w:color="auto"/>
        <w:bottom w:val="none" w:sz="0" w:space="0" w:color="auto"/>
        <w:right w:val="none" w:sz="0" w:space="0" w:color="auto"/>
      </w:divBdr>
    </w:div>
    <w:div w:id="773282753">
      <w:bodyDiv w:val="1"/>
      <w:marLeft w:val="0"/>
      <w:marRight w:val="0"/>
      <w:marTop w:val="0"/>
      <w:marBottom w:val="0"/>
      <w:divBdr>
        <w:top w:val="none" w:sz="0" w:space="0" w:color="auto"/>
        <w:left w:val="none" w:sz="0" w:space="0" w:color="auto"/>
        <w:bottom w:val="none" w:sz="0" w:space="0" w:color="auto"/>
        <w:right w:val="none" w:sz="0" w:space="0" w:color="auto"/>
      </w:divBdr>
    </w:div>
    <w:div w:id="781729768">
      <w:bodyDiv w:val="1"/>
      <w:marLeft w:val="0"/>
      <w:marRight w:val="0"/>
      <w:marTop w:val="0"/>
      <w:marBottom w:val="0"/>
      <w:divBdr>
        <w:top w:val="none" w:sz="0" w:space="0" w:color="auto"/>
        <w:left w:val="none" w:sz="0" w:space="0" w:color="auto"/>
        <w:bottom w:val="none" w:sz="0" w:space="0" w:color="auto"/>
        <w:right w:val="none" w:sz="0" w:space="0" w:color="auto"/>
      </w:divBdr>
    </w:div>
    <w:div w:id="799612681">
      <w:bodyDiv w:val="1"/>
      <w:marLeft w:val="0"/>
      <w:marRight w:val="0"/>
      <w:marTop w:val="0"/>
      <w:marBottom w:val="0"/>
      <w:divBdr>
        <w:top w:val="none" w:sz="0" w:space="0" w:color="auto"/>
        <w:left w:val="none" w:sz="0" w:space="0" w:color="auto"/>
        <w:bottom w:val="none" w:sz="0" w:space="0" w:color="auto"/>
        <w:right w:val="none" w:sz="0" w:space="0" w:color="auto"/>
      </w:divBdr>
    </w:div>
    <w:div w:id="812480041">
      <w:bodyDiv w:val="1"/>
      <w:marLeft w:val="0"/>
      <w:marRight w:val="0"/>
      <w:marTop w:val="0"/>
      <w:marBottom w:val="0"/>
      <w:divBdr>
        <w:top w:val="none" w:sz="0" w:space="0" w:color="auto"/>
        <w:left w:val="none" w:sz="0" w:space="0" w:color="auto"/>
        <w:bottom w:val="none" w:sz="0" w:space="0" w:color="auto"/>
        <w:right w:val="none" w:sz="0" w:space="0" w:color="auto"/>
      </w:divBdr>
    </w:div>
    <w:div w:id="824248577">
      <w:bodyDiv w:val="1"/>
      <w:marLeft w:val="0"/>
      <w:marRight w:val="0"/>
      <w:marTop w:val="0"/>
      <w:marBottom w:val="0"/>
      <w:divBdr>
        <w:top w:val="none" w:sz="0" w:space="0" w:color="auto"/>
        <w:left w:val="none" w:sz="0" w:space="0" w:color="auto"/>
        <w:bottom w:val="none" w:sz="0" w:space="0" w:color="auto"/>
        <w:right w:val="none" w:sz="0" w:space="0" w:color="auto"/>
      </w:divBdr>
    </w:div>
    <w:div w:id="828518606">
      <w:bodyDiv w:val="1"/>
      <w:marLeft w:val="0"/>
      <w:marRight w:val="0"/>
      <w:marTop w:val="0"/>
      <w:marBottom w:val="0"/>
      <w:divBdr>
        <w:top w:val="none" w:sz="0" w:space="0" w:color="auto"/>
        <w:left w:val="none" w:sz="0" w:space="0" w:color="auto"/>
        <w:bottom w:val="none" w:sz="0" w:space="0" w:color="auto"/>
        <w:right w:val="none" w:sz="0" w:space="0" w:color="auto"/>
      </w:divBdr>
    </w:div>
    <w:div w:id="829441641">
      <w:bodyDiv w:val="1"/>
      <w:marLeft w:val="0"/>
      <w:marRight w:val="0"/>
      <w:marTop w:val="0"/>
      <w:marBottom w:val="0"/>
      <w:divBdr>
        <w:top w:val="none" w:sz="0" w:space="0" w:color="auto"/>
        <w:left w:val="none" w:sz="0" w:space="0" w:color="auto"/>
        <w:bottom w:val="none" w:sz="0" w:space="0" w:color="auto"/>
        <w:right w:val="none" w:sz="0" w:space="0" w:color="auto"/>
      </w:divBdr>
    </w:div>
    <w:div w:id="835460942">
      <w:bodyDiv w:val="1"/>
      <w:marLeft w:val="0"/>
      <w:marRight w:val="0"/>
      <w:marTop w:val="0"/>
      <w:marBottom w:val="0"/>
      <w:divBdr>
        <w:top w:val="none" w:sz="0" w:space="0" w:color="auto"/>
        <w:left w:val="none" w:sz="0" w:space="0" w:color="auto"/>
        <w:bottom w:val="none" w:sz="0" w:space="0" w:color="auto"/>
        <w:right w:val="none" w:sz="0" w:space="0" w:color="auto"/>
      </w:divBdr>
    </w:div>
    <w:div w:id="887112151">
      <w:bodyDiv w:val="1"/>
      <w:marLeft w:val="0"/>
      <w:marRight w:val="0"/>
      <w:marTop w:val="0"/>
      <w:marBottom w:val="0"/>
      <w:divBdr>
        <w:top w:val="none" w:sz="0" w:space="0" w:color="auto"/>
        <w:left w:val="none" w:sz="0" w:space="0" w:color="auto"/>
        <w:bottom w:val="none" w:sz="0" w:space="0" w:color="auto"/>
        <w:right w:val="none" w:sz="0" w:space="0" w:color="auto"/>
      </w:divBdr>
    </w:div>
    <w:div w:id="891693666">
      <w:bodyDiv w:val="1"/>
      <w:marLeft w:val="0"/>
      <w:marRight w:val="0"/>
      <w:marTop w:val="0"/>
      <w:marBottom w:val="0"/>
      <w:divBdr>
        <w:top w:val="none" w:sz="0" w:space="0" w:color="auto"/>
        <w:left w:val="none" w:sz="0" w:space="0" w:color="auto"/>
        <w:bottom w:val="none" w:sz="0" w:space="0" w:color="auto"/>
        <w:right w:val="none" w:sz="0" w:space="0" w:color="auto"/>
      </w:divBdr>
    </w:div>
    <w:div w:id="926770069">
      <w:bodyDiv w:val="1"/>
      <w:marLeft w:val="0"/>
      <w:marRight w:val="0"/>
      <w:marTop w:val="0"/>
      <w:marBottom w:val="0"/>
      <w:divBdr>
        <w:top w:val="none" w:sz="0" w:space="0" w:color="auto"/>
        <w:left w:val="none" w:sz="0" w:space="0" w:color="auto"/>
        <w:bottom w:val="none" w:sz="0" w:space="0" w:color="auto"/>
        <w:right w:val="none" w:sz="0" w:space="0" w:color="auto"/>
      </w:divBdr>
    </w:div>
    <w:div w:id="944968379">
      <w:bodyDiv w:val="1"/>
      <w:marLeft w:val="0"/>
      <w:marRight w:val="0"/>
      <w:marTop w:val="0"/>
      <w:marBottom w:val="0"/>
      <w:divBdr>
        <w:top w:val="none" w:sz="0" w:space="0" w:color="auto"/>
        <w:left w:val="none" w:sz="0" w:space="0" w:color="auto"/>
        <w:bottom w:val="none" w:sz="0" w:space="0" w:color="auto"/>
        <w:right w:val="none" w:sz="0" w:space="0" w:color="auto"/>
      </w:divBdr>
    </w:div>
    <w:div w:id="977687354">
      <w:bodyDiv w:val="1"/>
      <w:marLeft w:val="0"/>
      <w:marRight w:val="0"/>
      <w:marTop w:val="0"/>
      <w:marBottom w:val="0"/>
      <w:divBdr>
        <w:top w:val="none" w:sz="0" w:space="0" w:color="auto"/>
        <w:left w:val="none" w:sz="0" w:space="0" w:color="auto"/>
        <w:bottom w:val="none" w:sz="0" w:space="0" w:color="auto"/>
        <w:right w:val="none" w:sz="0" w:space="0" w:color="auto"/>
      </w:divBdr>
    </w:div>
    <w:div w:id="981929655">
      <w:bodyDiv w:val="1"/>
      <w:marLeft w:val="0"/>
      <w:marRight w:val="0"/>
      <w:marTop w:val="0"/>
      <w:marBottom w:val="0"/>
      <w:divBdr>
        <w:top w:val="none" w:sz="0" w:space="0" w:color="auto"/>
        <w:left w:val="none" w:sz="0" w:space="0" w:color="auto"/>
        <w:bottom w:val="none" w:sz="0" w:space="0" w:color="auto"/>
        <w:right w:val="none" w:sz="0" w:space="0" w:color="auto"/>
      </w:divBdr>
    </w:div>
    <w:div w:id="991637651">
      <w:bodyDiv w:val="1"/>
      <w:marLeft w:val="0"/>
      <w:marRight w:val="0"/>
      <w:marTop w:val="0"/>
      <w:marBottom w:val="0"/>
      <w:divBdr>
        <w:top w:val="none" w:sz="0" w:space="0" w:color="auto"/>
        <w:left w:val="none" w:sz="0" w:space="0" w:color="auto"/>
        <w:bottom w:val="none" w:sz="0" w:space="0" w:color="auto"/>
        <w:right w:val="none" w:sz="0" w:space="0" w:color="auto"/>
      </w:divBdr>
    </w:div>
    <w:div w:id="1022973797">
      <w:bodyDiv w:val="1"/>
      <w:marLeft w:val="0"/>
      <w:marRight w:val="0"/>
      <w:marTop w:val="0"/>
      <w:marBottom w:val="0"/>
      <w:divBdr>
        <w:top w:val="none" w:sz="0" w:space="0" w:color="auto"/>
        <w:left w:val="none" w:sz="0" w:space="0" w:color="auto"/>
        <w:bottom w:val="none" w:sz="0" w:space="0" w:color="auto"/>
        <w:right w:val="none" w:sz="0" w:space="0" w:color="auto"/>
      </w:divBdr>
    </w:div>
    <w:div w:id="1039478865">
      <w:bodyDiv w:val="1"/>
      <w:marLeft w:val="0"/>
      <w:marRight w:val="0"/>
      <w:marTop w:val="0"/>
      <w:marBottom w:val="0"/>
      <w:divBdr>
        <w:top w:val="none" w:sz="0" w:space="0" w:color="auto"/>
        <w:left w:val="none" w:sz="0" w:space="0" w:color="auto"/>
        <w:bottom w:val="none" w:sz="0" w:space="0" w:color="auto"/>
        <w:right w:val="none" w:sz="0" w:space="0" w:color="auto"/>
      </w:divBdr>
    </w:div>
    <w:div w:id="1041173213">
      <w:bodyDiv w:val="1"/>
      <w:marLeft w:val="0"/>
      <w:marRight w:val="0"/>
      <w:marTop w:val="0"/>
      <w:marBottom w:val="0"/>
      <w:divBdr>
        <w:top w:val="none" w:sz="0" w:space="0" w:color="auto"/>
        <w:left w:val="none" w:sz="0" w:space="0" w:color="auto"/>
        <w:bottom w:val="none" w:sz="0" w:space="0" w:color="auto"/>
        <w:right w:val="none" w:sz="0" w:space="0" w:color="auto"/>
      </w:divBdr>
    </w:div>
    <w:div w:id="1104764451">
      <w:bodyDiv w:val="1"/>
      <w:marLeft w:val="0"/>
      <w:marRight w:val="0"/>
      <w:marTop w:val="0"/>
      <w:marBottom w:val="0"/>
      <w:divBdr>
        <w:top w:val="none" w:sz="0" w:space="0" w:color="auto"/>
        <w:left w:val="none" w:sz="0" w:space="0" w:color="auto"/>
        <w:bottom w:val="none" w:sz="0" w:space="0" w:color="auto"/>
        <w:right w:val="none" w:sz="0" w:space="0" w:color="auto"/>
      </w:divBdr>
    </w:div>
    <w:div w:id="1133989254">
      <w:bodyDiv w:val="1"/>
      <w:marLeft w:val="0"/>
      <w:marRight w:val="0"/>
      <w:marTop w:val="0"/>
      <w:marBottom w:val="0"/>
      <w:divBdr>
        <w:top w:val="none" w:sz="0" w:space="0" w:color="auto"/>
        <w:left w:val="none" w:sz="0" w:space="0" w:color="auto"/>
        <w:bottom w:val="none" w:sz="0" w:space="0" w:color="auto"/>
        <w:right w:val="none" w:sz="0" w:space="0" w:color="auto"/>
      </w:divBdr>
    </w:div>
    <w:div w:id="1143231926">
      <w:bodyDiv w:val="1"/>
      <w:marLeft w:val="0"/>
      <w:marRight w:val="0"/>
      <w:marTop w:val="0"/>
      <w:marBottom w:val="0"/>
      <w:divBdr>
        <w:top w:val="none" w:sz="0" w:space="0" w:color="auto"/>
        <w:left w:val="none" w:sz="0" w:space="0" w:color="auto"/>
        <w:bottom w:val="none" w:sz="0" w:space="0" w:color="auto"/>
        <w:right w:val="none" w:sz="0" w:space="0" w:color="auto"/>
      </w:divBdr>
    </w:div>
    <w:div w:id="1152210814">
      <w:bodyDiv w:val="1"/>
      <w:marLeft w:val="0"/>
      <w:marRight w:val="0"/>
      <w:marTop w:val="0"/>
      <w:marBottom w:val="0"/>
      <w:divBdr>
        <w:top w:val="none" w:sz="0" w:space="0" w:color="auto"/>
        <w:left w:val="none" w:sz="0" w:space="0" w:color="auto"/>
        <w:bottom w:val="none" w:sz="0" w:space="0" w:color="auto"/>
        <w:right w:val="none" w:sz="0" w:space="0" w:color="auto"/>
      </w:divBdr>
    </w:div>
    <w:div w:id="1157070483">
      <w:bodyDiv w:val="1"/>
      <w:marLeft w:val="0"/>
      <w:marRight w:val="0"/>
      <w:marTop w:val="0"/>
      <w:marBottom w:val="0"/>
      <w:divBdr>
        <w:top w:val="none" w:sz="0" w:space="0" w:color="auto"/>
        <w:left w:val="none" w:sz="0" w:space="0" w:color="auto"/>
        <w:bottom w:val="none" w:sz="0" w:space="0" w:color="auto"/>
        <w:right w:val="none" w:sz="0" w:space="0" w:color="auto"/>
      </w:divBdr>
    </w:div>
    <w:div w:id="1176534066">
      <w:bodyDiv w:val="1"/>
      <w:marLeft w:val="0"/>
      <w:marRight w:val="0"/>
      <w:marTop w:val="0"/>
      <w:marBottom w:val="0"/>
      <w:divBdr>
        <w:top w:val="none" w:sz="0" w:space="0" w:color="auto"/>
        <w:left w:val="none" w:sz="0" w:space="0" w:color="auto"/>
        <w:bottom w:val="none" w:sz="0" w:space="0" w:color="auto"/>
        <w:right w:val="none" w:sz="0" w:space="0" w:color="auto"/>
      </w:divBdr>
    </w:div>
    <w:div w:id="1215115071">
      <w:bodyDiv w:val="1"/>
      <w:marLeft w:val="0"/>
      <w:marRight w:val="0"/>
      <w:marTop w:val="0"/>
      <w:marBottom w:val="0"/>
      <w:divBdr>
        <w:top w:val="none" w:sz="0" w:space="0" w:color="auto"/>
        <w:left w:val="none" w:sz="0" w:space="0" w:color="auto"/>
        <w:bottom w:val="none" w:sz="0" w:space="0" w:color="auto"/>
        <w:right w:val="none" w:sz="0" w:space="0" w:color="auto"/>
      </w:divBdr>
    </w:div>
    <w:div w:id="1221669678">
      <w:bodyDiv w:val="1"/>
      <w:marLeft w:val="0"/>
      <w:marRight w:val="0"/>
      <w:marTop w:val="0"/>
      <w:marBottom w:val="0"/>
      <w:divBdr>
        <w:top w:val="none" w:sz="0" w:space="0" w:color="auto"/>
        <w:left w:val="none" w:sz="0" w:space="0" w:color="auto"/>
        <w:bottom w:val="none" w:sz="0" w:space="0" w:color="auto"/>
        <w:right w:val="none" w:sz="0" w:space="0" w:color="auto"/>
      </w:divBdr>
    </w:div>
    <w:div w:id="1239511673">
      <w:bodyDiv w:val="1"/>
      <w:marLeft w:val="0"/>
      <w:marRight w:val="0"/>
      <w:marTop w:val="0"/>
      <w:marBottom w:val="0"/>
      <w:divBdr>
        <w:top w:val="none" w:sz="0" w:space="0" w:color="auto"/>
        <w:left w:val="none" w:sz="0" w:space="0" w:color="auto"/>
        <w:bottom w:val="none" w:sz="0" w:space="0" w:color="auto"/>
        <w:right w:val="none" w:sz="0" w:space="0" w:color="auto"/>
      </w:divBdr>
    </w:div>
    <w:div w:id="1255240490">
      <w:bodyDiv w:val="1"/>
      <w:marLeft w:val="0"/>
      <w:marRight w:val="0"/>
      <w:marTop w:val="0"/>
      <w:marBottom w:val="0"/>
      <w:divBdr>
        <w:top w:val="none" w:sz="0" w:space="0" w:color="auto"/>
        <w:left w:val="none" w:sz="0" w:space="0" w:color="auto"/>
        <w:bottom w:val="none" w:sz="0" w:space="0" w:color="auto"/>
        <w:right w:val="none" w:sz="0" w:space="0" w:color="auto"/>
      </w:divBdr>
    </w:div>
    <w:div w:id="1264923741">
      <w:bodyDiv w:val="1"/>
      <w:marLeft w:val="0"/>
      <w:marRight w:val="0"/>
      <w:marTop w:val="0"/>
      <w:marBottom w:val="0"/>
      <w:divBdr>
        <w:top w:val="none" w:sz="0" w:space="0" w:color="auto"/>
        <w:left w:val="none" w:sz="0" w:space="0" w:color="auto"/>
        <w:bottom w:val="none" w:sz="0" w:space="0" w:color="auto"/>
        <w:right w:val="none" w:sz="0" w:space="0" w:color="auto"/>
      </w:divBdr>
    </w:div>
    <w:div w:id="1269849578">
      <w:bodyDiv w:val="1"/>
      <w:marLeft w:val="0"/>
      <w:marRight w:val="0"/>
      <w:marTop w:val="0"/>
      <w:marBottom w:val="0"/>
      <w:divBdr>
        <w:top w:val="none" w:sz="0" w:space="0" w:color="auto"/>
        <w:left w:val="none" w:sz="0" w:space="0" w:color="auto"/>
        <w:bottom w:val="none" w:sz="0" w:space="0" w:color="auto"/>
        <w:right w:val="none" w:sz="0" w:space="0" w:color="auto"/>
      </w:divBdr>
    </w:div>
    <w:div w:id="1276524827">
      <w:bodyDiv w:val="1"/>
      <w:marLeft w:val="0"/>
      <w:marRight w:val="0"/>
      <w:marTop w:val="0"/>
      <w:marBottom w:val="0"/>
      <w:divBdr>
        <w:top w:val="none" w:sz="0" w:space="0" w:color="auto"/>
        <w:left w:val="none" w:sz="0" w:space="0" w:color="auto"/>
        <w:bottom w:val="none" w:sz="0" w:space="0" w:color="auto"/>
        <w:right w:val="none" w:sz="0" w:space="0" w:color="auto"/>
      </w:divBdr>
    </w:div>
    <w:div w:id="1278176726">
      <w:bodyDiv w:val="1"/>
      <w:marLeft w:val="0"/>
      <w:marRight w:val="0"/>
      <w:marTop w:val="0"/>
      <w:marBottom w:val="0"/>
      <w:divBdr>
        <w:top w:val="none" w:sz="0" w:space="0" w:color="auto"/>
        <w:left w:val="none" w:sz="0" w:space="0" w:color="auto"/>
        <w:bottom w:val="none" w:sz="0" w:space="0" w:color="auto"/>
        <w:right w:val="none" w:sz="0" w:space="0" w:color="auto"/>
      </w:divBdr>
    </w:div>
    <w:div w:id="1285573026">
      <w:bodyDiv w:val="1"/>
      <w:marLeft w:val="0"/>
      <w:marRight w:val="0"/>
      <w:marTop w:val="0"/>
      <w:marBottom w:val="0"/>
      <w:divBdr>
        <w:top w:val="none" w:sz="0" w:space="0" w:color="auto"/>
        <w:left w:val="none" w:sz="0" w:space="0" w:color="auto"/>
        <w:bottom w:val="none" w:sz="0" w:space="0" w:color="auto"/>
        <w:right w:val="none" w:sz="0" w:space="0" w:color="auto"/>
      </w:divBdr>
    </w:div>
    <w:div w:id="1314138503">
      <w:bodyDiv w:val="1"/>
      <w:marLeft w:val="0"/>
      <w:marRight w:val="0"/>
      <w:marTop w:val="0"/>
      <w:marBottom w:val="0"/>
      <w:divBdr>
        <w:top w:val="none" w:sz="0" w:space="0" w:color="auto"/>
        <w:left w:val="none" w:sz="0" w:space="0" w:color="auto"/>
        <w:bottom w:val="none" w:sz="0" w:space="0" w:color="auto"/>
        <w:right w:val="none" w:sz="0" w:space="0" w:color="auto"/>
      </w:divBdr>
    </w:div>
    <w:div w:id="1334841108">
      <w:bodyDiv w:val="1"/>
      <w:marLeft w:val="0"/>
      <w:marRight w:val="0"/>
      <w:marTop w:val="0"/>
      <w:marBottom w:val="0"/>
      <w:divBdr>
        <w:top w:val="none" w:sz="0" w:space="0" w:color="auto"/>
        <w:left w:val="none" w:sz="0" w:space="0" w:color="auto"/>
        <w:bottom w:val="none" w:sz="0" w:space="0" w:color="auto"/>
        <w:right w:val="none" w:sz="0" w:space="0" w:color="auto"/>
      </w:divBdr>
    </w:div>
    <w:div w:id="1349718006">
      <w:bodyDiv w:val="1"/>
      <w:marLeft w:val="0"/>
      <w:marRight w:val="0"/>
      <w:marTop w:val="0"/>
      <w:marBottom w:val="0"/>
      <w:divBdr>
        <w:top w:val="none" w:sz="0" w:space="0" w:color="auto"/>
        <w:left w:val="none" w:sz="0" w:space="0" w:color="auto"/>
        <w:bottom w:val="none" w:sz="0" w:space="0" w:color="auto"/>
        <w:right w:val="none" w:sz="0" w:space="0" w:color="auto"/>
      </w:divBdr>
    </w:div>
    <w:div w:id="1352367993">
      <w:bodyDiv w:val="1"/>
      <w:marLeft w:val="0"/>
      <w:marRight w:val="0"/>
      <w:marTop w:val="0"/>
      <w:marBottom w:val="0"/>
      <w:divBdr>
        <w:top w:val="none" w:sz="0" w:space="0" w:color="auto"/>
        <w:left w:val="none" w:sz="0" w:space="0" w:color="auto"/>
        <w:bottom w:val="none" w:sz="0" w:space="0" w:color="auto"/>
        <w:right w:val="none" w:sz="0" w:space="0" w:color="auto"/>
      </w:divBdr>
    </w:div>
    <w:div w:id="1358460481">
      <w:bodyDiv w:val="1"/>
      <w:marLeft w:val="0"/>
      <w:marRight w:val="0"/>
      <w:marTop w:val="0"/>
      <w:marBottom w:val="0"/>
      <w:divBdr>
        <w:top w:val="none" w:sz="0" w:space="0" w:color="auto"/>
        <w:left w:val="none" w:sz="0" w:space="0" w:color="auto"/>
        <w:bottom w:val="none" w:sz="0" w:space="0" w:color="auto"/>
        <w:right w:val="none" w:sz="0" w:space="0" w:color="auto"/>
      </w:divBdr>
    </w:div>
    <w:div w:id="1365326956">
      <w:bodyDiv w:val="1"/>
      <w:marLeft w:val="0"/>
      <w:marRight w:val="0"/>
      <w:marTop w:val="0"/>
      <w:marBottom w:val="0"/>
      <w:divBdr>
        <w:top w:val="none" w:sz="0" w:space="0" w:color="auto"/>
        <w:left w:val="none" w:sz="0" w:space="0" w:color="auto"/>
        <w:bottom w:val="none" w:sz="0" w:space="0" w:color="auto"/>
        <w:right w:val="none" w:sz="0" w:space="0" w:color="auto"/>
      </w:divBdr>
    </w:div>
    <w:div w:id="1374117701">
      <w:bodyDiv w:val="1"/>
      <w:marLeft w:val="0"/>
      <w:marRight w:val="0"/>
      <w:marTop w:val="0"/>
      <w:marBottom w:val="0"/>
      <w:divBdr>
        <w:top w:val="none" w:sz="0" w:space="0" w:color="auto"/>
        <w:left w:val="none" w:sz="0" w:space="0" w:color="auto"/>
        <w:bottom w:val="none" w:sz="0" w:space="0" w:color="auto"/>
        <w:right w:val="none" w:sz="0" w:space="0" w:color="auto"/>
      </w:divBdr>
    </w:div>
    <w:div w:id="1385568092">
      <w:bodyDiv w:val="1"/>
      <w:marLeft w:val="0"/>
      <w:marRight w:val="0"/>
      <w:marTop w:val="0"/>
      <w:marBottom w:val="0"/>
      <w:divBdr>
        <w:top w:val="none" w:sz="0" w:space="0" w:color="auto"/>
        <w:left w:val="none" w:sz="0" w:space="0" w:color="auto"/>
        <w:bottom w:val="none" w:sz="0" w:space="0" w:color="auto"/>
        <w:right w:val="none" w:sz="0" w:space="0" w:color="auto"/>
      </w:divBdr>
    </w:div>
    <w:div w:id="1397435309">
      <w:bodyDiv w:val="1"/>
      <w:marLeft w:val="0"/>
      <w:marRight w:val="0"/>
      <w:marTop w:val="0"/>
      <w:marBottom w:val="0"/>
      <w:divBdr>
        <w:top w:val="none" w:sz="0" w:space="0" w:color="auto"/>
        <w:left w:val="none" w:sz="0" w:space="0" w:color="auto"/>
        <w:bottom w:val="none" w:sz="0" w:space="0" w:color="auto"/>
        <w:right w:val="none" w:sz="0" w:space="0" w:color="auto"/>
      </w:divBdr>
    </w:div>
    <w:div w:id="1409839482">
      <w:bodyDiv w:val="1"/>
      <w:marLeft w:val="0"/>
      <w:marRight w:val="0"/>
      <w:marTop w:val="0"/>
      <w:marBottom w:val="0"/>
      <w:divBdr>
        <w:top w:val="none" w:sz="0" w:space="0" w:color="auto"/>
        <w:left w:val="none" w:sz="0" w:space="0" w:color="auto"/>
        <w:bottom w:val="none" w:sz="0" w:space="0" w:color="auto"/>
        <w:right w:val="none" w:sz="0" w:space="0" w:color="auto"/>
      </w:divBdr>
    </w:div>
    <w:div w:id="1425571771">
      <w:bodyDiv w:val="1"/>
      <w:marLeft w:val="0"/>
      <w:marRight w:val="0"/>
      <w:marTop w:val="0"/>
      <w:marBottom w:val="0"/>
      <w:divBdr>
        <w:top w:val="none" w:sz="0" w:space="0" w:color="auto"/>
        <w:left w:val="none" w:sz="0" w:space="0" w:color="auto"/>
        <w:bottom w:val="none" w:sz="0" w:space="0" w:color="auto"/>
        <w:right w:val="none" w:sz="0" w:space="0" w:color="auto"/>
      </w:divBdr>
    </w:div>
    <w:div w:id="1426075569">
      <w:bodyDiv w:val="1"/>
      <w:marLeft w:val="0"/>
      <w:marRight w:val="0"/>
      <w:marTop w:val="0"/>
      <w:marBottom w:val="0"/>
      <w:divBdr>
        <w:top w:val="none" w:sz="0" w:space="0" w:color="auto"/>
        <w:left w:val="none" w:sz="0" w:space="0" w:color="auto"/>
        <w:bottom w:val="none" w:sz="0" w:space="0" w:color="auto"/>
        <w:right w:val="none" w:sz="0" w:space="0" w:color="auto"/>
      </w:divBdr>
    </w:div>
    <w:div w:id="1427966020">
      <w:bodyDiv w:val="1"/>
      <w:marLeft w:val="0"/>
      <w:marRight w:val="0"/>
      <w:marTop w:val="0"/>
      <w:marBottom w:val="0"/>
      <w:divBdr>
        <w:top w:val="none" w:sz="0" w:space="0" w:color="auto"/>
        <w:left w:val="none" w:sz="0" w:space="0" w:color="auto"/>
        <w:bottom w:val="none" w:sz="0" w:space="0" w:color="auto"/>
        <w:right w:val="none" w:sz="0" w:space="0" w:color="auto"/>
      </w:divBdr>
    </w:div>
    <w:div w:id="1484855117">
      <w:bodyDiv w:val="1"/>
      <w:marLeft w:val="0"/>
      <w:marRight w:val="0"/>
      <w:marTop w:val="0"/>
      <w:marBottom w:val="0"/>
      <w:divBdr>
        <w:top w:val="none" w:sz="0" w:space="0" w:color="auto"/>
        <w:left w:val="none" w:sz="0" w:space="0" w:color="auto"/>
        <w:bottom w:val="none" w:sz="0" w:space="0" w:color="auto"/>
        <w:right w:val="none" w:sz="0" w:space="0" w:color="auto"/>
      </w:divBdr>
    </w:div>
    <w:div w:id="1487552745">
      <w:bodyDiv w:val="1"/>
      <w:marLeft w:val="0"/>
      <w:marRight w:val="0"/>
      <w:marTop w:val="0"/>
      <w:marBottom w:val="0"/>
      <w:divBdr>
        <w:top w:val="none" w:sz="0" w:space="0" w:color="auto"/>
        <w:left w:val="none" w:sz="0" w:space="0" w:color="auto"/>
        <w:bottom w:val="none" w:sz="0" w:space="0" w:color="auto"/>
        <w:right w:val="none" w:sz="0" w:space="0" w:color="auto"/>
      </w:divBdr>
    </w:div>
    <w:div w:id="1504972576">
      <w:bodyDiv w:val="1"/>
      <w:marLeft w:val="0"/>
      <w:marRight w:val="0"/>
      <w:marTop w:val="0"/>
      <w:marBottom w:val="0"/>
      <w:divBdr>
        <w:top w:val="none" w:sz="0" w:space="0" w:color="auto"/>
        <w:left w:val="none" w:sz="0" w:space="0" w:color="auto"/>
        <w:bottom w:val="none" w:sz="0" w:space="0" w:color="auto"/>
        <w:right w:val="none" w:sz="0" w:space="0" w:color="auto"/>
      </w:divBdr>
    </w:div>
    <w:div w:id="1546411114">
      <w:bodyDiv w:val="1"/>
      <w:marLeft w:val="0"/>
      <w:marRight w:val="0"/>
      <w:marTop w:val="0"/>
      <w:marBottom w:val="0"/>
      <w:divBdr>
        <w:top w:val="none" w:sz="0" w:space="0" w:color="auto"/>
        <w:left w:val="none" w:sz="0" w:space="0" w:color="auto"/>
        <w:bottom w:val="none" w:sz="0" w:space="0" w:color="auto"/>
        <w:right w:val="none" w:sz="0" w:space="0" w:color="auto"/>
      </w:divBdr>
    </w:div>
    <w:div w:id="1563054914">
      <w:bodyDiv w:val="1"/>
      <w:marLeft w:val="0"/>
      <w:marRight w:val="0"/>
      <w:marTop w:val="0"/>
      <w:marBottom w:val="0"/>
      <w:divBdr>
        <w:top w:val="none" w:sz="0" w:space="0" w:color="auto"/>
        <w:left w:val="none" w:sz="0" w:space="0" w:color="auto"/>
        <w:bottom w:val="none" w:sz="0" w:space="0" w:color="auto"/>
        <w:right w:val="none" w:sz="0" w:space="0" w:color="auto"/>
      </w:divBdr>
    </w:div>
    <w:div w:id="1577520103">
      <w:bodyDiv w:val="1"/>
      <w:marLeft w:val="0"/>
      <w:marRight w:val="0"/>
      <w:marTop w:val="0"/>
      <w:marBottom w:val="0"/>
      <w:divBdr>
        <w:top w:val="none" w:sz="0" w:space="0" w:color="auto"/>
        <w:left w:val="none" w:sz="0" w:space="0" w:color="auto"/>
        <w:bottom w:val="none" w:sz="0" w:space="0" w:color="auto"/>
        <w:right w:val="none" w:sz="0" w:space="0" w:color="auto"/>
      </w:divBdr>
    </w:div>
    <w:div w:id="1588538066">
      <w:bodyDiv w:val="1"/>
      <w:marLeft w:val="0"/>
      <w:marRight w:val="0"/>
      <w:marTop w:val="0"/>
      <w:marBottom w:val="0"/>
      <w:divBdr>
        <w:top w:val="none" w:sz="0" w:space="0" w:color="auto"/>
        <w:left w:val="none" w:sz="0" w:space="0" w:color="auto"/>
        <w:bottom w:val="none" w:sz="0" w:space="0" w:color="auto"/>
        <w:right w:val="none" w:sz="0" w:space="0" w:color="auto"/>
      </w:divBdr>
    </w:div>
    <w:div w:id="1607421450">
      <w:bodyDiv w:val="1"/>
      <w:marLeft w:val="0"/>
      <w:marRight w:val="0"/>
      <w:marTop w:val="0"/>
      <w:marBottom w:val="0"/>
      <w:divBdr>
        <w:top w:val="none" w:sz="0" w:space="0" w:color="auto"/>
        <w:left w:val="none" w:sz="0" w:space="0" w:color="auto"/>
        <w:bottom w:val="none" w:sz="0" w:space="0" w:color="auto"/>
        <w:right w:val="none" w:sz="0" w:space="0" w:color="auto"/>
      </w:divBdr>
    </w:div>
    <w:div w:id="1620918140">
      <w:bodyDiv w:val="1"/>
      <w:marLeft w:val="0"/>
      <w:marRight w:val="0"/>
      <w:marTop w:val="0"/>
      <w:marBottom w:val="0"/>
      <w:divBdr>
        <w:top w:val="none" w:sz="0" w:space="0" w:color="auto"/>
        <w:left w:val="none" w:sz="0" w:space="0" w:color="auto"/>
        <w:bottom w:val="none" w:sz="0" w:space="0" w:color="auto"/>
        <w:right w:val="none" w:sz="0" w:space="0" w:color="auto"/>
      </w:divBdr>
    </w:div>
    <w:div w:id="1669095665">
      <w:bodyDiv w:val="1"/>
      <w:marLeft w:val="0"/>
      <w:marRight w:val="0"/>
      <w:marTop w:val="0"/>
      <w:marBottom w:val="0"/>
      <w:divBdr>
        <w:top w:val="none" w:sz="0" w:space="0" w:color="auto"/>
        <w:left w:val="none" w:sz="0" w:space="0" w:color="auto"/>
        <w:bottom w:val="none" w:sz="0" w:space="0" w:color="auto"/>
        <w:right w:val="none" w:sz="0" w:space="0" w:color="auto"/>
      </w:divBdr>
    </w:div>
    <w:div w:id="1673990562">
      <w:bodyDiv w:val="1"/>
      <w:marLeft w:val="0"/>
      <w:marRight w:val="0"/>
      <w:marTop w:val="0"/>
      <w:marBottom w:val="0"/>
      <w:divBdr>
        <w:top w:val="none" w:sz="0" w:space="0" w:color="auto"/>
        <w:left w:val="none" w:sz="0" w:space="0" w:color="auto"/>
        <w:bottom w:val="none" w:sz="0" w:space="0" w:color="auto"/>
        <w:right w:val="none" w:sz="0" w:space="0" w:color="auto"/>
      </w:divBdr>
    </w:div>
    <w:div w:id="1682471559">
      <w:bodyDiv w:val="1"/>
      <w:marLeft w:val="0"/>
      <w:marRight w:val="0"/>
      <w:marTop w:val="0"/>
      <w:marBottom w:val="0"/>
      <w:divBdr>
        <w:top w:val="none" w:sz="0" w:space="0" w:color="auto"/>
        <w:left w:val="none" w:sz="0" w:space="0" w:color="auto"/>
        <w:bottom w:val="none" w:sz="0" w:space="0" w:color="auto"/>
        <w:right w:val="none" w:sz="0" w:space="0" w:color="auto"/>
      </w:divBdr>
    </w:div>
    <w:div w:id="1685085581">
      <w:bodyDiv w:val="1"/>
      <w:marLeft w:val="0"/>
      <w:marRight w:val="0"/>
      <w:marTop w:val="0"/>
      <w:marBottom w:val="0"/>
      <w:divBdr>
        <w:top w:val="none" w:sz="0" w:space="0" w:color="auto"/>
        <w:left w:val="none" w:sz="0" w:space="0" w:color="auto"/>
        <w:bottom w:val="none" w:sz="0" w:space="0" w:color="auto"/>
        <w:right w:val="none" w:sz="0" w:space="0" w:color="auto"/>
      </w:divBdr>
    </w:div>
    <w:div w:id="1721707651">
      <w:bodyDiv w:val="1"/>
      <w:marLeft w:val="0"/>
      <w:marRight w:val="0"/>
      <w:marTop w:val="0"/>
      <w:marBottom w:val="0"/>
      <w:divBdr>
        <w:top w:val="none" w:sz="0" w:space="0" w:color="auto"/>
        <w:left w:val="none" w:sz="0" w:space="0" w:color="auto"/>
        <w:bottom w:val="none" w:sz="0" w:space="0" w:color="auto"/>
        <w:right w:val="none" w:sz="0" w:space="0" w:color="auto"/>
      </w:divBdr>
    </w:div>
    <w:div w:id="1722167042">
      <w:bodyDiv w:val="1"/>
      <w:marLeft w:val="0"/>
      <w:marRight w:val="0"/>
      <w:marTop w:val="0"/>
      <w:marBottom w:val="0"/>
      <w:divBdr>
        <w:top w:val="none" w:sz="0" w:space="0" w:color="auto"/>
        <w:left w:val="none" w:sz="0" w:space="0" w:color="auto"/>
        <w:bottom w:val="none" w:sz="0" w:space="0" w:color="auto"/>
        <w:right w:val="none" w:sz="0" w:space="0" w:color="auto"/>
      </w:divBdr>
    </w:div>
    <w:div w:id="1750927094">
      <w:bodyDiv w:val="1"/>
      <w:marLeft w:val="0"/>
      <w:marRight w:val="0"/>
      <w:marTop w:val="0"/>
      <w:marBottom w:val="0"/>
      <w:divBdr>
        <w:top w:val="none" w:sz="0" w:space="0" w:color="auto"/>
        <w:left w:val="none" w:sz="0" w:space="0" w:color="auto"/>
        <w:bottom w:val="none" w:sz="0" w:space="0" w:color="auto"/>
        <w:right w:val="none" w:sz="0" w:space="0" w:color="auto"/>
      </w:divBdr>
    </w:div>
    <w:div w:id="1751536309">
      <w:bodyDiv w:val="1"/>
      <w:marLeft w:val="0"/>
      <w:marRight w:val="0"/>
      <w:marTop w:val="0"/>
      <w:marBottom w:val="0"/>
      <w:divBdr>
        <w:top w:val="none" w:sz="0" w:space="0" w:color="auto"/>
        <w:left w:val="none" w:sz="0" w:space="0" w:color="auto"/>
        <w:bottom w:val="none" w:sz="0" w:space="0" w:color="auto"/>
        <w:right w:val="none" w:sz="0" w:space="0" w:color="auto"/>
      </w:divBdr>
    </w:div>
    <w:div w:id="1758087822">
      <w:bodyDiv w:val="1"/>
      <w:marLeft w:val="0"/>
      <w:marRight w:val="0"/>
      <w:marTop w:val="0"/>
      <w:marBottom w:val="0"/>
      <w:divBdr>
        <w:top w:val="none" w:sz="0" w:space="0" w:color="auto"/>
        <w:left w:val="none" w:sz="0" w:space="0" w:color="auto"/>
        <w:bottom w:val="none" w:sz="0" w:space="0" w:color="auto"/>
        <w:right w:val="none" w:sz="0" w:space="0" w:color="auto"/>
      </w:divBdr>
    </w:div>
    <w:div w:id="1787190425">
      <w:bodyDiv w:val="1"/>
      <w:marLeft w:val="0"/>
      <w:marRight w:val="0"/>
      <w:marTop w:val="0"/>
      <w:marBottom w:val="0"/>
      <w:divBdr>
        <w:top w:val="none" w:sz="0" w:space="0" w:color="auto"/>
        <w:left w:val="none" w:sz="0" w:space="0" w:color="auto"/>
        <w:bottom w:val="none" w:sz="0" w:space="0" w:color="auto"/>
        <w:right w:val="none" w:sz="0" w:space="0" w:color="auto"/>
      </w:divBdr>
    </w:div>
    <w:div w:id="1793397533">
      <w:bodyDiv w:val="1"/>
      <w:marLeft w:val="0"/>
      <w:marRight w:val="0"/>
      <w:marTop w:val="0"/>
      <w:marBottom w:val="0"/>
      <w:divBdr>
        <w:top w:val="none" w:sz="0" w:space="0" w:color="auto"/>
        <w:left w:val="none" w:sz="0" w:space="0" w:color="auto"/>
        <w:bottom w:val="none" w:sz="0" w:space="0" w:color="auto"/>
        <w:right w:val="none" w:sz="0" w:space="0" w:color="auto"/>
      </w:divBdr>
    </w:div>
    <w:div w:id="1793556453">
      <w:bodyDiv w:val="1"/>
      <w:marLeft w:val="0"/>
      <w:marRight w:val="0"/>
      <w:marTop w:val="0"/>
      <w:marBottom w:val="0"/>
      <w:divBdr>
        <w:top w:val="none" w:sz="0" w:space="0" w:color="auto"/>
        <w:left w:val="none" w:sz="0" w:space="0" w:color="auto"/>
        <w:bottom w:val="none" w:sz="0" w:space="0" w:color="auto"/>
        <w:right w:val="none" w:sz="0" w:space="0" w:color="auto"/>
      </w:divBdr>
    </w:div>
    <w:div w:id="1825857753">
      <w:bodyDiv w:val="1"/>
      <w:marLeft w:val="0"/>
      <w:marRight w:val="0"/>
      <w:marTop w:val="0"/>
      <w:marBottom w:val="0"/>
      <w:divBdr>
        <w:top w:val="none" w:sz="0" w:space="0" w:color="auto"/>
        <w:left w:val="none" w:sz="0" w:space="0" w:color="auto"/>
        <w:bottom w:val="none" w:sz="0" w:space="0" w:color="auto"/>
        <w:right w:val="none" w:sz="0" w:space="0" w:color="auto"/>
      </w:divBdr>
    </w:div>
    <w:div w:id="1831753770">
      <w:bodyDiv w:val="1"/>
      <w:marLeft w:val="0"/>
      <w:marRight w:val="0"/>
      <w:marTop w:val="0"/>
      <w:marBottom w:val="0"/>
      <w:divBdr>
        <w:top w:val="none" w:sz="0" w:space="0" w:color="auto"/>
        <w:left w:val="none" w:sz="0" w:space="0" w:color="auto"/>
        <w:bottom w:val="none" w:sz="0" w:space="0" w:color="auto"/>
        <w:right w:val="none" w:sz="0" w:space="0" w:color="auto"/>
      </w:divBdr>
    </w:div>
    <w:div w:id="1845239780">
      <w:bodyDiv w:val="1"/>
      <w:marLeft w:val="0"/>
      <w:marRight w:val="0"/>
      <w:marTop w:val="0"/>
      <w:marBottom w:val="0"/>
      <w:divBdr>
        <w:top w:val="none" w:sz="0" w:space="0" w:color="auto"/>
        <w:left w:val="none" w:sz="0" w:space="0" w:color="auto"/>
        <w:bottom w:val="none" w:sz="0" w:space="0" w:color="auto"/>
        <w:right w:val="none" w:sz="0" w:space="0" w:color="auto"/>
      </w:divBdr>
    </w:div>
    <w:div w:id="1845317510">
      <w:bodyDiv w:val="1"/>
      <w:marLeft w:val="0"/>
      <w:marRight w:val="0"/>
      <w:marTop w:val="0"/>
      <w:marBottom w:val="0"/>
      <w:divBdr>
        <w:top w:val="none" w:sz="0" w:space="0" w:color="auto"/>
        <w:left w:val="none" w:sz="0" w:space="0" w:color="auto"/>
        <w:bottom w:val="none" w:sz="0" w:space="0" w:color="auto"/>
        <w:right w:val="none" w:sz="0" w:space="0" w:color="auto"/>
      </w:divBdr>
    </w:div>
    <w:div w:id="1851530399">
      <w:bodyDiv w:val="1"/>
      <w:marLeft w:val="0"/>
      <w:marRight w:val="0"/>
      <w:marTop w:val="0"/>
      <w:marBottom w:val="0"/>
      <w:divBdr>
        <w:top w:val="none" w:sz="0" w:space="0" w:color="auto"/>
        <w:left w:val="none" w:sz="0" w:space="0" w:color="auto"/>
        <w:bottom w:val="none" w:sz="0" w:space="0" w:color="auto"/>
        <w:right w:val="none" w:sz="0" w:space="0" w:color="auto"/>
      </w:divBdr>
    </w:div>
    <w:div w:id="1863587224">
      <w:bodyDiv w:val="1"/>
      <w:marLeft w:val="0"/>
      <w:marRight w:val="0"/>
      <w:marTop w:val="0"/>
      <w:marBottom w:val="0"/>
      <w:divBdr>
        <w:top w:val="none" w:sz="0" w:space="0" w:color="auto"/>
        <w:left w:val="none" w:sz="0" w:space="0" w:color="auto"/>
        <w:bottom w:val="none" w:sz="0" w:space="0" w:color="auto"/>
        <w:right w:val="none" w:sz="0" w:space="0" w:color="auto"/>
      </w:divBdr>
    </w:div>
    <w:div w:id="1872382164">
      <w:bodyDiv w:val="1"/>
      <w:marLeft w:val="0"/>
      <w:marRight w:val="0"/>
      <w:marTop w:val="0"/>
      <w:marBottom w:val="0"/>
      <w:divBdr>
        <w:top w:val="none" w:sz="0" w:space="0" w:color="auto"/>
        <w:left w:val="none" w:sz="0" w:space="0" w:color="auto"/>
        <w:bottom w:val="none" w:sz="0" w:space="0" w:color="auto"/>
        <w:right w:val="none" w:sz="0" w:space="0" w:color="auto"/>
      </w:divBdr>
    </w:div>
    <w:div w:id="1872717525">
      <w:bodyDiv w:val="1"/>
      <w:marLeft w:val="0"/>
      <w:marRight w:val="0"/>
      <w:marTop w:val="0"/>
      <w:marBottom w:val="0"/>
      <w:divBdr>
        <w:top w:val="none" w:sz="0" w:space="0" w:color="auto"/>
        <w:left w:val="none" w:sz="0" w:space="0" w:color="auto"/>
        <w:bottom w:val="none" w:sz="0" w:space="0" w:color="auto"/>
        <w:right w:val="none" w:sz="0" w:space="0" w:color="auto"/>
      </w:divBdr>
    </w:div>
    <w:div w:id="1904294456">
      <w:bodyDiv w:val="1"/>
      <w:marLeft w:val="0"/>
      <w:marRight w:val="0"/>
      <w:marTop w:val="0"/>
      <w:marBottom w:val="0"/>
      <w:divBdr>
        <w:top w:val="none" w:sz="0" w:space="0" w:color="auto"/>
        <w:left w:val="none" w:sz="0" w:space="0" w:color="auto"/>
        <w:bottom w:val="none" w:sz="0" w:space="0" w:color="auto"/>
        <w:right w:val="none" w:sz="0" w:space="0" w:color="auto"/>
      </w:divBdr>
    </w:div>
    <w:div w:id="1905752191">
      <w:bodyDiv w:val="1"/>
      <w:marLeft w:val="0"/>
      <w:marRight w:val="0"/>
      <w:marTop w:val="0"/>
      <w:marBottom w:val="0"/>
      <w:divBdr>
        <w:top w:val="none" w:sz="0" w:space="0" w:color="auto"/>
        <w:left w:val="none" w:sz="0" w:space="0" w:color="auto"/>
        <w:bottom w:val="none" w:sz="0" w:space="0" w:color="auto"/>
        <w:right w:val="none" w:sz="0" w:space="0" w:color="auto"/>
      </w:divBdr>
    </w:div>
    <w:div w:id="1919442132">
      <w:bodyDiv w:val="1"/>
      <w:marLeft w:val="0"/>
      <w:marRight w:val="0"/>
      <w:marTop w:val="0"/>
      <w:marBottom w:val="0"/>
      <w:divBdr>
        <w:top w:val="none" w:sz="0" w:space="0" w:color="auto"/>
        <w:left w:val="none" w:sz="0" w:space="0" w:color="auto"/>
        <w:bottom w:val="none" w:sz="0" w:space="0" w:color="auto"/>
        <w:right w:val="none" w:sz="0" w:space="0" w:color="auto"/>
      </w:divBdr>
    </w:div>
    <w:div w:id="1936746049">
      <w:bodyDiv w:val="1"/>
      <w:marLeft w:val="0"/>
      <w:marRight w:val="0"/>
      <w:marTop w:val="0"/>
      <w:marBottom w:val="0"/>
      <w:divBdr>
        <w:top w:val="none" w:sz="0" w:space="0" w:color="auto"/>
        <w:left w:val="none" w:sz="0" w:space="0" w:color="auto"/>
        <w:bottom w:val="none" w:sz="0" w:space="0" w:color="auto"/>
        <w:right w:val="none" w:sz="0" w:space="0" w:color="auto"/>
      </w:divBdr>
    </w:div>
    <w:div w:id="1955210615">
      <w:bodyDiv w:val="1"/>
      <w:marLeft w:val="0"/>
      <w:marRight w:val="0"/>
      <w:marTop w:val="0"/>
      <w:marBottom w:val="0"/>
      <w:divBdr>
        <w:top w:val="none" w:sz="0" w:space="0" w:color="auto"/>
        <w:left w:val="none" w:sz="0" w:space="0" w:color="auto"/>
        <w:bottom w:val="none" w:sz="0" w:space="0" w:color="auto"/>
        <w:right w:val="none" w:sz="0" w:space="0" w:color="auto"/>
      </w:divBdr>
    </w:div>
    <w:div w:id="1960791734">
      <w:bodyDiv w:val="1"/>
      <w:marLeft w:val="0"/>
      <w:marRight w:val="0"/>
      <w:marTop w:val="0"/>
      <w:marBottom w:val="0"/>
      <w:divBdr>
        <w:top w:val="none" w:sz="0" w:space="0" w:color="auto"/>
        <w:left w:val="none" w:sz="0" w:space="0" w:color="auto"/>
        <w:bottom w:val="none" w:sz="0" w:space="0" w:color="auto"/>
        <w:right w:val="none" w:sz="0" w:space="0" w:color="auto"/>
      </w:divBdr>
    </w:div>
    <w:div w:id="1996445242">
      <w:bodyDiv w:val="1"/>
      <w:marLeft w:val="0"/>
      <w:marRight w:val="0"/>
      <w:marTop w:val="0"/>
      <w:marBottom w:val="0"/>
      <w:divBdr>
        <w:top w:val="none" w:sz="0" w:space="0" w:color="auto"/>
        <w:left w:val="none" w:sz="0" w:space="0" w:color="auto"/>
        <w:bottom w:val="none" w:sz="0" w:space="0" w:color="auto"/>
        <w:right w:val="none" w:sz="0" w:space="0" w:color="auto"/>
      </w:divBdr>
    </w:div>
    <w:div w:id="1997684669">
      <w:bodyDiv w:val="1"/>
      <w:marLeft w:val="0"/>
      <w:marRight w:val="0"/>
      <w:marTop w:val="0"/>
      <w:marBottom w:val="0"/>
      <w:divBdr>
        <w:top w:val="none" w:sz="0" w:space="0" w:color="auto"/>
        <w:left w:val="none" w:sz="0" w:space="0" w:color="auto"/>
        <w:bottom w:val="none" w:sz="0" w:space="0" w:color="auto"/>
        <w:right w:val="none" w:sz="0" w:space="0" w:color="auto"/>
      </w:divBdr>
    </w:div>
    <w:div w:id="2000882587">
      <w:bodyDiv w:val="1"/>
      <w:marLeft w:val="0"/>
      <w:marRight w:val="0"/>
      <w:marTop w:val="0"/>
      <w:marBottom w:val="0"/>
      <w:divBdr>
        <w:top w:val="none" w:sz="0" w:space="0" w:color="auto"/>
        <w:left w:val="none" w:sz="0" w:space="0" w:color="auto"/>
        <w:bottom w:val="none" w:sz="0" w:space="0" w:color="auto"/>
        <w:right w:val="none" w:sz="0" w:space="0" w:color="auto"/>
      </w:divBdr>
    </w:div>
    <w:div w:id="2004966061">
      <w:bodyDiv w:val="1"/>
      <w:marLeft w:val="0"/>
      <w:marRight w:val="0"/>
      <w:marTop w:val="0"/>
      <w:marBottom w:val="0"/>
      <w:divBdr>
        <w:top w:val="none" w:sz="0" w:space="0" w:color="auto"/>
        <w:left w:val="none" w:sz="0" w:space="0" w:color="auto"/>
        <w:bottom w:val="none" w:sz="0" w:space="0" w:color="auto"/>
        <w:right w:val="none" w:sz="0" w:space="0" w:color="auto"/>
      </w:divBdr>
    </w:div>
    <w:div w:id="2015299744">
      <w:bodyDiv w:val="1"/>
      <w:marLeft w:val="0"/>
      <w:marRight w:val="0"/>
      <w:marTop w:val="0"/>
      <w:marBottom w:val="0"/>
      <w:divBdr>
        <w:top w:val="none" w:sz="0" w:space="0" w:color="auto"/>
        <w:left w:val="none" w:sz="0" w:space="0" w:color="auto"/>
        <w:bottom w:val="none" w:sz="0" w:space="0" w:color="auto"/>
        <w:right w:val="none" w:sz="0" w:space="0" w:color="auto"/>
      </w:divBdr>
    </w:div>
    <w:div w:id="2026907285">
      <w:bodyDiv w:val="1"/>
      <w:marLeft w:val="0"/>
      <w:marRight w:val="0"/>
      <w:marTop w:val="0"/>
      <w:marBottom w:val="0"/>
      <w:divBdr>
        <w:top w:val="none" w:sz="0" w:space="0" w:color="auto"/>
        <w:left w:val="none" w:sz="0" w:space="0" w:color="auto"/>
        <w:bottom w:val="none" w:sz="0" w:space="0" w:color="auto"/>
        <w:right w:val="none" w:sz="0" w:space="0" w:color="auto"/>
      </w:divBdr>
    </w:div>
    <w:div w:id="2033145423">
      <w:bodyDiv w:val="1"/>
      <w:marLeft w:val="0"/>
      <w:marRight w:val="0"/>
      <w:marTop w:val="0"/>
      <w:marBottom w:val="0"/>
      <w:divBdr>
        <w:top w:val="none" w:sz="0" w:space="0" w:color="auto"/>
        <w:left w:val="none" w:sz="0" w:space="0" w:color="auto"/>
        <w:bottom w:val="none" w:sz="0" w:space="0" w:color="auto"/>
        <w:right w:val="none" w:sz="0" w:space="0" w:color="auto"/>
      </w:divBdr>
    </w:div>
    <w:div w:id="2035107223">
      <w:bodyDiv w:val="1"/>
      <w:marLeft w:val="0"/>
      <w:marRight w:val="0"/>
      <w:marTop w:val="0"/>
      <w:marBottom w:val="0"/>
      <w:divBdr>
        <w:top w:val="none" w:sz="0" w:space="0" w:color="auto"/>
        <w:left w:val="none" w:sz="0" w:space="0" w:color="auto"/>
        <w:bottom w:val="none" w:sz="0" w:space="0" w:color="auto"/>
        <w:right w:val="none" w:sz="0" w:space="0" w:color="auto"/>
      </w:divBdr>
    </w:div>
    <w:div w:id="2038119005">
      <w:bodyDiv w:val="1"/>
      <w:marLeft w:val="0"/>
      <w:marRight w:val="0"/>
      <w:marTop w:val="0"/>
      <w:marBottom w:val="0"/>
      <w:divBdr>
        <w:top w:val="none" w:sz="0" w:space="0" w:color="auto"/>
        <w:left w:val="none" w:sz="0" w:space="0" w:color="auto"/>
        <w:bottom w:val="none" w:sz="0" w:space="0" w:color="auto"/>
        <w:right w:val="none" w:sz="0" w:space="0" w:color="auto"/>
      </w:divBdr>
    </w:div>
    <w:div w:id="2046633685">
      <w:bodyDiv w:val="1"/>
      <w:marLeft w:val="0"/>
      <w:marRight w:val="0"/>
      <w:marTop w:val="0"/>
      <w:marBottom w:val="0"/>
      <w:divBdr>
        <w:top w:val="none" w:sz="0" w:space="0" w:color="auto"/>
        <w:left w:val="none" w:sz="0" w:space="0" w:color="auto"/>
        <w:bottom w:val="none" w:sz="0" w:space="0" w:color="auto"/>
        <w:right w:val="none" w:sz="0" w:space="0" w:color="auto"/>
      </w:divBdr>
    </w:div>
    <w:div w:id="2053462267">
      <w:bodyDiv w:val="1"/>
      <w:marLeft w:val="0"/>
      <w:marRight w:val="0"/>
      <w:marTop w:val="0"/>
      <w:marBottom w:val="0"/>
      <w:divBdr>
        <w:top w:val="none" w:sz="0" w:space="0" w:color="auto"/>
        <w:left w:val="none" w:sz="0" w:space="0" w:color="auto"/>
        <w:bottom w:val="none" w:sz="0" w:space="0" w:color="auto"/>
        <w:right w:val="none" w:sz="0" w:space="0" w:color="auto"/>
      </w:divBdr>
    </w:div>
    <w:div w:id="2054033564">
      <w:bodyDiv w:val="1"/>
      <w:marLeft w:val="0"/>
      <w:marRight w:val="0"/>
      <w:marTop w:val="0"/>
      <w:marBottom w:val="0"/>
      <w:divBdr>
        <w:top w:val="none" w:sz="0" w:space="0" w:color="auto"/>
        <w:left w:val="none" w:sz="0" w:space="0" w:color="auto"/>
        <w:bottom w:val="none" w:sz="0" w:space="0" w:color="auto"/>
        <w:right w:val="none" w:sz="0" w:space="0" w:color="auto"/>
      </w:divBdr>
    </w:div>
    <w:div w:id="2062900705">
      <w:bodyDiv w:val="1"/>
      <w:marLeft w:val="0"/>
      <w:marRight w:val="0"/>
      <w:marTop w:val="0"/>
      <w:marBottom w:val="0"/>
      <w:divBdr>
        <w:top w:val="none" w:sz="0" w:space="0" w:color="auto"/>
        <w:left w:val="none" w:sz="0" w:space="0" w:color="auto"/>
        <w:bottom w:val="none" w:sz="0" w:space="0" w:color="auto"/>
        <w:right w:val="none" w:sz="0" w:space="0" w:color="auto"/>
      </w:divBdr>
    </w:div>
    <w:div w:id="2080210763">
      <w:bodyDiv w:val="1"/>
      <w:marLeft w:val="0"/>
      <w:marRight w:val="0"/>
      <w:marTop w:val="0"/>
      <w:marBottom w:val="0"/>
      <w:divBdr>
        <w:top w:val="none" w:sz="0" w:space="0" w:color="auto"/>
        <w:left w:val="none" w:sz="0" w:space="0" w:color="auto"/>
        <w:bottom w:val="none" w:sz="0" w:space="0" w:color="auto"/>
        <w:right w:val="none" w:sz="0" w:space="0" w:color="auto"/>
      </w:divBdr>
    </w:div>
    <w:div w:id="2081171241">
      <w:bodyDiv w:val="1"/>
      <w:marLeft w:val="0"/>
      <w:marRight w:val="0"/>
      <w:marTop w:val="0"/>
      <w:marBottom w:val="0"/>
      <w:divBdr>
        <w:top w:val="none" w:sz="0" w:space="0" w:color="auto"/>
        <w:left w:val="none" w:sz="0" w:space="0" w:color="auto"/>
        <w:bottom w:val="none" w:sz="0" w:space="0" w:color="auto"/>
        <w:right w:val="none" w:sz="0" w:space="0" w:color="auto"/>
      </w:divBdr>
    </w:div>
    <w:div w:id="2089158153">
      <w:bodyDiv w:val="1"/>
      <w:marLeft w:val="0"/>
      <w:marRight w:val="0"/>
      <w:marTop w:val="0"/>
      <w:marBottom w:val="0"/>
      <w:divBdr>
        <w:top w:val="none" w:sz="0" w:space="0" w:color="auto"/>
        <w:left w:val="none" w:sz="0" w:space="0" w:color="auto"/>
        <w:bottom w:val="none" w:sz="0" w:space="0" w:color="auto"/>
        <w:right w:val="none" w:sz="0" w:space="0" w:color="auto"/>
      </w:divBdr>
    </w:div>
    <w:div w:id="2116442642">
      <w:bodyDiv w:val="1"/>
      <w:marLeft w:val="0"/>
      <w:marRight w:val="0"/>
      <w:marTop w:val="0"/>
      <w:marBottom w:val="0"/>
      <w:divBdr>
        <w:top w:val="none" w:sz="0" w:space="0" w:color="auto"/>
        <w:left w:val="none" w:sz="0" w:space="0" w:color="auto"/>
        <w:bottom w:val="none" w:sz="0" w:space="0" w:color="auto"/>
        <w:right w:val="none" w:sz="0" w:space="0" w:color="auto"/>
      </w:divBdr>
    </w:div>
    <w:div w:id="2116750114">
      <w:bodyDiv w:val="1"/>
      <w:marLeft w:val="0"/>
      <w:marRight w:val="0"/>
      <w:marTop w:val="0"/>
      <w:marBottom w:val="0"/>
      <w:divBdr>
        <w:top w:val="none" w:sz="0" w:space="0" w:color="auto"/>
        <w:left w:val="none" w:sz="0" w:space="0" w:color="auto"/>
        <w:bottom w:val="none" w:sz="0" w:space="0" w:color="auto"/>
        <w:right w:val="none" w:sz="0" w:space="0" w:color="auto"/>
      </w:divBdr>
    </w:div>
    <w:div w:id="2122141247">
      <w:bodyDiv w:val="1"/>
      <w:marLeft w:val="0"/>
      <w:marRight w:val="0"/>
      <w:marTop w:val="0"/>
      <w:marBottom w:val="0"/>
      <w:divBdr>
        <w:top w:val="none" w:sz="0" w:space="0" w:color="auto"/>
        <w:left w:val="none" w:sz="0" w:space="0" w:color="auto"/>
        <w:bottom w:val="none" w:sz="0" w:space="0" w:color="auto"/>
        <w:right w:val="none" w:sz="0" w:space="0" w:color="auto"/>
      </w:divBdr>
    </w:div>
    <w:div w:id="2126777444">
      <w:bodyDiv w:val="1"/>
      <w:marLeft w:val="0"/>
      <w:marRight w:val="0"/>
      <w:marTop w:val="0"/>
      <w:marBottom w:val="0"/>
      <w:divBdr>
        <w:top w:val="none" w:sz="0" w:space="0" w:color="auto"/>
        <w:left w:val="none" w:sz="0" w:space="0" w:color="auto"/>
        <w:bottom w:val="none" w:sz="0" w:space="0" w:color="auto"/>
        <w:right w:val="none" w:sz="0" w:space="0" w:color="auto"/>
      </w:divBdr>
    </w:div>
    <w:div w:id="2128963355">
      <w:bodyDiv w:val="1"/>
      <w:marLeft w:val="0"/>
      <w:marRight w:val="0"/>
      <w:marTop w:val="0"/>
      <w:marBottom w:val="0"/>
      <w:divBdr>
        <w:top w:val="none" w:sz="0" w:space="0" w:color="auto"/>
        <w:left w:val="none" w:sz="0" w:space="0" w:color="auto"/>
        <w:bottom w:val="none" w:sz="0" w:space="0" w:color="auto"/>
        <w:right w:val="none" w:sz="0" w:space="0" w:color="auto"/>
      </w:divBdr>
    </w:div>
    <w:div w:id="2129202314">
      <w:bodyDiv w:val="1"/>
      <w:marLeft w:val="0"/>
      <w:marRight w:val="0"/>
      <w:marTop w:val="0"/>
      <w:marBottom w:val="0"/>
      <w:divBdr>
        <w:top w:val="none" w:sz="0" w:space="0" w:color="auto"/>
        <w:left w:val="none" w:sz="0" w:space="0" w:color="auto"/>
        <w:bottom w:val="none" w:sz="0" w:space="0" w:color="auto"/>
        <w:right w:val="none" w:sz="0" w:space="0" w:color="auto"/>
      </w:divBdr>
    </w:div>
    <w:div w:id="214357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qcc.com/firm_54813a9d966ad1869761c8afeaa0002e.html" TargetMode="Externa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DC1FF8-35B8-4DFF-823D-EBEFB986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148</Pages>
  <Words>15870</Words>
  <Characters>90459</Characters>
  <Application>Microsoft Office Word</Application>
  <DocSecurity>0</DocSecurity>
  <Lines>753</Lines>
  <Paragraphs>212</Paragraphs>
  <ScaleCrop>false</ScaleCrop>
  <Company>易方达基金管理有限公司</Company>
  <LinksUpToDate>false</LinksUpToDate>
  <CharactersWithSpaces>106117</CharactersWithSpaces>
  <SharedDoc>false</SharedDoc>
  <HLinks>
    <vt:vector size="606" baseType="variant">
      <vt:variant>
        <vt:i4>6160454</vt:i4>
      </vt:variant>
      <vt:variant>
        <vt:i4>600</vt:i4>
      </vt:variant>
      <vt:variant>
        <vt:i4>0</vt:i4>
      </vt:variant>
      <vt:variant>
        <vt:i4>5</vt:i4>
      </vt:variant>
      <vt:variant>
        <vt:lpwstr>http://www.efunds.com.cn/</vt:lpwstr>
      </vt:variant>
      <vt:variant>
        <vt:lpwstr/>
      </vt:variant>
      <vt:variant>
        <vt:i4>6160454</vt:i4>
      </vt:variant>
      <vt:variant>
        <vt:i4>597</vt:i4>
      </vt:variant>
      <vt:variant>
        <vt:i4>0</vt:i4>
      </vt:variant>
      <vt:variant>
        <vt:i4>5</vt:i4>
      </vt:variant>
      <vt:variant>
        <vt:lpwstr>http://www.efunds.com.cn/</vt:lpwstr>
      </vt:variant>
      <vt:variant>
        <vt:lpwstr/>
      </vt:variant>
      <vt:variant>
        <vt:i4>1441855</vt:i4>
      </vt:variant>
      <vt:variant>
        <vt:i4>590</vt:i4>
      </vt:variant>
      <vt:variant>
        <vt:i4>0</vt:i4>
      </vt:variant>
      <vt:variant>
        <vt:i4>5</vt:i4>
      </vt:variant>
      <vt:variant>
        <vt:lpwstr/>
      </vt:variant>
      <vt:variant>
        <vt:lpwstr>_Toc409704229</vt:lpwstr>
      </vt:variant>
      <vt:variant>
        <vt:i4>1441855</vt:i4>
      </vt:variant>
      <vt:variant>
        <vt:i4>584</vt:i4>
      </vt:variant>
      <vt:variant>
        <vt:i4>0</vt:i4>
      </vt:variant>
      <vt:variant>
        <vt:i4>5</vt:i4>
      </vt:variant>
      <vt:variant>
        <vt:lpwstr/>
      </vt:variant>
      <vt:variant>
        <vt:lpwstr>_Toc409704228</vt:lpwstr>
      </vt:variant>
      <vt:variant>
        <vt:i4>1441855</vt:i4>
      </vt:variant>
      <vt:variant>
        <vt:i4>578</vt:i4>
      </vt:variant>
      <vt:variant>
        <vt:i4>0</vt:i4>
      </vt:variant>
      <vt:variant>
        <vt:i4>5</vt:i4>
      </vt:variant>
      <vt:variant>
        <vt:lpwstr/>
      </vt:variant>
      <vt:variant>
        <vt:lpwstr>_Toc409704227</vt:lpwstr>
      </vt:variant>
      <vt:variant>
        <vt:i4>1441855</vt:i4>
      </vt:variant>
      <vt:variant>
        <vt:i4>572</vt:i4>
      </vt:variant>
      <vt:variant>
        <vt:i4>0</vt:i4>
      </vt:variant>
      <vt:variant>
        <vt:i4>5</vt:i4>
      </vt:variant>
      <vt:variant>
        <vt:lpwstr/>
      </vt:variant>
      <vt:variant>
        <vt:lpwstr>_Toc409704226</vt:lpwstr>
      </vt:variant>
      <vt:variant>
        <vt:i4>1441855</vt:i4>
      </vt:variant>
      <vt:variant>
        <vt:i4>566</vt:i4>
      </vt:variant>
      <vt:variant>
        <vt:i4>0</vt:i4>
      </vt:variant>
      <vt:variant>
        <vt:i4>5</vt:i4>
      </vt:variant>
      <vt:variant>
        <vt:lpwstr/>
      </vt:variant>
      <vt:variant>
        <vt:lpwstr>_Toc409704225</vt:lpwstr>
      </vt:variant>
      <vt:variant>
        <vt:i4>1441855</vt:i4>
      </vt:variant>
      <vt:variant>
        <vt:i4>560</vt:i4>
      </vt:variant>
      <vt:variant>
        <vt:i4>0</vt:i4>
      </vt:variant>
      <vt:variant>
        <vt:i4>5</vt:i4>
      </vt:variant>
      <vt:variant>
        <vt:lpwstr/>
      </vt:variant>
      <vt:variant>
        <vt:lpwstr>_Toc409704224</vt:lpwstr>
      </vt:variant>
      <vt:variant>
        <vt:i4>1441855</vt:i4>
      </vt:variant>
      <vt:variant>
        <vt:i4>554</vt:i4>
      </vt:variant>
      <vt:variant>
        <vt:i4>0</vt:i4>
      </vt:variant>
      <vt:variant>
        <vt:i4>5</vt:i4>
      </vt:variant>
      <vt:variant>
        <vt:lpwstr/>
      </vt:variant>
      <vt:variant>
        <vt:lpwstr>_Toc409704223</vt:lpwstr>
      </vt:variant>
      <vt:variant>
        <vt:i4>1441855</vt:i4>
      </vt:variant>
      <vt:variant>
        <vt:i4>548</vt:i4>
      </vt:variant>
      <vt:variant>
        <vt:i4>0</vt:i4>
      </vt:variant>
      <vt:variant>
        <vt:i4>5</vt:i4>
      </vt:variant>
      <vt:variant>
        <vt:lpwstr/>
      </vt:variant>
      <vt:variant>
        <vt:lpwstr>_Toc409704222</vt:lpwstr>
      </vt:variant>
      <vt:variant>
        <vt:i4>1441855</vt:i4>
      </vt:variant>
      <vt:variant>
        <vt:i4>542</vt:i4>
      </vt:variant>
      <vt:variant>
        <vt:i4>0</vt:i4>
      </vt:variant>
      <vt:variant>
        <vt:i4>5</vt:i4>
      </vt:variant>
      <vt:variant>
        <vt:lpwstr/>
      </vt:variant>
      <vt:variant>
        <vt:lpwstr>_Toc409704221</vt:lpwstr>
      </vt:variant>
      <vt:variant>
        <vt:i4>1441855</vt:i4>
      </vt:variant>
      <vt:variant>
        <vt:i4>536</vt:i4>
      </vt:variant>
      <vt:variant>
        <vt:i4>0</vt:i4>
      </vt:variant>
      <vt:variant>
        <vt:i4>5</vt:i4>
      </vt:variant>
      <vt:variant>
        <vt:lpwstr/>
      </vt:variant>
      <vt:variant>
        <vt:lpwstr>_Toc409704220</vt:lpwstr>
      </vt:variant>
      <vt:variant>
        <vt:i4>1376319</vt:i4>
      </vt:variant>
      <vt:variant>
        <vt:i4>530</vt:i4>
      </vt:variant>
      <vt:variant>
        <vt:i4>0</vt:i4>
      </vt:variant>
      <vt:variant>
        <vt:i4>5</vt:i4>
      </vt:variant>
      <vt:variant>
        <vt:lpwstr/>
      </vt:variant>
      <vt:variant>
        <vt:lpwstr>_Toc409704219</vt:lpwstr>
      </vt:variant>
      <vt:variant>
        <vt:i4>1376319</vt:i4>
      </vt:variant>
      <vt:variant>
        <vt:i4>524</vt:i4>
      </vt:variant>
      <vt:variant>
        <vt:i4>0</vt:i4>
      </vt:variant>
      <vt:variant>
        <vt:i4>5</vt:i4>
      </vt:variant>
      <vt:variant>
        <vt:lpwstr/>
      </vt:variant>
      <vt:variant>
        <vt:lpwstr>_Toc409704218</vt:lpwstr>
      </vt:variant>
      <vt:variant>
        <vt:i4>1376319</vt:i4>
      </vt:variant>
      <vt:variant>
        <vt:i4>518</vt:i4>
      </vt:variant>
      <vt:variant>
        <vt:i4>0</vt:i4>
      </vt:variant>
      <vt:variant>
        <vt:i4>5</vt:i4>
      </vt:variant>
      <vt:variant>
        <vt:lpwstr/>
      </vt:variant>
      <vt:variant>
        <vt:lpwstr>_Toc409704217</vt:lpwstr>
      </vt:variant>
      <vt:variant>
        <vt:i4>1376319</vt:i4>
      </vt:variant>
      <vt:variant>
        <vt:i4>512</vt:i4>
      </vt:variant>
      <vt:variant>
        <vt:i4>0</vt:i4>
      </vt:variant>
      <vt:variant>
        <vt:i4>5</vt:i4>
      </vt:variant>
      <vt:variant>
        <vt:lpwstr/>
      </vt:variant>
      <vt:variant>
        <vt:lpwstr>_Toc409704216</vt:lpwstr>
      </vt:variant>
      <vt:variant>
        <vt:i4>1376319</vt:i4>
      </vt:variant>
      <vt:variant>
        <vt:i4>506</vt:i4>
      </vt:variant>
      <vt:variant>
        <vt:i4>0</vt:i4>
      </vt:variant>
      <vt:variant>
        <vt:i4>5</vt:i4>
      </vt:variant>
      <vt:variant>
        <vt:lpwstr/>
      </vt:variant>
      <vt:variant>
        <vt:lpwstr>_Toc409704215</vt:lpwstr>
      </vt:variant>
      <vt:variant>
        <vt:i4>1376319</vt:i4>
      </vt:variant>
      <vt:variant>
        <vt:i4>500</vt:i4>
      </vt:variant>
      <vt:variant>
        <vt:i4>0</vt:i4>
      </vt:variant>
      <vt:variant>
        <vt:i4>5</vt:i4>
      </vt:variant>
      <vt:variant>
        <vt:lpwstr/>
      </vt:variant>
      <vt:variant>
        <vt:lpwstr>_Toc409704214</vt:lpwstr>
      </vt:variant>
      <vt:variant>
        <vt:i4>1376319</vt:i4>
      </vt:variant>
      <vt:variant>
        <vt:i4>494</vt:i4>
      </vt:variant>
      <vt:variant>
        <vt:i4>0</vt:i4>
      </vt:variant>
      <vt:variant>
        <vt:i4>5</vt:i4>
      </vt:variant>
      <vt:variant>
        <vt:lpwstr/>
      </vt:variant>
      <vt:variant>
        <vt:lpwstr>_Toc409704213</vt:lpwstr>
      </vt:variant>
      <vt:variant>
        <vt:i4>1376319</vt:i4>
      </vt:variant>
      <vt:variant>
        <vt:i4>488</vt:i4>
      </vt:variant>
      <vt:variant>
        <vt:i4>0</vt:i4>
      </vt:variant>
      <vt:variant>
        <vt:i4>5</vt:i4>
      </vt:variant>
      <vt:variant>
        <vt:lpwstr/>
      </vt:variant>
      <vt:variant>
        <vt:lpwstr>_Toc409704212</vt:lpwstr>
      </vt:variant>
      <vt:variant>
        <vt:i4>1376319</vt:i4>
      </vt:variant>
      <vt:variant>
        <vt:i4>482</vt:i4>
      </vt:variant>
      <vt:variant>
        <vt:i4>0</vt:i4>
      </vt:variant>
      <vt:variant>
        <vt:i4>5</vt:i4>
      </vt:variant>
      <vt:variant>
        <vt:lpwstr/>
      </vt:variant>
      <vt:variant>
        <vt:lpwstr>_Toc409704211</vt:lpwstr>
      </vt:variant>
      <vt:variant>
        <vt:i4>1376319</vt:i4>
      </vt:variant>
      <vt:variant>
        <vt:i4>476</vt:i4>
      </vt:variant>
      <vt:variant>
        <vt:i4>0</vt:i4>
      </vt:variant>
      <vt:variant>
        <vt:i4>5</vt:i4>
      </vt:variant>
      <vt:variant>
        <vt:lpwstr/>
      </vt:variant>
      <vt:variant>
        <vt:lpwstr>_Toc409704210</vt:lpwstr>
      </vt:variant>
      <vt:variant>
        <vt:i4>1310783</vt:i4>
      </vt:variant>
      <vt:variant>
        <vt:i4>470</vt:i4>
      </vt:variant>
      <vt:variant>
        <vt:i4>0</vt:i4>
      </vt:variant>
      <vt:variant>
        <vt:i4>5</vt:i4>
      </vt:variant>
      <vt:variant>
        <vt:lpwstr/>
      </vt:variant>
      <vt:variant>
        <vt:lpwstr>_Toc409704209</vt:lpwstr>
      </vt:variant>
      <vt:variant>
        <vt:i4>1310783</vt:i4>
      </vt:variant>
      <vt:variant>
        <vt:i4>464</vt:i4>
      </vt:variant>
      <vt:variant>
        <vt:i4>0</vt:i4>
      </vt:variant>
      <vt:variant>
        <vt:i4>5</vt:i4>
      </vt:variant>
      <vt:variant>
        <vt:lpwstr/>
      </vt:variant>
      <vt:variant>
        <vt:lpwstr>_Toc409704208</vt:lpwstr>
      </vt:variant>
      <vt:variant>
        <vt:i4>1310783</vt:i4>
      </vt:variant>
      <vt:variant>
        <vt:i4>458</vt:i4>
      </vt:variant>
      <vt:variant>
        <vt:i4>0</vt:i4>
      </vt:variant>
      <vt:variant>
        <vt:i4>5</vt:i4>
      </vt:variant>
      <vt:variant>
        <vt:lpwstr/>
      </vt:variant>
      <vt:variant>
        <vt:lpwstr>_Toc409704207</vt:lpwstr>
      </vt:variant>
      <vt:variant>
        <vt:i4>1310783</vt:i4>
      </vt:variant>
      <vt:variant>
        <vt:i4>452</vt:i4>
      </vt:variant>
      <vt:variant>
        <vt:i4>0</vt:i4>
      </vt:variant>
      <vt:variant>
        <vt:i4>5</vt:i4>
      </vt:variant>
      <vt:variant>
        <vt:lpwstr/>
      </vt:variant>
      <vt:variant>
        <vt:lpwstr>_Toc409704206</vt:lpwstr>
      </vt:variant>
      <vt:variant>
        <vt:i4>1310783</vt:i4>
      </vt:variant>
      <vt:variant>
        <vt:i4>446</vt:i4>
      </vt:variant>
      <vt:variant>
        <vt:i4>0</vt:i4>
      </vt:variant>
      <vt:variant>
        <vt:i4>5</vt:i4>
      </vt:variant>
      <vt:variant>
        <vt:lpwstr/>
      </vt:variant>
      <vt:variant>
        <vt:lpwstr>_Toc409704205</vt:lpwstr>
      </vt:variant>
      <vt:variant>
        <vt:i4>1310783</vt:i4>
      </vt:variant>
      <vt:variant>
        <vt:i4>440</vt:i4>
      </vt:variant>
      <vt:variant>
        <vt:i4>0</vt:i4>
      </vt:variant>
      <vt:variant>
        <vt:i4>5</vt:i4>
      </vt:variant>
      <vt:variant>
        <vt:lpwstr/>
      </vt:variant>
      <vt:variant>
        <vt:lpwstr>_Toc409704204</vt:lpwstr>
      </vt:variant>
      <vt:variant>
        <vt:i4>1310783</vt:i4>
      </vt:variant>
      <vt:variant>
        <vt:i4>434</vt:i4>
      </vt:variant>
      <vt:variant>
        <vt:i4>0</vt:i4>
      </vt:variant>
      <vt:variant>
        <vt:i4>5</vt:i4>
      </vt:variant>
      <vt:variant>
        <vt:lpwstr/>
      </vt:variant>
      <vt:variant>
        <vt:lpwstr>_Toc409704203</vt:lpwstr>
      </vt:variant>
      <vt:variant>
        <vt:i4>1310783</vt:i4>
      </vt:variant>
      <vt:variant>
        <vt:i4>428</vt:i4>
      </vt:variant>
      <vt:variant>
        <vt:i4>0</vt:i4>
      </vt:variant>
      <vt:variant>
        <vt:i4>5</vt:i4>
      </vt:variant>
      <vt:variant>
        <vt:lpwstr/>
      </vt:variant>
      <vt:variant>
        <vt:lpwstr>_Toc409704202</vt:lpwstr>
      </vt:variant>
      <vt:variant>
        <vt:i4>1310783</vt:i4>
      </vt:variant>
      <vt:variant>
        <vt:i4>422</vt:i4>
      </vt:variant>
      <vt:variant>
        <vt:i4>0</vt:i4>
      </vt:variant>
      <vt:variant>
        <vt:i4>5</vt:i4>
      </vt:variant>
      <vt:variant>
        <vt:lpwstr/>
      </vt:variant>
      <vt:variant>
        <vt:lpwstr>_Toc409704201</vt:lpwstr>
      </vt:variant>
      <vt:variant>
        <vt:i4>1310783</vt:i4>
      </vt:variant>
      <vt:variant>
        <vt:i4>416</vt:i4>
      </vt:variant>
      <vt:variant>
        <vt:i4>0</vt:i4>
      </vt:variant>
      <vt:variant>
        <vt:i4>5</vt:i4>
      </vt:variant>
      <vt:variant>
        <vt:lpwstr/>
      </vt:variant>
      <vt:variant>
        <vt:lpwstr>_Toc409704200</vt:lpwstr>
      </vt:variant>
      <vt:variant>
        <vt:i4>1900604</vt:i4>
      </vt:variant>
      <vt:variant>
        <vt:i4>410</vt:i4>
      </vt:variant>
      <vt:variant>
        <vt:i4>0</vt:i4>
      </vt:variant>
      <vt:variant>
        <vt:i4>5</vt:i4>
      </vt:variant>
      <vt:variant>
        <vt:lpwstr/>
      </vt:variant>
      <vt:variant>
        <vt:lpwstr>_Toc409704199</vt:lpwstr>
      </vt:variant>
      <vt:variant>
        <vt:i4>1900604</vt:i4>
      </vt:variant>
      <vt:variant>
        <vt:i4>404</vt:i4>
      </vt:variant>
      <vt:variant>
        <vt:i4>0</vt:i4>
      </vt:variant>
      <vt:variant>
        <vt:i4>5</vt:i4>
      </vt:variant>
      <vt:variant>
        <vt:lpwstr/>
      </vt:variant>
      <vt:variant>
        <vt:lpwstr>_Toc409704198</vt:lpwstr>
      </vt:variant>
      <vt:variant>
        <vt:i4>1900604</vt:i4>
      </vt:variant>
      <vt:variant>
        <vt:i4>398</vt:i4>
      </vt:variant>
      <vt:variant>
        <vt:i4>0</vt:i4>
      </vt:variant>
      <vt:variant>
        <vt:i4>5</vt:i4>
      </vt:variant>
      <vt:variant>
        <vt:lpwstr/>
      </vt:variant>
      <vt:variant>
        <vt:lpwstr>_Toc409704197</vt:lpwstr>
      </vt:variant>
      <vt:variant>
        <vt:i4>1900604</vt:i4>
      </vt:variant>
      <vt:variant>
        <vt:i4>392</vt:i4>
      </vt:variant>
      <vt:variant>
        <vt:i4>0</vt:i4>
      </vt:variant>
      <vt:variant>
        <vt:i4>5</vt:i4>
      </vt:variant>
      <vt:variant>
        <vt:lpwstr/>
      </vt:variant>
      <vt:variant>
        <vt:lpwstr>_Toc409704196</vt:lpwstr>
      </vt:variant>
      <vt:variant>
        <vt:i4>1900604</vt:i4>
      </vt:variant>
      <vt:variant>
        <vt:i4>386</vt:i4>
      </vt:variant>
      <vt:variant>
        <vt:i4>0</vt:i4>
      </vt:variant>
      <vt:variant>
        <vt:i4>5</vt:i4>
      </vt:variant>
      <vt:variant>
        <vt:lpwstr/>
      </vt:variant>
      <vt:variant>
        <vt:lpwstr>_Toc409704195</vt:lpwstr>
      </vt:variant>
      <vt:variant>
        <vt:i4>1900604</vt:i4>
      </vt:variant>
      <vt:variant>
        <vt:i4>380</vt:i4>
      </vt:variant>
      <vt:variant>
        <vt:i4>0</vt:i4>
      </vt:variant>
      <vt:variant>
        <vt:i4>5</vt:i4>
      </vt:variant>
      <vt:variant>
        <vt:lpwstr/>
      </vt:variant>
      <vt:variant>
        <vt:lpwstr>_Toc409704194</vt:lpwstr>
      </vt:variant>
      <vt:variant>
        <vt:i4>1900604</vt:i4>
      </vt:variant>
      <vt:variant>
        <vt:i4>374</vt:i4>
      </vt:variant>
      <vt:variant>
        <vt:i4>0</vt:i4>
      </vt:variant>
      <vt:variant>
        <vt:i4>5</vt:i4>
      </vt:variant>
      <vt:variant>
        <vt:lpwstr/>
      </vt:variant>
      <vt:variant>
        <vt:lpwstr>_Toc409704193</vt:lpwstr>
      </vt:variant>
      <vt:variant>
        <vt:i4>1900604</vt:i4>
      </vt:variant>
      <vt:variant>
        <vt:i4>368</vt:i4>
      </vt:variant>
      <vt:variant>
        <vt:i4>0</vt:i4>
      </vt:variant>
      <vt:variant>
        <vt:i4>5</vt:i4>
      </vt:variant>
      <vt:variant>
        <vt:lpwstr/>
      </vt:variant>
      <vt:variant>
        <vt:lpwstr>_Toc409704192</vt:lpwstr>
      </vt:variant>
      <vt:variant>
        <vt:i4>1900604</vt:i4>
      </vt:variant>
      <vt:variant>
        <vt:i4>362</vt:i4>
      </vt:variant>
      <vt:variant>
        <vt:i4>0</vt:i4>
      </vt:variant>
      <vt:variant>
        <vt:i4>5</vt:i4>
      </vt:variant>
      <vt:variant>
        <vt:lpwstr/>
      </vt:variant>
      <vt:variant>
        <vt:lpwstr>_Toc409704191</vt:lpwstr>
      </vt:variant>
      <vt:variant>
        <vt:i4>1900604</vt:i4>
      </vt:variant>
      <vt:variant>
        <vt:i4>356</vt:i4>
      </vt:variant>
      <vt:variant>
        <vt:i4>0</vt:i4>
      </vt:variant>
      <vt:variant>
        <vt:i4>5</vt:i4>
      </vt:variant>
      <vt:variant>
        <vt:lpwstr/>
      </vt:variant>
      <vt:variant>
        <vt:lpwstr>_Toc409704190</vt:lpwstr>
      </vt:variant>
      <vt:variant>
        <vt:i4>1835068</vt:i4>
      </vt:variant>
      <vt:variant>
        <vt:i4>350</vt:i4>
      </vt:variant>
      <vt:variant>
        <vt:i4>0</vt:i4>
      </vt:variant>
      <vt:variant>
        <vt:i4>5</vt:i4>
      </vt:variant>
      <vt:variant>
        <vt:lpwstr/>
      </vt:variant>
      <vt:variant>
        <vt:lpwstr>_Toc409704189</vt:lpwstr>
      </vt:variant>
      <vt:variant>
        <vt:i4>1835068</vt:i4>
      </vt:variant>
      <vt:variant>
        <vt:i4>344</vt:i4>
      </vt:variant>
      <vt:variant>
        <vt:i4>0</vt:i4>
      </vt:variant>
      <vt:variant>
        <vt:i4>5</vt:i4>
      </vt:variant>
      <vt:variant>
        <vt:lpwstr/>
      </vt:variant>
      <vt:variant>
        <vt:lpwstr>_Toc409704188</vt:lpwstr>
      </vt:variant>
      <vt:variant>
        <vt:i4>1835068</vt:i4>
      </vt:variant>
      <vt:variant>
        <vt:i4>338</vt:i4>
      </vt:variant>
      <vt:variant>
        <vt:i4>0</vt:i4>
      </vt:variant>
      <vt:variant>
        <vt:i4>5</vt:i4>
      </vt:variant>
      <vt:variant>
        <vt:lpwstr/>
      </vt:variant>
      <vt:variant>
        <vt:lpwstr>_Toc409704187</vt:lpwstr>
      </vt:variant>
      <vt:variant>
        <vt:i4>1835068</vt:i4>
      </vt:variant>
      <vt:variant>
        <vt:i4>332</vt:i4>
      </vt:variant>
      <vt:variant>
        <vt:i4>0</vt:i4>
      </vt:variant>
      <vt:variant>
        <vt:i4>5</vt:i4>
      </vt:variant>
      <vt:variant>
        <vt:lpwstr/>
      </vt:variant>
      <vt:variant>
        <vt:lpwstr>_Toc409704186</vt:lpwstr>
      </vt:variant>
      <vt:variant>
        <vt:i4>1835068</vt:i4>
      </vt:variant>
      <vt:variant>
        <vt:i4>326</vt:i4>
      </vt:variant>
      <vt:variant>
        <vt:i4>0</vt:i4>
      </vt:variant>
      <vt:variant>
        <vt:i4>5</vt:i4>
      </vt:variant>
      <vt:variant>
        <vt:lpwstr/>
      </vt:variant>
      <vt:variant>
        <vt:lpwstr>_Toc409704185</vt:lpwstr>
      </vt:variant>
      <vt:variant>
        <vt:i4>1835068</vt:i4>
      </vt:variant>
      <vt:variant>
        <vt:i4>320</vt:i4>
      </vt:variant>
      <vt:variant>
        <vt:i4>0</vt:i4>
      </vt:variant>
      <vt:variant>
        <vt:i4>5</vt:i4>
      </vt:variant>
      <vt:variant>
        <vt:lpwstr/>
      </vt:variant>
      <vt:variant>
        <vt:lpwstr>_Toc409704184</vt:lpwstr>
      </vt:variant>
      <vt:variant>
        <vt:i4>1835068</vt:i4>
      </vt:variant>
      <vt:variant>
        <vt:i4>314</vt:i4>
      </vt:variant>
      <vt:variant>
        <vt:i4>0</vt:i4>
      </vt:variant>
      <vt:variant>
        <vt:i4>5</vt:i4>
      </vt:variant>
      <vt:variant>
        <vt:lpwstr/>
      </vt:variant>
      <vt:variant>
        <vt:lpwstr>_Toc409704183</vt:lpwstr>
      </vt:variant>
      <vt:variant>
        <vt:i4>1835068</vt:i4>
      </vt:variant>
      <vt:variant>
        <vt:i4>308</vt:i4>
      </vt:variant>
      <vt:variant>
        <vt:i4>0</vt:i4>
      </vt:variant>
      <vt:variant>
        <vt:i4>5</vt:i4>
      </vt:variant>
      <vt:variant>
        <vt:lpwstr/>
      </vt:variant>
      <vt:variant>
        <vt:lpwstr>_Toc409704182</vt:lpwstr>
      </vt:variant>
      <vt:variant>
        <vt:i4>1835068</vt:i4>
      </vt:variant>
      <vt:variant>
        <vt:i4>302</vt:i4>
      </vt:variant>
      <vt:variant>
        <vt:i4>0</vt:i4>
      </vt:variant>
      <vt:variant>
        <vt:i4>5</vt:i4>
      </vt:variant>
      <vt:variant>
        <vt:lpwstr/>
      </vt:variant>
      <vt:variant>
        <vt:lpwstr>_Toc409704181</vt:lpwstr>
      </vt:variant>
      <vt:variant>
        <vt:i4>1835068</vt:i4>
      </vt:variant>
      <vt:variant>
        <vt:i4>296</vt:i4>
      </vt:variant>
      <vt:variant>
        <vt:i4>0</vt:i4>
      </vt:variant>
      <vt:variant>
        <vt:i4>5</vt:i4>
      </vt:variant>
      <vt:variant>
        <vt:lpwstr/>
      </vt:variant>
      <vt:variant>
        <vt:lpwstr>_Toc409704180</vt:lpwstr>
      </vt:variant>
      <vt:variant>
        <vt:i4>1245244</vt:i4>
      </vt:variant>
      <vt:variant>
        <vt:i4>290</vt:i4>
      </vt:variant>
      <vt:variant>
        <vt:i4>0</vt:i4>
      </vt:variant>
      <vt:variant>
        <vt:i4>5</vt:i4>
      </vt:variant>
      <vt:variant>
        <vt:lpwstr/>
      </vt:variant>
      <vt:variant>
        <vt:lpwstr>_Toc409704179</vt:lpwstr>
      </vt:variant>
      <vt:variant>
        <vt:i4>1245244</vt:i4>
      </vt:variant>
      <vt:variant>
        <vt:i4>284</vt:i4>
      </vt:variant>
      <vt:variant>
        <vt:i4>0</vt:i4>
      </vt:variant>
      <vt:variant>
        <vt:i4>5</vt:i4>
      </vt:variant>
      <vt:variant>
        <vt:lpwstr/>
      </vt:variant>
      <vt:variant>
        <vt:lpwstr>_Toc409704178</vt:lpwstr>
      </vt:variant>
      <vt:variant>
        <vt:i4>1245244</vt:i4>
      </vt:variant>
      <vt:variant>
        <vt:i4>278</vt:i4>
      </vt:variant>
      <vt:variant>
        <vt:i4>0</vt:i4>
      </vt:variant>
      <vt:variant>
        <vt:i4>5</vt:i4>
      </vt:variant>
      <vt:variant>
        <vt:lpwstr/>
      </vt:variant>
      <vt:variant>
        <vt:lpwstr>_Toc409704177</vt:lpwstr>
      </vt:variant>
      <vt:variant>
        <vt:i4>1245244</vt:i4>
      </vt:variant>
      <vt:variant>
        <vt:i4>272</vt:i4>
      </vt:variant>
      <vt:variant>
        <vt:i4>0</vt:i4>
      </vt:variant>
      <vt:variant>
        <vt:i4>5</vt:i4>
      </vt:variant>
      <vt:variant>
        <vt:lpwstr/>
      </vt:variant>
      <vt:variant>
        <vt:lpwstr>_Toc409704176</vt:lpwstr>
      </vt:variant>
      <vt:variant>
        <vt:i4>1245244</vt:i4>
      </vt:variant>
      <vt:variant>
        <vt:i4>266</vt:i4>
      </vt:variant>
      <vt:variant>
        <vt:i4>0</vt:i4>
      </vt:variant>
      <vt:variant>
        <vt:i4>5</vt:i4>
      </vt:variant>
      <vt:variant>
        <vt:lpwstr/>
      </vt:variant>
      <vt:variant>
        <vt:lpwstr>_Toc409704175</vt:lpwstr>
      </vt:variant>
      <vt:variant>
        <vt:i4>1245244</vt:i4>
      </vt:variant>
      <vt:variant>
        <vt:i4>260</vt:i4>
      </vt:variant>
      <vt:variant>
        <vt:i4>0</vt:i4>
      </vt:variant>
      <vt:variant>
        <vt:i4>5</vt:i4>
      </vt:variant>
      <vt:variant>
        <vt:lpwstr/>
      </vt:variant>
      <vt:variant>
        <vt:lpwstr>_Toc409704174</vt:lpwstr>
      </vt:variant>
      <vt:variant>
        <vt:i4>1245244</vt:i4>
      </vt:variant>
      <vt:variant>
        <vt:i4>254</vt:i4>
      </vt:variant>
      <vt:variant>
        <vt:i4>0</vt:i4>
      </vt:variant>
      <vt:variant>
        <vt:i4>5</vt:i4>
      </vt:variant>
      <vt:variant>
        <vt:lpwstr/>
      </vt:variant>
      <vt:variant>
        <vt:lpwstr>_Toc409704173</vt:lpwstr>
      </vt:variant>
      <vt:variant>
        <vt:i4>1245244</vt:i4>
      </vt:variant>
      <vt:variant>
        <vt:i4>248</vt:i4>
      </vt:variant>
      <vt:variant>
        <vt:i4>0</vt:i4>
      </vt:variant>
      <vt:variant>
        <vt:i4>5</vt:i4>
      </vt:variant>
      <vt:variant>
        <vt:lpwstr/>
      </vt:variant>
      <vt:variant>
        <vt:lpwstr>_Toc409704172</vt:lpwstr>
      </vt:variant>
      <vt:variant>
        <vt:i4>1245244</vt:i4>
      </vt:variant>
      <vt:variant>
        <vt:i4>242</vt:i4>
      </vt:variant>
      <vt:variant>
        <vt:i4>0</vt:i4>
      </vt:variant>
      <vt:variant>
        <vt:i4>5</vt:i4>
      </vt:variant>
      <vt:variant>
        <vt:lpwstr/>
      </vt:variant>
      <vt:variant>
        <vt:lpwstr>_Toc409704171</vt:lpwstr>
      </vt:variant>
      <vt:variant>
        <vt:i4>1245244</vt:i4>
      </vt:variant>
      <vt:variant>
        <vt:i4>236</vt:i4>
      </vt:variant>
      <vt:variant>
        <vt:i4>0</vt:i4>
      </vt:variant>
      <vt:variant>
        <vt:i4>5</vt:i4>
      </vt:variant>
      <vt:variant>
        <vt:lpwstr/>
      </vt:variant>
      <vt:variant>
        <vt:lpwstr>_Toc409704170</vt:lpwstr>
      </vt:variant>
      <vt:variant>
        <vt:i4>1179708</vt:i4>
      </vt:variant>
      <vt:variant>
        <vt:i4>230</vt:i4>
      </vt:variant>
      <vt:variant>
        <vt:i4>0</vt:i4>
      </vt:variant>
      <vt:variant>
        <vt:i4>5</vt:i4>
      </vt:variant>
      <vt:variant>
        <vt:lpwstr/>
      </vt:variant>
      <vt:variant>
        <vt:lpwstr>_Toc409704169</vt:lpwstr>
      </vt:variant>
      <vt:variant>
        <vt:i4>1179708</vt:i4>
      </vt:variant>
      <vt:variant>
        <vt:i4>224</vt:i4>
      </vt:variant>
      <vt:variant>
        <vt:i4>0</vt:i4>
      </vt:variant>
      <vt:variant>
        <vt:i4>5</vt:i4>
      </vt:variant>
      <vt:variant>
        <vt:lpwstr/>
      </vt:variant>
      <vt:variant>
        <vt:lpwstr>_Toc409704168</vt:lpwstr>
      </vt:variant>
      <vt:variant>
        <vt:i4>1179708</vt:i4>
      </vt:variant>
      <vt:variant>
        <vt:i4>218</vt:i4>
      </vt:variant>
      <vt:variant>
        <vt:i4>0</vt:i4>
      </vt:variant>
      <vt:variant>
        <vt:i4>5</vt:i4>
      </vt:variant>
      <vt:variant>
        <vt:lpwstr/>
      </vt:variant>
      <vt:variant>
        <vt:lpwstr>_Toc409704167</vt:lpwstr>
      </vt:variant>
      <vt:variant>
        <vt:i4>1179708</vt:i4>
      </vt:variant>
      <vt:variant>
        <vt:i4>212</vt:i4>
      </vt:variant>
      <vt:variant>
        <vt:i4>0</vt:i4>
      </vt:variant>
      <vt:variant>
        <vt:i4>5</vt:i4>
      </vt:variant>
      <vt:variant>
        <vt:lpwstr/>
      </vt:variant>
      <vt:variant>
        <vt:lpwstr>_Toc409704166</vt:lpwstr>
      </vt:variant>
      <vt:variant>
        <vt:i4>1179708</vt:i4>
      </vt:variant>
      <vt:variant>
        <vt:i4>206</vt:i4>
      </vt:variant>
      <vt:variant>
        <vt:i4>0</vt:i4>
      </vt:variant>
      <vt:variant>
        <vt:i4>5</vt:i4>
      </vt:variant>
      <vt:variant>
        <vt:lpwstr/>
      </vt:variant>
      <vt:variant>
        <vt:lpwstr>_Toc409704165</vt:lpwstr>
      </vt:variant>
      <vt:variant>
        <vt:i4>1179708</vt:i4>
      </vt:variant>
      <vt:variant>
        <vt:i4>200</vt:i4>
      </vt:variant>
      <vt:variant>
        <vt:i4>0</vt:i4>
      </vt:variant>
      <vt:variant>
        <vt:i4>5</vt:i4>
      </vt:variant>
      <vt:variant>
        <vt:lpwstr/>
      </vt:variant>
      <vt:variant>
        <vt:lpwstr>_Toc409704164</vt:lpwstr>
      </vt:variant>
      <vt:variant>
        <vt:i4>1179708</vt:i4>
      </vt:variant>
      <vt:variant>
        <vt:i4>194</vt:i4>
      </vt:variant>
      <vt:variant>
        <vt:i4>0</vt:i4>
      </vt:variant>
      <vt:variant>
        <vt:i4>5</vt:i4>
      </vt:variant>
      <vt:variant>
        <vt:lpwstr/>
      </vt:variant>
      <vt:variant>
        <vt:lpwstr>_Toc409704163</vt:lpwstr>
      </vt:variant>
      <vt:variant>
        <vt:i4>1179708</vt:i4>
      </vt:variant>
      <vt:variant>
        <vt:i4>188</vt:i4>
      </vt:variant>
      <vt:variant>
        <vt:i4>0</vt:i4>
      </vt:variant>
      <vt:variant>
        <vt:i4>5</vt:i4>
      </vt:variant>
      <vt:variant>
        <vt:lpwstr/>
      </vt:variant>
      <vt:variant>
        <vt:lpwstr>_Toc409704162</vt:lpwstr>
      </vt:variant>
      <vt:variant>
        <vt:i4>1179708</vt:i4>
      </vt:variant>
      <vt:variant>
        <vt:i4>182</vt:i4>
      </vt:variant>
      <vt:variant>
        <vt:i4>0</vt:i4>
      </vt:variant>
      <vt:variant>
        <vt:i4>5</vt:i4>
      </vt:variant>
      <vt:variant>
        <vt:lpwstr/>
      </vt:variant>
      <vt:variant>
        <vt:lpwstr>_Toc409704161</vt:lpwstr>
      </vt:variant>
      <vt:variant>
        <vt:i4>1179708</vt:i4>
      </vt:variant>
      <vt:variant>
        <vt:i4>176</vt:i4>
      </vt:variant>
      <vt:variant>
        <vt:i4>0</vt:i4>
      </vt:variant>
      <vt:variant>
        <vt:i4>5</vt:i4>
      </vt:variant>
      <vt:variant>
        <vt:lpwstr/>
      </vt:variant>
      <vt:variant>
        <vt:lpwstr>_Toc409704160</vt:lpwstr>
      </vt:variant>
      <vt:variant>
        <vt:i4>1114172</vt:i4>
      </vt:variant>
      <vt:variant>
        <vt:i4>170</vt:i4>
      </vt:variant>
      <vt:variant>
        <vt:i4>0</vt:i4>
      </vt:variant>
      <vt:variant>
        <vt:i4>5</vt:i4>
      </vt:variant>
      <vt:variant>
        <vt:lpwstr/>
      </vt:variant>
      <vt:variant>
        <vt:lpwstr>_Toc409704159</vt:lpwstr>
      </vt:variant>
      <vt:variant>
        <vt:i4>1114172</vt:i4>
      </vt:variant>
      <vt:variant>
        <vt:i4>164</vt:i4>
      </vt:variant>
      <vt:variant>
        <vt:i4>0</vt:i4>
      </vt:variant>
      <vt:variant>
        <vt:i4>5</vt:i4>
      </vt:variant>
      <vt:variant>
        <vt:lpwstr/>
      </vt:variant>
      <vt:variant>
        <vt:lpwstr>_Toc409704158</vt:lpwstr>
      </vt:variant>
      <vt:variant>
        <vt:i4>1114172</vt:i4>
      </vt:variant>
      <vt:variant>
        <vt:i4>158</vt:i4>
      </vt:variant>
      <vt:variant>
        <vt:i4>0</vt:i4>
      </vt:variant>
      <vt:variant>
        <vt:i4>5</vt:i4>
      </vt:variant>
      <vt:variant>
        <vt:lpwstr/>
      </vt:variant>
      <vt:variant>
        <vt:lpwstr>_Toc409704157</vt:lpwstr>
      </vt:variant>
      <vt:variant>
        <vt:i4>1114172</vt:i4>
      </vt:variant>
      <vt:variant>
        <vt:i4>152</vt:i4>
      </vt:variant>
      <vt:variant>
        <vt:i4>0</vt:i4>
      </vt:variant>
      <vt:variant>
        <vt:i4>5</vt:i4>
      </vt:variant>
      <vt:variant>
        <vt:lpwstr/>
      </vt:variant>
      <vt:variant>
        <vt:lpwstr>_Toc409704156</vt:lpwstr>
      </vt:variant>
      <vt:variant>
        <vt:i4>1114172</vt:i4>
      </vt:variant>
      <vt:variant>
        <vt:i4>146</vt:i4>
      </vt:variant>
      <vt:variant>
        <vt:i4>0</vt:i4>
      </vt:variant>
      <vt:variant>
        <vt:i4>5</vt:i4>
      </vt:variant>
      <vt:variant>
        <vt:lpwstr/>
      </vt:variant>
      <vt:variant>
        <vt:lpwstr>_Toc409704155</vt:lpwstr>
      </vt:variant>
      <vt:variant>
        <vt:i4>1114172</vt:i4>
      </vt:variant>
      <vt:variant>
        <vt:i4>140</vt:i4>
      </vt:variant>
      <vt:variant>
        <vt:i4>0</vt:i4>
      </vt:variant>
      <vt:variant>
        <vt:i4>5</vt:i4>
      </vt:variant>
      <vt:variant>
        <vt:lpwstr/>
      </vt:variant>
      <vt:variant>
        <vt:lpwstr>_Toc409704154</vt:lpwstr>
      </vt:variant>
      <vt:variant>
        <vt:i4>1114172</vt:i4>
      </vt:variant>
      <vt:variant>
        <vt:i4>134</vt:i4>
      </vt:variant>
      <vt:variant>
        <vt:i4>0</vt:i4>
      </vt:variant>
      <vt:variant>
        <vt:i4>5</vt:i4>
      </vt:variant>
      <vt:variant>
        <vt:lpwstr/>
      </vt:variant>
      <vt:variant>
        <vt:lpwstr>_Toc409704153</vt:lpwstr>
      </vt:variant>
      <vt:variant>
        <vt:i4>1114172</vt:i4>
      </vt:variant>
      <vt:variant>
        <vt:i4>128</vt:i4>
      </vt:variant>
      <vt:variant>
        <vt:i4>0</vt:i4>
      </vt:variant>
      <vt:variant>
        <vt:i4>5</vt:i4>
      </vt:variant>
      <vt:variant>
        <vt:lpwstr/>
      </vt:variant>
      <vt:variant>
        <vt:lpwstr>_Toc409704152</vt:lpwstr>
      </vt:variant>
      <vt:variant>
        <vt:i4>1114172</vt:i4>
      </vt:variant>
      <vt:variant>
        <vt:i4>122</vt:i4>
      </vt:variant>
      <vt:variant>
        <vt:i4>0</vt:i4>
      </vt:variant>
      <vt:variant>
        <vt:i4>5</vt:i4>
      </vt:variant>
      <vt:variant>
        <vt:lpwstr/>
      </vt:variant>
      <vt:variant>
        <vt:lpwstr>_Toc409704151</vt:lpwstr>
      </vt:variant>
      <vt:variant>
        <vt:i4>1114172</vt:i4>
      </vt:variant>
      <vt:variant>
        <vt:i4>116</vt:i4>
      </vt:variant>
      <vt:variant>
        <vt:i4>0</vt:i4>
      </vt:variant>
      <vt:variant>
        <vt:i4>5</vt:i4>
      </vt:variant>
      <vt:variant>
        <vt:lpwstr/>
      </vt:variant>
      <vt:variant>
        <vt:lpwstr>_Toc409704150</vt:lpwstr>
      </vt:variant>
      <vt:variant>
        <vt:i4>1048636</vt:i4>
      </vt:variant>
      <vt:variant>
        <vt:i4>110</vt:i4>
      </vt:variant>
      <vt:variant>
        <vt:i4>0</vt:i4>
      </vt:variant>
      <vt:variant>
        <vt:i4>5</vt:i4>
      </vt:variant>
      <vt:variant>
        <vt:lpwstr/>
      </vt:variant>
      <vt:variant>
        <vt:lpwstr>_Toc409704149</vt:lpwstr>
      </vt:variant>
      <vt:variant>
        <vt:i4>1048636</vt:i4>
      </vt:variant>
      <vt:variant>
        <vt:i4>104</vt:i4>
      </vt:variant>
      <vt:variant>
        <vt:i4>0</vt:i4>
      </vt:variant>
      <vt:variant>
        <vt:i4>5</vt:i4>
      </vt:variant>
      <vt:variant>
        <vt:lpwstr/>
      </vt:variant>
      <vt:variant>
        <vt:lpwstr>_Toc409704148</vt:lpwstr>
      </vt:variant>
      <vt:variant>
        <vt:i4>1048636</vt:i4>
      </vt:variant>
      <vt:variant>
        <vt:i4>98</vt:i4>
      </vt:variant>
      <vt:variant>
        <vt:i4>0</vt:i4>
      </vt:variant>
      <vt:variant>
        <vt:i4>5</vt:i4>
      </vt:variant>
      <vt:variant>
        <vt:lpwstr/>
      </vt:variant>
      <vt:variant>
        <vt:lpwstr>_Toc409704147</vt:lpwstr>
      </vt:variant>
      <vt:variant>
        <vt:i4>1048636</vt:i4>
      </vt:variant>
      <vt:variant>
        <vt:i4>92</vt:i4>
      </vt:variant>
      <vt:variant>
        <vt:i4>0</vt:i4>
      </vt:variant>
      <vt:variant>
        <vt:i4>5</vt:i4>
      </vt:variant>
      <vt:variant>
        <vt:lpwstr/>
      </vt:variant>
      <vt:variant>
        <vt:lpwstr>_Toc409704146</vt:lpwstr>
      </vt:variant>
      <vt:variant>
        <vt:i4>1048636</vt:i4>
      </vt:variant>
      <vt:variant>
        <vt:i4>86</vt:i4>
      </vt:variant>
      <vt:variant>
        <vt:i4>0</vt:i4>
      </vt:variant>
      <vt:variant>
        <vt:i4>5</vt:i4>
      </vt:variant>
      <vt:variant>
        <vt:lpwstr/>
      </vt:variant>
      <vt:variant>
        <vt:lpwstr>_Toc409704145</vt:lpwstr>
      </vt:variant>
      <vt:variant>
        <vt:i4>1048636</vt:i4>
      </vt:variant>
      <vt:variant>
        <vt:i4>80</vt:i4>
      </vt:variant>
      <vt:variant>
        <vt:i4>0</vt:i4>
      </vt:variant>
      <vt:variant>
        <vt:i4>5</vt:i4>
      </vt:variant>
      <vt:variant>
        <vt:lpwstr/>
      </vt:variant>
      <vt:variant>
        <vt:lpwstr>_Toc409704144</vt:lpwstr>
      </vt:variant>
      <vt:variant>
        <vt:i4>1048636</vt:i4>
      </vt:variant>
      <vt:variant>
        <vt:i4>74</vt:i4>
      </vt:variant>
      <vt:variant>
        <vt:i4>0</vt:i4>
      </vt:variant>
      <vt:variant>
        <vt:i4>5</vt:i4>
      </vt:variant>
      <vt:variant>
        <vt:lpwstr/>
      </vt:variant>
      <vt:variant>
        <vt:lpwstr>_Toc409704143</vt:lpwstr>
      </vt:variant>
      <vt:variant>
        <vt:i4>1048636</vt:i4>
      </vt:variant>
      <vt:variant>
        <vt:i4>68</vt:i4>
      </vt:variant>
      <vt:variant>
        <vt:i4>0</vt:i4>
      </vt:variant>
      <vt:variant>
        <vt:i4>5</vt:i4>
      </vt:variant>
      <vt:variant>
        <vt:lpwstr/>
      </vt:variant>
      <vt:variant>
        <vt:lpwstr>_Toc409704142</vt:lpwstr>
      </vt:variant>
      <vt:variant>
        <vt:i4>1048636</vt:i4>
      </vt:variant>
      <vt:variant>
        <vt:i4>62</vt:i4>
      </vt:variant>
      <vt:variant>
        <vt:i4>0</vt:i4>
      </vt:variant>
      <vt:variant>
        <vt:i4>5</vt:i4>
      </vt:variant>
      <vt:variant>
        <vt:lpwstr/>
      </vt:variant>
      <vt:variant>
        <vt:lpwstr>_Toc409704141</vt:lpwstr>
      </vt:variant>
      <vt:variant>
        <vt:i4>1048636</vt:i4>
      </vt:variant>
      <vt:variant>
        <vt:i4>56</vt:i4>
      </vt:variant>
      <vt:variant>
        <vt:i4>0</vt:i4>
      </vt:variant>
      <vt:variant>
        <vt:i4>5</vt:i4>
      </vt:variant>
      <vt:variant>
        <vt:lpwstr/>
      </vt:variant>
      <vt:variant>
        <vt:lpwstr>_Toc409704140</vt:lpwstr>
      </vt:variant>
      <vt:variant>
        <vt:i4>1507388</vt:i4>
      </vt:variant>
      <vt:variant>
        <vt:i4>50</vt:i4>
      </vt:variant>
      <vt:variant>
        <vt:i4>0</vt:i4>
      </vt:variant>
      <vt:variant>
        <vt:i4>5</vt:i4>
      </vt:variant>
      <vt:variant>
        <vt:lpwstr/>
      </vt:variant>
      <vt:variant>
        <vt:lpwstr>_Toc409704139</vt:lpwstr>
      </vt:variant>
      <vt:variant>
        <vt:i4>1507388</vt:i4>
      </vt:variant>
      <vt:variant>
        <vt:i4>44</vt:i4>
      </vt:variant>
      <vt:variant>
        <vt:i4>0</vt:i4>
      </vt:variant>
      <vt:variant>
        <vt:i4>5</vt:i4>
      </vt:variant>
      <vt:variant>
        <vt:lpwstr/>
      </vt:variant>
      <vt:variant>
        <vt:lpwstr>_Toc409704138</vt:lpwstr>
      </vt:variant>
      <vt:variant>
        <vt:i4>1507388</vt:i4>
      </vt:variant>
      <vt:variant>
        <vt:i4>38</vt:i4>
      </vt:variant>
      <vt:variant>
        <vt:i4>0</vt:i4>
      </vt:variant>
      <vt:variant>
        <vt:i4>5</vt:i4>
      </vt:variant>
      <vt:variant>
        <vt:lpwstr/>
      </vt:variant>
      <vt:variant>
        <vt:lpwstr>_Toc409704137</vt:lpwstr>
      </vt:variant>
      <vt:variant>
        <vt:i4>1507388</vt:i4>
      </vt:variant>
      <vt:variant>
        <vt:i4>32</vt:i4>
      </vt:variant>
      <vt:variant>
        <vt:i4>0</vt:i4>
      </vt:variant>
      <vt:variant>
        <vt:i4>5</vt:i4>
      </vt:variant>
      <vt:variant>
        <vt:lpwstr/>
      </vt:variant>
      <vt:variant>
        <vt:lpwstr>_Toc409704136</vt:lpwstr>
      </vt:variant>
      <vt:variant>
        <vt:i4>1507388</vt:i4>
      </vt:variant>
      <vt:variant>
        <vt:i4>26</vt:i4>
      </vt:variant>
      <vt:variant>
        <vt:i4>0</vt:i4>
      </vt:variant>
      <vt:variant>
        <vt:i4>5</vt:i4>
      </vt:variant>
      <vt:variant>
        <vt:lpwstr/>
      </vt:variant>
      <vt:variant>
        <vt:lpwstr>_Toc409704135</vt:lpwstr>
      </vt:variant>
      <vt:variant>
        <vt:i4>1507388</vt:i4>
      </vt:variant>
      <vt:variant>
        <vt:i4>20</vt:i4>
      </vt:variant>
      <vt:variant>
        <vt:i4>0</vt:i4>
      </vt:variant>
      <vt:variant>
        <vt:i4>5</vt:i4>
      </vt:variant>
      <vt:variant>
        <vt:lpwstr/>
      </vt:variant>
      <vt:variant>
        <vt:lpwstr>_Toc409704134</vt:lpwstr>
      </vt:variant>
      <vt:variant>
        <vt:i4>1507388</vt:i4>
      </vt:variant>
      <vt:variant>
        <vt:i4>14</vt:i4>
      </vt:variant>
      <vt:variant>
        <vt:i4>0</vt:i4>
      </vt:variant>
      <vt:variant>
        <vt:i4>5</vt:i4>
      </vt:variant>
      <vt:variant>
        <vt:lpwstr/>
      </vt:variant>
      <vt:variant>
        <vt:lpwstr>_Toc409704133</vt:lpwstr>
      </vt:variant>
      <vt:variant>
        <vt:i4>1507388</vt:i4>
      </vt:variant>
      <vt:variant>
        <vt:i4>8</vt:i4>
      </vt:variant>
      <vt:variant>
        <vt:i4>0</vt:i4>
      </vt:variant>
      <vt:variant>
        <vt:i4>5</vt:i4>
      </vt:variant>
      <vt:variant>
        <vt:lpwstr/>
      </vt:variant>
      <vt:variant>
        <vt:lpwstr>_Toc409704132</vt:lpwstr>
      </vt:variant>
      <vt:variant>
        <vt:i4>1507388</vt:i4>
      </vt:variant>
      <vt:variant>
        <vt:i4>2</vt:i4>
      </vt:variant>
      <vt:variant>
        <vt:i4>0</vt:i4>
      </vt:variant>
      <vt:variant>
        <vt:i4>5</vt:i4>
      </vt:variant>
      <vt:variant>
        <vt:lpwstr/>
      </vt:variant>
      <vt:variant>
        <vt:lpwstr>_Toc409704131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更新的招募说明书</dc:subject>
  <dc:creator>杨敏</dc:creator>
  <cp:lastModifiedBy>陈红</cp:lastModifiedBy>
  <cp:revision>26</cp:revision>
  <cp:lastPrinted>2012-01-16T07:52:00Z</cp:lastPrinted>
  <dcterms:created xsi:type="dcterms:W3CDTF">2020-03-20T07:37:00Z</dcterms:created>
  <dcterms:modified xsi:type="dcterms:W3CDTF">2020-07-14T07:01:00Z</dcterms:modified>
</cp:coreProperties>
</file>