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A51B7" w14:textId="77777777" w:rsidR="00827272" w:rsidRPr="00D57825" w:rsidRDefault="009B6495" w:rsidP="00676A23">
      <w:pPr>
        <w:pStyle w:val="11"/>
        <w:spacing w:before="312" w:after="312" w:line="360" w:lineRule="auto"/>
        <w:ind w:firstLineChars="0" w:firstLine="0"/>
        <w:rPr>
          <w:rFonts w:ascii="Times New Roman" w:eastAsia="宋体" w:hAnsi="Times New Roman"/>
          <w:bCs/>
          <w:szCs w:val="24"/>
        </w:rPr>
      </w:pPr>
      <w:bookmarkStart w:id="0" w:name="_Toc309472334"/>
      <w:bookmarkStart w:id="1" w:name="_GoBack"/>
      <w:r w:rsidRPr="006E08DA">
        <w:rPr>
          <w:rFonts w:ascii="Times New Roman" w:eastAsia="宋体" w:hAnsi="Times New Roman" w:hint="eastAsia"/>
          <w:bCs/>
          <w:szCs w:val="24"/>
        </w:rPr>
        <w:t>关于</w:t>
      </w:r>
      <w:r w:rsidR="00F670C8">
        <w:rPr>
          <w:rFonts w:ascii="Times New Roman" w:eastAsia="宋体" w:hAnsi="Times New Roman" w:hint="eastAsia"/>
          <w:bCs/>
          <w:szCs w:val="24"/>
        </w:rPr>
        <w:t>易方达军工指数分级证券投资基金</w:t>
      </w:r>
      <w:r w:rsidRPr="006E08DA">
        <w:rPr>
          <w:rFonts w:ascii="Times New Roman" w:eastAsia="宋体" w:hAnsi="Times New Roman" w:hint="eastAsia"/>
          <w:bCs/>
          <w:szCs w:val="24"/>
        </w:rPr>
        <w:t>办理不定期份额折算业务</w:t>
      </w:r>
      <w:r w:rsidR="00676A23" w:rsidRPr="006E08DA">
        <w:rPr>
          <w:rFonts w:ascii="Times New Roman" w:eastAsia="宋体" w:hAnsi="Times New Roman" w:hint="eastAsia"/>
          <w:bCs/>
          <w:szCs w:val="24"/>
        </w:rPr>
        <w:t>的公告</w:t>
      </w:r>
      <w:bookmarkEnd w:id="0"/>
    </w:p>
    <w:p w14:paraId="48DDB1E5" w14:textId="77777777" w:rsidR="00827272" w:rsidRPr="006E08DA" w:rsidRDefault="00B224A5" w:rsidP="001D2AC0">
      <w:pPr>
        <w:spacing w:line="360" w:lineRule="auto"/>
        <w:ind w:firstLineChars="200" w:firstLine="480"/>
        <w:rPr>
          <w:rFonts w:ascii="Times New Roman" w:hAnsi="Times New Roman"/>
          <w:sz w:val="24"/>
          <w:szCs w:val="24"/>
        </w:rPr>
      </w:pPr>
      <w:r w:rsidRPr="006E08DA">
        <w:rPr>
          <w:rFonts w:ascii="Times New Roman" w:hAnsi="Times New Roman" w:hint="eastAsia"/>
          <w:sz w:val="24"/>
        </w:rPr>
        <w:t>根据《</w:t>
      </w:r>
      <w:r w:rsidR="00F670C8">
        <w:rPr>
          <w:rFonts w:ascii="Times New Roman" w:hAnsi="Times New Roman" w:hint="eastAsia"/>
          <w:sz w:val="24"/>
        </w:rPr>
        <w:t>易方达军工指数分级证券投资基金</w:t>
      </w:r>
      <w:r w:rsidRPr="006E08DA">
        <w:rPr>
          <w:rFonts w:ascii="Times New Roman" w:hAnsi="Times New Roman" w:hint="eastAsia"/>
          <w:sz w:val="24"/>
        </w:rPr>
        <w:t>基金合同》（以下简称“基金合同”）关于基金不定期份额折算的相关约定，当</w:t>
      </w:r>
      <w:r w:rsidR="00F670C8">
        <w:rPr>
          <w:rFonts w:ascii="Times New Roman" w:hAnsi="Times New Roman" w:hint="eastAsia"/>
          <w:sz w:val="24"/>
        </w:rPr>
        <w:t>易方达军工指数分级证券投资基金</w:t>
      </w:r>
      <w:r w:rsidRPr="006E08DA">
        <w:rPr>
          <w:rFonts w:ascii="Times New Roman" w:hAnsi="Times New Roman" w:hint="eastAsia"/>
          <w:sz w:val="24"/>
        </w:rPr>
        <w:t>（以下简称“本基金”）之</w:t>
      </w:r>
      <w:r w:rsidR="00F670C8">
        <w:rPr>
          <w:rFonts w:ascii="Times New Roman" w:hAnsi="Times New Roman" w:hint="eastAsia"/>
          <w:sz w:val="24"/>
        </w:rPr>
        <w:t>易方达军工分级份额</w:t>
      </w:r>
      <w:r w:rsidRPr="006E08DA">
        <w:rPr>
          <w:rFonts w:ascii="Times New Roman" w:hAnsi="Times New Roman" w:hint="eastAsia"/>
          <w:sz w:val="24"/>
        </w:rPr>
        <w:t>的基金份额净值</w:t>
      </w:r>
      <w:r w:rsidR="00174F04" w:rsidRPr="006E08DA">
        <w:rPr>
          <w:rFonts w:ascii="Times New Roman" w:hAnsi="Times New Roman" w:hint="eastAsia"/>
          <w:sz w:val="24"/>
        </w:rPr>
        <w:t>大</w:t>
      </w:r>
      <w:r w:rsidRPr="006E08DA">
        <w:rPr>
          <w:rFonts w:ascii="Times New Roman" w:hAnsi="Times New Roman" w:hint="eastAsia"/>
          <w:sz w:val="24"/>
        </w:rPr>
        <w:t>于</w:t>
      </w:r>
      <w:r w:rsidR="00174F04" w:rsidRPr="006E08DA">
        <w:rPr>
          <w:rFonts w:ascii="Times New Roman" w:hAnsi="Times New Roman"/>
          <w:sz w:val="24"/>
        </w:rPr>
        <w:t>1</w:t>
      </w:r>
      <w:r w:rsidRPr="006E08DA">
        <w:rPr>
          <w:rFonts w:ascii="Times New Roman" w:hAnsi="Times New Roman"/>
          <w:sz w:val="24"/>
        </w:rPr>
        <w:t>.500</w:t>
      </w:r>
      <w:r w:rsidR="00174F04" w:rsidRPr="006E08DA">
        <w:rPr>
          <w:rFonts w:ascii="Times New Roman" w:hAnsi="Times New Roman"/>
          <w:sz w:val="24"/>
        </w:rPr>
        <w:t>0</w:t>
      </w:r>
      <w:r w:rsidRPr="006E08DA">
        <w:rPr>
          <w:rFonts w:ascii="Times New Roman" w:hAnsi="Times New Roman" w:hint="eastAsia"/>
          <w:sz w:val="24"/>
        </w:rPr>
        <w:t>元时，</w:t>
      </w:r>
      <w:r w:rsidR="00F670C8">
        <w:rPr>
          <w:rFonts w:ascii="Times New Roman" w:hAnsi="Times New Roman" w:hint="eastAsia"/>
          <w:sz w:val="24"/>
        </w:rPr>
        <w:t>易方达军工分级份额</w:t>
      </w:r>
      <w:r w:rsidRPr="006E08DA">
        <w:rPr>
          <w:rFonts w:ascii="Times New Roman" w:hAnsi="Times New Roman" w:hint="eastAsia"/>
          <w:sz w:val="24"/>
        </w:rPr>
        <w:t>（</w:t>
      </w:r>
      <w:r w:rsidR="00F670C8" w:rsidRPr="00F670C8">
        <w:rPr>
          <w:rFonts w:ascii="Times New Roman" w:hAnsi="Times New Roman" w:hint="eastAsia"/>
          <w:sz w:val="24"/>
        </w:rPr>
        <w:t>场内简称：军工分级；场内代码</w:t>
      </w:r>
      <w:r w:rsidR="00F670C8" w:rsidRPr="00F670C8">
        <w:rPr>
          <w:rFonts w:ascii="Times New Roman" w:hAnsi="Times New Roman" w:hint="eastAsia"/>
          <w:sz w:val="24"/>
        </w:rPr>
        <w:t>502</w:t>
      </w:r>
      <w:r w:rsidR="00F670C8" w:rsidRPr="009A4FEB">
        <w:rPr>
          <w:rFonts w:ascii="Times New Roman" w:hAnsi="Times New Roman" w:hint="eastAsia"/>
          <w:sz w:val="24"/>
        </w:rPr>
        <w:t>003</w:t>
      </w:r>
      <w:r w:rsidR="00F670C8" w:rsidRPr="009A4FEB">
        <w:rPr>
          <w:rFonts w:ascii="Times New Roman" w:hAnsi="Times New Roman" w:hint="eastAsia"/>
          <w:sz w:val="24"/>
        </w:rPr>
        <w:t>，包括场外份额、场内份额</w:t>
      </w:r>
      <w:r w:rsidRPr="009A4FEB">
        <w:rPr>
          <w:rFonts w:ascii="Times New Roman" w:hAnsi="Times New Roman" w:hint="eastAsia"/>
          <w:sz w:val="24"/>
        </w:rPr>
        <w:t>）、</w:t>
      </w:r>
      <w:r w:rsidR="00F670C8" w:rsidRPr="009A4FEB">
        <w:rPr>
          <w:rFonts w:ascii="Times New Roman" w:hAnsi="Times New Roman" w:hint="eastAsia"/>
          <w:sz w:val="24"/>
        </w:rPr>
        <w:t>易</w:t>
      </w:r>
      <w:r w:rsidR="00F670C8">
        <w:rPr>
          <w:rFonts w:ascii="Times New Roman" w:hAnsi="Times New Roman" w:hint="eastAsia"/>
          <w:sz w:val="24"/>
        </w:rPr>
        <w:t>方达军工分级</w:t>
      </w:r>
      <w:r w:rsidR="00F670C8">
        <w:rPr>
          <w:rFonts w:ascii="Times New Roman" w:hAnsi="Times New Roman" w:hint="eastAsia"/>
          <w:sz w:val="24"/>
        </w:rPr>
        <w:t>A</w:t>
      </w:r>
      <w:r w:rsidR="00F670C8">
        <w:rPr>
          <w:rFonts w:ascii="Times New Roman" w:hAnsi="Times New Roman" w:hint="eastAsia"/>
          <w:sz w:val="24"/>
        </w:rPr>
        <w:t>类份额</w:t>
      </w:r>
      <w:r w:rsidRPr="006E08DA">
        <w:rPr>
          <w:rFonts w:ascii="Times New Roman" w:hAnsi="Times New Roman" w:hint="eastAsia"/>
          <w:sz w:val="24"/>
        </w:rPr>
        <w:t>（</w:t>
      </w:r>
      <w:r w:rsidR="00F670C8" w:rsidRPr="00F670C8">
        <w:rPr>
          <w:rFonts w:ascii="Times New Roman" w:hAnsi="Times New Roman" w:hint="eastAsia"/>
          <w:sz w:val="24"/>
        </w:rPr>
        <w:t>场内简称：军工</w:t>
      </w:r>
      <w:r w:rsidR="00F670C8" w:rsidRPr="00F670C8">
        <w:rPr>
          <w:rFonts w:ascii="Times New Roman" w:hAnsi="Times New Roman" w:hint="eastAsia"/>
          <w:sz w:val="24"/>
        </w:rPr>
        <w:t>A</w:t>
      </w:r>
      <w:r w:rsidR="00F670C8" w:rsidRPr="00F670C8">
        <w:rPr>
          <w:rFonts w:ascii="Times New Roman" w:hAnsi="Times New Roman" w:hint="eastAsia"/>
          <w:sz w:val="24"/>
        </w:rPr>
        <w:t>；场内代码</w:t>
      </w:r>
      <w:r w:rsidR="00F670C8" w:rsidRPr="00F670C8">
        <w:rPr>
          <w:rFonts w:ascii="Times New Roman" w:hAnsi="Times New Roman" w:hint="eastAsia"/>
          <w:sz w:val="24"/>
        </w:rPr>
        <w:t>502004</w:t>
      </w:r>
      <w:r w:rsidRPr="006E08DA">
        <w:rPr>
          <w:rFonts w:ascii="Times New Roman" w:hAnsi="Times New Roman" w:hint="eastAsia"/>
          <w:sz w:val="24"/>
        </w:rPr>
        <w:t>）、</w:t>
      </w:r>
      <w:r w:rsidR="00F670C8">
        <w:rPr>
          <w:rFonts w:ascii="Times New Roman" w:hAnsi="Times New Roman" w:hint="eastAsia"/>
          <w:sz w:val="24"/>
        </w:rPr>
        <w:t>易方达军工分级</w:t>
      </w:r>
      <w:r w:rsidR="00F670C8">
        <w:rPr>
          <w:rFonts w:ascii="Times New Roman" w:hAnsi="Times New Roman" w:hint="eastAsia"/>
          <w:sz w:val="24"/>
        </w:rPr>
        <w:t>B</w:t>
      </w:r>
      <w:r w:rsidR="00F670C8">
        <w:rPr>
          <w:rFonts w:ascii="Times New Roman" w:hAnsi="Times New Roman" w:hint="eastAsia"/>
          <w:sz w:val="24"/>
        </w:rPr>
        <w:t>类份额</w:t>
      </w:r>
      <w:r w:rsidRPr="006E08DA">
        <w:rPr>
          <w:rFonts w:ascii="Times New Roman" w:hAnsi="Times New Roman" w:hint="eastAsia"/>
          <w:sz w:val="24"/>
        </w:rPr>
        <w:t>（</w:t>
      </w:r>
      <w:r w:rsidR="00F670C8" w:rsidRPr="00F670C8">
        <w:rPr>
          <w:rFonts w:ascii="Times New Roman" w:hAnsi="Times New Roman" w:hint="eastAsia"/>
          <w:sz w:val="24"/>
        </w:rPr>
        <w:t>场内简称：军工</w:t>
      </w:r>
      <w:r w:rsidR="00F670C8" w:rsidRPr="00F670C8">
        <w:rPr>
          <w:rFonts w:ascii="Times New Roman" w:hAnsi="Times New Roman" w:hint="eastAsia"/>
          <w:sz w:val="24"/>
        </w:rPr>
        <w:t>B</w:t>
      </w:r>
      <w:r w:rsidR="00F670C8" w:rsidRPr="00F670C8">
        <w:rPr>
          <w:rFonts w:ascii="Times New Roman" w:hAnsi="Times New Roman" w:hint="eastAsia"/>
          <w:sz w:val="24"/>
        </w:rPr>
        <w:t>；场内代码</w:t>
      </w:r>
      <w:r w:rsidR="00F670C8" w:rsidRPr="00F670C8">
        <w:rPr>
          <w:rFonts w:ascii="Times New Roman" w:hAnsi="Times New Roman" w:hint="eastAsia"/>
          <w:sz w:val="24"/>
        </w:rPr>
        <w:t>502005</w:t>
      </w:r>
      <w:r w:rsidRPr="006E08DA">
        <w:rPr>
          <w:rFonts w:ascii="Times New Roman" w:hAnsi="Times New Roman" w:hint="eastAsia"/>
          <w:sz w:val="24"/>
        </w:rPr>
        <w:t>）将进行不定期份额折算。</w:t>
      </w:r>
    </w:p>
    <w:p w14:paraId="7BFE84EA" w14:textId="3E06F0C2" w:rsidR="001D2AC0" w:rsidRPr="00F663C2" w:rsidRDefault="001D2AC0" w:rsidP="001D2AC0">
      <w:pPr>
        <w:spacing w:line="360" w:lineRule="auto"/>
        <w:ind w:firstLineChars="200" w:firstLine="480"/>
        <w:rPr>
          <w:rFonts w:ascii="Times New Roman" w:hAnsi="Times New Roman"/>
          <w:sz w:val="24"/>
          <w:szCs w:val="24"/>
        </w:rPr>
      </w:pPr>
      <w:r w:rsidRPr="006E08DA">
        <w:rPr>
          <w:rFonts w:ascii="Times New Roman" w:hAnsi="Times New Roman" w:hint="eastAsia"/>
          <w:sz w:val="24"/>
          <w:szCs w:val="24"/>
        </w:rPr>
        <w:t>截</w:t>
      </w:r>
      <w:r w:rsidRPr="00F663C2">
        <w:rPr>
          <w:rFonts w:ascii="Times New Roman" w:hAnsi="Times New Roman" w:hint="eastAsia"/>
          <w:sz w:val="24"/>
          <w:szCs w:val="24"/>
        </w:rPr>
        <w:t>至</w:t>
      </w:r>
      <w:r w:rsidR="00F670C8">
        <w:rPr>
          <w:rFonts w:ascii="Times New Roman" w:hAnsi="Times New Roman"/>
          <w:sz w:val="24"/>
          <w:szCs w:val="24"/>
        </w:rPr>
        <w:t>2020</w:t>
      </w:r>
      <w:r w:rsidR="00F670C8">
        <w:rPr>
          <w:rFonts w:ascii="Times New Roman" w:hAnsi="Times New Roman"/>
          <w:sz w:val="24"/>
          <w:szCs w:val="24"/>
        </w:rPr>
        <w:t>年</w:t>
      </w:r>
      <w:r w:rsidR="008B34E4">
        <w:rPr>
          <w:rFonts w:ascii="Times New Roman" w:hAnsi="Times New Roman"/>
          <w:sz w:val="24"/>
          <w:szCs w:val="24"/>
        </w:rPr>
        <w:t>7</w:t>
      </w:r>
      <w:r w:rsidR="008B34E4">
        <w:rPr>
          <w:rFonts w:ascii="Times New Roman" w:hAnsi="Times New Roman"/>
          <w:sz w:val="24"/>
          <w:szCs w:val="24"/>
        </w:rPr>
        <w:t>月</w:t>
      </w:r>
      <w:r w:rsidR="006D47EF">
        <w:rPr>
          <w:rFonts w:ascii="Times New Roman" w:hAnsi="Times New Roman"/>
          <w:sz w:val="24"/>
          <w:szCs w:val="24"/>
        </w:rPr>
        <w:t>6</w:t>
      </w:r>
      <w:r w:rsidRPr="00F663C2">
        <w:rPr>
          <w:rFonts w:ascii="Times New Roman" w:hAnsi="Times New Roman" w:hint="eastAsia"/>
          <w:sz w:val="24"/>
          <w:szCs w:val="24"/>
        </w:rPr>
        <w:t>日</w:t>
      </w:r>
      <w:r w:rsidRPr="006E08DA">
        <w:rPr>
          <w:rFonts w:ascii="Times New Roman" w:hAnsi="Times New Roman" w:hint="eastAsia"/>
          <w:sz w:val="24"/>
          <w:szCs w:val="24"/>
        </w:rPr>
        <w:t>日终，</w:t>
      </w:r>
      <w:r w:rsidR="00F670C8">
        <w:rPr>
          <w:rFonts w:ascii="Times New Roman" w:hAnsi="Times New Roman" w:hint="eastAsia"/>
          <w:sz w:val="24"/>
        </w:rPr>
        <w:t>易方达军工分级份额</w:t>
      </w:r>
      <w:r w:rsidR="00F80974" w:rsidRPr="006E08DA">
        <w:rPr>
          <w:rFonts w:ascii="Times New Roman" w:hAnsi="Times New Roman" w:hint="eastAsia"/>
          <w:sz w:val="24"/>
          <w:szCs w:val="24"/>
        </w:rPr>
        <w:t>的基金份额净值为</w:t>
      </w:r>
      <w:r w:rsidR="00452755">
        <w:rPr>
          <w:rFonts w:ascii="Times New Roman" w:hAnsi="Times New Roman"/>
          <w:sz w:val="24"/>
          <w:szCs w:val="24"/>
        </w:rPr>
        <w:t>1.5003</w:t>
      </w:r>
      <w:r w:rsidRPr="006E08DA">
        <w:rPr>
          <w:rFonts w:ascii="Times New Roman" w:hAnsi="Times New Roman" w:hint="eastAsia"/>
          <w:sz w:val="24"/>
          <w:szCs w:val="24"/>
        </w:rPr>
        <w:t>元，达到</w:t>
      </w:r>
      <w:r w:rsidR="004C3A22" w:rsidRPr="006E08DA">
        <w:rPr>
          <w:rFonts w:ascii="Times New Roman" w:hAnsi="Times New Roman" w:hint="eastAsia"/>
          <w:sz w:val="24"/>
          <w:szCs w:val="24"/>
        </w:rPr>
        <w:t>上述</w:t>
      </w:r>
      <w:r w:rsidRPr="006E08DA">
        <w:rPr>
          <w:rFonts w:ascii="Times New Roman" w:hAnsi="Times New Roman" w:hint="eastAsia"/>
          <w:sz w:val="24"/>
          <w:szCs w:val="24"/>
        </w:rPr>
        <w:t>办理不定期份额折算业务的条件。根据基金合同的约定，以及</w:t>
      </w:r>
      <w:r w:rsidR="009F2CE3" w:rsidRPr="006E08DA">
        <w:rPr>
          <w:rFonts w:ascii="Times New Roman" w:hAnsi="Times New Roman" w:hint="eastAsia"/>
          <w:sz w:val="24"/>
          <w:szCs w:val="24"/>
        </w:rPr>
        <w:t>上海证券交易所</w:t>
      </w:r>
      <w:r w:rsidRPr="006E08DA">
        <w:rPr>
          <w:rFonts w:ascii="Times New Roman" w:hAnsi="Times New Roman" w:hint="eastAsia"/>
          <w:sz w:val="24"/>
          <w:szCs w:val="24"/>
        </w:rPr>
        <w:t>、中国证券登记结算有限责任公司的相关业务规定，本基金</w:t>
      </w:r>
      <w:r w:rsidRPr="00F663C2">
        <w:rPr>
          <w:rFonts w:ascii="Times New Roman" w:hAnsi="Times New Roman" w:hint="eastAsia"/>
          <w:sz w:val="24"/>
          <w:szCs w:val="24"/>
        </w:rPr>
        <w:t>将以</w:t>
      </w:r>
      <w:r w:rsidR="006F7629">
        <w:rPr>
          <w:rFonts w:ascii="Times New Roman" w:hAnsi="Times New Roman"/>
          <w:sz w:val="24"/>
          <w:szCs w:val="24"/>
        </w:rPr>
        <w:t>2020</w:t>
      </w:r>
      <w:r w:rsidR="006F7629">
        <w:rPr>
          <w:rFonts w:ascii="Times New Roman" w:hAnsi="Times New Roman"/>
          <w:sz w:val="24"/>
          <w:szCs w:val="24"/>
        </w:rPr>
        <w:t>年</w:t>
      </w:r>
      <w:r w:rsidR="006F7629">
        <w:rPr>
          <w:rFonts w:ascii="Times New Roman" w:hAnsi="Times New Roman"/>
          <w:sz w:val="24"/>
          <w:szCs w:val="24"/>
        </w:rPr>
        <w:t>7</w:t>
      </w:r>
      <w:r w:rsidR="006F7629">
        <w:rPr>
          <w:rFonts w:ascii="Times New Roman" w:hAnsi="Times New Roman"/>
          <w:sz w:val="24"/>
          <w:szCs w:val="24"/>
        </w:rPr>
        <w:t>月</w:t>
      </w:r>
      <w:r w:rsidR="006F7629">
        <w:rPr>
          <w:rFonts w:ascii="Times New Roman" w:hAnsi="Times New Roman"/>
          <w:sz w:val="24"/>
          <w:szCs w:val="24"/>
        </w:rPr>
        <w:t>7</w:t>
      </w:r>
      <w:r w:rsidR="006F7629">
        <w:rPr>
          <w:rFonts w:ascii="Times New Roman" w:hAnsi="Times New Roman"/>
          <w:sz w:val="24"/>
          <w:szCs w:val="24"/>
        </w:rPr>
        <w:t>日</w:t>
      </w:r>
      <w:r w:rsidRPr="00F663C2">
        <w:rPr>
          <w:rFonts w:ascii="Times New Roman" w:hAnsi="Times New Roman" w:hint="eastAsia"/>
          <w:sz w:val="24"/>
          <w:szCs w:val="24"/>
        </w:rPr>
        <w:t>作为基金份额折算基准日，办理不定期份额折算业务。</w:t>
      </w:r>
    </w:p>
    <w:p w14:paraId="6E3E0655" w14:textId="77777777" w:rsidR="001D2AC0" w:rsidRPr="006E08DA" w:rsidRDefault="001D2AC0" w:rsidP="001D2AC0">
      <w:pPr>
        <w:spacing w:line="360" w:lineRule="auto"/>
        <w:ind w:firstLineChars="200" w:firstLine="480"/>
        <w:rPr>
          <w:rFonts w:ascii="Times New Roman" w:hAnsi="Times New Roman"/>
          <w:sz w:val="24"/>
          <w:szCs w:val="24"/>
        </w:rPr>
      </w:pPr>
      <w:r w:rsidRPr="00F663C2">
        <w:rPr>
          <w:rFonts w:ascii="Times New Roman" w:hAnsi="Times New Roman" w:hint="eastAsia"/>
          <w:sz w:val="24"/>
          <w:szCs w:val="24"/>
        </w:rPr>
        <w:t>相关事项公告如下：</w:t>
      </w:r>
    </w:p>
    <w:p w14:paraId="5C85D87F" w14:textId="77777777" w:rsidR="00F23E16" w:rsidRPr="006E08DA" w:rsidRDefault="00F23E16" w:rsidP="001D2AC0">
      <w:pPr>
        <w:spacing w:line="360" w:lineRule="auto"/>
        <w:ind w:firstLineChars="200" w:firstLine="480"/>
        <w:rPr>
          <w:rFonts w:ascii="Times New Roman" w:hAnsi="Times New Roman"/>
          <w:sz w:val="24"/>
          <w:szCs w:val="24"/>
        </w:rPr>
      </w:pPr>
    </w:p>
    <w:p w14:paraId="15CF7674" w14:textId="77777777" w:rsidR="00D923AA" w:rsidRPr="006E08DA" w:rsidRDefault="00D923AA" w:rsidP="00D923AA">
      <w:pPr>
        <w:spacing w:line="360" w:lineRule="auto"/>
        <w:ind w:firstLineChars="200" w:firstLine="480"/>
        <w:rPr>
          <w:rFonts w:ascii="Times New Roman" w:hAnsi="Times New Roman"/>
          <w:sz w:val="24"/>
          <w:szCs w:val="24"/>
        </w:rPr>
      </w:pPr>
      <w:r w:rsidRPr="006E08DA">
        <w:rPr>
          <w:rFonts w:ascii="Times New Roman" w:hAnsi="Times New Roman" w:hint="eastAsia"/>
          <w:sz w:val="24"/>
          <w:szCs w:val="24"/>
        </w:rPr>
        <w:t>一、</w:t>
      </w:r>
      <w:r w:rsidR="00827272" w:rsidRPr="006E08DA">
        <w:rPr>
          <w:rFonts w:ascii="Times New Roman" w:hAnsi="Times New Roman"/>
          <w:sz w:val="24"/>
          <w:szCs w:val="24"/>
        </w:rPr>
        <w:t>基金份额折算基准日</w:t>
      </w:r>
    </w:p>
    <w:p w14:paraId="52FFEC59" w14:textId="26091C0B" w:rsidR="00827272" w:rsidRPr="00F663C2" w:rsidRDefault="00D923AA" w:rsidP="00D923AA">
      <w:pPr>
        <w:spacing w:line="360" w:lineRule="auto"/>
        <w:ind w:firstLineChars="200" w:firstLine="480"/>
        <w:rPr>
          <w:rFonts w:ascii="Times New Roman" w:hAnsi="Times New Roman"/>
          <w:sz w:val="24"/>
          <w:szCs w:val="24"/>
        </w:rPr>
      </w:pPr>
      <w:r w:rsidRPr="006E08DA">
        <w:rPr>
          <w:rFonts w:ascii="Times New Roman" w:hAnsi="Times New Roman" w:hint="eastAsia"/>
          <w:sz w:val="24"/>
          <w:szCs w:val="24"/>
        </w:rPr>
        <w:t>本次不定期份额折算的基准</w:t>
      </w:r>
      <w:r w:rsidRPr="00F663C2">
        <w:rPr>
          <w:rFonts w:ascii="Times New Roman" w:hAnsi="Times New Roman" w:hint="eastAsia"/>
          <w:sz w:val="24"/>
          <w:szCs w:val="24"/>
        </w:rPr>
        <w:t>日为</w:t>
      </w:r>
      <w:r w:rsidR="006F7629">
        <w:rPr>
          <w:rFonts w:ascii="Times New Roman" w:hAnsi="Times New Roman"/>
          <w:sz w:val="24"/>
          <w:szCs w:val="24"/>
        </w:rPr>
        <w:t>2020</w:t>
      </w:r>
      <w:r w:rsidR="006F7629">
        <w:rPr>
          <w:rFonts w:ascii="Times New Roman" w:hAnsi="Times New Roman"/>
          <w:sz w:val="24"/>
          <w:szCs w:val="24"/>
        </w:rPr>
        <w:t>年</w:t>
      </w:r>
      <w:r w:rsidR="006F7629">
        <w:rPr>
          <w:rFonts w:ascii="Times New Roman" w:hAnsi="Times New Roman"/>
          <w:sz w:val="24"/>
          <w:szCs w:val="24"/>
        </w:rPr>
        <w:t>7</w:t>
      </w:r>
      <w:r w:rsidR="006F7629">
        <w:rPr>
          <w:rFonts w:ascii="Times New Roman" w:hAnsi="Times New Roman"/>
          <w:sz w:val="24"/>
          <w:szCs w:val="24"/>
        </w:rPr>
        <w:t>月</w:t>
      </w:r>
      <w:r w:rsidR="006F7629">
        <w:rPr>
          <w:rFonts w:ascii="Times New Roman" w:hAnsi="Times New Roman"/>
          <w:sz w:val="24"/>
          <w:szCs w:val="24"/>
        </w:rPr>
        <w:t>7</w:t>
      </w:r>
      <w:r w:rsidR="006F7629">
        <w:rPr>
          <w:rFonts w:ascii="Times New Roman" w:hAnsi="Times New Roman"/>
          <w:sz w:val="24"/>
          <w:szCs w:val="24"/>
        </w:rPr>
        <w:t>日</w:t>
      </w:r>
      <w:r w:rsidR="00827272" w:rsidRPr="00F663C2">
        <w:rPr>
          <w:rFonts w:ascii="Times New Roman" w:hAnsi="Times New Roman"/>
          <w:sz w:val="24"/>
          <w:szCs w:val="24"/>
        </w:rPr>
        <w:t>。</w:t>
      </w:r>
    </w:p>
    <w:p w14:paraId="3F1AF29E" w14:textId="77777777" w:rsidR="00F23E16" w:rsidRPr="00F670C8" w:rsidRDefault="00F23E16" w:rsidP="001D2AC0">
      <w:pPr>
        <w:spacing w:line="360" w:lineRule="auto"/>
        <w:ind w:firstLineChars="200" w:firstLine="480"/>
        <w:rPr>
          <w:rFonts w:ascii="Times New Roman" w:hAnsi="Times New Roman"/>
          <w:sz w:val="24"/>
          <w:szCs w:val="24"/>
        </w:rPr>
      </w:pPr>
    </w:p>
    <w:p w14:paraId="07DA5A8A" w14:textId="77777777" w:rsidR="00827272" w:rsidRPr="006E08DA" w:rsidRDefault="00D923AA" w:rsidP="001D2AC0">
      <w:pPr>
        <w:spacing w:line="360" w:lineRule="auto"/>
        <w:ind w:firstLineChars="200" w:firstLine="480"/>
        <w:rPr>
          <w:rFonts w:ascii="Times New Roman" w:hAnsi="Times New Roman"/>
          <w:sz w:val="24"/>
          <w:szCs w:val="24"/>
        </w:rPr>
      </w:pPr>
      <w:r w:rsidRPr="00F663C2">
        <w:rPr>
          <w:rFonts w:ascii="Times New Roman" w:hAnsi="Times New Roman" w:hint="eastAsia"/>
          <w:sz w:val="24"/>
          <w:szCs w:val="24"/>
        </w:rPr>
        <w:t>二、</w:t>
      </w:r>
      <w:r w:rsidR="00827272" w:rsidRPr="00F663C2">
        <w:rPr>
          <w:rFonts w:ascii="Times New Roman" w:hAnsi="Times New Roman"/>
          <w:sz w:val="24"/>
          <w:szCs w:val="24"/>
        </w:rPr>
        <w:t>基金份额折算对象</w:t>
      </w:r>
    </w:p>
    <w:p w14:paraId="5ED00A04" w14:textId="65CC49E7" w:rsidR="00827272" w:rsidRPr="006E08DA" w:rsidRDefault="004C3A22" w:rsidP="001D2AC0">
      <w:pPr>
        <w:spacing w:line="360" w:lineRule="auto"/>
        <w:ind w:firstLineChars="200" w:firstLine="480"/>
        <w:rPr>
          <w:rFonts w:ascii="Times New Roman" w:hAnsi="Times New Roman"/>
          <w:sz w:val="24"/>
          <w:szCs w:val="24"/>
        </w:rPr>
      </w:pPr>
      <w:r w:rsidRPr="006E08DA">
        <w:rPr>
          <w:rFonts w:ascii="Times New Roman" w:hAnsi="Times New Roman"/>
          <w:sz w:val="24"/>
          <w:szCs w:val="24"/>
        </w:rPr>
        <w:t>基金份额折算基准日登记在册的</w:t>
      </w:r>
      <w:r w:rsidR="00F670C8">
        <w:rPr>
          <w:rFonts w:ascii="Times New Roman" w:hAnsi="Times New Roman" w:hint="eastAsia"/>
          <w:sz w:val="24"/>
        </w:rPr>
        <w:t>易方达军工分级</w:t>
      </w:r>
      <w:r w:rsidR="00F670C8">
        <w:rPr>
          <w:rFonts w:ascii="Times New Roman" w:hAnsi="Times New Roman" w:hint="eastAsia"/>
          <w:sz w:val="24"/>
        </w:rPr>
        <w:t>A</w:t>
      </w:r>
      <w:r w:rsidR="00F670C8">
        <w:rPr>
          <w:rFonts w:ascii="Times New Roman" w:hAnsi="Times New Roman" w:hint="eastAsia"/>
          <w:sz w:val="24"/>
        </w:rPr>
        <w:t>类份额</w:t>
      </w:r>
      <w:r w:rsidR="00827272" w:rsidRPr="006E08DA">
        <w:rPr>
          <w:rFonts w:ascii="Times New Roman" w:hAnsi="Times New Roman"/>
          <w:sz w:val="24"/>
          <w:szCs w:val="24"/>
        </w:rPr>
        <w:t>、</w:t>
      </w:r>
      <w:r w:rsidR="00F670C8">
        <w:rPr>
          <w:rFonts w:ascii="Times New Roman" w:hAnsi="Times New Roman" w:hint="eastAsia"/>
          <w:sz w:val="24"/>
        </w:rPr>
        <w:t>易方达军工分级</w:t>
      </w:r>
      <w:r w:rsidR="00F670C8">
        <w:rPr>
          <w:rFonts w:ascii="Times New Roman" w:hAnsi="Times New Roman" w:hint="eastAsia"/>
          <w:sz w:val="24"/>
        </w:rPr>
        <w:t>B</w:t>
      </w:r>
      <w:r w:rsidR="00F670C8">
        <w:rPr>
          <w:rFonts w:ascii="Times New Roman" w:hAnsi="Times New Roman" w:hint="eastAsia"/>
          <w:sz w:val="24"/>
        </w:rPr>
        <w:t>类份额</w:t>
      </w:r>
      <w:r w:rsidR="00827272" w:rsidRPr="006E08DA">
        <w:rPr>
          <w:rFonts w:ascii="Times New Roman" w:hAnsi="Times New Roman"/>
          <w:sz w:val="24"/>
          <w:szCs w:val="24"/>
        </w:rPr>
        <w:t>与</w:t>
      </w:r>
      <w:r w:rsidR="00F670C8">
        <w:rPr>
          <w:rFonts w:ascii="Times New Roman" w:hAnsi="Times New Roman" w:hint="eastAsia"/>
          <w:sz w:val="24"/>
        </w:rPr>
        <w:t>易方达军工分级份额</w:t>
      </w:r>
      <w:r w:rsidR="00703A66">
        <w:rPr>
          <w:rFonts w:ascii="Times New Roman" w:hAnsi="Times New Roman" w:hint="eastAsia"/>
          <w:sz w:val="24"/>
        </w:rPr>
        <w:t>（</w:t>
      </w:r>
      <w:r w:rsidR="00703A66">
        <w:rPr>
          <w:rFonts w:hint="eastAsia"/>
          <w:sz w:val="24"/>
          <w:szCs w:val="24"/>
        </w:rPr>
        <w:t>包括</w:t>
      </w:r>
      <w:r w:rsidR="00703A66">
        <w:rPr>
          <w:rFonts w:hAnsi="Times New Roman" w:hint="eastAsia"/>
          <w:sz w:val="24"/>
          <w:szCs w:val="24"/>
        </w:rPr>
        <w:t>场外份额、场内份额</w:t>
      </w:r>
      <w:r w:rsidR="00703A66">
        <w:rPr>
          <w:rFonts w:ascii="Times New Roman" w:hAnsi="Times New Roman" w:hint="eastAsia"/>
          <w:sz w:val="24"/>
        </w:rPr>
        <w:t>）</w:t>
      </w:r>
      <w:r w:rsidR="00827272" w:rsidRPr="006E08DA">
        <w:rPr>
          <w:rFonts w:ascii="Times New Roman" w:hAnsi="Times New Roman"/>
          <w:sz w:val="24"/>
          <w:szCs w:val="24"/>
        </w:rPr>
        <w:t>。</w:t>
      </w:r>
    </w:p>
    <w:p w14:paraId="6E1D29E5" w14:textId="77777777" w:rsidR="00F23E16" w:rsidRPr="006E08DA" w:rsidRDefault="00F23E16" w:rsidP="001D2AC0">
      <w:pPr>
        <w:spacing w:line="360" w:lineRule="auto"/>
        <w:ind w:firstLineChars="200" w:firstLine="480"/>
        <w:rPr>
          <w:rFonts w:ascii="Times New Roman" w:hAnsi="Times New Roman"/>
          <w:sz w:val="24"/>
          <w:szCs w:val="24"/>
        </w:rPr>
      </w:pPr>
    </w:p>
    <w:p w14:paraId="6FDD2C5A" w14:textId="77777777" w:rsidR="00827272" w:rsidRPr="006E08DA" w:rsidRDefault="00D923AA" w:rsidP="001D2AC0">
      <w:pPr>
        <w:spacing w:line="360" w:lineRule="auto"/>
        <w:ind w:firstLineChars="200" w:firstLine="480"/>
        <w:rPr>
          <w:rFonts w:ascii="Times New Roman" w:hAnsi="Times New Roman"/>
          <w:sz w:val="24"/>
          <w:szCs w:val="24"/>
        </w:rPr>
      </w:pPr>
      <w:r w:rsidRPr="006E08DA">
        <w:rPr>
          <w:rFonts w:ascii="Times New Roman" w:hAnsi="Times New Roman" w:hint="eastAsia"/>
          <w:sz w:val="24"/>
          <w:szCs w:val="24"/>
        </w:rPr>
        <w:t>三、</w:t>
      </w:r>
      <w:r w:rsidR="00827272" w:rsidRPr="006E08DA">
        <w:rPr>
          <w:rFonts w:ascii="Times New Roman" w:hAnsi="Times New Roman"/>
          <w:sz w:val="24"/>
          <w:szCs w:val="24"/>
        </w:rPr>
        <w:t>基金份额折算方式</w:t>
      </w:r>
    </w:p>
    <w:p w14:paraId="12FB63C5" w14:textId="62D07CA5" w:rsidR="00827272" w:rsidRPr="00036602" w:rsidRDefault="00036602" w:rsidP="001D2AC0">
      <w:pPr>
        <w:spacing w:line="360" w:lineRule="auto"/>
        <w:ind w:firstLineChars="200" w:firstLine="480"/>
        <w:rPr>
          <w:rFonts w:asciiTheme="minorEastAsia" w:eastAsiaTheme="minorEastAsia" w:hAnsiTheme="minorEastAsia"/>
          <w:sz w:val="24"/>
          <w:szCs w:val="24"/>
        </w:rPr>
      </w:pPr>
      <w:r w:rsidRPr="00036602">
        <w:rPr>
          <w:rFonts w:asciiTheme="minorEastAsia" w:eastAsiaTheme="minorEastAsia" w:hAnsiTheme="minorEastAsia" w:cs="楷体_GB2312" w:hint="eastAsia"/>
          <w:kern w:val="0"/>
          <w:sz w:val="24"/>
          <w:szCs w:val="24"/>
        </w:rPr>
        <w:t>折算前后，</w:t>
      </w:r>
      <w:r w:rsidR="007F34D3">
        <w:rPr>
          <w:rFonts w:asciiTheme="minorEastAsia" w:eastAsiaTheme="minorEastAsia" w:hAnsiTheme="minorEastAsia" w:cs="楷体_GB2312" w:hint="eastAsia"/>
          <w:kern w:val="0"/>
          <w:sz w:val="24"/>
          <w:szCs w:val="24"/>
        </w:rPr>
        <w:t>易方达军工分级A类份额</w:t>
      </w:r>
      <w:r w:rsidRPr="00036602">
        <w:rPr>
          <w:rFonts w:asciiTheme="minorEastAsia" w:eastAsiaTheme="minorEastAsia" w:hAnsiTheme="minorEastAsia" w:cs="楷体_GB2312" w:hint="eastAsia"/>
          <w:kern w:val="0"/>
          <w:sz w:val="24"/>
          <w:szCs w:val="24"/>
        </w:rPr>
        <w:t>的份额数量保持不变，且</w:t>
      </w:r>
      <w:r w:rsidR="007F34D3">
        <w:rPr>
          <w:rFonts w:asciiTheme="minorEastAsia" w:eastAsiaTheme="minorEastAsia" w:hAnsiTheme="minorEastAsia" w:cs="楷体_GB2312" w:hint="eastAsia"/>
          <w:kern w:val="0"/>
          <w:sz w:val="24"/>
          <w:szCs w:val="24"/>
        </w:rPr>
        <w:t>易方达军工分级A类份额</w:t>
      </w:r>
      <w:r w:rsidRPr="00036602">
        <w:rPr>
          <w:rFonts w:asciiTheme="minorEastAsia" w:eastAsiaTheme="minorEastAsia" w:hAnsiTheme="minorEastAsia" w:cs="楷体_GB2312" w:hint="eastAsia"/>
          <w:kern w:val="0"/>
          <w:sz w:val="24"/>
          <w:szCs w:val="24"/>
        </w:rPr>
        <w:t>与</w:t>
      </w:r>
      <w:r w:rsidR="007F34D3">
        <w:rPr>
          <w:rFonts w:asciiTheme="minorEastAsia" w:eastAsiaTheme="minorEastAsia" w:hAnsiTheme="minorEastAsia" w:cs="楷体_GB2312" w:hint="eastAsia"/>
          <w:kern w:val="0"/>
          <w:sz w:val="24"/>
          <w:szCs w:val="24"/>
        </w:rPr>
        <w:t>易方达军工分级B类份额</w:t>
      </w:r>
      <w:r w:rsidRPr="00036602">
        <w:rPr>
          <w:rFonts w:asciiTheme="minorEastAsia" w:eastAsiaTheme="minorEastAsia" w:hAnsiTheme="minorEastAsia" w:cs="楷体_GB2312" w:hint="eastAsia"/>
          <w:kern w:val="0"/>
          <w:sz w:val="24"/>
          <w:szCs w:val="24"/>
        </w:rPr>
        <w:t>始终保持1:1的基金份额配比。折算完成后，</w:t>
      </w:r>
      <w:r w:rsidR="007F34D3">
        <w:rPr>
          <w:rFonts w:asciiTheme="minorEastAsia" w:eastAsiaTheme="minorEastAsia" w:hAnsiTheme="minorEastAsia" w:cs="楷体_GB2312" w:hint="eastAsia"/>
          <w:kern w:val="0"/>
          <w:sz w:val="24"/>
          <w:szCs w:val="24"/>
        </w:rPr>
        <w:t>易方达军工分级A类份额</w:t>
      </w:r>
      <w:r w:rsidRPr="00036602">
        <w:rPr>
          <w:rFonts w:asciiTheme="minorEastAsia" w:eastAsiaTheme="minorEastAsia" w:hAnsiTheme="minorEastAsia" w:cs="楷体_GB2312" w:hint="eastAsia"/>
          <w:kern w:val="0"/>
          <w:sz w:val="24"/>
          <w:szCs w:val="24"/>
        </w:rPr>
        <w:t>与</w:t>
      </w:r>
      <w:r w:rsidR="007F34D3">
        <w:rPr>
          <w:rFonts w:asciiTheme="minorEastAsia" w:eastAsiaTheme="minorEastAsia" w:hAnsiTheme="minorEastAsia" w:cs="楷体_GB2312" w:hint="eastAsia"/>
          <w:kern w:val="0"/>
          <w:sz w:val="24"/>
          <w:szCs w:val="24"/>
        </w:rPr>
        <w:t>易方达军工分级B类份额</w:t>
      </w:r>
      <w:r w:rsidRPr="00036602">
        <w:rPr>
          <w:rFonts w:asciiTheme="minorEastAsia" w:eastAsiaTheme="minorEastAsia" w:hAnsiTheme="minorEastAsia" w:cs="楷体_GB2312" w:hint="eastAsia"/>
          <w:kern w:val="0"/>
          <w:sz w:val="24"/>
          <w:szCs w:val="24"/>
        </w:rPr>
        <w:t>的基金份额参考净值、</w:t>
      </w:r>
      <w:r w:rsidR="00703A66" w:rsidRPr="00703A66">
        <w:rPr>
          <w:rFonts w:asciiTheme="minorEastAsia" w:eastAsiaTheme="minorEastAsia" w:hAnsiTheme="minorEastAsia" w:cs="楷体_GB2312" w:hint="eastAsia"/>
          <w:kern w:val="0"/>
          <w:sz w:val="24"/>
          <w:szCs w:val="24"/>
        </w:rPr>
        <w:t>易方达军工分级份额</w:t>
      </w:r>
      <w:r w:rsidRPr="00036602">
        <w:rPr>
          <w:rFonts w:asciiTheme="minorEastAsia" w:eastAsiaTheme="minorEastAsia" w:hAnsiTheme="minorEastAsia" w:cs="楷体_GB2312" w:hint="eastAsia"/>
          <w:kern w:val="0"/>
          <w:sz w:val="24"/>
          <w:szCs w:val="24"/>
        </w:rPr>
        <w:t>的基金份额净值均调整为1.0000元。</w:t>
      </w:r>
    </w:p>
    <w:p w14:paraId="512F45C5" w14:textId="77777777" w:rsidR="00036602" w:rsidRPr="00036602" w:rsidRDefault="00036602" w:rsidP="00036602">
      <w:pPr>
        <w:spacing w:line="360" w:lineRule="auto"/>
        <w:ind w:firstLineChars="200" w:firstLine="480"/>
        <w:rPr>
          <w:rFonts w:asciiTheme="minorEastAsia" w:eastAsiaTheme="minorEastAsia" w:hAnsiTheme="minorEastAsia"/>
          <w:sz w:val="24"/>
          <w:szCs w:val="24"/>
        </w:rPr>
      </w:pPr>
      <w:r w:rsidRPr="00036602">
        <w:rPr>
          <w:rFonts w:asciiTheme="minorEastAsia" w:eastAsiaTheme="minorEastAsia" w:hAnsiTheme="minorEastAsia"/>
          <w:sz w:val="24"/>
          <w:szCs w:val="24"/>
        </w:rPr>
        <w:lastRenderedPageBreak/>
        <w:t>具体计算公式如下：</w:t>
      </w:r>
    </w:p>
    <w:p w14:paraId="1D94822A" w14:textId="77777777" w:rsidR="00036602" w:rsidRPr="006678D6" w:rsidRDefault="00036602" w:rsidP="00036602">
      <w:pPr>
        <w:spacing w:line="360" w:lineRule="auto"/>
        <w:ind w:firstLineChars="200" w:firstLine="480"/>
        <w:rPr>
          <w:rFonts w:asciiTheme="minorEastAsia" w:eastAsiaTheme="minorEastAsia" w:hAnsiTheme="minorEastAsia"/>
          <w:sz w:val="24"/>
          <w:szCs w:val="24"/>
        </w:rPr>
      </w:pPr>
      <w:r w:rsidRPr="006678D6">
        <w:rPr>
          <w:rFonts w:asciiTheme="minorEastAsia" w:eastAsiaTheme="minorEastAsia" w:hAnsiTheme="minorEastAsia"/>
          <w:sz w:val="24"/>
          <w:szCs w:val="24"/>
        </w:rPr>
        <w:t>1</w:t>
      </w:r>
      <w:r w:rsidRPr="006678D6">
        <w:rPr>
          <w:rFonts w:asciiTheme="minorEastAsia" w:eastAsiaTheme="minorEastAsia" w:hAnsiTheme="minorEastAsia" w:hint="eastAsia"/>
          <w:sz w:val="24"/>
          <w:szCs w:val="24"/>
        </w:rPr>
        <w:t>、易方达军工分级A类份额</w:t>
      </w:r>
    </w:p>
    <w:p w14:paraId="655258CD" w14:textId="78307B06" w:rsidR="00036602" w:rsidRPr="006678D6" w:rsidRDefault="00036602" w:rsidP="00036602">
      <w:pPr>
        <w:spacing w:line="360" w:lineRule="auto"/>
        <w:ind w:firstLineChars="200" w:firstLine="480"/>
        <w:rPr>
          <w:rFonts w:asciiTheme="minorEastAsia" w:eastAsiaTheme="minorEastAsia" w:hAnsiTheme="minorEastAsia"/>
          <w:sz w:val="24"/>
          <w:szCs w:val="24"/>
        </w:rPr>
      </w:pPr>
      <w:r w:rsidRPr="006678D6">
        <w:rPr>
          <w:rFonts w:asciiTheme="minorEastAsia" w:eastAsiaTheme="minorEastAsia" w:hAnsiTheme="minorEastAsia" w:hint="eastAsia"/>
          <w:sz w:val="24"/>
          <w:szCs w:val="24"/>
        </w:rPr>
        <w:t>折算前后易方达军工分级A类份额的份额数</w:t>
      </w:r>
      <w:r w:rsidR="00703A66">
        <w:rPr>
          <w:rFonts w:asciiTheme="minorEastAsia" w:eastAsiaTheme="minorEastAsia" w:hAnsiTheme="minorEastAsia" w:hint="eastAsia"/>
          <w:sz w:val="24"/>
          <w:szCs w:val="24"/>
        </w:rPr>
        <w:t>量</w:t>
      </w:r>
      <w:r w:rsidRPr="006678D6">
        <w:rPr>
          <w:rFonts w:asciiTheme="minorEastAsia" w:eastAsiaTheme="minorEastAsia" w:hAnsiTheme="minorEastAsia" w:hint="eastAsia"/>
          <w:sz w:val="24"/>
          <w:szCs w:val="24"/>
        </w:rPr>
        <w:t>相等。</w:t>
      </w:r>
    </w:p>
    <w:p w14:paraId="23259E9F" w14:textId="77777777" w:rsidR="00036602" w:rsidRPr="006678D6" w:rsidRDefault="00036602" w:rsidP="00036602">
      <w:pPr>
        <w:spacing w:line="360" w:lineRule="auto"/>
        <w:ind w:firstLineChars="200" w:firstLine="480"/>
        <w:rPr>
          <w:rFonts w:asciiTheme="minorEastAsia" w:eastAsiaTheme="minorEastAsia" w:hAnsiTheme="minorEastAsia"/>
          <w:sz w:val="24"/>
          <w:szCs w:val="24"/>
        </w:rPr>
      </w:pPr>
      <w:r w:rsidRPr="006678D6">
        <w:rPr>
          <w:rFonts w:asciiTheme="minorEastAsia" w:eastAsiaTheme="minorEastAsia" w:hAnsiTheme="minorEastAsia"/>
          <w:sz w:val="24"/>
          <w:szCs w:val="24"/>
        </w:rPr>
        <w:object w:dxaOrig="2340" w:dyaOrig="420" w14:anchorId="4FA401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22.5pt" o:ole="">
            <v:imagedata r:id="rId9" o:title=""/>
          </v:shape>
          <o:OLEObject Type="Embed" ProgID="Equation.DSMT4" ShapeID="_x0000_i1025" DrawAspect="Content" ObjectID="_1655572060" r:id="rId10"/>
        </w:object>
      </w:r>
    </w:p>
    <w:p w14:paraId="7542EDAF" w14:textId="77777777" w:rsidR="00036602" w:rsidRPr="006678D6" w:rsidRDefault="00036602" w:rsidP="00036602">
      <w:pPr>
        <w:spacing w:line="360" w:lineRule="auto"/>
        <w:ind w:firstLineChars="200" w:firstLine="480"/>
        <w:rPr>
          <w:rFonts w:asciiTheme="minorEastAsia" w:eastAsiaTheme="minorEastAsia" w:hAnsiTheme="minorEastAsia"/>
          <w:sz w:val="24"/>
          <w:szCs w:val="24"/>
        </w:rPr>
      </w:pPr>
      <w:r w:rsidRPr="006678D6">
        <w:rPr>
          <w:rFonts w:asciiTheme="minorEastAsia" w:eastAsiaTheme="minorEastAsia" w:hAnsiTheme="minorEastAsia" w:hint="eastAsia"/>
          <w:sz w:val="24"/>
          <w:szCs w:val="24"/>
        </w:rPr>
        <w:t>折算完成后，易方达军工分级A类份额的持有人获得新增的场内易方达军工分级份额，即每份易方达军工分级A类份额的基金份额净值超出</w:t>
      </w:r>
      <w:r w:rsidRPr="006678D6">
        <w:rPr>
          <w:rFonts w:asciiTheme="minorEastAsia" w:eastAsiaTheme="minorEastAsia" w:hAnsiTheme="minorEastAsia"/>
          <w:sz w:val="24"/>
          <w:szCs w:val="24"/>
        </w:rPr>
        <w:t>1.000</w:t>
      </w:r>
      <w:r w:rsidRPr="006678D6">
        <w:rPr>
          <w:rFonts w:asciiTheme="minorEastAsia" w:eastAsiaTheme="minorEastAsia" w:hAnsiTheme="minorEastAsia" w:hint="eastAsia"/>
          <w:sz w:val="24"/>
          <w:szCs w:val="24"/>
        </w:rPr>
        <w:t>0元以上的部分全部折算为场内易方达军工分级份额。</w:t>
      </w:r>
    </w:p>
    <w:p w14:paraId="23A54E0F" w14:textId="77777777" w:rsidR="00036602" w:rsidRPr="006678D6" w:rsidRDefault="00036602" w:rsidP="00036602">
      <w:pPr>
        <w:spacing w:line="360" w:lineRule="auto"/>
        <w:ind w:firstLineChars="200" w:firstLine="480"/>
        <w:rPr>
          <w:rFonts w:asciiTheme="minorEastAsia" w:eastAsiaTheme="minorEastAsia" w:hAnsiTheme="minorEastAsia"/>
          <w:sz w:val="24"/>
          <w:szCs w:val="24"/>
        </w:rPr>
      </w:pPr>
      <w:r w:rsidRPr="006678D6">
        <w:rPr>
          <w:rFonts w:asciiTheme="minorEastAsia" w:eastAsiaTheme="minorEastAsia" w:hAnsiTheme="minorEastAsia"/>
          <w:sz w:val="24"/>
          <w:szCs w:val="24"/>
        </w:rPr>
        <w:object w:dxaOrig="4800" w:dyaOrig="740" w14:anchorId="61D13231">
          <v:shape id="_x0000_i1026" type="#_x0000_t75" style="width:243.75pt;height:36pt" o:ole="">
            <v:imagedata r:id="rId11" o:title=""/>
          </v:shape>
          <o:OLEObject Type="Embed" ProgID="Equation.DSMT4" ShapeID="_x0000_i1026" DrawAspect="Content" ObjectID="_1655572061" r:id="rId12"/>
        </w:object>
      </w:r>
    </w:p>
    <w:p w14:paraId="17B0561D" w14:textId="77777777" w:rsidR="00036602" w:rsidRPr="006678D6" w:rsidRDefault="00036602" w:rsidP="00036602">
      <w:pPr>
        <w:spacing w:line="360" w:lineRule="auto"/>
        <w:ind w:firstLineChars="200" w:firstLine="480"/>
        <w:rPr>
          <w:rFonts w:asciiTheme="minorEastAsia" w:eastAsiaTheme="minorEastAsia" w:hAnsiTheme="minorEastAsia"/>
          <w:sz w:val="24"/>
          <w:szCs w:val="24"/>
        </w:rPr>
      </w:pPr>
      <w:r w:rsidRPr="006678D6">
        <w:rPr>
          <w:rFonts w:asciiTheme="minorEastAsia" w:eastAsiaTheme="minorEastAsia" w:hAnsiTheme="minorEastAsia" w:hint="eastAsia"/>
          <w:sz w:val="24"/>
          <w:szCs w:val="24"/>
        </w:rPr>
        <w:t>其中，</w:t>
      </w:r>
    </w:p>
    <w:p w14:paraId="62E46702" w14:textId="77777777" w:rsidR="00036602" w:rsidRPr="006678D6" w:rsidRDefault="00036602" w:rsidP="00036602">
      <w:pPr>
        <w:spacing w:line="360" w:lineRule="auto"/>
        <w:ind w:firstLineChars="200" w:firstLine="480"/>
        <w:rPr>
          <w:rFonts w:asciiTheme="minorEastAsia" w:eastAsiaTheme="minorEastAsia" w:hAnsiTheme="minorEastAsia"/>
          <w:sz w:val="24"/>
          <w:szCs w:val="24"/>
        </w:rPr>
      </w:pPr>
      <w:r w:rsidRPr="006678D6">
        <w:rPr>
          <w:rFonts w:asciiTheme="minorEastAsia" w:eastAsiaTheme="minorEastAsia" w:hAnsiTheme="minorEastAsia"/>
          <w:sz w:val="24"/>
          <w:szCs w:val="24"/>
        </w:rPr>
        <w:object w:dxaOrig="1020" w:dyaOrig="420" w14:anchorId="317F6D40">
          <v:shape id="_x0000_i1027" type="#_x0000_t75" style="width:49.5pt;height:22.5pt" o:ole="">
            <v:imagedata r:id="rId13" o:title=""/>
          </v:shape>
          <o:OLEObject Type="Embed" ProgID="Equation.DSMT4" ShapeID="_x0000_i1027" DrawAspect="Content" ObjectID="_1655572062" r:id="rId14"/>
        </w:object>
      </w:r>
      <w:r w:rsidRPr="006678D6">
        <w:rPr>
          <w:rFonts w:asciiTheme="minorEastAsia" w:eastAsiaTheme="minorEastAsia" w:hAnsiTheme="minorEastAsia" w:hint="eastAsia"/>
          <w:sz w:val="24"/>
          <w:szCs w:val="24"/>
        </w:rPr>
        <w:t>：不定期份额折算前，</w:t>
      </w:r>
      <w:r w:rsidRPr="006678D6">
        <w:rPr>
          <w:rFonts w:asciiTheme="minorEastAsia" w:eastAsiaTheme="minorEastAsia" w:hAnsiTheme="minorEastAsia"/>
          <w:sz w:val="24"/>
          <w:szCs w:val="24"/>
        </w:rPr>
        <w:t>易方达军工分级A类份额</w:t>
      </w:r>
      <w:r w:rsidRPr="006678D6">
        <w:rPr>
          <w:rFonts w:asciiTheme="minorEastAsia" w:eastAsiaTheme="minorEastAsia" w:hAnsiTheme="minorEastAsia" w:hint="eastAsia"/>
          <w:sz w:val="24"/>
          <w:szCs w:val="24"/>
        </w:rPr>
        <w:t>的基金份额参考净值；</w:t>
      </w:r>
    </w:p>
    <w:p w14:paraId="6F5094B6" w14:textId="77777777" w:rsidR="00036602" w:rsidRPr="006678D6" w:rsidRDefault="00036602" w:rsidP="00036602">
      <w:pPr>
        <w:spacing w:line="360" w:lineRule="auto"/>
        <w:ind w:firstLineChars="200" w:firstLine="480"/>
        <w:rPr>
          <w:rFonts w:asciiTheme="minorEastAsia" w:eastAsiaTheme="minorEastAsia" w:hAnsiTheme="minorEastAsia"/>
          <w:sz w:val="24"/>
          <w:szCs w:val="24"/>
        </w:rPr>
      </w:pPr>
      <w:r w:rsidRPr="006678D6">
        <w:rPr>
          <w:rFonts w:asciiTheme="minorEastAsia" w:eastAsiaTheme="minorEastAsia" w:hAnsiTheme="minorEastAsia"/>
          <w:sz w:val="24"/>
          <w:szCs w:val="24"/>
        </w:rPr>
        <w:object w:dxaOrig="1080" w:dyaOrig="420" w14:anchorId="008EF5DD">
          <v:shape id="_x0000_i1028" type="#_x0000_t75" style="width:57.75pt;height:22.5pt" o:ole="">
            <v:imagedata r:id="rId15" o:title=""/>
          </v:shape>
          <o:OLEObject Type="Embed" ProgID="Equation.DSMT4" ShapeID="_x0000_i1028" DrawAspect="Content" ObjectID="_1655572063" r:id="rId16"/>
        </w:object>
      </w:r>
      <w:r w:rsidRPr="006678D6">
        <w:rPr>
          <w:rFonts w:asciiTheme="minorEastAsia" w:eastAsiaTheme="minorEastAsia" w:hAnsiTheme="minorEastAsia" w:hint="eastAsia"/>
          <w:sz w:val="24"/>
          <w:szCs w:val="24"/>
        </w:rPr>
        <w:t>：不定期份额折算前，易方达军工分级A类份额的份额数量；</w:t>
      </w:r>
    </w:p>
    <w:p w14:paraId="0165F3EC" w14:textId="77777777" w:rsidR="00036602" w:rsidRPr="006678D6" w:rsidRDefault="00036602" w:rsidP="00036602">
      <w:pPr>
        <w:spacing w:line="360" w:lineRule="auto"/>
        <w:ind w:firstLineChars="200" w:firstLine="480"/>
        <w:rPr>
          <w:rFonts w:asciiTheme="minorEastAsia" w:eastAsiaTheme="minorEastAsia" w:hAnsiTheme="minorEastAsia"/>
          <w:sz w:val="24"/>
          <w:szCs w:val="24"/>
        </w:rPr>
      </w:pPr>
      <w:r w:rsidRPr="006678D6">
        <w:rPr>
          <w:rFonts w:asciiTheme="minorEastAsia" w:eastAsiaTheme="minorEastAsia" w:hAnsiTheme="minorEastAsia"/>
          <w:sz w:val="24"/>
          <w:szCs w:val="24"/>
        </w:rPr>
        <w:object w:dxaOrig="1080" w:dyaOrig="420" w14:anchorId="077AC8F3">
          <v:shape id="_x0000_i1029" type="#_x0000_t75" style="width:57.75pt;height:22.5pt" o:ole="">
            <v:imagedata r:id="rId17" o:title=""/>
          </v:shape>
          <o:OLEObject Type="Embed" ProgID="Equation.DSMT4" ShapeID="_x0000_i1029" DrawAspect="Content" ObjectID="_1655572064" r:id="rId18"/>
        </w:object>
      </w:r>
      <w:r w:rsidRPr="006678D6">
        <w:rPr>
          <w:rFonts w:asciiTheme="minorEastAsia" w:eastAsiaTheme="minorEastAsia" w:hAnsiTheme="minorEastAsia" w:hint="eastAsia"/>
          <w:sz w:val="24"/>
          <w:szCs w:val="24"/>
        </w:rPr>
        <w:t>：不定期份额折算后，易方达军工分级A类份额的份额数量；</w:t>
      </w:r>
    </w:p>
    <w:p w14:paraId="3F4B4421" w14:textId="77777777" w:rsidR="00036602" w:rsidRPr="006678D6" w:rsidRDefault="00036602" w:rsidP="00036602">
      <w:pPr>
        <w:spacing w:line="360" w:lineRule="auto"/>
        <w:ind w:firstLineChars="200" w:firstLine="480"/>
        <w:rPr>
          <w:rFonts w:asciiTheme="minorEastAsia" w:eastAsiaTheme="minorEastAsia" w:hAnsiTheme="minorEastAsia"/>
          <w:sz w:val="24"/>
          <w:szCs w:val="24"/>
        </w:rPr>
      </w:pPr>
      <w:r w:rsidRPr="006678D6">
        <w:rPr>
          <w:rFonts w:asciiTheme="minorEastAsia" w:eastAsiaTheme="minorEastAsia" w:hAnsiTheme="minorEastAsia"/>
          <w:sz w:val="24"/>
          <w:szCs w:val="24"/>
        </w:rPr>
        <w:object w:dxaOrig="1280" w:dyaOrig="420" w14:anchorId="0C7BC575">
          <v:shape id="_x0000_i1030" type="#_x0000_t75" style="width:63.75pt;height:22.5pt" o:ole="">
            <v:imagedata r:id="rId19" o:title=""/>
          </v:shape>
          <o:OLEObject Type="Embed" ProgID="Equation.DSMT4" ShapeID="_x0000_i1030" DrawAspect="Content" ObjectID="_1655572065" r:id="rId20"/>
        </w:object>
      </w:r>
      <w:r w:rsidRPr="006678D6">
        <w:rPr>
          <w:rFonts w:asciiTheme="minorEastAsia" w:eastAsiaTheme="minorEastAsia" w:hAnsiTheme="minorEastAsia" w:hint="eastAsia"/>
          <w:sz w:val="24"/>
          <w:szCs w:val="24"/>
        </w:rPr>
        <w:t>：不定期份额折算后，易方达军工分级A类份额的持有人新增的场内易方达军工分级份额的份额数量。</w:t>
      </w:r>
    </w:p>
    <w:p w14:paraId="458183F3" w14:textId="77777777" w:rsidR="00036602" w:rsidRPr="006678D6" w:rsidRDefault="00036602" w:rsidP="00036602">
      <w:pPr>
        <w:spacing w:line="360" w:lineRule="auto"/>
        <w:ind w:firstLineChars="200" w:firstLine="480"/>
        <w:rPr>
          <w:rFonts w:asciiTheme="minorEastAsia" w:eastAsiaTheme="minorEastAsia" w:hAnsiTheme="minorEastAsia"/>
          <w:sz w:val="24"/>
          <w:szCs w:val="24"/>
        </w:rPr>
      </w:pPr>
      <w:r w:rsidRPr="006678D6">
        <w:rPr>
          <w:rFonts w:asciiTheme="minorEastAsia" w:eastAsiaTheme="minorEastAsia" w:hAnsiTheme="minorEastAsia"/>
          <w:sz w:val="24"/>
          <w:szCs w:val="24"/>
        </w:rPr>
        <w:t>2</w:t>
      </w:r>
      <w:r w:rsidRPr="006678D6">
        <w:rPr>
          <w:rFonts w:asciiTheme="minorEastAsia" w:eastAsiaTheme="minorEastAsia" w:hAnsiTheme="minorEastAsia" w:hint="eastAsia"/>
          <w:sz w:val="24"/>
          <w:szCs w:val="24"/>
        </w:rPr>
        <w:t>、易方达军工分级B类份额</w:t>
      </w:r>
    </w:p>
    <w:p w14:paraId="14AFDE0B" w14:textId="77777777" w:rsidR="00036602" w:rsidRPr="006678D6" w:rsidRDefault="00036602" w:rsidP="00036602">
      <w:pPr>
        <w:spacing w:line="360" w:lineRule="auto"/>
        <w:ind w:firstLineChars="200" w:firstLine="480"/>
        <w:rPr>
          <w:rFonts w:asciiTheme="minorEastAsia" w:eastAsiaTheme="minorEastAsia" w:hAnsiTheme="minorEastAsia"/>
          <w:sz w:val="24"/>
          <w:szCs w:val="24"/>
        </w:rPr>
      </w:pPr>
      <w:r w:rsidRPr="006678D6">
        <w:rPr>
          <w:rFonts w:asciiTheme="minorEastAsia" w:eastAsiaTheme="minorEastAsia" w:hAnsiTheme="minorEastAsia" w:hint="eastAsia"/>
          <w:sz w:val="24"/>
          <w:szCs w:val="24"/>
        </w:rPr>
        <w:t>折算前后，易方达军工分级B类份额与易方达军工分级A类份额的份额数量保持</w:t>
      </w:r>
      <w:r w:rsidRPr="006678D6">
        <w:rPr>
          <w:rFonts w:asciiTheme="minorEastAsia" w:eastAsiaTheme="minorEastAsia" w:hAnsiTheme="minorEastAsia"/>
          <w:sz w:val="24"/>
          <w:szCs w:val="24"/>
        </w:rPr>
        <w:t>1</w:t>
      </w:r>
      <w:r w:rsidRPr="006678D6">
        <w:rPr>
          <w:rFonts w:asciiTheme="minorEastAsia" w:eastAsiaTheme="minorEastAsia" w:hAnsiTheme="minorEastAsia" w:hint="eastAsia"/>
          <w:sz w:val="24"/>
          <w:szCs w:val="24"/>
        </w:rPr>
        <w:t>：</w:t>
      </w:r>
      <w:r w:rsidRPr="006678D6">
        <w:rPr>
          <w:rFonts w:asciiTheme="minorEastAsia" w:eastAsiaTheme="minorEastAsia" w:hAnsiTheme="minorEastAsia"/>
          <w:sz w:val="24"/>
          <w:szCs w:val="24"/>
        </w:rPr>
        <w:t>1</w:t>
      </w:r>
      <w:r w:rsidRPr="006678D6">
        <w:rPr>
          <w:rFonts w:asciiTheme="minorEastAsia" w:eastAsiaTheme="minorEastAsia" w:hAnsiTheme="minorEastAsia" w:hint="eastAsia"/>
          <w:sz w:val="24"/>
          <w:szCs w:val="24"/>
        </w:rPr>
        <w:t>的份额配比。</w:t>
      </w:r>
    </w:p>
    <w:p w14:paraId="39E5FA87" w14:textId="77777777" w:rsidR="00036602" w:rsidRPr="006678D6" w:rsidRDefault="00036602" w:rsidP="00036602">
      <w:pPr>
        <w:spacing w:line="360" w:lineRule="auto"/>
        <w:ind w:firstLineChars="200" w:firstLine="480"/>
        <w:rPr>
          <w:rFonts w:asciiTheme="minorEastAsia" w:eastAsiaTheme="minorEastAsia" w:hAnsiTheme="minorEastAsia"/>
          <w:sz w:val="24"/>
          <w:szCs w:val="24"/>
        </w:rPr>
      </w:pPr>
      <w:r w:rsidRPr="006678D6">
        <w:rPr>
          <w:rFonts w:asciiTheme="minorEastAsia" w:eastAsiaTheme="minorEastAsia" w:hAnsiTheme="minorEastAsia"/>
          <w:sz w:val="24"/>
          <w:szCs w:val="24"/>
        </w:rPr>
        <w:object w:dxaOrig="3200" w:dyaOrig="420" w14:anchorId="0352DACF">
          <v:shape id="_x0000_i1031" type="#_x0000_t75" style="width:158.25pt;height:22.5pt" o:ole="">
            <v:imagedata r:id="rId21" o:title=""/>
          </v:shape>
          <o:OLEObject Type="Embed" ProgID="Equation.DSMT4" ShapeID="_x0000_i1031" DrawAspect="Content" ObjectID="_1655572066" r:id="rId22"/>
        </w:object>
      </w:r>
    </w:p>
    <w:p w14:paraId="46C8DF2A" w14:textId="77777777" w:rsidR="00036602" w:rsidRPr="006678D6" w:rsidRDefault="00036602" w:rsidP="00036602">
      <w:pPr>
        <w:spacing w:line="360" w:lineRule="auto"/>
        <w:ind w:firstLineChars="200" w:firstLine="480"/>
        <w:rPr>
          <w:rFonts w:asciiTheme="minorEastAsia" w:eastAsiaTheme="minorEastAsia" w:hAnsiTheme="minorEastAsia"/>
          <w:sz w:val="24"/>
          <w:szCs w:val="24"/>
        </w:rPr>
      </w:pPr>
      <w:r w:rsidRPr="006678D6">
        <w:rPr>
          <w:rFonts w:asciiTheme="minorEastAsia" w:eastAsiaTheme="minorEastAsia" w:hAnsiTheme="minorEastAsia" w:hint="eastAsia"/>
          <w:sz w:val="24"/>
          <w:szCs w:val="24"/>
        </w:rPr>
        <w:t>折算前持有易方达军工分级B类份额的持有人在份额折算后将持有易方达军工分级B类份额与新增场内易方达军工分级份额。折算前易方达军工分级B类份额的资产与份额折算后易方达军工分级B类份额的资产及其新增场内易方达军工分级份额的资产之和相等。即：</w:t>
      </w:r>
    </w:p>
    <w:p w14:paraId="23262B19" w14:textId="77777777" w:rsidR="00036602" w:rsidRPr="006678D6" w:rsidRDefault="00036602" w:rsidP="00036602">
      <w:pPr>
        <w:spacing w:line="360" w:lineRule="auto"/>
        <w:ind w:firstLineChars="200" w:firstLine="480"/>
        <w:rPr>
          <w:rFonts w:asciiTheme="minorEastAsia" w:eastAsiaTheme="minorEastAsia" w:hAnsiTheme="minorEastAsia"/>
          <w:sz w:val="24"/>
          <w:szCs w:val="24"/>
        </w:rPr>
      </w:pPr>
      <w:r w:rsidRPr="006678D6">
        <w:rPr>
          <w:rFonts w:asciiTheme="minorEastAsia" w:eastAsiaTheme="minorEastAsia" w:hAnsiTheme="minorEastAsia"/>
          <w:sz w:val="24"/>
          <w:szCs w:val="24"/>
        </w:rPr>
        <w:object w:dxaOrig="4800" w:dyaOrig="740" w14:anchorId="1CA0E2FF">
          <v:shape id="_x0000_i1032" type="#_x0000_t75" style="width:243.75pt;height:36pt" o:ole="">
            <v:imagedata r:id="rId23" o:title=""/>
          </v:shape>
          <o:OLEObject Type="Embed" ProgID="Equation.DSMT4" ShapeID="_x0000_i1032" DrawAspect="Content" ObjectID="_1655572067" r:id="rId24"/>
        </w:object>
      </w:r>
    </w:p>
    <w:p w14:paraId="0A501396" w14:textId="77777777" w:rsidR="00036602" w:rsidRPr="006678D6" w:rsidRDefault="00036602" w:rsidP="00036602">
      <w:pPr>
        <w:spacing w:line="360" w:lineRule="auto"/>
        <w:ind w:firstLineChars="200" w:firstLine="480"/>
        <w:rPr>
          <w:rFonts w:asciiTheme="minorEastAsia" w:eastAsiaTheme="minorEastAsia" w:hAnsiTheme="minorEastAsia"/>
          <w:sz w:val="24"/>
          <w:szCs w:val="24"/>
        </w:rPr>
      </w:pPr>
      <w:r w:rsidRPr="006678D6">
        <w:rPr>
          <w:rFonts w:asciiTheme="minorEastAsia" w:eastAsiaTheme="minorEastAsia" w:hAnsiTheme="minorEastAsia" w:hint="eastAsia"/>
          <w:sz w:val="24"/>
          <w:szCs w:val="24"/>
        </w:rPr>
        <w:t>其中，</w:t>
      </w:r>
    </w:p>
    <w:p w14:paraId="3D0C0921" w14:textId="77777777" w:rsidR="00036602" w:rsidRPr="006678D6" w:rsidRDefault="00036602" w:rsidP="00036602">
      <w:pPr>
        <w:spacing w:line="360" w:lineRule="auto"/>
        <w:ind w:firstLineChars="200" w:firstLine="480"/>
        <w:rPr>
          <w:rFonts w:asciiTheme="minorEastAsia" w:eastAsiaTheme="minorEastAsia" w:hAnsiTheme="minorEastAsia"/>
          <w:sz w:val="24"/>
          <w:szCs w:val="24"/>
        </w:rPr>
      </w:pPr>
      <w:r w:rsidRPr="006678D6">
        <w:rPr>
          <w:rFonts w:asciiTheme="minorEastAsia" w:eastAsiaTheme="minorEastAsia" w:hAnsiTheme="minorEastAsia"/>
          <w:sz w:val="24"/>
          <w:szCs w:val="24"/>
        </w:rPr>
        <w:object w:dxaOrig="1100" w:dyaOrig="420" w14:anchorId="63311DC7">
          <v:shape id="_x0000_i1033" type="#_x0000_t75" style="width:58.5pt;height:22.5pt" o:ole="">
            <v:imagedata r:id="rId25" o:title=""/>
          </v:shape>
          <o:OLEObject Type="Embed" ProgID="Equation.DSMT4" ShapeID="_x0000_i1033" DrawAspect="Content" ObjectID="_1655572068" r:id="rId26"/>
        </w:object>
      </w:r>
      <w:r w:rsidRPr="006678D6">
        <w:rPr>
          <w:rFonts w:asciiTheme="minorEastAsia" w:eastAsiaTheme="minorEastAsia" w:hAnsiTheme="minorEastAsia" w:hint="eastAsia"/>
          <w:sz w:val="24"/>
          <w:szCs w:val="24"/>
        </w:rPr>
        <w:t>：不定期份额折算前，易方达军工分级B类份额的份额数量；</w:t>
      </w:r>
    </w:p>
    <w:p w14:paraId="11C71434" w14:textId="77777777" w:rsidR="00036602" w:rsidRPr="006678D6" w:rsidRDefault="00036602" w:rsidP="00036602">
      <w:pPr>
        <w:spacing w:line="360" w:lineRule="auto"/>
        <w:ind w:firstLineChars="200" w:firstLine="480"/>
        <w:rPr>
          <w:rFonts w:asciiTheme="minorEastAsia" w:eastAsiaTheme="minorEastAsia" w:hAnsiTheme="minorEastAsia"/>
          <w:sz w:val="24"/>
          <w:szCs w:val="24"/>
        </w:rPr>
      </w:pPr>
      <w:r w:rsidRPr="006678D6">
        <w:rPr>
          <w:rFonts w:asciiTheme="minorEastAsia" w:eastAsiaTheme="minorEastAsia" w:hAnsiTheme="minorEastAsia"/>
          <w:sz w:val="24"/>
          <w:szCs w:val="24"/>
        </w:rPr>
        <w:object w:dxaOrig="1100" w:dyaOrig="420" w14:anchorId="6E5038EA">
          <v:shape id="_x0000_i1034" type="#_x0000_t75" style="width:58.5pt;height:22.5pt" o:ole="">
            <v:imagedata r:id="rId27" o:title=""/>
          </v:shape>
          <o:OLEObject Type="Embed" ProgID="Equation.DSMT4" ShapeID="_x0000_i1034" DrawAspect="Content" ObjectID="_1655572069" r:id="rId28"/>
        </w:object>
      </w:r>
      <w:r w:rsidRPr="006678D6">
        <w:rPr>
          <w:rFonts w:asciiTheme="minorEastAsia" w:eastAsiaTheme="minorEastAsia" w:hAnsiTheme="minorEastAsia" w:hint="eastAsia"/>
          <w:sz w:val="24"/>
          <w:szCs w:val="24"/>
        </w:rPr>
        <w:t>：不定期份额折算后，易方达军工分级B类份额的份额数量；</w:t>
      </w:r>
    </w:p>
    <w:p w14:paraId="1D5EC0DF" w14:textId="77777777" w:rsidR="00036602" w:rsidRPr="006678D6" w:rsidRDefault="00036602" w:rsidP="00036602">
      <w:pPr>
        <w:spacing w:line="360" w:lineRule="auto"/>
        <w:ind w:firstLineChars="200" w:firstLine="480"/>
        <w:rPr>
          <w:rFonts w:asciiTheme="minorEastAsia" w:eastAsiaTheme="minorEastAsia" w:hAnsiTheme="minorEastAsia"/>
          <w:sz w:val="24"/>
          <w:szCs w:val="24"/>
        </w:rPr>
      </w:pPr>
      <w:r w:rsidRPr="006678D6">
        <w:rPr>
          <w:rFonts w:asciiTheme="minorEastAsia" w:eastAsiaTheme="minorEastAsia" w:hAnsiTheme="minorEastAsia"/>
          <w:sz w:val="24"/>
          <w:szCs w:val="24"/>
        </w:rPr>
        <w:object w:dxaOrig="1080" w:dyaOrig="420" w14:anchorId="16A45475">
          <v:shape id="_x0000_i1035" type="#_x0000_t75" style="width:57.75pt;height:22.5pt" o:ole="">
            <v:imagedata r:id="rId29" o:title=""/>
          </v:shape>
          <o:OLEObject Type="Embed" ProgID="Equation.DSMT4" ShapeID="_x0000_i1035" DrawAspect="Content" ObjectID="_1655572070" r:id="rId30"/>
        </w:object>
      </w:r>
      <w:r w:rsidRPr="006678D6">
        <w:rPr>
          <w:rFonts w:asciiTheme="minorEastAsia" w:eastAsiaTheme="minorEastAsia" w:hAnsiTheme="minorEastAsia" w:hint="eastAsia"/>
          <w:sz w:val="24"/>
          <w:szCs w:val="24"/>
        </w:rPr>
        <w:t>：不定期份额折算后，易方达军工分级A类份额的份额数量；</w:t>
      </w:r>
    </w:p>
    <w:p w14:paraId="5719E468" w14:textId="6D031683" w:rsidR="00036602" w:rsidRPr="006678D6" w:rsidRDefault="00036602" w:rsidP="00036602">
      <w:pPr>
        <w:spacing w:line="360" w:lineRule="auto"/>
        <w:ind w:firstLineChars="200" w:firstLine="480"/>
        <w:rPr>
          <w:rFonts w:asciiTheme="minorEastAsia" w:eastAsiaTheme="minorEastAsia" w:hAnsiTheme="minorEastAsia"/>
          <w:sz w:val="24"/>
          <w:szCs w:val="24"/>
        </w:rPr>
      </w:pPr>
      <w:r w:rsidRPr="006678D6">
        <w:rPr>
          <w:rFonts w:asciiTheme="minorEastAsia" w:eastAsiaTheme="minorEastAsia" w:hAnsiTheme="minorEastAsia"/>
          <w:sz w:val="24"/>
          <w:szCs w:val="24"/>
        </w:rPr>
        <w:object w:dxaOrig="1020" w:dyaOrig="420" w14:anchorId="3948D243">
          <v:shape id="_x0000_i1036" type="#_x0000_t75" style="width:49.5pt;height:22.5pt" o:ole="">
            <v:imagedata r:id="rId31" o:title=""/>
          </v:shape>
          <o:OLEObject Type="Embed" ProgID="Equation.DSMT4" ShapeID="_x0000_i1036" DrawAspect="Content" ObjectID="_1655572071" r:id="rId32"/>
        </w:object>
      </w:r>
      <w:r w:rsidRPr="006678D6">
        <w:rPr>
          <w:rFonts w:asciiTheme="minorEastAsia" w:eastAsiaTheme="minorEastAsia" w:hAnsiTheme="minorEastAsia" w:hint="eastAsia"/>
          <w:sz w:val="24"/>
          <w:szCs w:val="24"/>
        </w:rPr>
        <w:t>：不定期份额折算前，</w:t>
      </w:r>
      <w:r w:rsidRPr="006678D6">
        <w:rPr>
          <w:rFonts w:asciiTheme="minorEastAsia" w:eastAsiaTheme="minorEastAsia" w:hAnsiTheme="minorEastAsia"/>
          <w:sz w:val="24"/>
          <w:szCs w:val="24"/>
        </w:rPr>
        <w:t>易方达军工分级B类份额</w:t>
      </w:r>
      <w:r w:rsidRPr="006678D6">
        <w:rPr>
          <w:rFonts w:asciiTheme="minorEastAsia" w:eastAsiaTheme="minorEastAsia" w:hAnsiTheme="minorEastAsia" w:hint="eastAsia"/>
          <w:sz w:val="24"/>
          <w:szCs w:val="24"/>
        </w:rPr>
        <w:t>的基金份额参考净值</w:t>
      </w:r>
      <w:r w:rsidR="00803687">
        <w:rPr>
          <w:rFonts w:asciiTheme="minorEastAsia" w:eastAsiaTheme="minorEastAsia" w:hAnsiTheme="minorEastAsia" w:hint="eastAsia"/>
          <w:sz w:val="24"/>
          <w:szCs w:val="24"/>
        </w:rPr>
        <w:t>；</w:t>
      </w:r>
    </w:p>
    <w:p w14:paraId="175C48DE" w14:textId="77777777" w:rsidR="00036602" w:rsidRPr="006678D6" w:rsidRDefault="00036602" w:rsidP="00036602">
      <w:pPr>
        <w:spacing w:line="360" w:lineRule="auto"/>
        <w:ind w:firstLineChars="200" w:firstLine="480"/>
        <w:rPr>
          <w:rFonts w:asciiTheme="minorEastAsia" w:eastAsiaTheme="minorEastAsia" w:hAnsiTheme="minorEastAsia"/>
          <w:sz w:val="24"/>
          <w:szCs w:val="24"/>
        </w:rPr>
      </w:pPr>
      <w:r w:rsidRPr="006678D6">
        <w:rPr>
          <w:rFonts w:asciiTheme="minorEastAsia" w:eastAsiaTheme="minorEastAsia" w:hAnsiTheme="minorEastAsia"/>
          <w:sz w:val="24"/>
          <w:szCs w:val="24"/>
        </w:rPr>
        <w:object w:dxaOrig="1280" w:dyaOrig="420" w14:anchorId="39B7324D">
          <v:shape id="_x0000_i1037" type="#_x0000_t75" style="width:63.75pt;height:22.5pt" o:ole="">
            <v:imagedata r:id="rId33" o:title=""/>
          </v:shape>
          <o:OLEObject Type="Embed" ProgID="Equation.DSMT4" ShapeID="_x0000_i1037" DrawAspect="Content" ObjectID="_1655572072" r:id="rId34"/>
        </w:object>
      </w:r>
      <w:r w:rsidRPr="006678D6">
        <w:rPr>
          <w:rFonts w:asciiTheme="minorEastAsia" w:eastAsiaTheme="minorEastAsia" w:hAnsiTheme="minorEastAsia" w:hint="eastAsia"/>
          <w:sz w:val="24"/>
          <w:szCs w:val="24"/>
        </w:rPr>
        <w:t>：不定期份额折算后，原易方达军工分级B类份额的持有人新增的场内易方达军工分级份额的份额数量。</w:t>
      </w:r>
    </w:p>
    <w:p w14:paraId="4A643361" w14:textId="77777777" w:rsidR="00036602" w:rsidRPr="006678D6" w:rsidRDefault="00036602" w:rsidP="00036602">
      <w:pPr>
        <w:spacing w:line="360" w:lineRule="auto"/>
        <w:ind w:firstLineChars="200" w:firstLine="480"/>
        <w:rPr>
          <w:rFonts w:asciiTheme="minorEastAsia" w:eastAsiaTheme="minorEastAsia" w:hAnsiTheme="minorEastAsia"/>
          <w:sz w:val="24"/>
          <w:szCs w:val="24"/>
        </w:rPr>
      </w:pPr>
      <w:r w:rsidRPr="006678D6">
        <w:rPr>
          <w:rFonts w:asciiTheme="minorEastAsia" w:eastAsiaTheme="minorEastAsia" w:hAnsiTheme="minorEastAsia"/>
          <w:sz w:val="24"/>
          <w:szCs w:val="24"/>
        </w:rPr>
        <w:t>3</w:t>
      </w:r>
      <w:r w:rsidRPr="006678D6">
        <w:rPr>
          <w:rFonts w:asciiTheme="minorEastAsia" w:eastAsiaTheme="minorEastAsia" w:hAnsiTheme="minorEastAsia" w:hint="eastAsia"/>
          <w:sz w:val="24"/>
          <w:szCs w:val="24"/>
        </w:rPr>
        <w:t>、易方达军工分级份额</w:t>
      </w:r>
    </w:p>
    <w:p w14:paraId="0113FC10" w14:textId="77777777" w:rsidR="00036602" w:rsidRPr="006678D6" w:rsidRDefault="00036602" w:rsidP="00036602">
      <w:pPr>
        <w:spacing w:line="360" w:lineRule="auto"/>
        <w:ind w:firstLineChars="200" w:firstLine="480"/>
        <w:rPr>
          <w:rFonts w:asciiTheme="minorEastAsia" w:eastAsiaTheme="minorEastAsia" w:hAnsiTheme="minorEastAsia"/>
          <w:sz w:val="24"/>
          <w:szCs w:val="24"/>
        </w:rPr>
      </w:pPr>
      <w:r w:rsidRPr="006678D6">
        <w:rPr>
          <w:rFonts w:asciiTheme="minorEastAsia" w:eastAsiaTheme="minorEastAsia" w:hAnsiTheme="minorEastAsia" w:hint="eastAsia"/>
          <w:sz w:val="24"/>
          <w:szCs w:val="24"/>
        </w:rPr>
        <w:t>折算后，持有场外易方达军工分级份额的持有人将获得新增场外易方达军工分级份额，持有场内易方达军工分级份额的持有人将获得新增场内易方达军工分级份额。折算完成后，原易方达军工分级份额（含场内份额、场外份额）的持有人持有的折算后的易方达军工分级份额（含场内份额、场外份额）的份额数量按如下方式计算：</w:t>
      </w:r>
    </w:p>
    <w:p w14:paraId="76B9B3E5" w14:textId="77777777" w:rsidR="00036602" w:rsidRPr="006678D6" w:rsidRDefault="00036602" w:rsidP="00036602">
      <w:pPr>
        <w:spacing w:line="360" w:lineRule="auto"/>
        <w:ind w:firstLineChars="200" w:firstLine="480"/>
        <w:rPr>
          <w:rFonts w:asciiTheme="minorEastAsia" w:eastAsiaTheme="minorEastAsia" w:hAnsiTheme="minorEastAsia"/>
          <w:sz w:val="24"/>
          <w:szCs w:val="24"/>
        </w:rPr>
      </w:pPr>
      <w:r w:rsidRPr="006678D6">
        <w:rPr>
          <w:rFonts w:asciiTheme="minorEastAsia" w:eastAsiaTheme="minorEastAsia" w:hAnsiTheme="minorEastAsia"/>
          <w:sz w:val="24"/>
          <w:szCs w:val="24"/>
        </w:rPr>
        <w:object w:dxaOrig="3680" w:dyaOrig="700" w14:anchorId="44118545">
          <v:shape id="_x0000_i1038" type="#_x0000_t75" style="width:187.5pt;height:36pt" o:ole="">
            <v:imagedata r:id="rId35" o:title=""/>
          </v:shape>
          <o:OLEObject Type="Embed" ProgID="Equation.DSMT4" ShapeID="_x0000_i1038" DrawAspect="Content" ObjectID="_1655572073" r:id="rId36"/>
        </w:object>
      </w:r>
    </w:p>
    <w:p w14:paraId="4D376056" w14:textId="77777777" w:rsidR="00036602" w:rsidRPr="006678D6" w:rsidRDefault="00036602" w:rsidP="00036602">
      <w:pPr>
        <w:spacing w:line="360" w:lineRule="auto"/>
        <w:ind w:firstLineChars="200" w:firstLine="480"/>
        <w:rPr>
          <w:rFonts w:asciiTheme="minorEastAsia" w:eastAsiaTheme="minorEastAsia" w:hAnsiTheme="minorEastAsia"/>
          <w:sz w:val="24"/>
          <w:szCs w:val="24"/>
        </w:rPr>
      </w:pPr>
      <w:r w:rsidRPr="006678D6">
        <w:rPr>
          <w:rFonts w:asciiTheme="minorEastAsia" w:eastAsiaTheme="minorEastAsia" w:hAnsiTheme="minorEastAsia" w:hint="eastAsia"/>
          <w:sz w:val="24"/>
          <w:szCs w:val="24"/>
        </w:rPr>
        <w:t>其中：</w:t>
      </w:r>
    </w:p>
    <w:p w14:paraId="6077AA44" w14:textId="77777777" w:rsidR="00036602" w:rsidRPr="006678D6" w:rsidRDefault="00036602" w:rsidP="00036602">
      <w:pPr>
        <w:spacing w:line="360" w:lineRule="auto"/>
        <w:ind w:firstLineChars="200" w:firstLine="480"/>
        <w:rPr>
          <w:rFonts w:asciiTheme="minorEastAsia" w:eastAsiaTheme="minorEastAsia" w:hAnsiTheme="minorEastAsia"/>
          <w:sz w:val="24"/>
          <w:szCs w:val="24"/>
        </w:rPr>
      </w:pPr>
      <w:r w:rsidRPr="006678D6">
        <w:rPr>
          <w:rFonts w:asciiTheme="minorEastAsia" w:eastAsiaTheme="minorEastAsia" w:hAnsiTheme="minorEastAsia"/>
          <w:sz w:val="24"/>
          <w:szCs w:val="24"/>
        </w:rPr>
        <w:object w:dxaOrig="1120" w:dyaOrig="420" w14:anchorId="6F3284FA">
          <v:shape id="_x0000_i1039" type="#_x0000_t75" style="width:57.75pt;height:22.5pt" o:ole="">
            <v:imagedata r:id="rId37" o:title=""/>
          </v:shape>
          <o:OLEObject Type="Embed" ProgID="Equation.DSMT4" ShapeID="_x0000_i1039" DrawAspect="Content" ObjectID="_1655572074" r:id="rId38"/>
        </w:object>
      </w:r>
      <w:r w:rsidRPr="006678D6">
        <w:rPr>
          <w:rFonts w:asciiTheme="minorEastAsia" w:eastAsiaTheme="minorEastAsia" w:hAnsiTheme="minorEastAsia" w:hint="eastAsia"/>
          <w:sz w:val="24"/>
          <w:szCs w:val="24"/>
        </w:rPr>
        <w:t>：不定期份额折算前，易方达军工分级份额的基金份额数量；</w:t>
      </w:r>
    </w:p>
    <w:p w14:paraId="69CBE98A" w14:textId="77777777" w:rsidR="00036602" w:rsidRPr="006678D6" w:rsidRDefault="00036602" w:rsidP="00036602">
      <w:pPr>
        <w:spacing w:line="360" w:lineRule="auto"/>
        <w:ind w:firstLineChars="200" w:firstLine="480"/>
        <w:rPr>
          <w:rFonts w:asciiTheme="minorEastAsia" w:eastAsiaTheme="minorEastAsia" w:hAnsiTheme="minorEastAsia"/>
          <w:sz w:val="24"/>
          <w:szCs w:val="24"/>
        </w:rPr>
      </w:pPr>
      <w:r w:rsidRPr="006678D6">
        <w:rPr>
          <w:rFonts w:asciiTheme="minorEastAsia" w:eastAsiaTheme="minorEastAsia" w:hAnsiTheme="minorEastAsia"/>
          <w:sz w:val="24"/>
          <w:szCs w:val="24"/>
        </w:rPr>
        <w:object w:dxaOrig="1120" w:dyaOrig="420" w14:anchorId="00244DA8">
          <v:shape id="_x0000_i1040" type="#_x0000_t75" style="width:57.75pt;height:22.5pt" o:ole="">
            <v:imagedata r:id="rId39" o:title=""/>
          </v:shape>
          <o:OLEObject Type="Embed" ProgID="Equation.DSMT4" ShapeID="_x0000_i1040" DrawAspect="Content" ObjectID="_1655572075" r:id="rId40"/>
        </w:object>
      </w:r>
      <w:r w:rsidRPr="006678D6">
        <w:rPr>
          <w:rFonts w:asciiTheme="minorEastAsia" w:eastAsiaTheme="minorEastAsia" w:hAnsiTheme="minorEastAsia" w:hint="eastAsia"/>
          <w:sz w:val="24"/>
          <w:szCs w:val="24"/>
        </w:rPr>
        <w:t>：不定期份额折算后，易方达军工分级份额的基金份额数量；</w:t>
      </w:r>
    </w:p>
    <w:p w14:paraId="4ECB301E" w14:textId="77777777" w:rsidR="00036602" w:rsidRPr="00036602" w:rsidRDefault="00036602" w:rsidP="00036602">
      <w:pPr>
        <w:spacing w:line="360" w:lineRule="auto"/>
        <w:ind w:firstLineChars="200" w:firstLine="480"/>
        <w:rPr>
          <w:rFonts w:asciiTheme="minorEastAsia" w:eastAsiaTheme="minorEastAsia" w:hAnsiTheme="minorEastAsia"/>
          <w:sz w:val="24"/>
          <w:szCs w:val="24"/>
        </w:rPr>
      </w:pPr>
      <w:r w:rsidRPr="006678D6">
        <w:rPr>
          <w:rFonts w:asciiTheme="minorEastAsia" w:eastAsiaTheme="minorEastAsia" w:hAnsiTheme="minorEastAsia"/>
          <w:sz w:val="24"/>
          <w:szCs w:val="24"/>
        </w:rPr>
        <w:object w:dxaOrig="1060" w:dyaOrig="420" w14:anchorId="0BC3C9A0">
          <v:shape id="_x0000_i1041" type="#_x0000_t75" style="width:58.5pt;height:22.5pt" o:ole="">
            <v:imagedata r:id="rId41" o:title=""/>
          </v:shape>
          <o:OLEObject Type="Embed" ProgID="Equation.DSMT4" ShapeID="_x0000_i1041" DrawAspect="Content" ObjectID="_1655572076" r:id="rId42"/>
        </w:object>
      </w:r>
      <w:r w:rsidRPr="006678D6">
        <w:rPr>
          <w:rFonts w:asciiTheme="minorEastAsia" w:eastAsiaTheme="minorEastAsia" w:hAnsiTheme="minorEastAsia" w:hint="eastAsia"/>
          <w:sz w:val="24"/>
          <w:szCs w:val="24"/>
        </w:rPr>
        <w:t>：不定期份额折算前，易方达军工分级份额的基金份额净值。</w:t>
      </w:r>
    </w:p>
    <w:p w14:paraId="6401D8B2" w14:textId="77777777" w:rsidR="008252BE" w:rsidRPr="006E08DA" w:rsidRDefault="008252BE" w:rsidP="000E5D5C">
      <w:pPr>
        <w:spacing w:line="360" w:lineRule="auto"/>
        <w:ind w:firstLineChars="200" w:firstLine="480"/>
        <w:rPr>
          <w:rFonts w:ascii="Times New Roman" w:hAnsi="Times New Roman"/>
          <w:sz w:val="24"/>
          <w:szCs w:val="24"/>
        </w:rPr>
      </w:pPr>
      <w:r w:rsidRPr="006E08DA">
        <w:rPr>
          <w:rFonts w:ascii="Times New Roman" w:hAnsi="Times New Roman"/>
          <w:sz w:val="24"/>
          <w:szCs w:val="24"/>
        </w:rPr>
        <w:t>4</w:t>
      </w:r>
      <w:r w:rsidRPr="006E08DA">
        <w:rPr>
          <w:rFonts w:ascii="Times New Roman" w:hAnsi="Times New Roman" w:hint="eastAsia"/>
          <w:sz w:val="24"/>
          <w:szCs w:val="24"/>
        </w:rPr>
        <w:t>、折算期间份额的处理方式</w:t>
      </w:r>
    </w:p>
    <w:p w14:paraId="35E310C9" w14:textId="454C78D8" w:rsidR="0091338A" w:rsidRPr="006E08DA" w:rsidRDefault="006413A9" w:rsidP="00C175C9">
      <w:pPr>
        <w:spacing w:line="360" w:lineRule="auto"/>
        <w:ind w:firstLineChars="200" w:firstLine="480"/>
        <w:rPr>
          <w:rFonts w:ascii="Times New Roman" w:hAnsi="Times New Roman"/>
          <w:sz w:val="24"/>
          <w:szCs w:val="24"/>
        </w:rPr>
      </w:pPr>
      <w:r w:rsidRPr="006413A9">
        <w:rPr>
          <w:rFonts w:ascii="Times New Roman" w:hAnsi="Times New Roman" w:hint="eastAsia"/>
          <w:sz w:val="24"/>
          <w:szCs w:val="24"/>
        </w:rPr>
        <w:t>场外</w:t>
      </w:r>
      <w:r>
        <w:rPr>
          <w:rFonts w:ascii="Times New Roman" w:hAnsi="Times New Roman" w:hint="eastAsia"/>
          <w:sz w:val="24"/>
          <w:szCs w:val="24"/>
        </w:rPr>
        <w:t>易方达军工分级份额</w:t>
      </w:r>
      <w:r w:rsidRPr="006413A9">
        <w:rPr>
          <w:rFonts w:ascii="Times New Roman" w:hAnsi="Times New Roman" w:hint="eastAsia"/>
          <w:sz w:val="24"/>
          <w:szCs w:val="24"/>
        </w:rPr>
        <w:t>经折算后的份额数</w:t>
      </w:r>
      <w:r w:rsidR="00703A66" w:rsidRPr="00703A66">
        <w:rPr>
          <w:rFonts w:ascii="Times New Roman" w:hAnsi="Times New Roman" w:hint="eastAsia"/>
          <w:sz w:val="24"/>
          <w:szCs w:val="24"/>
        </w:rPr>
        <w:t>按截位法</w:t>
      </w:r>
      <w:r w:rsidRPr="006413A9">
        <w:rPr>
          <w:rFonts w:ascii="Times New Roman" w:hAnsi="Times New Roman" w:hint="eastAsia"/>
          <w:sz w:val="24"/>
          <w:szCs w:val="24"/>
        </w:rPr>
        <w:t>保留到小数点后两位，小数点后两位以后的部分舍去，</w:t>
      </w:r>
      <w:r w:rsidR="00703A66">
        <w:rPr>
          <w:rFonts w:ascii="Times New Roman" w:hAnsi="Times New Roman" w:hint="eastAsia"/>
          <w:sz w:val="24"/>
          <w:szCs w:val="24"/>
        </w:rPr>
        <w:t>舍去部分</w:t>
      </w:r>
      <w:r w:rsidRPr="006413A9">
        <w:rPr>
          <w:rFonts w:ascii="Times New Roman" w:hAnsi="Times New Roman" w:hint="eastAsia"/>
          <w:sz w:val="24"/>
          <w:szCs w:val="24"/>
        </w:rPr>
        <w:t>计入基金财产；场内</w:t>
      </w:r>
      <w:r>
        <w:rPr>
          <w:rFonts w:ascii="Times New Roman" w:hAnsi="Times New Roman" w:hint="eastAsia"/>
          <w:sz w:val="24"/>
          <w:szCs w:val="24"/>
        </w:rPr>
        <w:t>易方达军工分级份额</w:t>
      </w:r>
      <w:r w:rsidRPr="006413A9">
        <w:rPr>
          <w:rFonts w:ascii="Times New Roman" w:hAnsi="Times New Roman" w:hint="eastAsia"/>
          <w:sz w:val="24"/>
          <w:szCs w:val="24"/>
        </w:rPr>
        <w:t>、</w:t>
      </w:r>
      <w:r>
        <w:rPr>
          <w:rFonts w:ascii="Times New Roman" w:hAnsi="Times New Roman" w:hint="eastAsia"/>
          <w:sz w:val="24"/>
          <w:szCs w:val="24"/>
        </w:rPr>
        <w:t>易方达军工分级</w:t>
      </w:r>
      <w:r>
        <w:rPr>
          <w:rFonts w:ascii="Times New Roman" w:hAnsi="Times New Roman" w:hint="eastAsia"/>
          <w:sz w:val="24"/>
          <w:szCs w:val="24"/>
        </w:rPr>
        <w:t>A</w:t>
      </w:r>
      <w:r>
        <w:rPr>
          <w:rFonts w:ascii="Times New Roman" w:hAnsi="Times New Roman" w:hint="eastAsia"/>
          <w:sz w:val="24"/>
          <w:szCs w:val="24"/>
        </w:rPr>
        <w:t>类份额及易方达军工分级</w:t>
      </w:r>
      <w:r>
        <w:rPr>
          <w:rFonts w:ascii="Times New Roman" w:hAnsi="Times New Roman"/>
          <w:sz w:val="24"/>
          <w:szCs w:val="24"/>
        </w:rPr>
        <w:t>B</w:t>
      </w:r>
      <w:r>
        <w:rPr>
          <w:rFonts w:ascii="Times New Roman" w:hAnsi="Times New Roman" w:hint="eastAsia"/>
          <w:sz w:val="24"/>
          <w:szCs w:val="24"/>
        </w:rPr>
        <w:t>类份额</w:t>
      </w:r>
      <w:r w:rsidR="00703A66">
        <w:rPr>
          <w:rFonts w:ascii="Times New Roman" w:hAnsi="Times New Roman" w:hint="eastAsia"/>
          <w:sz w:val="24"/>
          <w:szCs w:val="24"/>
        </w:rPr>
        <w:t>经折算产生</w:t>
      </w:r>
      <w:r w:rsidRPr="006413A9">
        <w:rPr>
          <w:rFonts w:ascii="Times New Roman" w:hAnsi="Times New Roman" w:hint="eastAsia"/>
          <w:sz w:val="24"/>
          <w:szCs w:val="24"/>
        </w:rPr>
        <w:t>的新增场内</w:t>
      </w:r>
      <w:r>
        <w:rPr>
          <w:rFonts w:ascii="Times New Roman" w:hAnsi="Times New Roman" w:hint="eastAsia"/>
          <w:sz w:val="24"/>
          <w:szCs w:val="24"/>
        </w:rPr>
        <w:t>易方达军工分级份额</w:t>
      </w:r>
      <w:r w:rsidRPr="006413A9">
        <w:rPr>
          <w:rFonts w:ascii="Times New Roman" w:hAnsi="Times New Roman" w:hint="eastAsia"/>
          <w:sz w:val="24"/>
          <w:szCs w:val="24"/>
        </w:rPr>
        <w:t>数保留到整数位（最小单位为</w:t>
      </w:r>
      <w:r w:rsidRPr="006413A9">
        <w:rPr>
          <w:rFonts w:ascii="Times New Roman" w:hAnsi="Times New Roman" w:hint="eastAsia"/>
          <w:sz w:val="24"/>
          <w:szCs w:val="24"/>
        </w:rPr>
        <w:t>1</w:t>
      </w:r>
      <w:r w:rsidRPr="006413A9">
        <w:rPr>
          <w:rFonts w:ascii="Times New Roman" w:hAnsi="Times New Roman" w:hint="eastAsia"/>
          <w:sz w:val="24"/>
          <w:szCs w:val="24"/>
        </w:rPr>
        <w:t>份），不足</w:t>
      </w:r>
      <w:r w:rsidRPr="006413A9">
        <w:rPr>
          <w:rFonts w:ascii="Times New Roman" w:hAnsi="Times New Roman" w:hint="eastAsia"/>
          <w:sz w:val="24"/>
          <w:szCs w:val="24"/>
        </w:rPr>
        <w:t>1</w:t>
      </w:r>
      <w:r w:rsidRPr="006413A9">
        <w:rPr>
          <w:rFonts w:ascii="Times New Roman" w:hAnsi="Times New Roman" w:hint="eastAsia"/>
          <w:sz w:val="24"/>
          <w:szCs w:val="24"/>
        </w:rPr>
        <w:t>份的零碎份加总后保留至整数位（最小单位为</w:t>
      </w:r>
      <w:r w:rsidRPr="006413A9">
        <w:rPr>
          <w:rFonts w:ascii="Times New Roman" w:hAnsi="Times New Roman" w:hint="eastAsia"/>
          <w:sz w:val="24"/>
          <w:szCs w:val="24"/>
        </w:rPr>
        <w:t>1</w:t>
      </w:r>
      <w:r w:rsidRPr="006413A9">
        <w:rPr>
          <w:rFonts w:ascii="Times New Roman" w:hAnsi="Times New Roman" w:hint="eastAsia"/>
          <w:sz w:val="24"/>
          <w:szCs w:val="24"/>
        </w:rPr>
        <w:t>份），按各个场内份额持有人零碎份从大到小的排序，依次向相应的基金份额持有人记增</w:t>
      </w:r>
      <w:r w:rsidRPr="006413A9">
        <w:rPr>
          <w:rFonts w:ascii="Times New Roman" w:hAnsi="Times New Roman" w:hint="eastAsia"/>
          <w:sz w:val="24"/>
          <w:szCs w:val="24"/>
        </w:rPr>
        <w:t>1</w:t>
      </w:r>
      <w:r w:rsidRPr="006413A9">
        <w:rPr>
          <w:rFonts w:ascii="Times New Roman" w:hAnsi="Times New Roman" w:hint="eastAsia"/>
          <w:sz w:val="24"/>
          <w:szCs w:val="24"/>
        </w:rPr>
        <w:t>份，直到所有零碎份的合计份额分配完毕。如登记结算机构业务规则有变化，以其最新规定为准。</w:t>
      </w:r>
    </w:p>
    <w:p w14:paraId="6307CCFA" w14:textId="77777777" w:rsidR="008252BE" w:rsidRPr="006E08DA" w:rsidRDefault="008252BE" w:rsidP="00DD693D">
      <w:pPr>
        <w:spacing w:line="360" w:lineRule="auto"/>
        <w:ind w:firstLineChars="200" w:firstLine="480"/>
        <w:rPr>
          <w:rFonts w:ascii="Times New Roman" w:hAnsi="Times New Roman"/>
          <w:sz w:val="24"/>
          <w:szCs w:val="24"/>
        </w:rPr>
      </w:pPr>
      <w:r w:rsidRPr="006E08DA">
        <w:rPr>
          <w:rFonts w:ascii="Times New Roman" w:hAnsi="Times New Roman"/>
          <w:sz w:val="24"/>
          <w:szCs w:val="24"/>
        </w:rPr>
        <w:lastRenderedPageBreak/>
        <w:t>5</w:t>
      </w:r>
      <w:r w:rsidRPr="006E08DA">
        <w:rPr>
          <w:rFonts w:ascii="Times New Roman" w:hAnsi="Times New Roman" w:hint="eastAsia"/>
          <w:sz w:val="24"/>
          <w:szCs w:val="24"/>
        </w:rPr>
        <w:t>、</w:t>
      </w:r>
      <w:r w:rsidRPr="006E08DA">
        <w:rPr>
          <w:rFonts w:ascii="Times New Roman" w:hAnsi="Times New Roman"/>
          <w:sz w:val="24"/>
          <w:szCs w:val="24"/>
        </w:rPr>
        <w:t>举例</w:t>
      </w:r>
    </w:p>
    <w:p w14:paraId="3D4F8A7B" w14:textId="77777777" w:rsidR="008252BE" w:rsidRPr="006E08DA" w:rsidRDefault="008252BE">
      <w:pPr>
        <w:spacing w:line="360" w:lineRule="auto"/>
        <w:ind w:firstLineChars="200" w:firstLine="480"/>
        <w:rPr>
          <w:rFonts w:ascii="Times New Roman" w:hAnsi="Times New Roman"/>
          <w:sz w:val="24"/>
          <w:szCs w:val="24"/>
        </w:rPr>
      </w:pPr>
      <w:r w:rsidRPr="006E08DA">
        <w:rPr>
          <w:rFonts w:ascii="Times New Roman" w:hAnsi="Times New Roman"/>
          <w:sz w:val="24"/>
          <w:szCs w:val="24"/>
        </w:rPr>
        <w:t>某投资者持有</w:t>
      </w:r>
      <w:r w:rsidR="00F670C8">
        <w:rPr>
          <w:rFonts w:ascii="Times New Roman" w:hAnsi="Times New Roman" w:hint="eastAsia"/>
          <w:sz w:val="24"/>
        </w:rPr>
        <w:t>易方达军工分级份额</w:t>
      </w:r>
      <w:r w:rsidRPr="006E08DA">
        <w:rPr>
          <w:rFonts w:ascii="Times New Roman" w:hAnsi="Times New Roman"/>
          <w:sz w:val="24"/>
          <w:szCs w:val="24"/>
        </w:rPr>
        <w:t>、</w:t>
      </w:r>
      <w:r w:rsidR="00F670C8">
        <w:rPr>
          <w:rFonts w:ascii="Times New Roman" w:hAnsi="Times New Roman" w:hint="eastAsia"/>
          <w:sz w:val="24"/>
        </w:rPr>
        <w:t>易方达军工分级</w:t>
      </w:r>
      <w:r w:rsidR="00F670C8">
        <w:rPr>
          <w:rFonts w:ascii="Times New Roman" w:hAnsi="Times New Roman" w:hint="eastAsia"/>
          <w:sz w:val="24"/>
        </w:rPr>
        <w:t>A</w:t>
      </w:r>
      <w:r w:rsidR="00F670C8">
        <w:rPr>
          <w:rFonts w:ascii="Times New Roman" w:hAnsi="Times New Roman" w:hint="eastAsia"/>
          <w:sz w:val="24"/>
        </w:rPr>
        <w:t>类份额</w:t>
      </w:r>
      <w:r w:rsidRPr="006E08DA">
        <w:rPr>
          <w:rFonts w:ascii="Times New Roman" w:hAnsi="Times New Roman"/>
          <w:sz w:val="24"/>
          <w:szCs w:val="24"/>
        </w:rPr>
        <w:t>、</w:t>
      </w:r>
      <w:r w:rsidR="00F670C8">
        <w:rPr>
          <w:rFonts w:ascii="Times New Roman" w:hAnsi="Times New Roman" w:hint="eastAsia"/>
          <w:sz w:val="24"/>
        </w:rPr>
        <w:t>易方达军工分级</w:t>
      </w:r>
      <w:r w:rsidR="00F670C8">
        <w:rPr>
          <w:rFonts w:ascii="Times New Roman" w:hAnsi="Times New Roman" w:hint="eastAsia"/>
          <w:sz w:val="24"/>
        </w:rPr>
        <w:t>B</w:t>
      </w:r>
      <w:r w:rsidR="00F670C8">
        <w:rPr>
          <w:rFonts w:ascii="Times New Roman" w:hAnsi="Times New Roman" w:hint="eastAsia"/>
          <w:sz w:val="24"/>
        </w:rPr>
        <w:t>类份额</w:t>
      </w:r>
      <w:r w:rsidRPr="006E08DA">
        <w:rPr>
          <w:rFonts w:ascii="Times New Roman" w:hAnsi="Times New Roman"/>
          <w:sz w:val="24"/>
          <w:szCs w:val="24"/>
        </w:rPr>
        <w:t>各</w:t>
      </w:r>
      <w:r w:rsidRPr="006E08DA">
        <w:rPr>
          <w:rFonts w:ascii="Times New Roman" w:hAnsi="Times New Roman"/>
          <w:sz w:val="24"/>
          <w:szCs w:val="24"/>
        </w:rPr>
        <w:t>10,000</w:t>
      </w:r>
      <w:r w:rsidRPr="006E08DA">
        <w:rPr>
          <w:rFonts w:ascii="Times New Roman" w:hAnsi="Times New Roman"/>
          <w:sz w:val="24"/>
          <w:szCs w:val="24"/>
        </w:rPr>
        <w:t>份，在本基金的不定期份额折算</w:t>
      </w:r>
      <w:r w:rsidR="00463D98">
        <w:rPr>
          <w:rFonts w:ascii="Times New Roman" w:hAnsi="Times New Roman" w:hint="eastAsia"/>
          <w:sz w:val="24"/>
          <w:szCs w:val="24"/>
        </w:rPr>
        <w:t>基准</w:t>
      </w:r>
      <w:r w:rsidRPr="006E08DA">
        <w:rPr>
          <w:rFonts w:ascii="Times New Roman" w:hAnsi="Times New Roman"/>
          <w:sz w:val="24"/>
          <w:szCs w:val="24"/>
        </w:rPr>
        <w:t>日，</w:t>
      </w:r>
      <w:r w:rsidR="00F670C8">
        <w:rPr>
          <w:rFonts w:ascii="Times New Roman" w:hAnsi="Times New Roman" w:hint="eastAsia"/>
          <w:sz w:val="24"/>
        </w:rPr>
        <w:t>易方达军工分级份额</w:t>
      </w:r>
      <w:r w:rsidRPr="006E08DA">
        <w:rPr>
          <w:rFonts w:ascii="Times New Roman" w:hAnsi="Times New Roman"/>
          <w:sz w:val="24"/>
          <w:szCs w:val="24"/>
        </w:rPr>
        <w:t>的基金份额净值、</w:t>
      </w:r>
      <w:r w:rsidR="00F670C8">
        <w:rPr>
          <w:rFonts w:ascii="Times New Roman" w:hAnsi="Times New Roman" w:hint="eastAsia"/>
          <w:sz w:val="24"/>
        </w:rPr>
        <w:t>易方达军工分级</w:t>
      </w:r>
      <w:r w:rsidR="00F670C8">
        <w:rPr>
          <w:rFonts w:ascii="Times New Roman" w:hAnsi="Times New Roman" w:hint="eastAsia"/>
          <w:sz w:val="24"/>
        </w:rPr>
        <w:t>A</w:t>
      </w:r>
      <w:r w:rsidR="00F670C8">
        <w:rPr>
          <w:rFonts w:ascii="Times New Roman" w:hAnsi="Times New Roman" w:hint="eastAsia"/>
          <w:sz w:val="24"/>
        </w:rPr>
        <w:t>类份额</w:t>
      </w:r>
      <w:r w:rsidRPr="006E08DA">
        <w:rPr>
          <w:rFonts w:ascii="Times New Roman" w:hAnsi="Times New Roman"/>
          <w:sz w:val="24"/>
          <w:szCs w:val="24"/>
        </w:rPr>
        <w:t>与</w:t>
      </w:r>
      <w:r w:rsidR="00F670C8">
        <w:rPr>
          <w:rFonts w:ascii="Times New Roman" w:hAnsi="Times New Roman" w:hint="eastAsia"/>
          <w:sz w:val="24"/>
        </w:rPr>
        <w:t>易方达军工分级</w:t>
      </w:r>
      <w:r w:rsidR="00F670C8">
        <w:rPr>
          <w:rFonts w:ascii="Times New Roman" w:hAnsi="Times New Roman" w:hint="eastAsia"/>
          <w:sz w:val="24"/>
        </w:rPr>
        <w:t>B</w:t>
      </w:r>
      <w:r w:rsidR="00F670C8">
        <w:rPr>
          <w:rFonts w:ascii="Times New Roman" w:hAnsi="Times New Roman" w:hint="eastAsia"/>
          <w:sz w:val="24"/>
        </w:rPr>
        <w:t>类份额</w:t>
      </w:r>
      <w:r w:rsidRPr="006E08DA">
        <w:rPr>
          <w:rFonts w:ascii="Times New Roman" w:hAnsi="Times New Roman"/>
          <w:sz w:val="24"/>
          <w:szCs w:val="24"/>
        </w:rPr>
        <w:t>的基金份额参考净值如下表所示，折算后，</w:t>
      </w:r>
      <w:r w:rsidR="00F670C8">
        <w:rPr>
          <w:rFonts w:ascii="Times New Roman" w:hAnsi="Times New Roman" w:hint="eastAsia"/>
          <w:sz w:val="24"/>
        </w:rPr>
        <w:t>易方达军工分级份额</w:t>
      </w:r>
      <w:r w:rsidRPr="006E08DA">
        <w:rPr>
          <w:rFonts w:ascii="Times New Roman" w:hAnsi="Times New Roman"/>
          <w:sz w:val="24"/>
          <w:szCs w:val="24"/>
        </w:rPr>
        <w:t>的基金份额净值、</w:t>
      </w:r>
      <w:r w:rsidR="00F670C8">
        <w:rPr>
          <w:rFonts w:ascii="Times New Roman" w:hAnsi="Times New Roman" w:hint="eastAsia"/>
          <w:sz w:val="24"/>
        </w:rPr>
        <w:t>易方达军工分级</w:t>
      </w:r>
      <w:r w:rsidR="00F670C8">
        <w:rPr>
          <w:rFonts w:ascii="Times New Roman" w:hAnsi="Times New Roman" w:hint="eastAsia"/>
          <w:sz w:val="24"/>
        </w:rPr>
        <w:t>A</w:t>
      </w:r>
      <w:r w:rsidR="00F670C8">
        <w:rPr>
          <w:rFonts w:ascii="Times New Roman" w:hAnsi="Times New Roman" w:hint="eastAsia"/>
          <w:sz w:val="24"/>
        </w:rPr>
        <w:t>类份额</w:t>
      </w:r>
      <w:r w:rsidRPr="006E08DA">
        <w:rPr>
          <w:rFonts w:ascii="Times New Roman" w:hAnsi="Times New Roman"/>
          <w:sz w:val="24"/>
          <w:szCs w:val="24"/>
        </w:rPr>
        <w:t>与</w:t>
      </w:r>
      <w:r w:rsidR="00F670C8">
        <w:rPr>
          <w:rFonts w:ascii="Times New Roman" w:hAnsi="Times New Roman" w:hint="eastAsia"/>
          <w:sz w:val="24"/>
        </w:rPr>
        <w:t>易方达军工分级</w:t>
      </w:r>
      <w:r w:rsidR="00F670C8">
        <w:rPr>
          <w:rFonts w:ascii="Times New Roman" w:hAnsi="Times New Roman" w:hint="eastAsia"/>
          <w:sz w:val="24"/>
        </w:rPr>
        <w:t>B</w:t>
      </w:r>
      <w:r w:rsidR="00F670C8">
        <w:rPr>
          <w:rFonts w:ascii="Times New Roman" w:hAnsi="Times New Roman" w:hint="eastAsia"/>
          <w:sz w:val="24"/>
        </w:rPr>
        <w:t>类份额</w:t>
      </w:r>
      <w:r w:rsidRPr="006E08DA">
        <w:rPr>
          <w:rFonts w:ascii="Times New Roman" w:hAnsi="Times New Roman"/>
          <w:sz w:val="24"/>
          <w:szCs w:val="24"/>
        </w:rPr>
        <w:t>的基金份额参考净值均调整为</w:t>
      </w:r>
      <w:r w:rsidRPr="006E08DA">
        <w:rPr>
          <w:rFonts w:ascii="Times New Roman" w:hAnsi="Times New Roman"/>
          <w:sz w:val="24"/>
          <w:szCs w:val="24"/>
        </w:rPr>
        <w:t>1.0000</w:t>
      </w:r>
      <w:r w:rsidRPr="006E08DA">
        <w:rPr>
          <w:rFonts w:ascii="Times New Roman" w:hAnsi="Times New Roman"/>
          <w:sz w:val="24"/>
          <w:szCs w:val="24"/>
        </w:rPr>
        <w:t>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7"/>
        <w:gridCol w:w="1764"/>
        <w:gridCol w:w="908"/>
        <w:gridCol w:w="1825"/>
        <w:gridCol w:w="876"/>
        <w:gridCol w:w="1556"/>
      </w:tblGrid>
      <w:tr w:rsidR="008252BE" w:rsidRPr="00D57825" w14:paraId="3292D8AF" w14:textId="77777777" w:rsidTr="00EA07C2">
        <w:tc>
          <w:tcPr>
            <w:tcW w:w="827" w:type="pct"/>
            <w:vMerge w:val="restart"/>
            <w:vAlign w:val="center"/>
          </w:tcPr>
          <w:p w14:paraId="2F806D99" w14:textId="77777777" w:rsidR="008252BE" w:rsidRPr="006E08DA" w:rsidRDefault="008252BE" w:rsidP="00EA07C2">
            <w:pPr>
              <w:snapToGrid w:val="0"/>
              <w:spacing w:line="360" w:lineRule="auto"/>
              <w:jc w:val="center"/>
              <w:rPr>
                <w:rFonts w:ascii="Times New Roman" w:hAnsi="Times New Roman"/>
                <w:sz w:val="24"/>
                <w:szCs w:val="24"/>
              </w:rPr>
            </w:pPr>
            <w:r w:rsidRPr="006E08DA">
              <w:rPr>
                <w:rFonts w:ascii="Times New Roman" w:hAnsi="Times New Roman"/>
                <w:sz w:val="24"/>
                <w:szCs w:val="24"/>
              </w:rPr>
              <w:t>基金份额</w:t>
            </w:r>
          </w:p>
        </w:tc>
        <w:tc>
          <w:tcPr>
            <w:tcW w:w="1616" w:type="pct"/>
            <w:gridSpan w:val="2"/>
            <w:vAlign w:val="center"/>
          </w:tcPr>
          <w:p w14:paraId="6CF9430C" w14:textId="77777777" w:rsidR="008252BE" w:rsidRPr="006E08DA" w:rsidRDefault="008252BE" w:rsidP="00EA07C2">
            <w:pPr>
              <w:snapToGrid w:val="0"/>
              <w:spacing w:line="360" w:lineRule="auto"/>
              <w:jc w:val="center"/>
              <w:rPr>
                <w:rFonts w:ascii="Times New Roman" w:hAnsi="Times New Roman"/>
                <w:sz w:val="24"/>
                <w:szCs w:val="24"/>
              </w:rPr>
            </w:pPr>
            <w:r w:rsidRPr="006E08DA">
              <w:rPr>
                <w:rFonts w:ascii="Times New Roman" w:hAnsi="Times New Roman"/>
                <w:sz w:val="24"/>
                <w:szCs w:val="24"/>
              </w:rPr>
              <w:t>折算前</w:t>
            </w:r>
          </w:p>
        </w:tc>
        <w:tc>
          <w:tcPr>
            <w:tcW w:w="2557" w:type="pct"/>
            <w:gridSpan w:val="3"/>
            <w:vAlign w:val="center"/>
          </w:tcPr>
          <w:p w14:paraId="318E139A" w14:textId="77777777" w:rsidR="008252BE" w:rsidRPr="006E08DA" w:rsidRDefault="008252BE" w:rsidP="00EA07C2">
            <w:pPr>
              <w:snapToGrid w:val="0"/>
              <w:spacing w:line="360" w:lineRule="auto"/>
              <w:jc w:val="center"/>
              <w:rPr>
                <w:rFonts w:ascii="Times New Roman" w:hAnsi="Times New Roman"/>
                <w:sz w:val="24"/>
                <w:szCs w:val="24"/>
              </w:rPr>
            </w:pPr>
            <w:r w:rsidRPr="006E08DA">
              <w:rPr>
                <w:rFonts w:ascii="Times New Roman" w:hAnsi="Times New Roman"/>
                <w:sz w:val="24"/>
                <w:szCs w:val="24"/>
              </w:rPr>
              <w:t>折算后</w:t>
            </w:r>
          </w:p>
        </w:tc>
      </w:tr>
      <w:tr w:rsidR="008252BE" w:rsidRPr="00D57825" w14:paraId="4097B02D" w14:textId="77777777" w:rsidTr="006E08DA">
        <w:tc>
          <w:tcPr>
            <w:tcW w:w="827" w:type="pct"/>
            <w:vMerge/>
            <w:vAlign w:val="center"/>
          </w:tcPr>
          <w:p w14:paraId="468F6DF7" w14:textId="77777777" w:rsidR="008252BE" w:rsidRPr="006E08DA" w:rsidRDefault="008252BE" w:rsidP="00EA07C2">
            <w:pPr>
              <w:snapToGrid w:val="0"/>
              <w:spacing w:line="360" w:lineRule="auto"/>
              <w:jc w:val="center"/>
              <w:rPr>
                <w:rFonts w:ascii="Times New Roman" w:hAnsi="Times New Roman"/>
                <w:sz w:val="24"/>
                <w:szCs w:val="24"/>
              </w:rPr>
            </w:pPr>
          </w:p>
        </w:tc>
        <w:tc>
          <w:tcPr>
            <w:tcW w:w="1066" w:type="pct"/>
            <w:vAlign w:val="center"/>
          </w:tcPr>
          <w:p w14:paraId="077A8602" w14:textId="77777777" w:rsidR="008252BE" w:rsidRPr="006E08DA" w:rsidRDefault="008252BE" w:rsidP="000B1DF2">
            <w:pPr>
              <w:snapToGrid w:val="0"/>
              <w:spacing w:line="360" w:lineRule="auto"/>
              <w:jc w:val="center"/>
              <w:rPr>
                <w:rFonts w:ascii="Times New Roman" w:hAnsi="Times New Roman"/>
                <w:sz w:val="24"/>
                <w:szCs w:val="24"/>
              </w:rPr>
            </w:pPr>
            <w:r w:rsidRPr="006E08DA">
              <w:rPr>
                <w:rFonts w:ascii="Times New Roman" w:hAnsi="Times New Roman"/>
                <w:sz w:val="24"/>
                <w:szCs w:val="24"/>
              </w:rPr>
              <w:t>基金份额净值</w:t>
            </w:r>
            <w:r w:rsidR="00E175AD">
              <w:rPr>
                <w:rFonts w:ascii="Times New Roman" w:hAnsi="Times New Roman" w:hint="eastAsia"/>
                <w:sz w:val="24"/>
                <w:szCs w:val="24"/>
              </w:rPr>
              <w:t>（</w:t>
            </w:r>
            <w:r w:rsidRPr="006E08DA">
              <w:rPr>
                <w:rFonts w:ascii="Times New Roman" w:hAnsi="Times New Roman"/>
                <w:sz w:val="24"/>
                <w:szCs w:val="24"/>
              </w:rPr>
              <w:t>或参考净值</w:t>
            </w:r>
            <w:r w:rsidR="00E175AD">
              <w:rPr>
                <w:rFonts w:ascii="Times New Roman" w:hAnsi="Times New Roman" w:hint="eastAsia"/>
                <w:sz w:val="24"/>
                <w:szCs w:val="24"/>
              </w:rPr>
              <w:t>）</w:t>
            </w:r>
          </w:p>
        </w:tc>
        <w:tc>
          <w:tcPr>
            <w:tcW w:w="550" w:type="pct"/>
            <w:vAlign w:val="center"/>
          </w:tcPr>
          <w:p w14:paraId="0273B613" w14:textId="77777777" w:rsidR="000B1DF2" w:rsidRPr="006E08DA" w:rsidRDefault="008252BE" w:rsidP="00EA07C2">
            <w:pPr>
              <w:snapToGrid w:val="0"/>
              <w:spacing w:line="360" w:lineRule="auto"/>
              <w:jc w:val="center"/>
              <w:rPr>
                <w:rFonts w:ascii="Times New Roman" w:hAnsi="Times New Roman"/>
                <w:sz w:val="24"/>
                <w:szCs w:val="24"/>
              </w:rPr>
            </w:pPr>
            <w:r w:rsidRPr="006E08DA">
              <w:rPr>
                <w:rFonts w:ascii="Times New Roman" w:hAnsi="Times New Roman"/>
                <w:sz w:val="24"/>
                <w:szCs w:val="24"/>
              </w:rPr>
              <w:t>基金</w:t>
            </w:r>
          </w:p>
          <w:p w14:paraId="2C1CA4FC" w14:textId="77777777" w:rsidR="008252BE" w:rsidRPr="006E08DA" w:rsidRDefault="008252BE" w:rsidP="00EA07C2">
            <w:pPr>
              <w:snapToGrid w:val="0"/>
              <w:spacing w:line="360" w:lineRule="auto"/>
              <w:jc w:val="center"/>
              <w:rPr>
                <w:rFonts w:ascii="Times New Roman" w:hAnsi="Times New Roman"/>
                <w:sz w:val="24"/>
                <w:szCs w:val="24"/>
              </w:rPr>
            </w:pPr>
            <w:r w:rsidRPr="006E08DA">
              <w:rPr>
                <w:rFonts w:ascii="Times New Roman" w:hAnsi="Times New Roman"/>
                <w:sz w:val="24"/>
                <w:szCs w:val="24"/>
              </w:rPr>
              <w:t>份额</w:t>
            </w:r>
          </w:p>
        </w:tc>
        <w:tc>
          <w:tcPr>
            <w:tcW w:w="1103" w:type="pct"/>
            <w:vAlign w:val="center"/>
          </w:tcPr>
          <w:p w14:paraId="61F22639" w14:textId="77777777" w:rsidR="008252BE" w:rsidRPr="006E08DA" w:rsidRDefault="008252BE" w:rsidP="00EA07C2">
            <w:pPr>
              <w:snapToGrid w:val="0"/>
              <w:spacing w:line="360" w:lineRule="auto"/>
              <w:jc w:val="center"/>
              <w:rPr>
                <w:rFonts w:ascii="Times New Roman" w:hAnsi="Times New Roman"/>
                <w:sz w:val="24"/>
                <w:szCs w:val="24"/>
              </w:rPr>
            </w:pPr>
            <w:r w:rsidRPr="006E08DA">
              <w:rPr>
                <w:rFonts w:ascii="Times New Roman" w:hAnsi="Times New Roman"/>
                <w:sz w:val="24"/>
                <w:szCs w:val="24"/>
              </w:rPr>
              <w:t>基金份额净值</w:t>
            </w:r>
          </w:p>
          <w:p w14:paraId="21B13EE9" w14:textId="77777777" w:rsidR="008252BE" w:rsidRPr="006E08DA" w:rsidRDefault="00E175AD" w:rsidP="00EA07C2">
            <w:pPr>
              <w:snapToGrid w:val="0"/>
              <w:spacing w:line="360" w:lineRule="auto"/>
              <w:jc w:val="center"/>
              <w:rPr>
                <w:rFonts w:ascii="Times New Roman" w:hAnsi="Times New Roman"/>
                <w:sz w:val="24"/>
                <w:szCs w:val="24"/>
              </w:rPr>
            </w:pPr>
            <w:r>
              <w:rPr>
                <w:rFonts w:ascii="Times New Roman" w:hAnsi="Times New Roman" w:hint="eastAsia"/>
                <w:sz w:val="24"/>
                <w:szCs w:val="24"/>
              </w:rPr>
              <w:t>（</w:t>
            </w:r>
            <w:r w:rsidR="008252BE" w:rsidRPr="006E08DA">
              <w:rPr>
                <w:rFonts w:ascii="Times New Roman" w:hAnsi="Times New Roman"/>
                <w:sz w:val="24"/>
                <w:szCs w:val="24"/>
              </w:rPr>
              <w:t>或参考净值</w:t>
            </w:r>
            <w:r>
              <w:rPr>
                <w:rFonts w:ascii="Times New Roman" w:hAnsi="Times New Roman" w:hint="eastAsia"/>
                <w:sz w:val="24"/>
                <w:szCs w:val="24"/>
              </w:rPr>
              <w:t>）</w:t>
            </w:r>
          </w:p>
        </w:tc>
        <w:tc>
          <w:tcPr>
            <w:tcW w:w="514" w:type="pct"/>
            <w:vAlign w:val="center"/>
          </w:tcPr>
          <w:p w14:paraId="27C74132" w14:textId="77777777" w:rsidR="000B1DF2" w:rsidRPr="006E08DA" w:rsidRDefault="008252BE" w:rsidP="00EA07C2">
            <w:pPr>
              <w:snapToGrid w:val="0"/>
              <w:spacing w:line="360" w:lineRule="auto"/>
              <w:jc w:val="center"/>
              <w:rPr>
                <w:rFonts w:ascii="Times New Roman" w:hAnsi="Times New Roman"/>
                <w:sz w:val="24"/>
                <w:szCs w:val="24"/>
              </w:rPr>
            </w:pPr>
            <w:r w:rsidRPr="006E08DA">
              <w:rPr>
                <w:rFonts w:ascii="Times New Roman" w:hAnsi="Times New Roman"/>
                <w:sz w:val="24"/>
                <w:szCs w:val="24"/>
              </w:rPr>
              <w:t>基金</w:t>
            </w:r>
          </w:p>
          <w:p w14:paraId="221CD8C2" w14:textId="77777777" w:rsidR="008252BE" w:rsidRPr="006E08DA" w:rsidRDefault="008252BE" w:rsidP="00EA07C2">
            <w:pPr>
              <w:snapToGrid w:val="0"/>
              <w:spacing w:line="360" w:lineRule="auto"/>
              <w:jc w:val="center"/>
              <w:rPr>
                <w:rFonts w:ascii="Times New Roman" w:hAnsi="Times New Roman"/>
                <w:sz w:val="24"/>
                <w:szCs w:val="24"/>
              </w:rPr>
            </w:pPr>
            <w:r w:rsidRPr="006E08DA">
              <w:rPr>
                <w:rFonts w:ascii="Times New Roman" w:hAnsi="Times New Roman"/>
                <w:sz w:val="24"/>
                <w:szCs w:val="24"/>
              </w:rPr>
              <w:t>份额</w:t>
            </w:r>
          </w:p>
        </w:tc>
        <w:tc>
          <w:tcPr>
            <w:tcW w:w="940" w:type="pct"/>
            <w:vAlign w:val="center"/>
          </w:tcPr>
          <w:p w14:paraId="6A7FB6E0" w14:textId="059E7201" w:rsidR="008252BE" w:rsidRPr="006E08DA" w:rsidRDefault="008252BE" w:rsidP="00EA07C2">
            <w:pPr>
              <w:snapToGrid w:val="0"/>
              <w:spacing w:line="360" w:lineRule="auto"/>
              <w:jc w:val="center"/>
              <w:rPr>
                <w:rFonts w:ascii="Times New Roman" w:hAnsi="Times New Roman"/>
                <w:sz w:val="24"/>
                <w:szCs w:val="24"/>
              </w:rPr>
            </w:pPr>
            <w:r w:rsidRPr="006E08DA">
              <w:rPr>
                <w:rFonts w:ascii="Times New Roman" w:hAnsi="Times New Roman"/>
                <w:sz w:val="24"/>
                <w:szCs w:val="24"/>
              </w:rPr>
              <w:t>新增</w:t>
            </w:r>
            <w:r w:rsidR="003B3C62" w:rsidRPr="003B3C62">
              <w:rPr>
                <w:rFonts w:ascii="Times New Roman" w:hAnsi="Times New Roman" w:hint="eastAsia"/>
                <w:sz w:val="24"/>
                <w:szCs w:val="24"/>
              </w:rPr>
              <w:t>易方达军工分级份额</w:t>
            </w:r>
          </w:p>
        </w:tc>
      </w:tr>
      <w:tr w:rsidR="008252BE" w:rsidRPr="00D57825" w14:paraId="4C0DA7EE" w14:textId="77777777" w:rsidTr="006E08DA">
        <w:tc>
          <w:tcPr>
            <w:tcW w:w="827" w:type="pct"/>
            <w:vAlign w:val="center"/>
          </w:tcPr>
          <w:p w14:paraId="164E9168" w14:textId="77777777" w:rsidR="008252BE" w:rsidRPr="006E08DA" w:rsidRDefault="00F670C8" w:rsidP="00EA07C2">
            <w:pPr>
              <w:snapToGrid w:val="0"/>
              <w:spacing w:line="360" w:lineRule="auto"/>
              <w:jc w:val="center"/>
              <w:rPr>
                <w:rFonts w:ascii="Times New Roman" w:hAnsi="Times New Roman"/>
                <w:sz w:val="24"/>
                <w:szCs w:val="24"/>
              </w:rPr>
            </w:pPr>
            <w:r>
              <w:rPr>
                <w:rFonts w:ascii="Times New Roman" w:hAnsi="Times New Roman" w:hint="eastAsia"/>
                <w:sz w:val="24"/>
                <w:szCs w:val="24"/>
              </w:rPr>
              <w:t>易方达军工分级份额</w:t>
            </w:r>
          </w:p>
        </w:tc>
        <w:tc>
          <w:tcPr>
            <w:tcW w:w="1066" w:type="pct"/>
            <w:vAlign w:val="center"/>
          </w:tcPr>
          <w:p w14:paraId="5F2CFB33" w14:textId="77777777" w:rsidR="008252BE" w:rsidRPr="006E08DA" w:rsidRDefault="008252BE" w:rsidP="00EA07C2">
            <w:pPr>
              <w:snapToGrid w:val="0"/>
              <w:spacing w:line="360" w:lineRule="auto"/>
              <w:jc w:val="center"/>
              <w:rPr>
                <w:rFonts w:ascii="Times New Roman" w:hAnsi="Times New Roman"/>
                <w:sz w:val="24"/>
                <w:szCs w:val="24"/>
              </w:rPr>
            </w:pPr>
            <w:r w:rsidRPr="006E08DA">
              <w:rPr>
                <w:rFonts w:ascii="Times New Roman" w:hAnsi="Times New Roman"/>
                <w:sz w:val="24"/>
                <w:szCs w:val="24"/>
              </w:rPr>
              <w:t>1.5700</w:t>
            </w:r>
          </w:p>
        </w:tc>
        <w:tc>
          <w:tcPr>
            <w:tcW w:w="550" w:type="pct"/>
            <w:vAlign w:val="center"/>
          </w:tcPr>
          <w:p w14:paraId="5BADCB1D" w14:textId="77777777" w:rsidR="008252BE" w:rsidRPr="006E08DA" w:rsidRDefault="008252BE" w:rsidP="00EA07C2">
            <w:pPr>
              <w:snapToGrid w:val="0"/>
              <w:spacing w:line="360" w:lineRule="auto"/>
              <w:jc w:val="center"/>
              <w:rPr>
                <w:rFonts w:ascii="Times New Roman" w:hAnsi="Times New Roman"/>
                <w:sz w:val="24"/>
                <w:szCs w:val="24"/>
              </w:rPr>
            </w:pPr>
            <w:r w:rsidRPr="006E08DA">
              <w:rPr>
                <w:rFonts w:ascii="Times New Roman" w:hAnsi="Times New Roman"/>
                <w:sz w:val="24"/>
                <w:szCs w:val="24"/>
              </w:rPr>
              <w:t>10,000</w:t>
            </w:r>
          </w:p>
        </w:tc>
        <w:tc>
          <w:tcPr>
            <w:tcW w:w="1103" w:type="pct"/>
            <w:vAlign w:val="center"/>
          </w:tcPr>
          <w:p w14:paraId="3555ED7B" w14:textId="77777777" w:rsidR="008252BE" w:rsidRPr="006E08DA" w:rsidRDefault="008252BE" w:rsidP="00EA07C2">
            <w:pPr>
              <w:snapToGrid w:val="0"/>
              <w:spacing w:line="360" w:lineRule="auto"/>
              <w:jc w:val="center"/>
              <w:rPr>
                <w:rFonts w:ascii="Times New Roman" w:hAnsi="Times New Roman"/>
                <w:sz w:val="24"/>
                <w:szCs w:val="24"/>
              </w:rPr>
            </w:pPr>
            <w:r w:rsidRPr="006E08DA">
              <w:rPr>
                <w:rFonts w:ascii="Times New Roman" w:hAnsi="Times New Roman"/>
                <w:sz w:val="24"/>
                <w:szCs w:val="24"/>
              </w:rPr>
              <w:t>1.0000</w:t>
            </w:r>
          </w:p>
        </w:tc>
        <w:tc>
          <w:tcPr>
            <w:tcW w:w="514" w:type="pct"/>
            <w:vAlign w:val="center"/>
          </w:tcPr>
          <w:p w14:paraId="3C844846" w14:textId="77777777" w:rsidR="008252BE" w:rsidRPr="006E08DA" w:rsidRDefault="008252BE" w:rsidP="00EA07C2">
            <w:pPr>
              <w:snapToGrid w:val="0"/>
              <w:spacing w:line="360" w:lineRule="auto"/>
              <w:jc w:val="center"/>
              <w:rPr>
                <w:rFonts w:ascii="Times New Roman" w:hAnsi="Times New Roman"/>
                <w:sz w:val="24"/>
                <w:szCs w:val="24"/>
              </w:rPr>
            </w:pPr>
            <w:r w:rsidRPr="006E08DA">
              <w:rPr>
                <w:rFonts w:ascii="Times New Roman" w:hAnsi="Times New Roman"/>
                <w:sz w:val="24"/>
                <w:szCs w:val="24"/>
              </w:rPr>
              <w:t>10,000</w:t>
            </w:r>
          </w:p>
        </w:tc>
        <w:tc>
          <w:tcPr>
            <w:tcW w:w="940" w:type="pct"/>
            <w:vAlign w:val="center"/>
          </w:tcPr>
          <w:p w14:paraId="39D56EEF" w14:textId="77777777" w:rsidR="008252BE" w:rsidRPr="006E08DA" w:rsidRDefault="008252BE" w:rsidP="00EA07C2">
            <w:pPr>
              <w:snapToGrid w:val="0"/>
              <w:spacing w:line="360" w:lineRule="auto"/>
              <w:jc w:val="center"/>
              <w:rPr>
                <w:rFonts w:ascii="Times New Roman" w:hAnsi="Times New Roman"/>
                <w:sz w:val="24"/>
                <w:szCs w:val="24"/>
              </w:rPr>
            </w:pPr>
            <w:r w:rsidRPr="006E08DA">
              <w:rPr>
                <w:rFonts w:ascii="Times New Roman" w:hAnsi="Times New Roman"/>
                <w:sz w:val="24"/>
                <w:szCs w:val="24"/>
              </w:rPr>
              <w:t>5,700</w:t>
            </w:r>
          </w:p>
        </w:tc>
      </w:tr>
      <w:tr w:rsidR="008252BE" w:rsidRPr="00D57825" w14:paraId="4B9356E4" w14:textId="77777777" w:rsidTr="006E08DA">
        <w:tc>
          <w:tcPr>
            <w:tcW w:w="827" w:type="pct"/>
            <w:vAlign w:val="center"/>
          </w:tcPr>
          <w:p w14:paraId="42F03EE3" w14:textId="77777777" w:rsidR="008252BE" w:rsidRPr="006E08DA" w:rsidRDefault="00F670C8" w:rsidP="00EA07C2">
            <w:pPr>
              <w:snapToGrid w:val="0"/>
              <w:spacing w:line="360" w:lineRule="auto"/>
              <w:jc w:val="center"/>
              <w:rPr>
                <w:rFonts w:ascii="Times New Roman" w:hAnsi="Times New Roman"/>
                <w:sz w:val="24"/>
                <w:szCs w:val="24"/>
              </w:rPr>
            </w:pPr>
            <w:r>
              <w:rPr>
                <w:rFonts w:ascii="Times New Roman" w:hAnsi="Times New Roman" w:hint="eastAsia"/>
                <w:sz w:val="24"/>
                <w:szCs w:val="24"/>
              </w:rPr>
              <w:t>易方达军工分级</w:t>
            </w:r>
            <w:r>
              <w:rPr>
                <w:rFonts w:ascii="Times New Roman" w:hAnsi="Times New Roman" w:hint="eastAsia"/>
                <w:sz w:val="24"/>
                <w:szCs w:val="24"/>
              </w:rPr>
              <w:t>A</w:t>
            </w:r>
            <w:r>
              <w:rPr>
                <w:rFonts w:ascii="Times New Roman" w:hAnsi="Times New Roman" w:hint="eastAsia"/>
                <w:sz w:val="24"/>
                <w:szCs w:val="24"/>
              </w:rPr>
              <w:t>类份额</w:t>
            </w:r>
          </w:p>
        </w:tc>
        <w:tc>
          <w:tcPr>
            <w:tcW w:w="1066" w:type="pct"/>
            <w:vAlign w:val="center"/>
          </w:tcPr>
          <w:p w14:paraId="15A953BF" w14:textId="77777777" w:rsidR="008252BE" w:rsidRPr="006E08DA" w:rsidRDefault="008252BE" w:rsidP="00EA07C2">
            <w:pPr>
              <w:snapToGrid w:val="0"/>
              <w:spacing w:line="360" w:lineRule="auto"/>
              <w:jc w:val="center"/>
              <w:rPr>
                <w:rFonts w:ascii="Times New Roman" w:hAnsi="Times New Roman"/>
                <w:sz w:val="24"/>
                <w:szCs w:val="24"/>
              </w:rPr>
            </w:pPr>
            <w:r w:rsidRPr="006E08DA">
              <w:rPr>
                <w:rFonts w:ascii="Times New Roman" w:hAnsi="Times New Roman"/>
                <w:sz w:val="24"/>
                <w:szCs w:val="24"/>
              </w:rPr>
              <w:t>1.0300</w:t>
            </w:r>
          </w:p>
        </w:tc>
        <w:tc>
          <w:tcPr>
            <w:tcW w:w="550" w:type="pct"/>
            <w:vAlign w:val="center"/>
          </w:tcPr>
          <w:p w14:paraId="1BFE9297" w14:textId="77777777" w:rsidR="008252BE" w:rsidRPr="006E08DA" w:rsidRDefault="008252BE" w:rsidP="00EA07C2">
            <w:pPr>
              <w:snapToGrid w:val="0"/>
              <w:spacing w:line="360" w:lineRule="auto"/>
              <w:jc w:val="center"/>
              <w:rPr>
                <w:rFonts w:ascii="Times New Roman" w:hAnsi="Times New Roman"/>
                <w:sz w:val="24"/>
                <w:szCs w:val="24"/>
              </w:rPr>
            </w:pPr>
            <w:r w:rsidRPr="006E08DA">
              <w:rPr>
                <w:rFonts w:ascii="Times New Roman" w:hAnsi="Times New Roman"/>
                <w:sz w:val="24"/>
                <w:szCs w:val="24"/>
              </w:rPr>
              <w:t>10,000</w:t>
            </w:r>
          </w:p>
        </w:tc>
        <w:tc>
          <w:tcPr>
            <w:tcW w:w="1103" w:type="pct"/>
            <w:vAlign w:val="center"/>
          </w:tcPr>
          <w:p w14:paraId="104A7A48" w14:textId="77777777" w:rsidR="008252BE" w:rsidRPr="006E08DA" w:rsidRDefault="008252BE" w:rsidP="00EA07C2">
            <w:pPr>
              <w:snapToGrid w:val="0"/>
              <w:spacing w:line="360" w:lineRule="auto"/>
              <w:jc w:val="center"/>
              <w:rPr>
                <w:rFonts w:ascii="Times New Roman" w:hAnsi="Times New Roman"/>
                <w:sz w:val="24"/>
                <w:szCs w:val="24"/>
              </w:rPr>
            </w:pPr>
            <w:r w:rsidRPr="006E08DA">
              <w:rPr>
                <w:rFonts w:ascii="Times New Roman" w:hAnsi="Times New Roman"/>
                <w:sz w:val="24"/>
                <w:szCs w:val="24"/>
              </w:rPr>
              <w:t>1.0000</w:t>
            </w:r>
          </w:p>
        </w:tc>
        <w:tc>
          <w:tcPr>
            <w:tcW w:w="514" w:type="pct"/>
            <w:vAlign w:val="center"/>
          </w:tcPr>
          <w:p w14:paraId="1441E451" w14:textId="77777777" w:rsidR="008252BE" w:rsidRPr="006E08DA" w:rsidRDefault="008252BE" w:rsidP="00EA07C2">
            <w:pPr>
              <w:snapToGrid w:val="0"/>
              <w:spacing w:line="360" w:lineRule="auto"/>
              <w:jc w:val="center"/>
              <w:rPr>
                <w:rFonts w:ascii="Times New Roman" w:hAnsi="Times New Roman"/>
                <w:sz w:val="24"/>
                <w:szCs w:val="24"/>
              </w:rPr>
            </w:pPr>
            <w:r w:rsidRPr="006E08DA">
              <w:rPr>
                <w:rFonts w:ascii="Times New Roman" w:hAnsi="Times New Roman"/>
                <w:sz w:val="24"/>
                <w:szCs w:val="24"/>
              </w:rPr>
              <w:t>10,000</w:t>
            </w:r>
          </w:p>
        </w:tc>
        <w:tc>
          <w:tcPr>
            <w:tcW w:w="940" w:type="pct"/>
            <w:vAlign w:val="center"/>
          </w:tcPr>
          <w:p w14:paraId="3EE0A7D4" w14:textId="77777777" w:rsidR="008252BE" w:rsidRPr="006E08DA" w:rsidRDefault="008252BE" w:rsidP="00EA07C2">
            <w:pPr>
              <w:snapToGrid w:val="0"/>
              <w:spacing w:line="360" w:lineRule="auto"/>
              <w:jc w:val="center"/>
              <w:rPr>
                <w:rFonts w:ascii="Times New Roman" w:hAnsi="Times New Roman"/>
                <w:sz w:val="24"/>
                <w:szCs w:val="24"/>
              </w:rPr>
            </w:pPr>
            <w:r w:rsidRPr="006E08DA">
              <w:rPr>
                <w:rFonts w:ascii="Times New Roman" w:hAnsi="Times New Roman"/>
                <w:sz w:val="24"/>
                <w:szCs w:val="24"/>
              </w:rPr>
              <w:t>300</w:t>
            </w:r>
          </w:p>
        </w:tc>
      </w:tr>
      <w:tr w:rsidR="008252BE" w:rsidRPr="00D57825" w14:paraId="0C98315D" w14:textId="77777777" w:rsidTr="006E08DA">
        <w:tc>
          <w:tcPr>
            <w:tcW w:w="827" w:type="pct"/>
            <w:vAlign w:val="center"/>
          </w:tcPr>
          <w:p w14:paraId="6E7951BA" w14:textId="77777777" w:rsidR="008252BE" w:rsidRPr="006E08DA" w:rsidRDefault="00F670C8" w:rsidP="00EA07C2">
            <w:pPr>
              <w:snapToGrid w:val="0"/>
              <w:spacing w:line="360" w:lineRule="auto"/>
              <w:jc w:val="center"/>
              <w:rPr>
                <w:rFonts w:ascii="Times New Roman" w:hAnsi="Times New Roman"/>
                <w:sz w:val="24"/>
                <w:szCs w:val="24"/>
              </w:rPr>
            </w:pPr>
            <w:r>
              <w:rPr>
                <w:rFonts w:ascii="Times New Roman" w:hAnsi="Times New Roman" w:hint="eastAsia"/>
                <w:sz w:val="24"/>
                <w:szCs w:val="24"/>
              </w:rPr>
              <w:t>易方达军工分级</w:t>
            </w:r>
            <w:r>
              <w:rPr>
                <w:rFonts w:ascii="Times New Roman" w:hAnsi="Times New Roman" w:hint="eastAsia"/>
                <w:sz w:val="24"/>
                <w:szCs w:val="24"/>
              </w:rPr>
              <w:t>B</w:t>
            </w:r>
            <w:r>
              <w:rPr>
                <w:rFonts w:ascii="Times New Roman" w:hAnsi="Times New Roman" w:hint="eastAsia"/>
                <w:sz w:val="24"/>
                <w:szCs w:val="24"/>
              </w:rPr>
              <w:t>类份额</w:t>
            </w:r>
          </w:p>
        </w:tc>
        <w:tc>
          <w:tcPr>
            <w:tcW w:w="1066" w:type="pct"/>
            <w:vAlign w:val="center"/>
          </w:tcPr>
          <w:p w14:paraId="3F4131CC" w14:textId="77777777" w:rsidR="008252BE" w:rsidRPr="006E08DA" w:rsidRDefault="008252BE" w:rsidP="00EA07C2">
            <w:pPr>
              <w:snapToGrid w:val="0"/>
              <w:spacing w:line="360" w:lineRule="auto"/>
              <w:jc w:val="center"/>
              <w:rPr>
                <w:rFonts w:ascii="Times New Roman" w:hAnsi="Times New Roman"/>
                <w:sz w:val="24"/>
                <w:szCs w:val="24"/>
              </w:rPr>
            </w:pPr>
            <w:r w:rsidRPr="006E08DA">
              <w:rPr>
                <w:rFonts w:ascii="Times New Roman" w:hAnsi="Times New Roman"/>
                <w:sz w:val="24"/>
                <w:szCs w:val="24"/>
              </w:rPr>
              <w:t>2.1100</w:t>
            </w:r>
          </w:p>
        </w:tc>
        <w:tc>
          <w:tcPr>
            <w:tcW w:w="550" w:type="pct"/>
            <w:vAlign w:val="center"/>
          </w:tcPr>
          <w:p w14:paraId="4320483C" w14:textId="77777777" w:rsidR="008252BE" w:rsidRPr="006E08DA" w:rsidRDefault="008252BE" w:rsidP="00EA07C2">
            <w:pPr>
              <w:snapToGrid w:val="0"/>
              <w:spacing w:line="360" w:lineRule="auto"/>
              <w:jc w:val="center"/>
              <w:rPr>
                <w:rFonts w:ascii="Times New Roman" w:hAnsi="Times New Roman"/>
                <w:sz w:val="24"/>
                <w:szCs w:val="24"/>
              </w:rPr>
            </w:pPr>
            <w:r w:rsidRPr="006E08DA">
              <w:rPr>
                <w:rFonts w:ascii="Times New Roman" w:hAnsi="Times New Roman"/>
                <w:sz w:val="24"/>
                <w:szCs w:val="24"/>
              </w:rPr>
              <w:t>10,000</w:t>
            </w:r>
          </w:p>
        </w:tc>
        <w:tc>
          <w:tcPr>
            <w:tcW w:w="1103" w:type="pct"/>
            <w:vAlign w:val="center"/>
          </w:tcPr>
          <w:p w14:paraId="487FF991" w14:textId="77777777" w:rsidR="008252BE" w:rsidRPr="006E08DA" w:rsidRDefault="008252BE" w:rsidP="00EA07C2">
            <w:pPr>
              <w:snapToGrid w:val="0"/>
              <w:spacing w:line="360" w:lineRule="auto"/>
              <w:jc w:val="center"/>
              <w:rPr>
                <w:rFonts w:ascii="Times New Roman" w:hAnsi="Times New Roman"/>
                <w:sz w:val="24"/>
                <w:szCs w:val="24"/>
              </w:rPr>
            </w:pPr>
            <w:r w:rsidRPr="006E08DA">
              <w:rPr>
                <w:rFonts w:ascii="Times New Roman" w:hAnsi="Times New Roman"/>
                <w:sz w:val="24"/>
                <w:szCs w:val="24"/>
              </w:rPr>
              <w:t>1.0000</w:t>
            </w:r>
          </w:p>
        </w:tc>
        <w:tc>
          <w:tcPr>
            <w:tcW w:w="514" w:type="pct"/>
            <w:vAlign w:val="center"/>
          </w:tcPr>
          <w:p w14:paraId="70960C5C" w14:textId="77777777" w:rsidR="008252BE" w:rsidRPr="006E08DA" w:rsidRDefault="008252BE" w:rsidP="00EA07C2">
            <w:pPr>
              <w:snapToGrid w:val="0"/>
              <w:spacing w:line="360" w:lineRule="auto"/>
              <w:jc w:val="center"/>
              <w:rPr>
                <w:rFonts w:ascii="Times New Roman" w:hAnsi="Times New Roman"/>
                <w:sz w:val="24"/>
                <w:szCs w:val="24"/>
              </w:rPr>
            </w:pPr>
            <w:r w:rsidRPr="006E08DA">
              <w:rPr>
                <w:rFonts w:ascii="Times New Roman" w:hAnsi="Times New Roman"/>
                <w:sz w:val="24"/>
                <w:szCs w:val="24"/>
              </w:rPr>
              <w:t>10,000</w:t>
            </w:r>
          </w:p>
        </w:tc>
        <w:tc>
          <w:tcPr>
            <w:tcW w:w="940" w:type="pct"/>
            <w:vAlign w:val="center"/>
          </w:tcPr>
          <w:p w14:paraId="476519B6" w14:textId="77777777" w:rsidR="008252BE" w:rsidRPr="006E08DA" w:rsidRDefault="008252BE" w:rsidP="00EA07C2">
            <w:pPr>
              <w:snapToGrid w:val="0"/>
              <w:spacing w:line="360" w:lineRule="auto"/>
              <w:jc w:val="center"/>
              <w:rPr>
                <w:rFonts w:ascii="Times New Roman" w:hAnsi="Times New Roman"/>
                <w:sz w:val="24"/>
                <w:szCs w:val="24"/>
              </w:rPr>
            </w:pPr>
            <w:r w:rsidRPr="006E08DA">
              <w:rPr>
                <w:rFonts w:ascii="Times New Roman" w:hAnsi="Times New Roman"/>
                <w:sz w:val="24"/>
                <w:szCs w:val="24"/>
              </w:rPr>
              <w:t>11,100</w:t>
            </w:r>
          </w:p>
        </w:tc>
      </w:tr>
    </w:tbl>
    <w:p w14:paraId="45AA72E2" w14:textId="77777777" w:rsidR="008252BE" w:rsidRPr="006E08DA" w:rsidRDefault="008252BE" w:rsidP="00945A97">
      <w:pPr>
        <w:spacing w:line="360" w:lineRule="auto"/>
        <w:ind w:firstLineChars="200" w:firstLine="480"/>
        <w:rPr>
          <w:rFonts w:ascii="Times New Roman" w:hAnsi="Times New Roman" w:cs="楷体_GB2312"/>
          <w:kern w:val="0"/>
          <w:sz w:val="24"/>
        </w:rPr>
      </w:pPr>
    </w:p>
    <w:p w14:paraId="3706277C" w14:textId="77777777" w:rsidR="00827272" w:rsidRPr="006E08DA" w:rsidRDefault="00827272" w:rsidP="001D2AC0">
      <w:pPr>
        <w:spacing w:line="360" w:lineRule="auto"/>
        <w:ind w:firstLineChars="200" w:firstLine="480"/>
        <w:rPr>
          <w:rFonts w:ascii="Times New Roman" w:hAnsi="Times New Roman"/>
          <w:sz w:val="24"/>
          <w:szCs w:val="24"/>
        </w:rPr>
      </w:pPr>
      <w:r w:rsidRPr="006E08DA">
        <w:rPr>
          <w:rFonts w:ascii="Times New Roman" w:hAnsi="Times New Roman" w:cs="Arial" w:hint="eastAsia"/>
          <w:sz w:val="24"/>
          <w:szCs w:val="24"/>
        </w:rPr>
        <w:t>在实施不定期份额折算时，</w:t>
      </w:r>
      <w:r w:rsidR="00F670C8">
        <w:rPr>
          <w:rFonts w:ascii="Times New Roman" w:hAnsi="Times New Roman" w:hint="eastAsia"/>
          <w:sz w:val="24"/>
        </w:rPr>
        <w:t>易方达军工分级</w:t>
      </w:r>
      <w:r w:rsidR="00F670C8">
        <w:rPr>
          <w:rFonts w:ascii="Times New Roman" w:hAnsi="Times New Roman" w:hint="eastAsia"/>
          <w:sz w:val="24"/>
        </w:rPr>
        <w:t>A</w:t>
      </w:r>
      <w:r w:rsidR="00F670C8">
        <w:rPr>
          <w:rFonts w:ascii="Times New Roman" w:hAnsi="Times New Roman" w:hint="eastAsia"/>
          <w:sz w:val="24"/>
        </w:rPr>
        <w:t>类份额</w:t>
      </w:r>
      <w:r w:rsidRPr="006E08DA">
        <w:rPr>
          <w:rFonts w:ascii="Times New Roman" w:hAnsi="Times New Roman" w:cs="Arial" w:hint="eastAsia"/>
          <w:sz w:val="24"/>
          <w:szCs w:val="24"/>
        </w:rPr>
        <w:t>、</w:t>
      </w:r>
      <w:r w:rsidR="00F670C8">
        <w:rPr>
          <w:rFonts w:ascii="Times New Roman" w:hAnsi="Times New Roman" w:hint="eastAsia"/>
          <w:sz w:val="24"/>
        </w:rPr>
        <w:t>易方达军工分级</w:t>
      </w:r>
      <w:r w:rsidR="00F670C8">
        <w:rPr>
          <w:rFonts w:ascii="Times New Roman" w:hAnsi="Times New Roman" w:hint="eastAsia"/>
          <w:sz w:val="24"/>
        </w:rPr>
        <w:t>B</w:t>
      </w:r>
      <w:r w:rsidR="00F670C8">
        <w:rPr>
          <w:rFonts w:ascii="Times New Roman" w:hAnsi="Times New Roman" w:hint="eastAsia"/>
          <w:sz w:val="24"/>
        </w:rPr>
        <w:t>类份额</w:t>
      </w:r>
      <w:r w:rsidRPr="006E08DA">
        <w:rPr>
          <w:rFonts w:ascii="Times New Roman" w:hAnsi="Times New Roman" w:cs="Arial" w:hint="eastAsia"/>
          <w:sz w:val="24"/>
          <w:szCs w:val="24"/>
        </w:rPr>
        <w:t>及</w:t>
      </w:r>
      <w:r w:rsidR="00F670C8">
        <w:rPr>
          <w:rFonts w:ascii="Times New Roman" w:hAnsi="Times New Roman" w:hint="eastAsia"/>
          <w:sz w:val="24"/>
        </w:rPr>
        <w:t>易方达军工分级份额</w:t>
      </w:r>
      <w:r w:rsidRPr="006E08DA">
        <w:rPr>
          <w:rFonts w:ascii="Times New Roman" w:hAnsi="Times New Roman" w:cs="Arial" w:hint="eastAsia"/>
          <w:sz w:val="24"/>
          <w:szCs w:val="24"/>
        </w:rPr>
        <w:t>折算的具体计算过程及计算结果以基金管理人届时发布的折算结果公告为准</w:t>
      </w:r>
      <w:r w:rsidRPr="006E08DA">
        <w:rPr>
          <w:rFonts w:ascii="Times New Roman" w:hAnsi="Times New Roman" w:hint="eastAsia"/>
          <w:sz w:val="24"/>
          <w:szCs w:val="24"/>
        </w:rPr>
        <w:t>。</w:t>
      </w:r>
    </w:p>
    <w:p w14:paraId="0225A2A8" w14:textId="77777777" w:rsidR="00F23E16" w:rsidRPr="006E08DA" w:rsidRDefault="00F23E16" w:rsidP="001D2AC0">
      <w:pPr>
        <w:spacing w:line="360" w:lineRule="auto"/>
        <w:ind w:firstLineChars="200" w:firstLine="480"/>
        <w:rPr>
          <w:rFonts w:ascii="Times New Roman" w:hAnsi="Times New Roman"/>
          <w:sz w:val="24"/>
          <w:szCs w:val="24"/>
        </w:rPr>
      </w:pPr>
    </w:p>
    <w:p w14:paraId="78DDBC01" w14:textId="77777777" w:rsidR="00827272" w:rsidRPr="006E08DA" w:rsidRDefault="00CB38B2" w:rsidP="001D2AC0">
      <w:pPr>
        <w:spacing w:line="360" w:lineRule="auto"/>
        <w:ind w:firstLineChars="200" w:firstLine="480"/>
        <w:rPr>
          <w:rFonts w:ascii="Times New Roman" w:hAnsi="Times New Roman"/>
          <w:sz w:val="24"/>
          <w:szCs w:val="24"/>
        </w:rPr>
      </w:pPr>
      <w:r w:rsidRPr="006E08DA">
        <w:rPr>
          <w:rFonts w:ascii="Times New Roman" w:hAnsi="Times New Roman" w:hint="eastAsia"/>
          <w:sz w:val="24"/>
          <w:szCs w:val="24"/>
        </w:rPr>
        <w:t>四</w:t>
      </w:r>
      <w:r w:rsidR="0002398F" w:rsidRPr="006E08DA">
        <w:rPr>
          <w:rFonts w:ascii="Times New Roman" w:hAnsi="Times New Roman" w:hint="eastAsia"/>
          <w:sz w:val="24"/>
          <w:szCs w:val="24"/>
        </w:rPr>
        <w:t>、</w:t>
      </w:r>
      <w:r w:rsidR="00827272" w:rsidRPr="006E08DA">
        <w:rPr>
          <w:rFonts w:ascii="Times New Roman" w:hAnsi="Times New Roman"/>
          <w:sz w:val="24"/>
          <w:szCs w:val="24"/>
        </w:rPr>
        <w:t>基金份额折算期间的基金业务办理</w:t>
      </w:r>
    </w:p>
    <w:p w14:paraId="6D825C50" w14:textId="1C8271F8" w:rsidR="00CB38B2" w:rsidRPr="006E08DA" w:rsidRDefault="00CB38B2" w:rsidP="00CB38B2">
      <w:pPr>
        <w:spacing w:line="360" w:lineRule="auto"/>
        <w:ind w:firstLineChars="200" w:firstLine="480"/>
        <w:rPr>
          <w:rFonts w:ascii="Times New Roman" w:hAnsi="Times New Roman"/>
          <w:sz w:val="24"/>
          <w:szCs w:val="24"/>
        </w:rPr>
      </w:pPr>
      <w:r w:rsidRPr="006E08DA">
        <w:rPr>
          <w:rFonts w:ascii="Times New Roman" w:hAnsi="Times New Roman"/>
          <w:sz w:val="24"/>
          <w:szCs w:val="24"/>
        </w:rPr>
        <w:t>1</w:t>
      </w:r>
      <w:r w:rsidRPr="006E08DA">
        <w:rPr>
          <w:rFonts w:ascii="Times New Roman" w:hAnsi="Times New Roman" w:hint="eastAsia"/>
          <w:sz w:val="24"/>
          <w:szCs w:val="24"/>
        </w:rPr>
        <w:t>、不定期份额折算</w:t>
      </w:r>
      <w:r w:rsidR="00F23E16" w:rsidRPr="006E08DA">
        <w:rPr>
          <w:rFonts w:ascii="Times New Roman" w:hAnsi="Times New Roman" w:hint="eastAsia"/>
          <w:sz w:val="24"/>
          <w:szCs w:val="24"/>
        </w:rPr>
        <w:t>基</w:t>
      </w:r>
      <w:r w:rsidR="00F23E16" w:rsidRPr="00F663C2">
        <w:rPr>
          <w:rFonts w:ascii="Times New Roman" w:hAnsi="Times New Roman" w:hint="eastAsia"/>
          <w:sz w:val="24"/>
          <w:szCs w:val="24"/>
        </w:rPr>
        <w:t>准</w:t>
      </w:r>
      <w:r w:rsidRPr="00F663C2">
        <w:rPr>
          <w:rFonts w:ascii="Times New Roman" w:hAnsi="Times New Roman" w:hint="eastAsia"/>
          <w:sz w:val="24"/>
          <w:szCs w:val="24"/>
        </w:rPr>
        <w:t>日（即</w:t>
      </w:r>
      <w:r w:rsidR="006F7629">
        <w:rPr>
          <w:rFonts w:ascii="Times New Roman" w:hAnsi="Times New Roman"/>
          <w:sz w:val="24"/>
          <w:szCs w:val="24"/>
        </w:rPr>
        <w:t>2020</w:t>
      </w:r>
      <w:r w:rsidR="006F7629">
        <w:rPr>
          <w:rFonts w:ascii="Times New Roman" w:hAnsi="Times New Roman"/>
          <w:sz w:val="24"/>
          <w:szCs w:val="24"/>
        </w:rPr>
        <w:t>年</w:t>
      </w:r>
      <w:r w:rsidR="006F7629">
        <w:rPr>
          <w:rFonts w:ascii="Times New Roman" w:hAnsi="Times New Roman"/>
          <w:sz w:val="24"/>
          <w:szCs w:val="24"/>
        </w:rPr>
        <w:t>7</w:t>
      </w:r>
      <w:r w:rsidR="006F7629">
        <w:rPr>
          <w:rFonts w:ascii="Times New Roman" w:hAnsi="Times New Roman"/>
          <w:sz w:val="24"/>
          <w:szCs w:val="24"/>
        </w:rPr>
        <w:t>月</w:t>
      </w:r>
      <w:r w:rsidR="006F7629">
        <w:rPr>
          <w:rFonts w:ascii="Times New Roman" w:hAnsi="Times New Roman"/>
          <w:sz w:val="24"/>
          <w:szCs w:val="24"/>
        </w:rPr>
        <w:t>7</w:t>
      </w:r>
      <w:r w:rsidR="006F7629">
        <w:rPr>
          <w:rFonts w:ascii="Times New Roman" w:hAnsi="Times New Roman"/>
          <w:sz w:val="24"/>
          <w:szCs w:val="24"/>
        </w:rPr>
        <w:t>日</w:t>
      </w:r>
      <w:r w:rsidRPr="00F663C2">
        <w:rPr>
          <w:rFonts w:ascii="Times New Roman" w:hAnsi="Times New Roman" w:hint="eastAsia"/>
          <w:sz w:val="24"/>
          <w:szCs w:val="24"/>
        </w:rPr>
        <w:t>），</w:t>
      </w:r>
      <w:r w:rsidR="0015358C" w:rsidRPr="0015358C">
        <w:rPr>
          <w:rFonts w:ascii="Times New Roman" w:hAnsi="Times New Roman" w:hint="eastAsia"/>
          <w:sz w:val="24"/>
          <w:szCs w:val="24"/>
        </w:rPr>
        <w:t>本基金暂停办理申购（含定期定额投资，下同）、赎回、转托管（包括场外转托管、跨系统转托管）、转换及份额配对转换业务</w:t>
      </w:r>
      <w:r w:rsidRPr="00F663C2">
        <w:rPr>
          <w:rFonts w:ascii="Times New Roman" w:hAnsi="Times New Roman" w:hint="eastAsia"/>
          <w:sz w:val="24"/>
          <w:szCs w:val="24"/>
        </w:rPr>
        <w:t>；</w:t>
      </w:r>
      <w:r w:rsidR="00737435" w:rsidRPr="00F663C2">
        <w:rPr>
          <w:rFonts w:ascii="Times New Roman" w:hAnsi="Times New Roman" w:hint="eastAsia"/>
          <w:sz w:val="24"/>
          <w:szCs w:val="24"/>
        </w:rPr>
        <w:t>场内</w:t>
      </w:r>
      <w:r w:rsidR="00F670C8">
        <w:rPr>
          <w:rFonts w:ascii="Times New Roman" w:hAnsi="Times New Roman" w:hint="eastAsia"/>
          <w:sz w:val="24"/>
          <w:szCs w:val="24"/>
        </w:rPr>
        <w:t>易方达军工分级份额</w:t>
      </w:r>
      <w:r w:rsidR="00737435" w:rsidRPr="00F663C2">
        <w:rPr>
          <w:rFonts w:ascii="Times New Roman" w:hAnsi="Times New Roman" w:hint="eastAsia"/>
          <w:sz w:val="24"/>
          <w:szCs w:val="24"/>
        </w:rPr>
        <w:t>、</w:t>
      </w:r>
      <w:r w:rsidR="00F670C8">
        <w:rPr>
          <w:rFonts w:ascii="Times New Roman" w:hAnsi="Times New Roman" w:hint="eastAsia"/>
          <w:sz w:val="24"/>
          <w:szCs w:val="24"/>
        </w:rPr>
        <w:t>易方达军工分级</w:t>
      </w:r>
      <w:r w:rsidR="00F670C8">
        <w:rPr>
          <w:rFonts w:ascii="Times New Roman" w:hAnsi="Times New Roman" w:hint="eastAsia"/>
          <w:sz w:val="24"/>
          <w:szCs w:val="24"/>
        </w:rPr>
        <w:t>A</w:t>
      </w:r>
      <w:r w:rsidR="00F670C8">
        <w:rPr>
          <w:rFonts w:ascii="Times New Roman" w:hAnsi="Times New Roman" w:hint="eastAsia"/>
          <w:sz w:val="24"/>
          <w:szCs w:val="24"/>
        </w:rPr>
        <w:t>类份额</w:t>
      </w:r>
      <w:r w:rsidR="000754EB" w:rsidRPr="00F663C2">
        <w:rPr>
          <w:rFonts w:ascii="Times New Roman" w:hAnsi="Times New Roman" w:hint="eastAsia"/>
          <w:sz w:val="24"/>
          <w:szCs w:val="24"/>
        </w:rPr>
        <w:t>、</w:t>
      </w:r>
      <w:r w:rsidR="00F670C8">
        <w:rPr>
          <w:rFonts w:ascii="Times New Roman" w:hAnsi="Times New Roman" w:hint="eastAsia"/>
          <w:sz w:val="24"/>
        </w:rPr>
        <w:t>易</w:t>
      </w:r>
      <w:r w:rsidR="00F670C8">
        <w:rPr>
          <w:rFonts w:ascii="Times New Roman" w:hAnsi="Times New Roman" w:hint="eastAsia"/>
          <w:sz w:val="24"/>
        </w:rPr>
        <w:lastRenderedPageBreak/>
        <w:t>方达军工分级</w:t>
      </w:r>
      <w:r w:rsidR="00F670C8">
        <w:rPr>
          <w:rFonts w:ascii="Times New Roman" w:hAnsi="Times New Roman" w:hint="eastAsia"/>
          <w:sz w:val="24"/>
        </w:rPr>
        <w:t>B</w:t>
      </w:r>
      <w:r w:rsidR="00F670C8">
        <w:rPr>
          <w:rFonts w:ascii="Times New Roman" w:hAnsi="Times New Roman" w:hint="eastAsia"/>
          <w:sz w:val="24"/>
        </w:rPr>
        <w:t>类份额</w:t>
      </w:r>
      <w:r w:rsidR="00737435" w:rsidRPr="00F663C2">
        <w:rPr>
          <w:rFonts w:ascii="Times New Roman" w:hAnsi="Times New Roman" w:hint="eastAsia"/>
          <w:sz w:val="24"/>
          <w:szCs w:val="24"/>
        </w:rPr>
        <w:t>于</w:t>
      </w:r>
      <w:r w:rsidR="006F7629">
        <w:rPr>
          <w:rFonts w:ascii="Times New Roman" w:hAnsi="Times New Roman"/>
          <w:sz w:val="24"/>
          <w:szCs w:val="24"/>
        </w:rPr>
        <w:t>2020</w:t>
      </w:r>
      <w:r w:rsidR="006F7629">
        <w:rPr>
          <w:rFonts w:ascii="Times New Roman" w:hAnsi="Times New Roman"/>
          <w:sz w:val="24"/>
          <w:szCs w:val="24"/>
        </w:rPr>
        <w:t>年</w:t>
      </w:r>
      <w:r w:rsidR="006F7629">
        <w:rPr>
          <w:rFonts w:ascii="Times New Roman" w:hAnsi="Times New Roman"/>
          <w:sz w:val="24"/>
          <w:szCs w:val="24"/>
        </w:rPr>
        <w:t>7</w:t>
      </w:r>
      <w:r w:rsidR="006F7629">
        <w:rPr>
          <w:rFonts w:ascii="Times New Roman" w:hAnsi="Times New Roman"/>
          <w:sz w:val="24"/>
          <w:szCs w:val="24"/>
        </w:rPr>
        <w:t>月</w:t>
      </w:r>
      <w:r w:rsidR="006F7629">
        <w:rPr>
          <w:rFonts w:ascii="Times New Roman" w:hAnsi="Times New Roman"/>
          <w:sz w:val="24"/>
          <w:szCs w:val="24"/>
        </w:rPr>
        <w:t>7</w:t>
      </w:r>
      <w:r w:rsidR="006F7629">
        <w:rPr>
          <w:rFonts w:ascii="Times New Roman" w:hAnsi="Times New Roman"/>
          <w:sz w:val="24"/>
          <w:szCs w:val="24"/>
        </w:rPr>
        <w:t>日</w:t>
      </w:r>
      <w:r w:rsidR="00737435" w:rsidRPr="00F663C2">
        <w:rPr>
          <w:rFonts w:ascii="Times New Roman" w:hAnsi="Times New Roman" w:hint="eastAsia"/>
          <w:sz w:val="24"/>
          <w:szCs w:val="24"/>
        </w:rPr>
        <w:t>正常交</w:t>
      </w:r>
      <w:r w:rsidR="00737435" w:rsidRPr="006E08DA">
        <w:rPr>
          <w:rFonts w:ascii="Times New Roman" w:hAnsi="Times New Roman" w:hint="eastAsia"/>
          <w:sz w:val="24"/>
          <w:szCs w:val="24"/>
        </w:rPr>
        <w:t>易；</w:t>
      </w:r>
      <w:r w:rsidRPr="006E08DA">
        <w:rPr>
          <w:rFonts w:ascii="Times New Roman" w:hAnsi="Times New Roman" w:hint="eastAsia"/>
          <w:sz w:val="24"/>
          <w:szCs w:val="24"/>
        </w:rPr>
        <w:t>折算</w:t>
      </w:r>
      <w:r w:rsidR="00F23E16" w:rsidRPr="006E08DA">
        <w:rPr>
          <w:rFonts w:ascii="Times New Roman" w:hAnsi="Times New Roman" w:hint="eastAsia"/>
          <w:sz w:val="24"/>
          <w:szCs w:val="24"/>
        </w:rPr>
        <w:t>基准</w:t>
      </w:r>
      <w:r w:rsidRPr="006E08DA">
        <w:rPr>
          <w:rFonts w:ascii="Times New Roman" w:hAnsi="Times New Roman" w:hint="eastAsia"/>
          <w:sz w:val="24"/>
          <w:szCs w:val="24"/>
        </w:rPr>
        <w:t>日日终，基金管理人将计算基金份额净值及份额折算比例。</w:t>
      </w:r>
    </w:p>
    <w:p w14:paraId="3D1C53D6" w14:textId="45C3F16F" w:rsidR="00CB38B2" w:rsidRPr="006E08DA" w:rsidRDefault="00CB38B2" w:rsidP="00CB38B2">
      <w:pPr>
        <w:spacing w:line="360" w:lineRule="auto"/>
        <w:ind w:firstLineChars="200" w:firstLine="480"/>
        <w:rPr>
          <w:rFonts w:ascii="Times New Roman" w:hAnsi="Times New Roman"/>
          <w:sz w:val="24"/>
          <w:szCs w:val="24"/>
        </w:rPr>
      </w:pPr>
      <w:r w:rsidRPr="006E08DA">
        <w:rPr>
          <w:rFonts w:ascii="Times New Roman" w:hAnsi="Times New Roman"/>
          <w:sz w:val="24"/>
          <w:szCs w:val="24"/>
        </w:rPr>
        <w:t>2</w:t>
      </w:r>
      <w:r w:rsidRPr="006E08DA">
        <w:rPr>
          <w:rFonts w:ascii="Times New Roman" w:hAnsi="Times New Roman" w:hint="eastAsia"/>
          <w:sz w:val="24"/>
          <w:szCs w:val="24"/>
        </w:rPr>
        <w:t>、不定期份额折算</w:t>
      </w:r>
      <w:r w:rsidR="00F23E16" w:rsidRPr="006E08DA">
        <w:rPr>
          <w:rFonts w:ascii="Times New Roman" w:hAnsi="Times New Roman" w:hint="eastAsia"/>
          <w:sz w:val="24"/>
          <w:szCs w:val="24"/>
        </w:rPr>
        <w:t>基准</w:t>
      </w:r>
      <w:r w:rsidRPr="006E08DA">
        <w:rPr>
          <w:rFonts w:ascii="Times New Roman" w:hAnsi="Times New Roman" w:hint="eastAsia"/>
          <w:sz w:val="24"/>
          <w:szCs w:val="24"/>
        </w:rPr>
        <w:t>日后的第一个工作</w:t>
      </w:r>
      <w:r w:rsidRPr="00F663C2">
        <w:rPr>
          <w:rFonts w:ascii="Times New Roman" w:hAnsi="Times New Roman" w:hint="eastAsia"/>
          <w:sz w:val="24"/>
          <w:szCs w:val="24"/>
        </w:rPr>
        <w:t>日（即</w:t>
      </w:r>
      <w:r w:rsidR="006F7629">
        <w:rPr>
          <w:rFonts w:ascii="Times New Roman" w:hAnsi="Times New Roman"/>
          <w:sz w:val="24"/>
          <w:szCs w:val="24"/>
        </w:rPr>
        <w:t>2020</w:t>
      </w:r>
      <w:r w:rsidR="006F7629">
        <w:rPr>
          <w:rFonts w:ascii="Times New Roman" w:hAnsi="Times New Roman"/>
          <w:sz w:val="24"/>
          <w:szCs w:val="24"/>
        </w:rPr>
        <w:t>年</w:t>
      </w:r>
      <w:r w:rsidR="006F7629">
        <w:rPr>
          <w:rFonts w:ascii="Times New Roman" w:hAnsi="Times New Roman"/>
          <w:sz w:val="24"/>
          <w:szCs w:val="24"/>
        </w:rPr>
        <w:t>7</w:t>
      </w:r>
      <w:r w:rsidR="006F7629">
        <w:rPr>
          <w:rFonts w:ascii="Times New Roman" w:hAnsi="Times New Roman"/>
          <w:sz w:val="24"/>
          <w:szCs w:val="24"/>
        </w:rPr>
        <w:t>月</w:t>
      </w:r>
      <w:r w:rsidR="006F7629">
        <w:rPr>
          <w:rFonts w:ascii="Times New Roman" w:hAnsi="Times New Roman"/>
          <w:sz w:val="24"/>
          <w:szCs w:val="24"/>
        </w:rPr>
        <w:t>8</w:t>
      </w:r>
      <w:r w:rsidR="006F7629">
        <w:rPr>
          <w:rFonts w:ascii="Times New Roman" w:hAnsi="Times New Roman"/>
          <w:sz w:val="24"/>
          <w:szCs w:val="24"/>
        </w:rPr>
        <w:t>日</w:t>
      </w:r>
      <w:r w:rsidRPr="00F663C2">
        <w:rPr>
          <w:rFonts w:ascii="Times New Roman" w:hAnsi="Times New Roman" w:hint="eastAsia"/>
          <w:sz w:val="24"/>
          <w:szCs w:val="24"/>
        </w:rPr>
        <w:t>），本基金将暂停办理申购、赎回、</w:t>
      </w:r>
      <w:r w:rsidR="00727FBE" w:rsidRPr="00F663C2">
        <w:rPr>
          <w:rFonts w:ascii="Times New Roman" w:hAnsi="Times New Roman" w:hint="eastAsia"/>
          <w:sz w:val="24"/>
          <w:szCs w:val="24"/>
        </w:rPr>
        <w:t>转换、</w:t>
      </w:r>
      <w:r w:rsidRPr="00F663C2">
        <w:rPr>
          <w:rFonts w:ascii="Times New Roman" w:hAnsi="Times New Roman" w:hint="eastAsia"/>
          <w:sz w:val="24"/>
          <w:szCs w:val="24"/>
        </w:rPr>
        <w:t>转托管、配对转换业务；</w:t>
      </w:r>
      <w:r w:rsidR="00B2514A" w:rsidRPr="00F663C2">
        <w:rPr>
          <w:rFonts w:ascii="Times New Roman" w:hAnsi="Times New Roman" w:hint="eastAsia"/>
          <w:sz w:val="24"/>
          <w:szCs w:val="24"/>
        </w:rPr>
        <w:t>场内</w:t>
      </w:r>
      <w:r w:rsidR="00F670C8">
        <w:rPr>
          <w:rFonts w:ascii="Times New Roman" w:hAnsi="Times New Roman" w:hint="eastAsia"/>
          <w:sz w:val="24"/>
        </w:rPr>
        <w:t>易方达军工分级份额</w:t>
      </w:r>
      <w:r w:rsidR="00B2514A" w:rsidRPr="00F663C2">
        <w:rPr>
          <w:rFonts w:ascii="Times New Roman" w:hAnsi="Times New Roman" w:hint="eastAsia"/>
          <w:sz w:val="24"/>
          <w:szCs w:val="24"/>
        </w:rPr>
        <w:t>、</w:t>
      </w:r>
      <w:r w:rsidR="00F670C8">
        <w:rPr>
          <w:rFonts w:ascii="Times New Roman" w:hAnsi="Times New Roman" w:hint="eastAsia"/>
          <w:sz w:val="24"/>
        </w:rPr>
        <w:t>易方达军工分级</w:t>
      </w:r>
      <w:r w:rsidR="00F670C8">
        <w:rPr>
          <w:rFonts w:ascii="Times New Roman" w:hAnsi="Times New Roman" w:hint="eastAsia"/>
          <w:sz w:val="24"/>
        </w:rPr>
        <w:t>A</w:t>
      </w:r>
      <w:r w:rsidR="00F670C8">
        <w:rPr>
          <w:rFonts w:ascii="Times New Roman" w:hAnsi="Times New Roman" w:hint="eastAsia"/>
          <w:sz w:val="24"/>
        </w:rPr>
        <w:t>类份额</w:t>
      </w:r>
      <w:r w:rsidR="00F23E16" w:rsidRPr="00F663C2">
        <w:rPr>
          <w:rFonts w:ascii="Times New Roman" w:hAnsi="Times New Roman" w:hint="eastAsia"/>
          <w:sz w:val="24"/>
          <w:szCs w:val="24"/>
        </w:rPr>
        <w:t>、</w:t>
      </w:r>
      <w:r w:rsidR="00F670C8">
        <w:rPr>
          <w:rFonts w:ascii="Times New Roman" w:hAnsi="Times New Roman" w:hint="eastAsia"/>
          <w:sz w:val="24"/>
        </w:rPr>
        <w:t>易方达军工分级</w:t>
      </w:r>
      <w:r w:rsidR="00F670C8">
        <w:rPr>
          <w:rFonts w:ascii="Times New Roman" w:hAnsi="Times New Roman" w:hint="eastAsia"/>
          <w:sz w:val="24"/>
        </w:rPr>
        <w:t>B</w:t>
      </w:r>
      <w:r w:rsidR="00F670C8">
        <w:rPr>
          <w:rFonts w:ascii="Times New Roman" w:hAnsi="Times New Roman" w:hint="eastAsia"/>
          <w:sz w:val="24"/>
        </w:rPr>
        <w:t>类份额</w:t>
      </w:r>
      <w:r w:rsidR="00F23E16" w:rsidRPr="006E08DA">
        <w:rPr>
          <w:rFonts w:ascii="Times New Roman" w:hAnsi="Times New Roman" w:hint="eastAsia"/>
          <w:sz w:val="24"/>
          <w:szCs w:val="24"/>
        </w:rPr>
        <w:t>将于该日停牌一天；登记结算机构</w:t>
      </w:r>
      <w:r w:rsidRPr="006E08DA">
        <w:rPr>
          <w:rFonts w:ascii="Times New Roman" w:hAnsi="Times New Roman" w:hint="eastAsia"/>
          <w:sz w:val="24"/>
          <w:szCs w:val="24"/>
        </w:rPr>
        <w:t>及基金管理人将完成份额登记确认。</w:t>
      </w:r>
    </w:p>
    <w:p w14:paraId="14026910" w14:textId="29133FE1" w:rsidR="00A635DB" w:rsidRDefault="00CB38B2" w:rsidP="00CB38B2">
      <w:pPr>
        <w:spacing w:line="360" w:lineRule="auto"/>
        <w:ind w:firstLineChars="200" w:firstLine="480"/>
        <w:rPr>
          <w:rFonts w:ascii="宋体" w:hAnsi="宋体"/>
          <w:sz w:val="24"/>
          <w:szCs w:val="24"/>
        </w:rPr>
      </w:pPr>
      <w:r w:rsidRPr="006E08DA">
        <w:rPr>
          <w:rFonts w:ascii="Times New Roman" w:hAnsi="Times New Roman"/>
          <w:sz w:val="24"/>
          <w:szCs w:val="24"/>
        </w:rPr>
        <w:t>3</w:t>
      </w:r>
      <w:r w:rsidRPr="006E08DA">
        <w:rPr>
          <w:rFonts w:ascii="Times New Roman" w:hAnsi="Times New Roman" w:hint="eastAsia"/>
          <w:sz w:val="24"/>
          <w:szCs w:val="24"/>
        </w:rPr>
        <w:t>、不定期份额折算</w:t>
      </w:r>
      <w:r w:rsidR="00463D98">
        <w:rPr>
          <w:rFonts w:ascii="Times New Roman" w:hAnsi="Times New Roman" w:hint="eastAsia"/>
          <w:sz w:val="24"/>
          <w:szCs w:val="24"/>
        </w:rPr>
        <w:t>基准</w:t>
      </w:r>
      <w:r w:rsidRPr="006E08DA">
        <w:rPr>
          <w:rFonts w:ascii="Times New Roman" w:hAnsi="Times New Roman" w:hint="eastAsia"/>
          <w:sz w:val="24"/>
          <w:szCs w:val="24"/>
        </w:rPr>
        <w:t>日后的第二个工作日</w:t>
      </w:r>
      <w:r w:rsidRPr="00F663C2">
        <w:rPr>
          <w:rFonts w:ascii="Times New Roman" w:hAnsi="Times New Roman" w:hint="eastAsia"/>
          <w:sz w:val="24"/>
          <w:szCs w:val="24"/>
        </w:rPr>
        <w:t>（即</w:t>
      </w:r>
      <w:r w:rsidR="006F7629">
        <w:rPr>
          <w:rFonts w:ascii="Times New Roman" w:hAnsi="Times New Roman"/>
          <w:sz w:val="24"/>
          <w:szCs w:val="24"/>
        </w:rPr>
        <w:t>2020</w:t>
      </w:r>
      <w:r w:rsidR="006F7629">
        <w:rPr>
          <w:rFonts w:ascii="Times New Roman" w:hAnsi="Times New Roman"/>
          <w:sz w:val="24"/>
          <w:szCs w:val="24"/>
        </w:rPr>
        <w:t>年</w:t>
      </w:r>
      <w:r w:rsidR="006F7629">
        <w:rPr>
          <w:rFonts w:ascii="Times New Roman" w:hAnsi="Times New Roman"/>
          <w:sz w:val="24"/>
          <w:szCs w:val="24"/>
        </w:rPr>
        <w:t>7</w:t>
      </w:r>
      <w:r w:rsidR="006F7629">
        <w:rPr>
          <w:rFonts w:ascii="Times New Roman" w:hAnsi="Times New Roman"/>
          <w:sz w:val="24"/>
          <w:szCs w:val="24"/>
        </w:rPr>
        <w:t>月</w:t>
      </w:r>
      <w:r w:rsidR="006F7629">
        <w:rPr>
          <w:rFonts w:ascii="Times New Roman" w:hAnsi="Times New Roman"/>
          <w:sz w:val="24"/>
          <w:szCs w:val="24"/>
        </w:rPr>
        <w:t>9</w:t>
      </w:r>
      <w:r w:rsidR="006F7629">
        <w:rPr>
          <w:rFonts w:ascii="Times New Roman" w:hAnsi="Times New Roman"/>
          <w:sz w:val="24"/>
          <w:szCs w:val="24"/>
        </w:rPr>
        <w:t>日</w:t>
      </w:r>
      <w:r w:rsidRPr="00F663C2">
        <w:rPr>
          <w:rFonts w:ascii="Times New Roman" w:hAnsi="Times New Roman" w:hint="eastAsia"/>
          <w:sz w:val="24"/>
          <w:szCs w:val="24"/>
        </w:rPr>
        <w:t>），基金管理人将公告份额折算确认结果，基金份额持有人可以查询其账户内的基金份额；</w:t>
      </w:r>
      <w:r w:rsidR="00C6115D" w:rsidRPr="00F663C2">
        <w:rPr>
          <w:rFonts w:ascii="Times New Roman" w:hAnsi="Times New Roman" w:hint="eastAsia"/>
          <w:sz w:val="24"/>
          <w:szCs w:val="24"/>
        </w:rPr>
        <w:t>场内</w:t>
      </w:r>
      <w:r w:rsidR="00F670C8">
        <w:rPr>
          <w:rFonts w:ascii="Times New Roman" w:hAnsi="Times New Roman" w:hint="eastAsia"/>
          <w:sz w:val="24"/>
        </w:rPr>
        <w:t>易方达军工分级份额</w:t>
      </w:r>
      <w:r w:rsidR="00C6115D" w:rsidRPr="00F663C2">
        <w:rPr>
          <w:rFonts w:ascii="Times New Roman" w:hAnsi="Times New Roman" w:hint="eastAsia"/>
          <w:sz w:val="24"/>
          <w:szCs w:val="24"/>
        </w:rPr>
        <w:t>、</w:t>
      </w:r>
      <w:r w:rsidR="00F670C8">
        <w:rPr>
          <w:rFonts w:ascii="Times New Roman" w:hAnsi="Times New Roman" w:hint="eastAsia"/>
          <w:sz w:val="24"/>
        </w:rPr>
        <w:t>易方达军工分级</w:t>
      </w:r>
      <w:r w:rsidR="00F670C8">
        <w:rPr>
          <w:rFonts w:ascii="Times New Roman" w:hAnsi="Times New Roman" w:hint="eastAsia"/>
          <w:sz w:val="24"/>
        </w:rPr>
        <w:t>A</w:t>
      </w:r>
      <w:r w:rsidR="00F670C8">
        <w:rPr>
          <w:rFonts w:ascii="Times New Roman" w:hAnsi="Times New Roman" w:hint="eastAsia"/>
          <w:sz w:val="24"/>
        </w:rPr>
        <w:t>类份额</w:t>
      </w:r>
      <w:r w:rsidR="00F23E16" w:rsidRPr="00F663C2">
        <w:rPr>
          <w:rFonts w:ascii="Times New Roman" w:hAnsi="Times New Roman" w:hint="eastAsia"/>
          <w:sz w:val="24"/>
          <w:szCs w:val="24"/>
        </w:rPr>
        <w:t>、</w:t>
      </w:r>
      <w:r w:rsidR="00F670C8">
        <w:rPr>
          <w:rFonts w:ascii="Times New Roman" w:hAnsi="Times New Roman" w:hint="eastAsia"/>
          <w:sz w:val="24"/>
        </w:rPr>
        <w:t>易方达军工分级</w:t>
      </w:r>
      <w:r w:rsidR="00F670C8">
        <w:rPr>
          <w:rFonts w:ascii="Times New Roman" w:hAnsi="Times New Roman" w:hint="eastAsia"/>
          <w:sz w:val="24"/>
        </w:rPr>
        <w:t>B</w:t>
      </w:r>
      <w:r w:rsidR="00F670C8">
        <w:rPr>
          <w:rFonts w:ascii="Times New Roman" w:hAnsi="Times New Roman" w:hint="eastAsia"/>
          <w:sz w:val="24"/>
        </w:rPr>
        <w:t>类份额</w:t>
      </w:r>
      <w:r w:rsidRPr="00F663C2">
        <w:rPr>
          <w:rFonts w:ascii="Times New Roman" w:hAnsi="Times New Roman" w:hint="eastAsia"/>
          <w:sz w:val="24"/>
          <w:szCs w:val="24"/>
        </w:rPr>
        <w:t>将于该日</w:t>
      </w:r>
      <w:r w:rsidR="00C6115D" w:rsidRPr="00F663C2">
        <w:rPr>
          <w:rFonts w:ascii="Times New Roman" w:hAnsi="Times New Roman" w:hint="eastAsia"/>
          <w:sz w:val="24"/>
          <w:szCs w:val="24"/>
        </w:rPr>
        <w:t>开市起复牌</w:t>
      </w:r>
      <w:r w:rsidR="003B3C62">
        <w:rPr>
          <w:rFonts w:ascii="Times New Roman" w:hAnsi="Times New Roman" w:hint="eastAsia"/>
          <w:sz w:val="24"/>
          <w:szCs w:val="24"/>
        </w:rPr>
        <w:t>。</w:t>
      </w:r>
      <w:r w:rsidR="0015358C">
        <w:rPr>
          <w:rFonts w:hint="eastAsia"/>
          <w:sz w:val="24"/>
          <w:szCs w:val="24"/>
        </w:rPr>
        <w:t>自该日起</w:t>
      </w:r>
      <w:r w:rsidR="0015358C" w:rsidRPr="005131FA">
        <w:rPr>
          <w:sz w:val="24"/>
          <w:szCs w:val="24"/>
        </w:rPr>
        <w:t>，本基金恢复办理申购、赎回、转托管</w:t>
      </w:r>
      <w:r w:rsidR="0015358C">
        <w:rPr>
          <w:rFonts w:ascii="宋体" w:hAnsi="宋体" w:hint="eastAsia"/>
          <w:sz w:val="24"/>
          <w:szCs w:val="24"/>
        </w:rPr>
        <w:t>（包括场外转托管和跨系统转托管（场内转场外））</w:t>
      </w:r>
      <w:r w:rsidR="0015358C" w:rsidRPr="005131FA">
        <w:rPr>
          <w:sz w:val="24"/>
          <w:szCs w:val="24"/>
        </w:rPr>
        <w:t>、</w:t>
      </w:r>
      <w:r w:rsidR="0015358C">
        <w:rPr>
          <w:rFonts w:hint="eastAsia"/>
          <w:sz w:val="24"/>
        </w:rPr>
        <w:t>转换及</w:t>
      </w:r>
      <w:r w:rsidR="0015358C" w:rsidRPr="005131FA">
        <w:rPr>
          <w:sz w:val="24"/>
          <w:szCs w:val="24"/>
        </w:rPr>
        <w:t>份额配对转换业务</w:t>
      </w:r>
      <w:r w:rsidRPr="00F663C2">
        <w:rPr>
          <w:rFonts w:ascii="Times New Roman" w:hAnsi="Times New Roman" w:hint="eastAsia"/>
          <w:sz w:val="24"/>
          <w:szCs w:val="24"/>
        </w:rPr>
        <w:t>。</w:t>
      </w:r>
      <w:r w:rsidR="00A635DB" w:rsidRPr="00B8002E">
        <w:rPr>
          <w:rFonts w:ascii="宋体" w:hAnsi="宋体" w:hint="eastAsia"/>
          <w:sz w:val="24"/>
          <w:szCs w:val="24"/>
        </w:rPr>
        <w:t>根据相关公告，本基金</w:t>
      </w:r>
      <w:r w:rsidR="00A635DB" w:rsidRPr="002E0FB1">
        <w:rPr>
          <w:rFonts w:hint="eastAsia"/>
          <w:sz w:val="24"/>
        </w:rPr>
        <w:t>基础</w:t>
      </w:r>
      <w:r w:rsidR="00A635DB" w:rsidRPr="002E0FB1">
        <w:rPr>
          <w:sz w:val="24"/>
        </w:rPr>
        <w:t>份额</w:t>
      </w:r>
      <w:r w:rsidR="00A635DB" w:rsidRPr="00B8002E">
        <w:rPr>
          <w:rFonts w:ascii="宋体" w:hAnsi="宋体" w:hint="eastAsia"/>
          <w:sz w:val="24"/>
          <w:szCs w:val="24"/>
        </w:rPr>
        <w:t>仍暂停跨系统转托管（场外转场内）业务；单日单个基金账户通过非直销销售机构累计申购（含转换转入和定期定额投资）本基金的金额不应超过100元。</w:t>
      </w:r>
    </w:p>
    <w:p w14:paraId="75EEFA67" w14:textId="1529F418" w:rsidR="00CB38B2" w:rsidRPr="00F663C2" w:rsidRDefault="00CB38B2" w:rsidP="00CB38B2">
      <w:pPr>
        <w:spacing w:line="360" w:lineRule="auto"/>
        <w:ind w:firstLineChars="200" w:firstLine="480"/>
        <w:rPr>
          <w:rFonts w:ascii="Times New Roman" w:hAnsi="Times New Roman"/>
          <w:sz w:val="24"/>
          <w:szCs w:val="24"/>
        </w:rPr>
      </w:pPr>
      <w:r w:rsidRPr="00F663C2">
        <w:rPr>
          <w:rFonts w:ascii="Times New Roman" w:hAnsi="Times New Roman"/>
          <w:sz w:val="24"/>
          <w:szCs w:val="24"/>
        </w:rPr>
        <w:t>4</w:t>
      </w:r>
      <w:r w:rsidRPr="00F663C2">
        <w:rPr>
          <w:rFonts w:ascii="Times New Roman" w:hAnsi="Times New Roman" w:hint="eastAsia"/>
          <w:sz w:val="24"/>
          <w:szCs w:val="24"/>
        </w:rPr>
        <w:t>、</w:t>
      </w:r>
      <w:r w:rsidR="006F7629">
        <w:rPr>
          <w:rFonts w:ascii="Times New Roman" w:hAnsi="Times New Roman"/>
          <w:sz w:val="24"/>
          <w:szCs w:val="24"/>
        </w:rPr>
        <w:t>2020</w:t>
      </w:r>
      <w:r w:rsidR="006F7629">
        <w:rPr>
          <w:rFonts w:ascii="Times New Roman" w:hAnsi="Times New Roman"/>
          <w:sz w:val="24"/>
          <w:szCs w:val="24"/>
        </w:rPr>
        <w:t>年</w:t>
      </w:r>
      <w:r w:rsidR="006F7629">
        <w:rPr>
          <w:rFonts w:ascii="Times New Roman" w:hAnsi="Times New Roman"/>
          <w:sz w:val="24"/>
          <w:szCs w:val="24"/>
        </w:rPr>
        <w:t>7</w:t>
      </w:r>
      <w:r w:rsidR="006F7629">
        <w:rPr>
          <w:rFonts w:ascii="Times New Roman" w:hAnsi="Times New Roman"/>
          <w:sz w:val="24"/>
          <w:szCs w:val="24"/>
        </w:rPr>
        <w:t>月</w:t>
      </w:r>
      <w:r w:rsidR="006F7629">
        <w:rPr>
          <w:rFonts w:ascii="Times New Roman" w:hAnsi="Times New Roman"/>
          <w:sz w:val="24"/>
          <w:szCs w:val="24"/>
        </w:rPr>
        <w:t>9</w:t>
      </w:r>
      <w:r w:rsidR="006F7629">
        <w:rPr>
          <w:rFonts w:ascii="Times New Roman" w:hAnsi="Times New Roman"/>
          <w:sz w:val="24"/>
          <w:szCs w:val="24"/>
        </w:rPr>
        <w:t>日</w:t>
      </w:r>
      <w:r w:rsidR="00163FB0" w:rsidRPr="00F663C2">
        <w:rPr>
          <w:rFonts w:ascii="Times New Roman" w:hAnsi="Times New Roman" w:hint="eastAsia"/>
          <w:sz w:val="24"/>
          <w:szCs w:val="24"/>
        </w:rPr>
        <w:t>场内</w:t>
      </w:r>
      <w:r w:rsidR="00F670C8">
        <w:rPr>
          <w:rFonts w:ascii="Times New Roman" w:hAnsi="Times New Roman" w:hint="eastAsia"/>
          <w:sz w:val="24"/>
        </w:rPr>
        <w:t>易方达军工分级份额</w:t>
      </w:r>
      <w:r w:rsidR="00163FB0" w:rsidRPr="00F663C2">
        <w:rPr>
          <w:rFonts w:ascii="Times New Roman" w:hAnsi="Times New Roman" w:hint="eastAsia"/>
          <w:sz w:val="24"/>
          <w:szCs w:val="24"/>
        </w:rPr>
        <w:t>、</w:t>
      </w:r>
      <w:r w:rsidR="00F670C8">
        <w:rPr>
          <w:rFonts w:ascii="Times New Roman" w:hAnsi="Times New Roman" w:hint="eastAsia"/>
          <w:sz w:val="24"/>
        </w:rPr>
        <w:t>易方达军工分级</w:t>
      </w:r>
      <w:r w:rsidR="00F670C8">
        <w:rPr>
          <w:rFonts w:ascii="Times New Roman" w:hAnsi="Times New Roman" w:hint="eastAsia"/>
          <w:sz w:val="24"/>
        </w:rPr>
        <w:t>A</w:t>
      </w:r>
      <w:r w:rsidR="00F670C8">
        <w:rPr>
          <w:rFonts w:ascii="Times New Roman" w:hAnsi="Times New Roman" w:hint="eastAsia"/>
          <w:sz w:val="24"/>
        </w:rPr>
        <w:t>类份额</w:t>
      </w:r>
      <w:r w:rsidR="00F23E16" w:rsidRPr="00F663C2">
        <w:rPr>
          <w:rFonts w:ascii="Times New Roman" w:hAnsi="Times New Roman" w:hint="eastAsia"/>
          <w:sz w:val="24"/>
          <w:szCs w:val="24"/>
        </w:rPr>
        <w:t>、</w:t>
      </w:r>
      <w:r w:rsidR="00F670C8">
        <w:rPr>
          <w:rFonts w:ascii="Times New Roman" w:hAnsi="Times New Roman" w:hint="eastAsia"/>
          <w:sz w:val="24"/>
        </w:rPr>
        <w:t>易方达军工分级</w:t>
      </w:r>
      <w:r w:rsidR="00F670C8">
        <w:rPr>
          <w:rFonts w:ascii="Times New Roman" w:hAnsi="Times New Roman" w:hint="eastAsia"/>
          <w:sz w:val="24"/>
        </w:rPr>
        <w:t>B</w:t>
      </w:r>
      <w:r w:rsidR="00F670C8">
        <w:rPr>
          <w:rFonts w:ascii="Times New Roman" w:hAnsi="Times New Roman" w:hint="eastAsia"/>
          <w:sz w:val="24"/>
        </w:rPr>
        <w:t>类份额</w:t>
      </w:r>
      <w:r w:rsidRPr="00F663C2">
        <w:rPr>
          <w:rFonts w:ascii="Times New Roman" w:hAnsi="Times New Roman" w:hint="eastAsia"/>
          <w:sz w:val="24"/>
          <w:szCs w:val="24"/>
        </w:rPr>
        <w:t>即时行情显示的前收盘价为</w:t>
      </w:r>
      <w:r w:rsidR="006F7629">
        <w:rPr>
          <w:rFonts w:ascii="Times New Roman" w:hAnsi="Times New Roman"/>
          <w:sz w:val="24"/>
          <w:szCs w:val="24"/>
        </w:rPr>
        <w:t>2020</w:t>
      </w:r>
      <w:r w:rsidR="006F7629">
        <w:rPr>
          <w:rFonts w:ascii="Times New Roman" w:hAnsi="Times New Roman"/>
          <w:sz w:val="24"/>
          <w:szCs w:val="24"/>
        </w:rPr>
        <w:t>年</w:t>
      </w:r>
      <w:r w:rsidR="006F7629">
        <w:rPr>
          <w:rFonts w:ascii="Times New Roman" w:hAnsi="Times New Roman"/>
          <w:sz w:val="24"/>
          <w:szCs w:val="24"/>
        </w:rPr>
        <w:t>7</w:t>
      </w:r>
      <w:r w:rsidR="006F7629">
        <w:rPr>
          <w:rFonts w:ascii="Times New Roman" w:hAnsi="Times New Roman"/>
          <w:sz w:val="24"/>
          <w:szCs w:val="24"/>
        </w:rPr>
        <w:t>月</w:t>
      </w:r>
      <w:r w:rsidR="006F7629">
        <w:rPr>
          <w:rFonts w:ascii="Times New Roman" w:hAnsi="Times New Roman"/>
          <w:sz w:val="24"/>
          <w:szCs w:val="24"/>
        </w:rPr>
        <w:t>8</w:t>
      </w:r>
      <w:r w:rsidR="006F7629">
        <w:rPr>
          <w:rFonts w:ascii="Times New Roman" w:hAnsi="Times New Roman"/>
          <w:sz w:val="24"/>
          <w:szCs w:val="24"/>
        </w:rPr>
        <w:t>日</w:t>
      </w:r>
      <w:r w:rsidRPr="00F663C2">
        <w:rPr>
          <w:rFonts w:ascii="Times New Roman" w:hAnsi="Times New Roman" w:hint="eastAsia"/>
          <w:sz w:val="24"/>
          <w:szCs w:val="24"/>
        </w:rPr>
        <w:t>的</w:t>
      </w:r>
      <w:r w:rsidR="00F670C8">
        <w:rPr>
          <w:rFonts w:ascii="Times New Roman" w:hAnsi="Times New Roman" w:hint="eastAsia"/>
          <w:sz w:val="24"/>
        </w:rPr>
        <w:t>易方达军工分级份额</w:t>
      </w:r>
      <w:r w:rsidR="00163FB0" w:rsidRPr="00F663C2">
        <w:rPr>
          <w:rFonts w:ascii="Times New Roman" w:hAnsi="Times New Roman" w:cs="楷体_GB2312" w:hint="eastAsia"/>
          <w:kern w:val="0"/>
          <w:sz w:val="24"/>
        </w:rPr>
        <w:t>的</w:t>
      </w:r>
      <w:r w:rsidR="00A71411" w:rsidRPr="00F663C2">
        <w:rPr>
          <w:rFonts w:ascii="Times New Roman" w:hAnsi="Times New Roman" w:cs="楷体_GB2312" w:hint="eastAsia"/>
          <w:kern w:val="0"/>
          <w:sz w:val="24"/>
        </w:rPr>
        <w:t>基金</w:t>
      </w:r>
      <w:r w:rsidR="00163FB0" w:rsidRPr="00F663C2">
        <w:rPr>
          <w:rFonts w:ascii="Times New Roman" w:hAnsi="Times New Roman" w:cs="楷体_GB2312" w:hint="eastAsia"/>
          <w:kern w:val="0"/>
          <w:sz w:val="24"/>
        </w:rPr>
        <w:t>份额净值以及</w:t>
      </w:r>
      <w:r w:rsidR="00F670C8">
        <w:rPr>
          <w:rFonts w:ascii="Times New Roman" w:hAnsi="Times New Roman" w:hint="eastAsia"/>
          <w:sz w:val="24"/>
        </w:rPr>
        <w:t>易方达军工分级</w:t>
      </w:r>
      <w:r w:rsidR="00F670C8">
        <w:rPr>
          <w:rFonts w:ascii="Times New Roman" w:hAnsi="Times New Roman" w:hint="eastAsia"/>
          <w:sz w:val="24"/>
        </w:rPr>
        <w:t>A</w:t>
      </w:r>
      <w:r w:rsidR="00F670C8">
        <w:rPr>
          <w:rFonts w:ascii="Times New Roman" w:hAnsi="Times New Roman" w:hint="eastAsia"/>
          <w:sz w:val="24"/>
        </w:rPr>
        <w:t>类份额</w:t>
      </w:r>
      <w:r w:rsidR="00F23E16" w:rsidRPr="00F663C2">
        <w:rPr>
          <w:rFonts w:ascii="Times New Roman" w:hAnsi="Times New Roman" w:hint="eastAsia"/>
          <w:sz w:val="24"/>
          <w:szCs w:val="24"/>
        </w:rPr>
        <w:t>、</w:t>
      </w:r>
      <w:r w:rsidR="00F670C8">
        <w:rPr>
          <w:rFonts w:ascii="Times New Roman" w:hAnsi="Times New Roman" w:hint="eastAsia"/>
          <w:sz w:val="24"/>
        </w:rPr>
        <w:t>易方达军工分级</w:t>
      </w:r>
      <w:r w:rsidR="00F670C8">
        <w:rPr>
          <w:rFonts w:ascii="Times New Roman" w:hAnsi="Times New Roman" w:hint="eastAsia"/>
          <w:sz w:val="24"/>
        </w:rPr>
        <w:t>B</w:t>
      </w:r>
      <w:r w:rsidR="00F670C8">
        <w:rPr>
          <w:rFonts w:ascii="Times New Roman" w:hAnsi="Times New Roman" w:hint="eastAsia"/>
          <w:sz w:val="24"/>
        </w:rPr>
        <w:t>类份额</w:t>
      </w:r>
      <w:r w:rsidRPr="00F663C2">
        <w:rPr>
          <w:rFonts w:ascii="Times New Roman" w:hAnsi="Times New Roman" w:hint="eastAsia"/>
          <w:sz w:val="24"/>
          <w:szCs w:val="24"/>
        </w:rPr>
        <w:t>的基金份额参考净值（四舍五入至</w:t>
      </w:r>
      <w:r w:rsidRPr="00F663C2">
        <w:rPr>
          <w:rFonts w:ascii="Times New Roman" w:hAnsi="Times New Roman"/>
          <w:sz w:val="24"/>
          <w:szCs w:val="24"/>
        </w:rPr>
        <w:t>0.001</w:t>
      </w:r>
      <w:r w:rsidRPr="00F663C2">
        <w:rPr>
          <w:rFonts w:ascii="Times New Roman" w:hAnsi="Times New Roman" w:hint="eastAsia"/>
          <w:sz w:val="24"/>
          <w:szCs w:val="24"/>
        </w:rPr>
        <w:t>元）。</w:t>
      </w:r>
    </w:p>
    <w:p w14:paraId="6C0939D4" w14:textId="0133BF1F" w:rsidR="00CB38B2" w:rsidRPr="006E08DA" w:rsidRDefault="00CB38B2" w:rsidP="00CB38B2">
      <w:pPr>
        <w:spacing w:line="360" w:lineRule="auto"/>
        <w:ind w:firstLineChars="200" w:firstLine="480"/>
        <w:rPr>
          <w:rFonts w:ascii="Times New Roman" w:hAnsi="Times New Roman"/>
          <w:sz w:val="24"/>
          <w:szCs w:val="24"/>
        </w:rPr>
      </w:pPr>
      <w:r w:rsidRPr="00F663C2">
        <w:rPr>
          <w:rFonts w:ascii="Times New Roman" w:hAnsi="Times New Roman"/>
          <w:sz w:val="24"/>
          <w:szCs w:val="24"/>
        </w:rPr>
        <w:t>5</w:t>
      </w:r>
      <w:r w:rsidRPr="00F663C2">
        <w:rPr>
          <w:rFonts w:ascii="Times New Roman" w:hAnsi="Times New Roman" w:hint="eastAsia"/>
          <w:sz w:val="24"/>
          <w:szCs w:val="24"/>
        </w:rPr>
        <w:t>、</w:t>
      </w:r>
      <w:r w:rsidR="006F7629">
        <w:rPr>
          <w:rFonts w:ascii="Times New Roman" w:hAnsi="Times New Roman"/>
          <w:sz w:val="24"/>
          <w:szCs w:val="24"/>
        </w:rPr>
        <w:t>2020</w:t>
      </w:r>
      <w:r w:rsidR="006F7629">
        <w:rPr>
          <w:rFonts w:ascii="Times New Roman" w:hAnsi="Times New Roman"/>
          <w:sz w:val="24"/>
          <w:szCs w:val="24"/>
        </w:rPr>
        <w:t>年</w:t>
      </w:r>
      <w:r w:rsidR="006F7629">
        <w:rPr>
          <w:rFonts w:ascii="Times New Roman" w:hAnsi="Times New Roman"/>
          <w:sz w:val="24"/>
          <w:szCs w:val="24"/>
        </w:rPr>
        <w:t>7</w:t>
      </w:r>
      <w:r w:rsidR="006F7629">
        <w:rPr>
          <w:rFonts w:ascii="Times New Roman" w:hAnsi="Times New Roman"/>
          <w:sz w:val="24"/>
          <w:szCs w:val="24"/>
        </w:rPr>
        <w:t>月</w:t>
      </w:r>
      <w:r w:rsidR="006F7629">
        <w:rPr>
          <w:rFonts w:ascii="Times New Roman" w:hAnsi="Times New Roman"/>
          <w:sz w:val="24"/>
          <w:szCs w:val="24"/>
        </w:rPr>
        <w:t>9</w:t>
      </w:r>
      <w:r w:rsidR="006F7629">
        <w:rPr>
          <w:rFonts w:ascii="Times New Roman" w:hAnsi="Times New Roman"/>
          <w:sz w:val="24"/>
          <w:szCs w:val="24"/>
        </w:rPr>
        <w:t>日</w:t>
      </w:r>
      <w:r w:rsidR="00EB7434" w:rsidRPr="00F663C2">
        <w:rPr>
          <w:rFonts w:ascii="Times New Roman" w:hAnsi="Times New Roman" w:hint="eastAsia"/>
          <w:sz w:val="24"/>
          <w:szCs w:val="24"/>
        </w:rPr>
        <w:t>场内</w:t>
      </w:r>
      <w:r w:rsidR="00F670C8">
        <w:rPr>
          <w:rFonts w:ascii="Times New Roman" w:hAnsi="Times New Roman" w:hint="eastAsia"/>
          <w:sz w:val="24"/>
        </w:rPr>
        <w:t>易方达军工分级份额</w:t>
      </w:r>
      <w:r w:rsidR="00EB7434" w:rsidRPr="006E08DA">
        <w:rPr>
          <w:rFonts w:ascii="Times New Roman" w:hAnsi="Times New Roman" w:hint="eastAsia"/>
          <w:sz w:val="24"/>
          <w:szCs w:val="24"/>
        </w:rPr>
        <w:t>、</w:t>
      </w:r>
      <w:r w:rsidR="00F670C8">
        <w:rPr>
          <w:rFonts w:ascii="Times New Roman" w:hAnsi="Times New Roman" w:hint="eastAsia"/>
          <w:sz w:val="24"/>
        </w:rPr>
        <w:t>易方达军工分级</w:t>
      </w:r>
      <w:r w:rsidR="00F670C8">
        <w:rPr>
          <w:rFonts w:ascii="Times New Roman" w:hAnsi="Times New Roman" w:hint="eastAsia"/>
          <w:sz w:val="24"/>
        </w:rPr>
        <w:t>A</w:t>
      </w:r>
      <w:r w:rsidR="00F670C8">
        <w:rPr>
          <w:rFonts w:ascii="Times New Roman" w:hAnsi="Times New Roman" w:hint="eastAsia"/>
          <w:sz w:val="24"/>
        </w:rPr>
        <w:t>类份额</w:t>
      </w:r>
      <w:r w:rsidR="00F23E16" w:rsidRPr="006E08DA">
        <w:rPr>
          <w:rFonts w:ascii="Times New Roman" w:hAnsi="Times New Roman" w:hint="eastAsia"/>
          <w:sz w:val="24"/>
          <w:szCs w:val="24"/>
        </w:rPr>
        <w:t>、</w:t>
      </w:r>
      <w:r w:rsidR="00F670C8">
        <w:rPr>
          <w:rFonts w:ascii="Times New Roman" w:hAnsi="Times New Roman" w:hint="eastAsia"/>
          <w:sz w:val="24"/>
        </w:rPr>
        <w:t>易方达军工分级</w:t>
      </w:r>
      <w:r w:rsidR="00F670C8">
        <w:rPr>
          <w:rFonts w:ascii="Times New Roman" w:hAnsi="Times New Roman" w:hint="eastAsia"/>
          <w:sz w:val="24"/>
        </w:rPr>
        <w:t>B</w:t>
      </w:r>
      <w:r w:rsidR="00F670C8">
        <w:rPr>
          <w:rFonts w:ascii="Times New Roman" w:hAnsi="Times New Roman" w:hint="eastAsia"/>
          <w:sz w:val="24"/>
        </w:rPr>
        <w:t>类份额</w:t>
      </w:r>
      <w:r w:rsidRPr="006E08DA">
        <w:rPr>
          <w:rFonts w:ascii="Times New Roman" w:hAnsi="Times New Roman" w:hint="eastAsia"/>
          <w:sz w:val="24"/>
          <w:szCs w:val="24"/>
        </w:rPr>
        <w:t>均可能出现交易价格大幅波动的情形。敬请投资者注意投资风险。</w:t>
      </w:r>
    </w:p>
    <w:p w14:paraId="53A00B13" w14:textId="77777777" w:rsidR="00A635DB" w:rsidRPr="00F663C2" w:rsidRDefault="00A635DB" w:rsidP="00A635DB">
      <w:pPr>
        <w:spacing w:line="360" w:lineRule="auto"/>
        <w:ind w:firstLineChars="200" w:firstLine="480"/>
        <w:rPr>
          <w:rFonts w:ascii="Times New Roman" w:hAnsi="Times New Roman"/>
          <w:sz w:val="24"/>
          <w:szCs w:val="24"/>
        </w:rPr>
      </w:pPr>
      <w:r w:rsidRPr="005A2508">
        <w:rPr>
          <w:rFonts w:ascii="宋体" w:hAnsi="宋体" w:hint="eastAsia"/>
          <w:sz w:val="24"/>
          <w:szCs w:val="24"/>
        </w:rPr>
        <w:t>上述安排如有调整，基金管理人将另行发布公告，具体详见基金管理人届时发布的相关公告。</w:t>
      </w:r>
    </w:p>
    <w:p w14:paraId="38FC66E3" w14:textId="77777777" w:rsidR="00BA64B5" w:rsidRPr="006E08DA" w:rsidRDefault="00BA64B5" w:rsidP="00CB38B2">
      <w:pPr>
        <w:spacing w:line="360" w:lineRule="auto"/>
        <w:ind w:firstLineChars="200" w:firstLine="480"/>
        <w:rPr>
          <w:rFonts w:ascii="Times New Roman" w:hAnsi="Times New Roman"/>
          <w:sz w:val="24"/>
          <w:szCs w:val="24"/>
        </w:rPr>
      </w:pPr>
    </w:p>
    <w:p w14:paraId="4603E975" w14:textId="77777777" w:rsidR="00CB38B2" w:rsidRPr="006E08DA" w:rsidRDefault="00CB38B2" w:rsidP="00CB38B2">
      <w:pPr>
        <w:spacing w:line="360" w:lineRule="auto"/>
        <w:ind w:firstLineChars="200" w:firstLine="480"/>
        <w:rPr>
          <w:rFonts w:ascii="Times New Roman" w:hAnsi="Times New Roman"/>
          <w:sz w:val="24"/>
          <w:szCs w:val="24"/>
        </w:rPr>
      </w:pPr>
      <w:r w:rsidRPr="006E08DA">
        <w:rPr>
          <w:rFonts w:ascii="Times New Roman" w:hAnsi="Times New Roman" w:hint="eastAsia"/>
          <w:sz w:val="24"/>
          <w:szCs w:val="24"/>
        </w:rPr>
        <w:t>五、重要提示</w:t>
      </w:r>
    </w:p>
    <w:p w14:paraId="33D3E16B" w14:textId="00871320" w:rsidR="00C01334" w:rsidRPr="006E08DA" w:rsidRDefault="00933B80" w:rsidP="000666DC">
      <w:pPr>
        <w:spacing w:line="360" w:lineRule="auto"/>
        <w:ind w:firstLineChars="200" w:firstLine="480"/>
        <w:rPr>
          <w:rFonts w:ascii="Times New Roman" w:hAnsi="Times New Roman"/>
          <w:sz w:val="24"/>
          <w:szCs w:val="24"/>
        </w:rPr>
      </w:pPr>
      <w:r w:rsidRPr="006E08DA">
        <w:rPr>
          <w:rFonts w:ascii="Times New Roman" w:hAnsi="Times New Roman"/>
          <w:sz w:val="24"/>
          <w:szCs w:val="24"/>
        </w:rPr>
        <w:t>1</w:t>
      </w:r>
      <w:r w:rsidRPr="006E08DA">
        <w:rPr>
          <w:rFonts w:ascii="Times New Roman" w:hAnsi="Times New Roman" w:hint="eastAsia"/>
          <w:sz w:val="24"/>
          <w:szCs w:val="24"/>
        </w:rPr>
        <w:t>、</w:t>
      </w:r>
      <w:r w:rsidR="00D73CFA" w:rsidRPr="00F663C2">
        <w:rPr>
          <w:rFonts w:ascii="Times New Roman" w:hAnsi="Times New Roman" w:hint="eastAsia"/>
          <w:sz w:val="24"/>
          <w:szCs w:val="24"/>
        </w:rPr>
        <w:t>由于</w:t>
      </w:r>
      <w:r w:rsidR="00E67C16" w:rsidRPr="00F663C2">
        <w:rPr>
          <w:rFonts w:ascii="Times New Roman" w:hAnsi="Times New Roman" w:hint="eastAsia"/>
          <w:sz w:val="24"/>
          <w:szCs w:val="24"/>
        </w:rPr>
        <w:t>场内</w:t>
      </w:r>
      <w:r w:rsidR="00F670C8">
        <w:rPr>
          <w:rFonts w:ascii="Times New Roman" w:hAnsi="Times New Roman" w:hint="eastAsia"/>
          <w:sz w:val="24"/>
        </w:rPr>
        <w:t>易方达军工分级份额</w:t>
      </w:r>
      <w:r w:rsidR="00E67C16" w:rsidRPr="00F663C2">
        <w:rPr>
          <w:rFonts w:ascii="Times New Roman" w:hAnsi="Times New Roman" w:hint="eastAsia"/>
          <w:sz w:val="24"/>
          <w:szCs w:val="24"/>
        </w:rPr>
        <w:t>、</w:t>
      </w:r>
      <w:r w:rsidR="00F670C8">
        <w:rPr>
          <w:rFonts w:ascii="Times New Roman" w:hAnsi="Times New Roman" w:hint="eastAsia"/>
          <w:sz w:val="24"/>
          <w:szCs w:val="24"/>
        </w:rPr>
        <w:t>易方达军工分级</w:t>
      </w:r>
      <w:r w:rsidR="00F670C8">
        <w:rPr>
          <w:rFonts w:ascii="Times New Roman" w:hAnsi="Times New Roman" w:hint="eastAsia"/>
          <w:sz w:val="24"/>
          <w:szCs w:val="24"/>
        </w:rPr>
        <w:t>A</w:t>
      </w:r>
      <w:r w:rsidR="00F670C8">
        <w:rPr>
          <w:rFonts w:ascii="Times New Roman" w:hAnsi="Times New Roman" w:hint="eastAsia"/>
          <w:sz w:val="24"/>
          <w:szCs w:val="24"/>
        </w:rPr>
        <w:t>类份额</w:t>
      </w:r>
      <w:r w:rsidR="00D73CFA" w:rsidRPr="006E08DA">
        <w:rPr>
          <w:rFonts w:ascii="Times New Roman" w:hAnsi="Times New Roman" w:hint="eastAsia"/>
          <w:sz w:val="24"/>
          <w:szCs w:val="24"/>
        </w:rPr>
        <w:t>、</w:t>
      </w:r>
      <w:r w:rsidR="00F670C8">
        <w:rPr>
          <w:rFonts w:ascii="Times New Roman" w:hAnsi="Times New Roman" w:hint="eastAsia"/>
          <w:sz w:val="24"/>
          <w:szCs w:val="24"/>
        </w:rPr>
        <w:t>易方达军工分级</w:t>
      </w:r>
      <w:r w:rsidR="00F670C8">
        <w:rPr>
          <w:rFonts w:ascii="Times New Roman" w:hAnsi="Times New Roman" w:hint="eastAsia"/>
          <w:sz w:val="24"/>
          <w:szCs w:val="24"/>
        </w:rPr>
        <w:t>B</w:t>
      </w:r>
      <w:r w:rsidR="00F670C8">
        <w:rPr>
          <w:rFonts w:ascii="Times New Roman" w:hAnsi="Times New Roman" w:hint="eastAsia"/>
          <w:sz w:val="24"/>
          <w:szCs w:val="24"/>
        </w:rPr>
        <w:t>类份额</w:t>
      </w:r>
      <w:r w:rsidR="00D73CFA" w:rsidRPr="006E08DA">
        <w:rPr>
          <w:rFonts w:ascii="Times New Roman" w:hAnsi="Times New Roman" w:hint="eastAsia"/>
          <w:sz w:val="24"/>
          <w:szCs w:val="24"/>
        </w:rPr>
        <w:t>折算前可能存在折溢价交易情形，不定期份额折算后，</w:t>
      </w:r>
      <w:r w:rsidR="00E67C16" w:rsidRPr="006E08DA">
        <w:rPr>
          <w:rFonts w:ascii="Times New Roman" w:hAnsi="Times New Roman" w:hint="eastAsia"/>
          <w:sz w:val="24"/>
          <w:szCs w:val="24"/>
        </w:rPr>
        <w:t>场内</w:t>
      </w:r>
      <w:r w:rsidR="00F670C8">
        <w:rPr>
          <w:rFonts w:ascii="Times New Roman" w:hAnsi="Times New Roman" w:hint="eastAsia"/>
          <w:sz w:val="24"/>
        </w:rPr>
        <w:t>易方达军工分级份额</w:t>
      </w:r>
      <w:r w:rsidR="00E67C16" w:rsidRPr="006E08DA">
        <w:rPr>
          <w:rFonts w:ascii="Times New Roman" w:hAnsi="Times New Roman" w:hint="eastAsia"/>
          <w:sz w:val="24"/>
          <w:szCs w:val="24"/>
        </w:rPr>
        <w:t>、</w:t>
      </w:r>
      <w:r w:rsidR="00F670C8">
        <w:rPr>
          <w:rFonts w:ascii="Times New Roman" w:hAnsi="Times New Roman" w:hint="eastAsia"/>
          <w:sz w:val="24"/>
          <w:szCs w:val="24"/>
        </w:rPr>
        <w:t>易方达军工分级</w:t>
      </w:r>
      <w:r w:rsidR="00F670C8">
        <w:rPr>
          <w:rFonts w:ascii="Times New Roman" w:hAnsi="Times New Roman" w:hint="eastAsia"/>
          <w:sz w:val="24"/>
          <w:szCs w:val="24"/>
        </w:rPr>
        <w:t>A</w:t>
      </w:r>
      <w:r w:rsidR="00F670C8">
        <w:rPr>
          <w:rFonts w:ascii="Times New Roman" w:hAnsi="Times New Roman" w:hint="eastAsia"/>
          <w:sz w:val="24"/>
          <w:szCs w:val="24"/>
        </w:rPr>
        <w:t>类份额</w:t>
      </w:r>
      <w:r w:rsidR="00D73CFA" w:rsidRPr="006E08DA">
        <w:rPr>
          <w:rFonts w:ascii="Times New Roman" w:hAnsi="Times New Roman" w:hint="eastAsia"/>
          <w:sz w:val="24"/>
          <w:szCs w:val="24"/>
        </w:rPr>
        <w:t>、</w:t>
      </w:r>
      <w:r w:rsidR="00F670C8">
        <w:rPr>
          <w:rFonts w:ascii="Times New Roman" w:hAnsi="Times New Roman" w:hint="eastAsia"/>
          <w:sz w:val="24"/>
          <w:szCs w:val="24"/>
        </w:rPr>
        <w:t>易方达军工分级</w:t>
      </w:r>
      <w:r w:rsidR="00F670C8">
        <w:rPr>
          <w:rFonts w:ascii="Times New Roman" w:hAnsi="Times New Roman" w:hint="eastAsia"/>
          <w:sz w:val="24"/>
          <w:szCs w:val="24"/>
        </w:rPr>
        <w:t>B</w:t>
      </w:r>
      <w:r w:rsidR="00F670C8">
        <w:rPr>
          <w:rFonts w:ascii="Times New Roman" w:hAnsi="Times New Roman" w:hint="eastAsia"/>
          <w:sz w:val="24"/>
          <w:szCs w:val="24"/>
        </w:rPr>
        <w:t>类份额</w:t>
      </w:r>
      <w:r w:rsidR="00D73CFA" w:rsidRPr="006E08DA">
        <w:rPr>
          <w:rFonts w:ascii="Times New Roman" w:hAnsi="Times New Roman" w:hint="eastAsia"/>
          <w:sz w:val="24"/>
          <w:szCs w:val="24"/>
        </w:rPr>
        <w:t>的折溢价率可能发生较大变化。特提请参与二级市场交易的投资者注意</w:t>
      </w:r>
      <w:r w:rsidR="00F368B5" w:rsidRPr="006E08DA">
        <w:rPr>
          <w:rFonts w:ascii="Times New Roman" w:hAnsi="Times New Roman" w:hint="eastAsia"/>
          <w:sz w:val="24"/>
          <w:szCs w:val="24"/>
        </w:rPr>
        <w:t>折</w:t>
      </w:r>
      <w:r w:rsidR="00D73CFA" w:rsidRPr="006E08DA">
        <w:rPr>
          <w:rFonts w:ascii="Times New Roman" w:hAnsi="Times New Roman" w:hint="eastAsia"/>
          <w:sz w:val="24"/>
          <w:szCs w:val="24"/>
        </w:rPr>
        <w:t>溢价所带来的风</w:t>
      </w:r>
      <w:r w:rsidR="00D73CFA" w:rsidRPr="006E08DA">
        <w:rPr>
          <w:rFonts w:ascii="Times New Roman" w:hAnsi="Times New Roman" w:hint="eastAsia"/>
          <w:sz w:val="24"/>
          <w:szCs w:val="24"/>
        </w:rPr>
        <w:lastRenderedPageBreak/>
        <w:t>险。</w:t>
      </w:r>
    </w:p>
    <w:p w14:paraId="627BA45B" w14:textId="13B7F80F" w:rsidR="00FE480E" w:rsidRPr="006E08DA" w:rsidRDefault="00254B61" w:rsidP="009B1AB6">
      <w:pPr>
        <w:spacing w:line="360" w:lineRule="auto"/>
        <w:ind w:firstLineChars="200" w:firstLine="480"/>
        <w:rPr>
          <w:rFonts w:ascii="Times New Roman" w:hAnsi="Times New Roman"/>
          <w:sz w:val="24"/>
          <w:szCs w:val="24"/>
        </w:rPr>
      </w:pPr>
      <w:r>
        <w:rPr>
          <w:rFonts w:ascii="Times New Roman" w:hAnsi="Times New Roman"/>
          <w:sz w:val="24"/>
          <w:szCs w:val="24"/>
        </w:rPr>
        <w:t>2</w:t>
      </w:r>
      <w:r w:rsidR="00D73CFA" w:rsidRPr="006E08DA">
        <w:rPr>
          <w:rFonts w:ascii="Times New Roman" w:hAnsi="Times New Roman" w:hint="eastAsia"/>
          <w:sz w:val="24"/>
          <w:szCs w:val="24"/>
        </w:rPr>
        <w:t>、</w:t>
      </w:r>
      <w:r w:rsidR="00FE480E" w:rsidRPr="006E08DA">
        <w:rPr>
          <w:rFonts w:ascii="Times New Roman" w:hAnsi="Times New Roman" w:hint="eastAsia"/>
          <w:sz w:val="24"/>
          <w:szCs w:val="24"/>
        </w:rPr>
        <w:t>此次基金份额折算基准日不是触发折算阀值当日，折算基准日</w:t>
      </w:r>
      <w:r w:rsidR="00F670C8">
        <w:rPr>
          <w:rFonts w:ascii="Times New Roman" w:hAnsi="Times New Roman" w:hint="eastAsia"/>
          <w:sz w:val="24"/>
          <w:szCs w:val="24"/>
        </w:rPr>
        <w:t>易方达军工分级份额</w:t>
      </w:r>
      <w:r w:rsidR="00FE480E" w:rsidRPr="006E08DA">
        <w:rPr>
          <w:rFonts w:ascii="Times New Roman" w:hAnsi="Times New Roman" w:hint="eastAsia"/>
          <w:sz w:val="24"/>
          <w:szCs w:val="24"/>
        </w:rPr>
        <w:t>的基金份额净值可能与触发折算的阈值（</w:t>
      </w:r>
      <w:r w:rsidR="00FE480E" w:rsidRPr="006E08DA">
        <w:rPr>
          <w:rFonts w:ascii="Times New Roman" w:hAnsi="Times New Roman"/>
          <w:sz w:val="24"/>
          <w:szCs w:val="24"/>
        </w:rPr>
        <w:t>1.5000</w:t>
      </w:r>
      <w:r w:rsidR="00FE480E" w:rsidRPr="006E08DA">
        <w:rPr>
          <w:rFonts w:ascii="Times New Roman" w:hAnsi="Times New Roman" w:hint="eastAsia"/>
          <w:sz w:val="24"/>
          <w:szCs w:val="24"/>
        </w:rPr>
        <w:t>元）有一定差异。</w:t>
      </w:r>
    </w:p>
    <w:p w14:paraId="3C5D12C5" w14:textId="13B416B1" w:rsidR="00CB38B2" w:rsidRPr="006E08DA" w:rsidRDefault="00254B61" w:rsidP="00CB38B2">
      <w:pPr>
        <w:spacing w:line="360" w:lineRule="auto"/>
        <w:ind w:firstLineChars="200" w:firstLine="480"/>
        <w:rPr>
          <w:rFonts w:ascii="Times New Roman" w:hAnsi="Times New Roman"/>
          <w:sz w:val="24"/>
          <w:szCs w:val="24"/>
        </w:rPr>
      </w:pPr>
      <w:r>
        <w:rPr>
          <w:rFonts w:ascii="Times New Roman" w:hAnsi="Times New Roman"/>
          <w:sz w:val="24"/>
          <w:szCs w:val="24"/>
        </w:rPr>
        <w:t>3</w:t>
      </w:r>
      <w:r w:rsidR="00D73CFA" w:rsidRPr="006E08DA">
        <w:rPr>
          <w:rFonts w:ascii="Times New Roman" w:hAnsi="Times New Roman" w:hint="eastAsia"/>
          <w:sz w:val="24"/>
          <w:szCs w:val="24"/>
        </w:rPr>
        <w:t>、</w:t>
      </w:r>
      <w:r w:rsidR="00D57825" w:rsidRPr="006E08DA">
        <w:rPr>
          <w:rFonts w:ascii="Times New Roman" w:hAnsi="Times New Roman" w:hint="eastAsia"/>
          <w:sz w:val="24"/>
          <w:szCs w:val="24"/>
        </w:rPr>
        <w:t>相对于</w:t>
      </w:r>
      <w:r w:rsidR="00F670C8">
        <w:rPr>
          <w:rFonts w:ascii="Times New Roman" w:hAnsi="Times New Roman" w:hint="eastAsia"/>
          <w:sz w:val="24"/>
          <w:szCs w:val="24"/>
        </w:rPr>
        <w:t>易方达军工分级份额</w:t>
      </w:r>
      <w:r w:rsidR="00D57825" w:rsidRPr="006E08DA">
        <w:rPr>
          <w:rFonts w:ascii="Times New Roman" w:hAnsi="Times New Roman" w:hint="eastAsia"/>
          <w:sz w:val="24"/>
          <w:szCs w:val="24"/>
        </w:rPr>
        <w:t>，</w:t>
      </w:r>
      <w:r w:rsidR="00F670C8">
        <w:rPr>
          <w:rFonts w:ascii="Times New Roman" w:hAnsi="Times New Roman" w:hint="eastAsia"/>
          <w:sz w:val="24"/>
          <w:szCs w:val="24"/>
        </w:rPr>
        <w:t>易方达军工分级</w:t>
      </w:r>
      <w:r w:rsidR="00F670C8">
        <w:rPr>
          <w:rFonts w:ascii="Times New Roman" w:hAnsi="Times New Roman" w:hint="eastAsia"/>
          <w:sz w:val="24"/>
          <w:szCs w:val="24"/>
        </w:rPr>
        <w:t>A</w:t>
      </w:r>
      <w:r w:rsidR="00F670C8">
        <w:rPr>
          <w:rFonts w:ascii="Times New Roman" w:hAnsi="Times New Roman" w:hint="eastAsia"/>
          <w:sz w:val="24"/>
          <w:szCs w:val="24"/>
        </w:rPr>
        <w:t>类份额</w:t>
      </w:r>
      <w:r w:rsidR="00D73CFA" w:rsidRPr="006E08DA">
        <w:rPr>
          <w:rFonts w:ascii="Times New Roman" w:hAnsi="Times New Roman" w:hint="eastAsia"/>
          <w:sz w:val="24"/>
          <w:szCs w:val="24"/>
        </w:rPr>
        <w:t>为</w:t>
      </w:r>
      <w:r w:rsidR="00D57825" w:rsidRPr="006E08DA">
        <w:rPr>
          <w:rFonts w:ascii="Times New Roman" w:hAnsi="Times New Roman" w:hint="eastAsia"/>
          <w:sz w:val="24"/>
          <w:szCs w:val="24"/>
        </w:rPr>
        <w:t>预期</w:t>
      </w:r>
      <w:r w:rsidR="00D73CFA" w:rsidRPr="006E08DA">
        <w:rPr>
          <w:rFonts w:ascii="Times New Roman" w:hAnsi="Times New Roman" w:hint="eastAsia"/>
          <w:sz w:val="24"/>
          <w:szCs w:val="24"/>
        </w:rPr>
        <w:t>风险、收益相对</w:t>
      </w:r>
      <w:r w:rsidR="00D57825" w:rsidRPr="006E08DA">
        <w:rPr>
          <w:rFonts w:ascii="Times New Roman" w:hAnsi="Times New Roman" w:hint="eastAsia"/>
          <w:sz w:val="24"/>
          <w:szCs w:val="24"/>
        </w:rPr>
        <w:t>较低</w:t>
      </w:r>
      <w:r w:rsidR="00D73CFA" w:rsidRPr="006E08DA">
        <w:rPr>
          <w:rFonts w:ascii="Times New Roman" w:hAnsi="Times New Roman" w:hint="eastAsia"/>
          <w:sz w:val="24"/>
          <w:szCs w:val="24"/>
        </w:rPr>
        <w:t>的特征，但在不定期份额折算后</w:t>
      </w:r>
      <w:r w:rsidR="00D57825" w:rsidRPr="006E08DA">
        <w:rPr>
          <w:rFonts w:ascii="Times New Roman" w:hAnsi="Times New Roman" w:hint="eastAsia"/>
          <w:sz w:val="24"/>
          <w:szCs w:val="24"/>
        </w:rPr>
        <w:t>，原</w:t>
      </w:r>
      <w:r w:rsidR="00F670C8">
        <w:rPr>
          <w:rFonts w:ascii="Times New Roman" w:hAnsi="Times New Roman" w:hint="eastAsia"/>
          <w:sz w:val="24"/>
          <w:szCs w:val="24"/>
        </w:rPr>
        <w:t>易方达军工分级</w:t>
      </w:r>
      <w:r w:rsidR="00F670C8">
        <w:rPr>
          <w:rFonts w:ascii="Times New Roman" w:hAnsi="Times New Roman" w:hint="eastAsia"/>
          <w:sz w:val="24"/>
          <w:szCs w:val="24"/>
        </w:rPr>
        <w:t>A</w:t>
      </w:r>
      <w:r w:rsidR="00F670C8">
        <w:rPr>
          <w:rFonts w:ascii="Times New Roman" w:hAnsi="Times New Roman" w:hint="eastAsia"/>
          <w:sz w:val="24"/>
          <w:szCs w:val="24"/>
        </w:rPr>
        <w:t>类份额</w:t>
      </w:r>
      <w:r w:rsidR="00D73CFA" w:rsidRPr="006E08DA">
        <w:rPr>
          <w:rFonts w:ascii="Times New Roman" w:hAnsi="Times New Roman" w:hint="eastAsia"/>
          <w:sz w:val="24"/>
          <w:szCs w:val="24"/>
        </w:rPr>
        <w:t>持有人</w:t>
      </w:r>
      <w:r w:rsidR="00D57825" w:rsidRPr="006E08DA">
        <w:rPr>
          <w:rFonts w:ascii="Times New Roman" w:hAnsi="Times New Roman" w:hint="eastAsia"/>
          <w:sz w:val="24"/>
        </w:rPr>
        <w:t>将同时持有</w:t>
      </w:r>
      <w:r w:rsidR="00F670C8">
        <w:rPr>
          <w:rFonts w:ascii="Times New Roman" w:hAnsi="Times New Roman" w:hint="eastAsia"/>
          <w:sz w:val="24"/>
        </w:rPr>
        <w:t>易方达军工分级</w:t>
      </w:r>
      <w:r w:rsidR="00F670C8">
        <w:rPr>
          <w:rFonts w:ascii="Times New Roman" w:hAnsi="Times New Roman" w:hint="eastAsia"/>
          <w:sz w:val="24"/>
        </w:rPr>
        <w:t>A</w:t>
      </w:r>
      <w:r w:rsidR="00F670C8">
        <w:rPr>
          <w:rFonts w:ascii="Times New Roman" w:hAnsi="Times New Roman" w:hint="eastAsia"/>
          <w:sz w:val="24"/>
        </w:rPr>
        <w:t>类份额</w:t>
      </w:r>
      <w:r w:rsidR="00D57825" w:rsidRPr="006E08DA">
        <w:rPr>
          <w:rFonts w:ascii="Times New Roman" w:hAnsi="Times New Roman" w:hint="eastAsia"/>
          <w:sz w:val="24"/>
        </w:rPr>
        <w:t>和</w:t>
      </w:r>
      <w:r w:rsidR="00F670C8">
        <w:rPr>
          <w:rFonts w:ascii="Times New Roman" w:hAnsi="Times New Roman" w:hint="eastAsia"/>
          <w:sz w:val="24"/>
        </w:rPr>
        <w:t>易方达军工分级份额</w:t>
      </w:r>
      <w:r w:rsidR="00D57825" w:rsidRPr="006E08DA">
        <w:rPr>
          <w:rFonts w:ascii="Times New Roman" w:hAnsi="Times New Roman" w:hint="eastAsia"/>
          <w:sz w:val="24"/>
          <w:szCs w:val="24"/>
        </w:rPr>
        <w:t>，</w:t>
      </w:r>
      <w:r w:rsidR="00D73CFA" w:rsidRPr="006E08DA">
        <w:rPr>
          <w:rFonts w:ascii="Times New Roman" w:hAnsi="Times New Roman" w:hint="eastAsia"/>
          <w:sz w:val="24"/>
          <w:szCs w:val="24"/>
        </w:rPr>
        <w:t>由持有单一的较低风险收益特征</w:t>
      </w:r>
      <w:r w:rsidR="00A54B09" w:rsidRPr="006E08DA">
        <w:rPr>
          <w:rFonts w:ascii="Times New Roman" w:hAnsi="Times New Roman" w:hint="eastAsia"/>
          <w:sz w:val="24"/>
          <w:szCs w:val="24"/>
        </w:rPr>
        <w:t>份额</w:t>
      </w:r>
      <w:r w:rsidR="00D73CFA" w:rsidRPr="006E08DA">
        <w:rPr>
          <w:rFonts w:ascii="Times New Roman" w:hAnsi="Times New Roman" w:hint="eastAsia"/>
          <w:sz w:val="24"/>
          <w:szCs w:val="24"/>
        </w:rPr>
        <w:t>变为同时持有较低风险收益特征</w:t>
      </w:r>
      <w:r w:rsidR="007A7B25">
        <w:rPr>
          <w:rFonts w:ascii="Times New Roman" w:hAnsi="Times New Roman" w:hint="eastAsia"/>
          <w:sz w:val="24"/>
          <w:szCs w:val="24"/>
        </w:rPr>
        <w:t>份额</w:t>
      </w:r>
      <w:r w:rsidR="00D73CFA" w:rsidRPr="006E08DA">
        <w:rPr>
          <w:rFonts w:ascii="Times New Roman" w:hAnsi="Times New Roman" w:hint="eastAsia"/>
          <w:sz w:val="24"/>
          <w:szCs w:val="24"/>
        </w:rPr>
        <w:t>与较高风险收益特征</w:t>
      </w:r>
      <w:r w:rsidR="007A7B25">
        <w:rPr>
          <w:rFonts w:ascii="Times New Roman" w:hAnsi="Times New Roman" w:hint="eastAsia"/>
          <w:sz w:val="24"/>
          <w:szCs w:val="24"/>
        </w:rPr>
        <w:t>份额</w:t>
      </w:r>
      <w:r w:rsidR="00D73CFA" w:rsidRPr="006E08DA">
        <w:rPr>
          <w:rFonts w:ascii="Times New Roman" w:hAnsi="Times New Roman" w:hint="eastAsia"/>
          <w:sz w:val="24"/>
          <w:szCs w:val="24"/>
        </w:rPr>
        <w:t>的情况，</w:t>
      </w:r>
      <w:r w:rsidR="00D57825" w:rsidRPr="006E08DA">
        <w:rPr>
          <w:rFonts w:ascii="Times New Roman" w:hAnsi="Times New Roman" w:hint="eastAsia"/>
          <w:sz w:val="24"/>
          <w:szCs w:val="24"/>
        </w:rPr>
        <w:t>风险收益特征将发生较大变化，</w:t>
      </w:r>
      <w:r w:rsidR="00D73CFA" w:rsidRPr="006E08DA">
        <w:rPr>
          <w:rFonts w:ascii="Times New Roman" w:hAnsi="Times New Roman" w:hint="eastAsia"/>
          <w:sz w:val="24"/>
          <w:szCs w:val="24"/>
        </w:rPr>
        <w:t>因此</w:t>
      </w:r>
      <w:r w:rsidR="00F670C8">
        <w:rPr>
          <w:rFonts w:ascii="Times New Roman" w:hAnsi="Times New Roman" w:hint="eastAsia"/>
          <w:sz w:val="24"/>
          <w:szCs w:val="24"/>
        </w:rPr>
        <w:t>易方达军工分级</w:t>
      </w:r>
      <w:r w:rsidR="00F670C8">
        <w:rPr>
          <w:rFonts w:ascii="Times New Roman" w:hAnsi="Times New Roman" w:hint="eastAsia"/>
          <w:sz w:val="24"/>
          <w:szCs w:val="24"/>
        </w:rPr>
        <w:t>A</w:t>
      </w:r>
      <w:r w:rsidR="00F670C8">
        <w:rPr>
          <w:rFonts w:ascii="Times New Roman" w:hAnsi="Times New Roman" w:hint="eastAsia"/>
          <w:sz w:val="24"/>
          <w:szCs w:val="24"/>
        </w:rPr>
        <w:t>类份额</w:t>
      </w:r>
      <w:r w:rsidR="00D73CFA" w:rsidRPr="006E08DA">
        <w:rPr>
          <w:rFonts w:ascii="Times New Roman" w:hAnsi="Times New Roman" w:hint="eastAsia"/>
          <w:sz w:val="24"/>
          <w:szCs w:val="24"/>
        </w:rPr>
        <w:t>持有人预期收益实现的不确定性将会增加。</w:t>
      </w:r>
    </w:p>
    <w:p w14:paraId="59A5F5FE" w14:textId="7ED74376" w:rsidR="009B1AB6" w:rsidRPr="006E08DA" w:rsidRDefault="00254B61" w:rsidP="009B1AB6">
      <w:pPr>
        <w:spacing w:line="360" w:lineRule="auto"/>
        <w:ind w:firstLineChars="200" w:firstLine="480"/>
        <w:rPr>
          <w:rFonts w:ascii="Times New Roman" w:hAnsi="Times New Roman"/>
          <w:sz w:val="24"/>
          <w:szCs w:val="24"/>
        </w:rPr>
      </w:pPr>
      <w:r>
        <w:rPr>
          <w:rFonts w:ascii="Times New Roman" w:hAnsi="Times New Roman"/>
          <w:sz w:val="24"/>
          <w:szCs w:val="24"/>
        </w:rPr>
        <w:t>4</w:t>
      </w:r>
      <w:r w:rsidR="009B1AB6" w:rsidRPr="006E08DA">
        <w:rPr>
          <w:rFonts w:ascii="Times New Roman" w:hAnsi="Times New Roman" w:hint="eastAsia"/>
          <w:sz w:val="24"/>
          <w:szCs w:val="24"/>
        </w:rPr>
        <w:t>、相对于</w:t>
      </w:r>
      <w:r w:rsidR="00F670C8">
        <w:rPr>
          <w:rFonts w:ascii="Times New Roman" w:hAnsi="Times New Roman" w:hint="eastAsia"/>
          <w:sz w:val="24"/>
          <w:szCs w:val="24"/>
        </w:rPr>
        <w:t>易方达军工分级份额</w:t>
      </w:r>
      <w:r w:rsidR="009B1AB6" w:rsidRPr="006E08DA">
        <w:rPr>
          <w:rFonts w:ascii="Times New Roman" w:hAnsi="Times New Roman" w:hint="eastAsia"/>
          <w:sz w:val="24"/>
          <w:szCs w:val="24"/>
        </w:rPr>
        <w:t>，</w:t>
      </w:r>
      <w:r w:rsidR="00F670C8">
        <w:rPr>
          <w:rFonts w:ascii="Times New Roman" w:hAnsi="Times New Roman" w:hint="eastAsia"/>
          <w:sz w:val="24"/>
          <w:szCs w:val="24"/>
        </w:rPr>
        <w:t>易方达军工分级</w:t>
      </w:r>
      <w:r w:rsidR="00F670C8">
        <w:rPr>
          <w:rFonts w:ascii="Times New Roman" w:hAnsi="Times New Roman" w:hint="eastAsia"/>
          <w:sz w:val="24"/>
          <w:szCs w:val="24"/>
        </w:rPr>
        <w:t>B</w:t>
      </w:r>
      <w:r w:rsidR="00F670C8">
        <w:rPr>
          <w:rFonts w:ascii="Times New Roman" w:hAnsi="Times New Roman" w:hint="eastAsia"/>
          <w:sz w:val="24"/>
          <w:szCs w:val="24"/>
        </w:rPr>
        <w:t>类份额</w:t>
      </w:r>
      <w:r w:rsidR="009B1AB6" w:rsidRPr="006E08DA">
        <w:rPr>
          <w:rFonts w:ascii="Times New Roman" w:hAnsi="Times New Roman" w:hint="eastAsia"/>
          <w:sz w:val="24"/>
          <w:szCs w:val="24"/>
        </w:rPr>
        <w:t>为预期风险、收益相对较高的子份额，但在不定期份额折算后，原</w:t>
      </w:r>
      <w:r w:rsidR="00F670C8">
        <w:rPr>
          <w:rFonts w:ascii="Times New Roman" w:hAnsi="Times New Roman" w:hint="eastAsia"/>
          <w:sz w:val="24"/>
          <w:szCs w:val="24"/>
        </w:rPr>
        <w:t>易方达军工分级</w:t>
      </w:r>
      <w:r w:rsidR="00F670C8">
        <w:rPr>
          <w:rFonts w:ascii="Times New Roman" w:hAnsi="Times New Roman" w:hint="eastAsia"/>
          <w:sz w:val="24"/>
          <w:szCs w:val="24"/>
        </w:rPr>
        <w:t>B</w:t>
      </w:r>
      <w:r w:rsidR="00F670C8">
        <w:rPr>
          <w:rFonts w:ascii="Times New Roman" w:hAnsi="Times New Roman" w:hint="eastAsia"/>
          <w:sz w:val="24"/>
          <w:szCs w:val="24"/>
        </w:rPr>
        <w:t>类份额</w:t>
      </w:r>
      <w:r w:rsidR="009B1AB6" w:rsidRPr="006E08DA">
        <w:rPr>
          <w:rFonts w:ascii="Times New Roman" w:hAnsi="Times New Roman" w:hint="eastAsia"/>
          <w:sz w:val="24"/>
          <w:szCs w:val="24"/>
        </w:rPr>
        <w:t>持有人将同时持有</w:t>
      </w:r>
      <w:r w:rsidR="00F670C8">
        <w:rPr>
          <w:rFonts w:ascii="Times New Roman" w:hAnsi="Times New Roman" w:hint="eastAsia"/>
          <w:sz w:val="24"/>
          <w:szCs w:val="24"/>
        </w:rPr>
        <w:t>易方达军工分级</w:t>
      </w:r>
      <w:r w:rsidR="00F670C8">
        <w:rPr>
          <w:rFonts w:ascii="Times New Roman" w:hAnsi="Times New Roman" w:hint="eastAsia"/>
          <w:sz w:val="24"/>
          <w:szCs w:val="24"/>
        </w:rPr>
        <w:t>B</w:t>
      </w:r>
      <w:r w:rsidR="00F670C8">
        <w:rPr>
          <w:rFonts w:ascii="Times New Roman" w:hAnsi="Times New Roman" w:hint="eastAsia"/>
          <w:sz w:val="24"/>
          <w:szCs w:val="24"/>
        </w:rPr>
        <w:t>类份额</w:t>
      </w:r>
      <w:r w:rsidR="009B1AB6" w:rsidRPr="006E08DA">
        <w:rPr>
          <w:rFonts w:ascii="Times New Roman" w:hAnsi="Times New Roman" w:hint="eastAsia"/>
          <w:sz w:val="24"/>
          <w:szCs w:val="24"/>
        </w:rPr>
        <w:t>与</w:t>
      </w:r>
      <w:r w:rsidR="00F670C8">
        <w:rPr>
          <w:rFonts w:ascii="Times New Roman" w:hAnsi="Times New Roman" w:hint="eastAsia"/>
          <w:sz w:val="24"/>
          <w:szCs w:val="24"/>
        </w:rPr>
        <w:t>易方达军工分级份额</w:t>
      </w:r>
      <w:r w:rsidR="009B1AB6" w:rsidRPr="006E08DA">
        <w:rPr>
          <w:rFonts w:ascii="Times New Roman" w:hAnsi="Times New Roman" w:hint="eastAsia"/>
          <w:sz w:val="24"/>
          <w:szCs w:val="24"/>
        </w:rPr>
        <w:t>，由持有单一的高风险收益特征份额变为同时持有高风险收益特征份额与较高风险收益特征份额的情况，风险收益特征将发生较大变化，且折算后其杠杆倍数将恢复到初始杠杆水平，高于折算前的杠杆倍数，相应地，</w:t>
      </w:r>
      <w:r w:rsidR="00F670C8">
        <w:rPr>
          <w:rFonts w:ascii="Times New Roman" w:hAnsi="Times New Roman" w:hint="eastAsia"/>
          <w:sz w:val="24"/>
          <w:szCs w:val="24"/>
        </w:rPr>
        <w:t>易方达军工分级</w:t>
      </w:r>
      <w:r w:rsidR="00F670C8">
        <w:rPr>
          <w:rFonts w:ascii="Times New Roman" w:hAnsi="Times New Roman" w:hint="eastAsia"/>
          <w:sz w:val="24"/>
          <w:szCs w:val="24"/>
        </w:rPr>
        <w:t>B</w:t>
      </w:r>
      <w:r w:rsidR="00F670C8">
        <w:rPr>
          <w:rFonts w:ascii="Times New Roman" w:hAnsi="Times New Roman" w:hint="eastAsia"/>
          <w:sz w:val="24"/>
          <w:szCs w:val="24"/>
        </w:rPr>
        <w:t>类份额</w:t>
      </w:r>
      <w:r w:rsidR="009B1AB6" w:rsidRPr="006E08DA">
        <w:rPr>
          <w:rFonts w:ascii="Times New Roman" w:hAnsi="Times New Roman" w:hint="eastAsia"/>
          <w:sz w:val="24"/>
          <w:szCs w:val="24"/>
        </w:rPr>
        <w:t>的基金份额参考净值随市场涨跌而增长或者下降的幅度也会大幅增加。</w:t>
      </w:r>
    </w:p>
    <w:p w14:paraId="41381529" w14:textId="03F3DB53" w:rsidR="00CB38B2" w:rsidRPr="006E08DA" w:rsidRDefault="00254B61" w:rsidP="00A635DB">
      <w:pPr>
        <w:spacing w:line="360" w:lineRule="auto"/>
        <w:ind w:firstLineChars="200" w:firstLine="480"/>
        <w:rPr>
          <w:rFonts w:ascii="Times New Roman" w:hAnsi="Times New Roman"/>
          <w:sz w:val="24"/>
          <w:szCs w:val="24"/>
        </w:rPr>
      </w:pPr>
      <w:r>
        <w:rPr>
          <w:rFonts w:ascii="Times New Roman" w:hAnsi="Times New Roman"/>
          <w:sz w:val="24"/>
          <w:szCs w:val="24"/>
        </w:rPr>
        <w:t>5</w:t>
      </w:r>
      <w:r w:rsidR="00CB38B2" w:rsidRPr="006E08DA">
        <w:rPr>
          <w:rFonts w:ascii="Times New Roman" w:hAnsi="Times New Roman" w:hint="eastAsia"/>
          <w:sz w:val="24"/>
          <w:szCs w:val="24"/>
        </w:rPr>
        <w:t>、</w:t>
      </w:r>
      <w:r w:rsidR="006413A9" w:rsidRPr="006413A9">
        <w:rPr>
          <w:rFonts w:ascii="Times New Roman" w:hAnsi="Times New Roman" w:hint="eastAsia"/>
          <w:sz w:val="24"/>
          <w:szCs w:val="24"/>
        </w:rPr>
        <w:t>场内</w:t>
      </w:r>
      <w:r w:rsidR="006413A9">
        <w:rPr>
          <w:rFonts w:ascii="Times New Roman" w:hAnsi="Times New Roman" w:hint="eastAsia"/>
          <w:sz w:val="24"/>
          <w:szCs w:val="24"/>
        </w:rPr>
        <w:t>易方达军工分级份额</w:t>
      </w:r>
      <w:r w:rsidR="006413A9" w:rsidRPr="006413A9">
        <w:rPr>
          <w:rFonts w:ascii="Times New Roman" w:hAnsi="Times New Roman" w:hint="eastAsia"/>
          <w:sz w:val="24"/>
          <w:szCs w:val="24"/>
        </w:rPr>
        <w:t>、</w:t>
      </w:r>
      <w:r w:rsidR="006413A9">
        <w:rPr>
          <w:rFonts w:ascii="Times New Roman" w:hAnsi="Times New Roman" w:hint="eastAsia"/>
          <w:sz w:val="24"/>
          <w:szCs w:val="24"/>
        </w:rPr>
        <w:t>易方达军工分级</w:t>
      </w:r>
      <w:r w:rsidR="006413A9">
        <w:rPr>
          <w:rFonts w:ascii="Times New Roman" w:hAnsi="Times New Roman" w:hint="eastAsia"/>
          <w:sz w:val="24"/>
          <w:szCs w:val="24"/>
        </w:rPr>
        <w:t>A</w:t>
      </w:r>
      <w:r w:rsidR="006413A9">
        <w:rPr>
          <w:rFonts w:ascii="Times New Roman" w:hAnsi="Times New Roman" w:hint="eastAsia"/>
          <w:sz w:val="24"/>
          <w:szCs w:val="24"/>
        </w:rPr>
        <w:t>类份额及易方达军工分级</w:t>
      </w:r>
      <w:r w:rsidR="006413A9">
        <w:rPr>
          <w:rFonts w:ascii="Times New Roman" w:hAnsi="Times New Roman"/>
          <w:sz w:val="24"/>
          <w:szCs w:val="24"/>
        </w:rPr>
        <w:t>B</w:t>
      </w:r>
      <w:r w:rsidR="006413A9">
        <w:rPr>
          <w:rFonts w:ascii="Times New Roman" w:hAnsi="Times New Roman" w:hint="eastAsia"/>
          <w:sz w:val="24"/>
          <w:szCs w:val="24"/>
        </w:rPr>
        <w:t>类份额</w:t>
      </w:r>
      <w:r w:rsidR="006413A9" w:rsidRPr="006413A9">
        <w:rPr>
          <w:rFonts w:ascii="Times New Roman" w:hAnsi="Times New Roman" w:hint="eastAsia"/>
          <w:sz w:val="24"/>
          <w:szCs w:val="24"/>
        </w:rPr>
        <w:t>经折算产生的新增场内</w:t>
      </w:r>
      <w:r w:rsidR="006413A9">
        <w:rPr>
          <w:rFonts w:ascii="Times New Roman" w:hAnsi="Times New Roman" w:hint="eastAsia"/>
          <w:sz w:val="24"/>
          <w:szCs w:val="24"/>
        </w:rPr>
        <w:t>易方达军工分级份额</w:t>
      </w:r>
      <w:r w:rsidR="006413A9" w:rsidRPr="006413A9">
        <w:rPr>
          <w:rFonts w:ascii="Times New Roman" w:hAnsi="Times New Roman" w:hint="eastAsia"/>
          <w:sz w:val="24"/>
          <w:szCs w:val="24"/>
        </w:rPr>
        <w:t>数保留至整数位（最小单位为</w:t>
      </w:r>
      <w:r w:rsidR="006413A9" w:rsidRPr="006413A9">
        <w:rPr>
          <w:rFonts w:ascii="Times New Roman" w:hAnsi="Times New Roman" w:hint="eastAsia"/>
          <w:sz w:val="24"/>
          <w:szCs w:val="24"/>
        </w:rPr>
        <w:t>1</w:t>
      </w:r>
      <w:r w:rsidR="006413A9" w:rsidRPr="006413A9">
        <w:rPr>
          <w:rFonts w:ascii="Times New Roman" w:hAnsi="Times New Roman" w:hint="eastAsia"/>
          <w:sz w:val="24"/>
          <w:szCs w:val="24"/>
        </w:rPr>
        <w:t>份），不足</w:t>
      </w:r>
      <w:r w:rsidR="006413A9" w:rsidRPr="006413A9">
        <w:rPr>
          <w:rFonts w:ascii="Times New Roman" w:hAnsi="Times New Roman" w:hint="eastAsia"/>
          <w:sz w:val="24"/>
          <w:szCs w:val="24"/>
        </w:rPr>
        <w:t>1</w:t>
      </w:r>
      <w:r w:rsidR="006413A9" w:rsidRPr="006413A9">
        <w:rPr>
          <w:rFonts w:ascii="Times New Roman" w:hAnsi="Times New Roman" w:hint="eastAsia"/>
          <w:sz w:val="24"/>
          <w:szCs w:val="24"/>
        </w:rPr>
        <w:t>份的零碎份加总后保留至整数位（最小单位为</w:t>
      </w:r>
      <w:r w:rsidR="006413A9" w:rsidRPr="006413A9">
        <w:rPr>
          <w:rFonts w:ascii="Times New Roman" w:hAnsi="Times New Roman" w:hint="eastAsia"/>
          <w:sz w:val="24"/>
          <w:szCs w:val="24"/>
        </w:rPr>
        <w:t>1</w:t>
      </w:r>
      <w:r w:rsidR="006413A9" w:rsidRPr="006413A9">
        <w:rPr>
          <w:rFonts w:ascii="Times New Roman" w:hAnsi="Times New Roman" w:hint="eastAsia"/>
          <w:sz w:val="24"/>
          <w:szCs w:val="24"/>
        </w:rPr>
        <w:t>份），按各个场内份额持有人零碎份从大到小的排序，依次向相应的基金份额持有人记增</w:t>
      </w:r>
      <w:r w:rsidR="006413A9" w:rsidRPr="006413A9">
        <w:rPr>
          <w:rFonts w:ascii="Times New Roman" w:hAnsi="Times New Roman" w:hint="eastAsia"/>
          <w:sz w:val="24"/>
          <w:szCs w:val="24"/>
        </w:rPr>
        <w:t>1</w:t>
      </w:r>
      <w:r w:rsidR="006413A9" w:rsidRPr="006413A9">
        <w:rPr>
          <w:rFonts w:ascii="Times New Roman" w:hAnsi="Times New Roman" w:hint="eastAsia"/>
          <w:sz w:val="24"/>
          <w:szCs w:val="24"/>
        </w:rPr>
        <w:t>份，直到所有零碎份的合计份额分配完毕。持有较少</w:t>
      </w:r>
      <w:r w:rsidR="006413A9">
        <w:rPr>
          <w:rFonts w:ascii="Times New Roman" w:hAnsi="Times New Roman" w:hint="eastAsia"/>
          <w:sz w:val="24"/>
          <w:szCs w:val="24"/>
        </w:rPr>
        <w:t>易方达军工分级</w:t>
      </w:r>
      <w:r w:rsidR="006413A9">
        <w:rPr>
          <w:rFonts w:ascii="Times New Roman" w:hAnsi="Times New Roman" w:hint="eastAsia"/>
          <w:sz w:val="24"/>
          <w:szCs w:val="24"/>
        </w:rPr>
        <w:t>A</w:t>
      </w:r>
      <w:r w:rsidR="006413A9">
        <w:rPr>
          <w:rFonts w:ascii="Times New Roman" w:hAnsi="Times New Roman" w:hint="eastAsia"/>
          <w:sz w:val="24"/>
          <w:szCs w:val="24"/>
        </w:rPr>
        <w:t>类份额</w:t>
      </w:r>
      <w:r w:rsidR="006413A9" w:rsidRPr="006413A9">
        <w:rPr>
          <w:rFonts w:ascii="Times New Roman" w:hAnsi="Times New Roman" w:hint="eastAsia"/>
          <w:sz w:val="24"/>
          <w:szCs w:val="24"/>
        </w:rPr>
        <w:t>数</w:t>
      </w:r>
      <w:r w:rsidR="00D31268">
        <w:rPr>
          <w:rFonts w:ascii="Times New Roman" w:hAnsi="Times New Roman" w:hint="eastAsia"/>
          <w:sz w:val="24"/>
          <w:szCs w:val="24"/>
        </w:rPr>
        <w:t>、易方达军工分级</w:t>
      </w:r>
      <w:r w:rsidR="00D31268">
        <w:rPr>
          <w:rFonts w:ascii="Times New Roman" w:hAnsi="Times New Roman"/>
          <w:sz w:val="24"/>
          <w:szCs w:val="24"/>
        </w:rPr>
        <w:t>B</w:t>
      </w:r>
      <w:r w:rsidR="00D31268">
        <w:rPr>
          <w:rFonts w:ascii="Times New Roman" w:hAnsi="Times New Roman" w:hint="eastAsia"/>
          <w:sz w:val="24"/>
          <w:szCs w:val="24"/>
        </w:rPr>
        <w:t>类份额数</w:t>
      </w:r>
      <w:r w:rsidR="006413A9" w:rsidRPr="006413A9">
        <w:rPr>
          <w:rFonts w:ascii="Times New Roman" w:hAnsi="Times New Roman" w:hint="eastAsia"/>
          <w:sz w:val="24"/>
          <w:szCs w:val="24"/>
        </w:rPr>
        <w:t>或场内</w:t>
      </w:r>
      <w:r w:rsidR="006413A9">
        <w:rPr>
          <w:rFonts w:ascii="Times New Roman" w:hAnsi="Times New Roman" w:hint="eastAsia"/>
          <w:sz w:val="24"/>
          <w:szCs w:val="24"/>
        </w:rPr>
        <w:t>易方达军工分级份额</w:t>
      </w:r>
      <w:r w:rsidR="006413A9" w:rsidRPr="006413A9">
        <w:rPr>
          <w:rFonts w:ascii="Times New Roman" w:hAnsi="Times New Roman" w:hint="eastAsia"/>
          <w:sz w:val="24"/>
          <w:szCs w:val="24"/>
        </w:rPr>
        <w:t>数的份额持有人存在无法获得新增场内</w:t>
      </w:r>
      <w:r w:rsidR="006413A9">
        <w:rPr>
          <w:rFonts w:ascii="Times New Roman" w:hAnsi="Times New Roman" w:hint="eastAsia"/>
          <w:sz w:val="24"/>
          <w:szCs w:val="24"/>
        </w:rPr>
        <w:t>易方达军工分级份额</w:t>
      </w:r>
      <w:r w:rsidR="006413A9" w:rsidRPr="006413A9">
        <w:rPr>
          <w:rFonts w:ascii="Times New Roman" w:hAnsi="Times New Roman" w:hint="eastAsia"/>
          <w:sz w:val="24"/>
          <w:szCs w:val="24"/>
        </w:rPr>
        <w:t>的可能性。</w:t>
      </w:r>
    </w:p>
    <w:p w14:paraId="1F90ACB3" w14:textId="3D31C1B0" w:rsidR="00052141" w:rsidRPr="006E08DA" w:rsidRDefault="00605C52" w:rsidP="00D73CFA">
      <w:pPr>
        <w:spacing w:line="360" w:lineRule="auto"/>
        <w:ind w:firstLineChars="200" w:firstLine="480"/>
        <w:rPr>
          <w:rFonts w:ascii="Times New Roman" w:hAnsi="Times New Roman"/>
          <w:sz w:val="24"/>
          <w:szCs w:val="24"/>
        </w:rPr>
      </w:pPr>
      <w:r>
        <w:rPr>
          <w:rFonts w:ascii="Times New Roman" w:hAnsi="Times New Roman"/>
          <w:sz w:val="24"/>
          <w:szCs w:val="24"/>
        </w:rPr>
        <w:t>6</w:t>
      </w:r>
      <w:r w:rsidR="00052141" w:rsidRPr="006E08DA">
        <w:rPr>
          <w:rFonts w:ascii="Times New Roman" w:hAnsi="Times New Roman" w:hint="eastAsia"/>
          <w:sz w:val="24"/>
          <w:szCs w:val="24"/>
        </w:rPr>
        <w:t>、</w:t>
      </w:r>
      <w:r w:rsidR="00254B61">
        <w:rPr>
          <w:rFonts w:ascii="Times New Roman" w:hAnsi="Times New Roman" w:hint="eastAsia"/>
          <w:sz w:val="24"/>
          <w:szCs w:val="24"/>
        </w:rPr>
        <w:t>在</w:t>
      </w:r>
      <w:r w:rsidR="006B3F8D" w:rsidRPr="006E08DA">
        <w:rPr>
          <w:rFonts w:ascii="Times New Roman" w:hAnsi="Times New Roman" w:hint="eastAsia"/>
          <w:sz w:val="24"/>
          <w:szCs w:val="24"/>
        </w:rPr>
        <w:t>二级市场可以做交易的证券公司并不全部具备中国证监会颁发的基金销售资格，而投资者只能通过具备基金销售资格的证券公司赎回基金份额。因此，如果投资者通过不具备基金销售资格的证券公司购买</w:t>
      </w:r>
      <w:r w:rsidR="00C175C9">
        <w:rPr>
          <w:rFonts w:ascii="Times New Roman" w:hAnsi="Times New Roman" w:hint="eastAsia"/>
          <w:sz w:val="24"/>
          <w:szCs w:val="24"/>
        </w:rPr>
        <w:t>场内</w:t>
      </w:r>
      <w:r w:rsidR="00F670C8">
        <w:rPr>
          <w:rFonts w:ascii="Times New Roman" w:hAnsi="Times New Roman" w:hint="eastAsia"/>
          <w:sz w:val="24"/>
          <w:szCs w:val="24"/>
        </w:rPr>
        <w:t>易方达军工分级份额</w:t>
      </w:r>
      <w:r w:rsidR="00C175C9">
        <w:rPr>
          <w:rFonts w:ascii="Times New Roman" w:hAnsi="Times New Roman" w:hint="eastAsia"/>
          <w:sz w:val="24"/>
          <w:szCs w:val="24"/>
        </w:rPr>
        <w:t>、</w:t>
      </w:r>
      <w:r w:rsidR="00F670C8">
        <w:rPr>
          <w:rFonts w:ascii="Times New Roman" w:hAnsi="Times New Roman" w:hint="eastAsia"/>
          <w:sz w:val="24"/>
          <w:szCs w:val="24"/>
        </w:rPr>
        <w:t>易方达军工分级</w:t>
      </w:r>
      <w:r w:rsidR="00F670C8">
        <w:rPr>
          <w:rFonts w:ascii="Times New Roman" w:hAnsi="Times New Roman" w:hint="eastAsia"/>
          <w:sz w:val="24"/>
          <w:szCs w:val="24"/>
        </w:rPr>
        <w:t>A</w:t>
      </w:r>
      <w:r w:rsidR="00F670C8">
        <w:rPr>
          <w:rFonts w:ascii="Times New Roman" w:hAnsi="Times New Roman" w:hint="eastAsia"/>
          <w:sz w:val="24"/>
          <w:szCs w:val="24"/>
        </w:rPr>
        <w:t>类份额</w:t>
      </w:r>
      <w:r w:rsidR="00DD693D">
        <w:rPr>
          <w:rFonts w:ascii="Times New Roman" w:hAnsi="Times New Roman" w:hint="eastAsia"/>
          <w:sz w:val="24"/>
          <w:szCs w:val="24"/>
        </w:rPr>
        <w:t>、</w:t>
      </w:r>
      <w:r w:rsidR="00F670C8">
        <w:rPr>
          <w:rFonts w:ascii="Times New Roman" w:hAnsi="Times New Roman" w:hint="eastAsia"/>
          <w:sz w:val="24"/>
          <w:szCs w:val="24"/>
        </w:rPr>
        <w:t>易方达军工分级</w:t>
      </w:r>
      <w:r w:rsidR="00F670C8">
        <w:rPr>
          <w:rFonts w:ascii="Times New Roman" w:hAnsi="Times New Roman" w:hint="eastAsia"/>
          <w:sz w:val="24"/>
          <w:szCs w:val="24"/>
        </w:rPr>
        <w:t>B</w:t>
      </w:r>
      <w:r w:rsidR="00F670C8">
        <w:rPr>
          <w:rFonts w:ascii="Times New Roman" w:hAnsi="Times New Roman" w:hint="eastAsia"/>
          <w:sz w:val="24"/>
          <w:szCs w:val="24"/>
        </w:rPr>
        <w:t>类份额</w:t>
      </w:r>
      <w:r w:rsidR="006B3F8D" w:rsidRPr="006E08DA">
        <w:rPr>
          <w:rFonts w:ascii="Times New Roman" w:hAnsi="Times New Roman" w:hint="eastAsia"/>
          <w:sz w:val="24"/>
          <w:szCs w:val="24"/>
        </w:rPr>
        <w:t>，在不定期份额折算后，则折算新增的</w:t>
      </w:r>
      <w:r w:rsidR="00F670C8">
        <w:rPr>
          <w:rFonts w:ascii="Times New Roman" w:hAnsi="Times New Roman" w:hint="eastAsia"/>
          <w:sz w:val="24"/>
          <w:szCs w:val="24"/>
        </w:rPr>
        <w:t>易方达军工分级份额</w:t>
      </w:r>
      <w:r w:rsidR="006B3F8D" w:rsidRPr="006E08DA">
        <w:rPr>
          <w:rFonts w:ascii="Times New Roman" w:hAnsi="Times New Roman" w:hint="eastAsia"/>
          <w:sz w:val="24"/>
          <w:szCs w:val="24"/>
        </w:rPr>
        <w:t>无法赎回。投资者可以选择在折算前将</w:t>
      </w:r>
      <w:r w:rsidR="00C175C9">
        <w:rPr>
          <w:rFonts w:ascii="Times New Roman" w:hAnsi="Times New Roman" w:hint="eastAsia"/>
          <w:sz w:val="24"/>
          <w:szCs w:val="24"/>
        </w:rPr>
        <w:t>场内</w:t>
      </w:r>
      <w:r w:rsidR="00F670C8">
        <w:rPr>
          <w:rFonts w:ascii="Times New Roman" w:hAnsi="Times New Roman" w:hint="eastAsia"/>
          <w:sz w:val="24"/>
          <w:szCs w:val="24"/>
        </w:rPr>
        <w:t>易方达军工分级份额</w:t>
      </w:r>
      <w:r w:rsidR="00C175C9">
        <w:rPr>
          <w:rFonts w:ascii="Times New Roman" w:hAnsi="Times New Roman" w:hint="eastAsia"/>
          <w:sz w:val="24"/>
          <w:szCs w:val="24"/>
        </w:rPr>
        <w:t>、</w:t>
      </w:r>
      <w:r w:rsidR="00F670C8">
        <w:rPr>
          <w:rFonts w:ascii="Times New Roman" w:hAnsi="Times New Roman" w:hint="eastAsia"/>
          <w:sz w:val="24"/>
          <w:szCs w:val="24"/>
        </w:rPr>
        <w:t>易方达军工分级</w:t>
      </w:r>
      <w:r w:rsidR="00F670C8">
        <w:rPr>
          <w:rFonts w:ascii="Times New Roman" w:hAnsi="Times New Roman" w:hint="eastAsia"/>
          <w:sz w:val="24"/>
          <w:szCs w:val="24"/>
        </w:rPr>
        <w:t>A</w:t>
      </w:r>
      <w:r w:rsidR="00F670C8">
        <w:rPr>
          <w:rFonts w:ascii="Times New Roman" w:hAnsi="Times New Roman" w:hint="eastAsia"/>
          <w:sz w:val="24"/>
          <w:szCs w:val="24"/>
        </w:rPr>
        <w:t>类份额</w:t>
      </w:r>
      <w:r w:rsidR="00DD693D">
        <w:rPr>
          <w:rFonts w:ascii="Times New Roman" w:hAnsi="Times New Roman" w:hint="eastAsia"/>
          <w:sz w:val="24"/>
          <w:szCs w:val="24"/>
        </w:rPr>
        <w:t>、</w:t>
      </w:r>
      <w:r w:rsidR="00F670C8">
        <w:rPr>
          <w:rFonts w:ascii="Times New Roman" w:hAnsi="Times New Roman" w:hint="eastAsia"/>
          <w:sz w:val="24"/>
          <w:szCs w:val="24"/>
        </w:rPr>
        <w:t>易方达军工分级</w:t>
      </w:r>
      <w:r w:rsidR="00F670C8">
        <w:rPr>
          <w:rFonts w:ascii="Times New Roman" w:hAnsi="Times New Roman" w:hint="eastAsia"/>
          <w:sz w:val="24"/>
          <w:szCs w:val="24"/>
        </w:rPr>
        <w:t>B</w:t>
      </w:r>
      <w:r w:rsidR="00F670C8">
        <w:rPr>
          <w:rFonts w:ascii="Times New Roman" w:hAnsi="Times New Roman" w:hint="eastAsia"/>
          <w:sz w:val="24"/>
          <w:szCs w:val="24"/>
        </w:rPr>
        <w:t>类份额</w:t>
      </w:r>
      <w:r w:rsidR="006B3F8D" w:rsidRPr="006E08DA">
        <w:rPr>
          <w:rFonts w:ascii="Times New Roman" w:hAnsi="Times New Roman" w:hint="eastAsia"/>
          <w:sz w:val="24"/>
          <w:szCs w:val="24"/>
        </w:rPr>
        <w:t>卖出，</w:t>
      </w:r>
      <w:r w:rsidR="006B3F8D" w:rsidRPr="006E08DA">
        <w:rPr>
          <w:rFonts w:ascii="Times New Roman" w:hAnsi="Times New Roman" w:hint="eastAsia"/>
          <w:sz w:val="24"/>
          <w:szCs w:val="24"/>
        </w:rPr>
        <w:lastRenderedPageBreak/>
        <w:t>或者在折算后将新增的</w:t>
      </w:r>
      <w:r w:rsidR="00F670C8">
        <w:rPr>
          <w:rFonts w:ascii="Times New Roman" w:hAnsi="Times New Roman" w:hint="eastAsia"/>
          <w:sz w:val="24"/>
          <w:szCs w:val="24"/>
        </w:rPr>
        <w:t>易方达军工分级份额</w:t>
      </w:r>
      <w:r w:rsidR="006B3F8D" w:rsidRPr="006E08DA">
        <w:rPr>
          <w:rFonts w:ascii="Times New Roman" w:hAnsi="Times New Roman" w:hint="eastAsia"/>
          <w:sz w:val="24"/>
          <w:szCs w:val="24"/>
        </w:rPr>
        <w:t>转托管到具有基金销售资格的证券公司后赎回</w:t>
      </w:r>
      <w:r w:rsidR="003B1BE7" w:rsidRPr="00704BAD">
        <w:rPr>
          <w:rFonts w:ascii="Times New Roman" w:hAnsi="Times New Roman" w:hint="eastAsia"/>
          <w:color w:val="000000"/>
          <w:sz w:val="24"/>
          <w:szCs w:val="24"/>
        </w:rPr>
        <w:t>，或者选择在二级市场卖出</w:t>
      </w:r>
      <w:r w:rsidR="006B3F8D" w:rsidRPr="006E08DA">
        <w:rPr>
          <w:rFonts w:ascii="Times New Roman" w:hAnsi="Times New Roman" w:hint="eastAsia"/>
          <w:sz w:val="24"/>
          <w:szCs w:val="24"/>
        </w:rPr>
        <w:t>。</w:t>
      </w:r>
    </w:p>
    <w:p w14:paraId="43295291" w14:textId="371D2787" w:rsidR="00826094" w:rsidRDefault="00605C52" w:rsidP="00A635DB">
      <w:pPr>
        <w:spacing w:line="360" w:lineRule="auto"/>
        <w:ind w:firstLineChars="200" w:firstLine="480"/>
        <w:rPr>
          <w:sz w:val="24"/>
        </w:rPr>
      </w:pPr>
      <w:r>
        <w:rPr>
          <w:rFonts w:ascii="宋体" w:hAnsi="宋体"/>
          <w:sz w:val="24"/>
        </w:rPr>
        <w:t>7</w:t>
      </w:r>
      <w:r w:rsidR="00826094" w:rsidRPr="00B40D65">
        <w:rPr>
          <w:rFonts w:ascii="宋体" w:hAnsi="宋体" w:hint="eastAsia"/>
          <w:sz w:val="24"/>
        </w:rPr>
        <w:t>、</w:t>
      </w:r>
      <w:r w:rsidR="00A635DB" w:rsidRPr="00BB2236">
        <w:rPr>
          <w:rFonts w:ascii="宋体" w:hAnsi="宋体" w:hint="eastAsia"/>
          <w:kern w:val="0"/>
          <w:sz w:val="24"/>
          <w:szCs w:val="24"/>
        </w:rPr>
        <w:t>根据《关于规范金融机构资产管理业务的指导意见》（以下简称《资管新规》）要求，公募产品不得进行份额分级，应在《资管新规》规定的过渡期结束前（即2020年12月31日前）进行整改规范，请投资者关注相关风险以及基金管理人届时发布的相关公告。</w:t>
      </w:r>
    </w:p>
    <w:p w14:paraId="23516D5A" w14:textId="573BAE26" w:rsidR="00826094" w:rsidRPr="005131FA" w:rsidRDefault="00605C52" w:rsidP="00826094">
      <w:pPr>
        <w:spacing w:line="360" w:lineRule="auto"/>
        <w:ind w:firstLineChars="200" w:firstLine="480"/>
        <w:rPr>
          <w:sz w:val="24"/>
        </w:rPr>
      </w:pPr>
      <w:r>
        <w:rPr>
          <w:sz w:val="24"/>
        </w:rPr>
        <w:t>8</w:t>
      </w:r>
      <w:r w:rsidR="00826094">
        <w:rPr>
          <w:rFonts w:hint="eastAsia"/>
          <w:sz w:val="24"/>
        </w:rPr>
        <w:t>、</w:t>
      </w:r>
      <w:r w:rsidR="00826094" w:rsidRPr="005131FA">
        <w:rPr>
          <w:sz w:val="24"/>
        </w:rPr>
        <w:t>投资者欲了解本基金</w:t>
      </w:r>
      <w:r w:rsidR="00254B61">
        <w:rPr>
          <w:sz w:val="24"/>
        </w:rPr>
        <w:t>不</w:t>
      </w:r>
      <w:r w:rsidR="00826094" w:rsidRPr="005131FA">
        <w:rPr>
          <w:sz w:val="24"/>
        </w:rPr>
        <w:t>定期份额折算业务详情，请登陆本公司网站：</w:t>
      </w:r>
      <w:hyperlink r:id="rId43" w:history="1">
        <w:r w:rsidR="00826094" w:rsidRPr="005131FA">
          <w:rPr>
            <w:sz w:val="24"/>
          </w:rPr>
          <w:t>www.efunds.com.cn</w:t>
        </w:r>
        <w:r w:rsidR="00826094" w:rsidRPr="005131FA">
          <w:rPr>
            <w:sz w:val="24"/>
          </w:rPr>
          <w:t>或者拨打本公司客服电话：</w:t>
        </w:r>
        <w:r w:rsidR="00826094" w:rsidRPr="005131FA">
          <w:rPr>
            <w:sz w:val="24"/>
          </w:rPr>
          <w:t>400</w:t>
        </w:r>
      </w:hyperlink>
      <w:r w:rsidR="00826094" w:rsidRPr="005131FA">
        <w:rPr>
          <w:sz w:val="24"/>
        </w:rPr>
        <w:t>8818088</w:t>
      </w:r>
      <w:r w:rsidR="00826094" w:rsidRPr="005131FA">
        <w:rPr>
          <w:sz w:val="24"/>
        </w:rPr>
        <w:t>（免长途话费）。</w:t>
      </w:r>
    </w:p>
    <w:p w14:paraId="05DCE606" w14:textId="0FB6358D" w:rsidR="00826094" w:rsidRDefault="00A635DB" w:rsidP="00826094">
      <w:pPr>
        <w:spacing w:line="360" w:lineRule="auto"/>
        <w:ind w:firstLineChars="200" w:firstLine="480"/>
        <w:rPr>
          <w:sz w:val="24"/>
          <w:szCs w:val="24"/>
        </w:rPr>
      </w:pPr>
      <w:r w:rsidRPr="00BB2236">
        <w:rPr>
          <w:rFonts w:ascii="宋体" w:hAnsi="宋体" w:hint="eastAsia"/>
          <w:sz w:val="24"/>
          <w:szCs w:val="24"/>
        </w:rPr>
        <w:t>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和招募说明书（更新）等基金法律文件，全面认识基金产品的风险收益特征，在了解产品情况及听取销售机构适当性意见的基础上，根据自身的风险承受能力、投资期限和投资目标，对基金投资作出独立决策，选择合适的基金产品。基金管理人提醒投资者基金投资的“买者自负”原则，在投资者作出投资决策后，基金运营状况与基金净值变化引致的投资风险，由投资者自行负责。</w:t>
      </w:r>
    </w:p>
    <w:p w14:paraId="06711CDF" w14:textId="77777777" w:rsidR="00CB38B2" w:rsidRPr="006E08DA" w:rsidRDefault="00826094" w:rsidP="00826094">
      <w:pPr>
        <w:spacing w:line="360" w:lineRule="auto"/>
        <w:ind w:firstLineChars="200" w:firstLine="480"/>
        <w:rPr>
          <w:rFonts w:ascii="Times New Roman" w:hAnsi="Times New Roman"/>
          <w:sz w:val="24"/>
          <w:szCs w:val="24"/>
        </w:rPr>
      </w:pPr>
      <w:r w:rsidRPr="005131FA">
        <w:rPr>
          <w:sz w:val="24"/>
          <w:szCs w:val="24"/>
        </w:rPr>
        <w:t>敬请投资者注意投资风险。</w:t>
      </w:r>
    </w:p>
    <w:p w14:paraId="3C6D3C54" w14:textId="77777777" w:rsidR="00685A18" w:rsidRPr="006E08DA" w:rsidRDefault="00685A18" w:rsidP="00CB38B2">
      <w:pPr>
        <w:spacing w:line="360" w:lineRule="auto"/>
        <w:ind w:firstLineChars="200" w:firstLine="480"/>
        <w:rPr>
          <w:rFonts w:ascii="Times New Roman" w:hAnsi="Times New Roman"/>
          <w:sz w:val="24"/>
          <w:szCs w:val="24"/>
        </w:rPr>
      </w:pPr>
    </w:p>
    <w:p w14:paraId="45B02786" w14:textId="77777777" w:rsidR="00CB38B2" w:rsidRPr="006E08DA" w:rsidRDefault="00CB38B2" w:rsidP="002F1B38">
      <w:pPr>
        <w:spacing w:line="360" w:lineRule="auto"/>
        <w:ind w:firstLineChars="200" w:firstLine="480"/>
        <w:jc w:val="left"/>
        <w:rPr>
          <w:rFonts w:ascii="Times New Roman" w:hAnsi="Times New Roman"/>
          <w:sz w:val="24"/>
          <w:szCs w:val="24"/>
        </w:rPr>
      </w:pPr>
      <w:r w:rsidRPr="006E08DA">
        <w:rPr>
          <w:rFonts w:ascii="Times New Roman" w:hAnsi="Times New Roman" w:hint="eastAsia"/>
          <w:sz w:val="24"/>
          <w:szCs w:val="24"/>
        </w:rPr>
        <w:t>特此公告。</w:t>
      </w:r>
    </w:p>
    <w:p w14:paraId="11E924B0" w14:textId="77777777" w:rsidR="00BA64B5" w:rsidRPr="006E08DA" w:rsidRDefault="00BA64B5" w:rsidP="00BA64B5">
      <w:pPr>
        <w:spacing w:line="360" w:lineRule="auto"/>
        <w:ind w:firstLineChars="200" w:firstLine="480"/>
        <w:jc w:val="right"/>
        <w:rPr>
          <w:rFonts w:ascii="Times New Roman" w:hAnsi="Times New Roman"/>
          <w:sz w:val="24"/>
          <w:szCs w:val="24"/>
        </w:rPr>
      </w:pPr>
    </w:p>
    <w:p w14:paraId="4FE76902" w14:textId="77777777" w:rsidR="00CB38B2" w:rsidRPr="00F663C2" w:rsidRDefault="00BA64B5" w:rsidP="00BA64B5">
      <w:pPr>
        <w:spacing w:line="360" w:lineRule="auto"/>
        <w:ind w:firstLineChars="200" w:firstLine="480"/>
        <w:jc w:val="right"/>
        <w:rPr>
          <w:rFonts w:ascii="Times New Roman" w:hAnsi="Times New Roman"/>
          <w:sz w:val="24"/>
          <w:szCs w:val="24"/>
        </w:rPr>
      </w:pPr>
      <w:r w:rsidRPr="00F663C2">
        <w:rPr>
          <w:rFonts w:ascii="Times New Roman" w:hAnsi="Times New Roman" w:hint="eastAsia"/>
          <w:sz w:val="24"/>
          <w:szCs w:val="24"/>
        </w:rPr>
        <w:t>易方达</w:t>
      </w:r>
      <w:r w:rsidR="00CB38B2" w:rsidRPr="00F663C2">
        <w:rPr>
          <w:rFonts w:ascii="Times New Roman" w:hAnsi="Times New Roman" w:hint="eastAsia"/>
          <w:sz w:val="24"/>
          <w:szCs w:val="24"/>
        </w:rPr>
        <w:t>基金管理有限公司</w:t>
      </w:r>
    </w:p>
    <w:p w14:paraId="7BB45168" w14:textId="61AC374C" w:rsidR="00827272" w:rsidRPr="006E08DA" w:rsidRDefault="006F7629" w:rsidP="00637454">
      <w:pPr>
        <w:spacing w:line="360" w:lineRule="auto"/>
        <w:ind w:firstLineChars="200" w:firstLine="480"/>
        <w:jc w:val="right"/>
        <w:rPr>
          <w:rFonts w:ascii="Times New Roman" w:hAnsi="Times New Roman"/>
          <w:sz w:val="24"/>
          <w:szCs w:val="24"/>
        </w:rPr>
      </w:pPr>
      <w:r>
        <w:rPr>
          <w:rFonts w:ascii="Times New Roman" w:hAnsi="Times New Roman"/>
          <w:sz w:val="24"/>
          <w:szCs w:val="24"/>
        </w:rPr>
        <w:t>2020</w:t>
      </w:r>
      <w:r>
        <w:rPr>
          <w:rFonts w:ascii="Times New Roman" w:hAnsi="Times New Roman"/>
          <w:sz w:val="24"/>
          <w:szCs w:val="24"/>
        </w:rPr>
        <w:t>年</w:t>
      </w:r>
      <w:r>
        <w:rPr>
          <w:rFonts w:ascii="Times New Roman" w:hAnsi="Times New Roman"/>
          <w:sz w:val="24"/>
          <w:szCs w:val="24"/>
        </w:rPr>
        <w:t>7</w:t>
      </w:r>
      <w:r>
        <w:rPr>
          <w:rFonts w:ascii="Times New Roman" w:hAnsi="Times New Roman"/>
          <w:sz w:val="24"/>
          <w:szCs w:val="24"/>
        </w:rPr>
        <w:t>月</w:t>
      </w:r>
      <w:r>
        <w:rPr>
          <w:rFonts w:ascii="Times New Roman" w:hAnsi="Times New Roman"/>
          <w:sz w:val="24"/>
          <w:szCs w:val="24"/>
        </w:rPr>
        <w:t>7</w:t>
      </w:r>
      <w:r>
        <w:rPr>
          <w:rFonts w:ascii="Times New Roman" w:hAnsi="Times New Roman"/>
          <w:sz w:val="24"/>
          <w:szCs w:val="24"/>
        </w:rPr>
        <w:t>日</w:t>
      </w:r>
      <w:bookmarkEnd w:id="1"/>
    </w:p>
    <w:sectPr w:rsidR="00827272" w:rsidRPr="006E08DA" w:rsidSect="007348E7">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0CA5E4" w14:textId="77777777" w:rsidR="00113949" w:rsidRDefault="00113949" w:rsidP="00D40F10">
      <w:r>
        <w:separator/>
      </w:r>
    </w:p>
  </w:endnote>
  <w:endnote w:type="continuationSeparator" w:id="0">
    <w:p w14:paraId="20EB53D4" w14:textId="77777777" w:rsidR="00113949" w:rsidRDefault="00113949" w:rsidP="00D40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B492D" w14:textId="77777777" w:rsidR="00113949" w:rsidRDefault="00113949" w:rsidP="00D40F10">
      <w:r>
        <w:separator/>
      </w:r>
    </w:p>
  </w:footnote>
  <w:footnote w:type="continuationSeparator" w:id="0">
    <w:p w14:paraId="13DF9260" w14:textId="77777777" w:rsidR="00113949" w:rsidRDefault="00113949" w:rsidP="00D40F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34482"/>
    <w:multiLevelType w:val="hybridMultilevel"/>
    <w:tmpl w:val="0422CFE8"/>
    <w:lvl w:ilvl="0" w:tplc="50AEBA0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 w15:restartNumberingAfterBreak="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4"/>
      <w:suff w:val="nothing"/>
      <w:lvlText w:val=""/>
      <w:lvlJc w:val="left"/>
      <w:pPr>
        <w:ind w:left="851" w:firstLine="0"/>
      </w:pPr>
      <w:rPr>
        <w:rFonts w:hint="eastAsia"/>
      </w:rPr>
    </w:lvl>
    <w:lvl w:ilvl="4">
      <w:start w:val="1"/>
      <w:numFmt w:val="none"/>
      <w:pStyle w:val="5"/>
      <w:suff w:val="nothing"/>
      <w:lvlText w:val=""/>
      <w:lvlJc w:val="left"/>
      <w:pPr>
        <w:ind w:left="851" w:firstLine="0"/>
      </w:pPr>
      <w:rPr>
        <w:rFonts w:hint="eastAsia"/>
      </w:rPr>
    </w:lvl>
    <w:lvl w:ilvl="5">
      <w:start w:val="1"/>
      <w:numFmt w:val="none"/>
      <w:pStyle w:val="6"/>
      <w:suff w:val="nothing"/>
      <w:lvlText w:val=""/>
      <w:lvlJc w:val="left"/>
      <w:pPr>
        <w:ind w:left="851" w:firstLine="0"/>
      </w:pPr>
      <w:rPr>
        <w:rFonts w:hint="eastAsia"/>
      </w:rPr>
    </w:lvl>
    <w:lvl w:ilvl="6">
      <w:start w:val="1"/>
      <w:numFmt w:val="none"/>
      <w:pStyle w:val="7"/>
      <w:suff w:val="nothing"/>
      <w:lvlText w:val=""/>
      <w:lvlJc w:val="left"/>
      <w:pPr>
        <w:ind w:left="851" w:firstLine="0"/>
      </w:pPr>
      <w:rPr>
        <w:rFonts w:hint="eastAsia"/>
      </w:rPr>
    </w:lvl>
    <w:lvl w:ilvl="7">
      <w:start w:val="1"/>
      <w:numFmt w:val="none"/>
      <w:pStyle w:val="8"/>
      <w:suff w:val="nothing"/>
      <w:lvlText w:val=""/>
      <w:lvlJc w:val="left"/>
      <w:pPr>
        <w:ind w:left="851" w:firstLine="0"/>
      </w:pPr>
      <w:rPr>
        <w:rFonts w:hint="eastAsia"/>
      </w:rPr>
    </w:lvl>
    <w:lvl w:ilvl="8">
      <w:start w:val="1"/>
      <w:numFmt w:val="none"/>
      <w:pStyle w:val="9"/>
      <w:suff w:val="nothing"/>
      <w:lvlText w:val=""/>
      <w:lvlJc w:val="left"/>
      <w:pPr>
        <w:ind w:left="851" w:firstLine="0"/>
      </w:pPr>
      <w:rPr>
        <w:rFonts w:hint="eastAsia"/>
      </w:rPr>
    </w:lvl>
  </w:abstractNum>
  <w:abstractNum w:abstractNumId="3" w15:restartNumberingAfterBreak="0">
    <w:nsid w:val="4B385D0F"/>
    <w:multiLevelType w:val="hybridMultilevel"/>
    <w:tmpl w:val="36E8BDCC"/>
    <w:lvl w:ilvl="0" w:tplc="D3AE76CE">
      <w:start w:val="1"/>
      <w:numFmt w:val="japaneseCounting"/>
      <w:lvlText w:val="（%1）"/>
      <w:lvlJc w:val="left"/>
      <w:pPr>
        <w:tabs>
          <w:tab w:val="num" w:pos="720"/>
        </w:tabs>
        <w:ind w:left="720" w:hanging="720"/>
      </w:pPr>
      <w:rPr>
        <w:rFonts w:hint="eastAsia"/>
      </w:rPr>
    </w:lvl>
    <w:lvl w:ilvl="1" w:tplc="AD0419C8">
      <w:start w:val="1"/>
      <w:numFmt w:val="decimal"/>
      <w:pStyle w:val="CharCharCharCharCharCharChar"/>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58267840"/>
    <w:multiLevelType w:val="hybridMultilevel"/>
    <w:tmpl w:val="8D44D532"/>
    <w:lvl w:ilvl="0" w:tplc="FA0C5D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1DE3CEF"/>
    <w:multiLevelType w:val="hybridMultilevel"/>
    <w:tmpl w:val="A9F6D406"/>
    <w:lvl w:ilvl="0" w:tplc="AA46DAC0">
      <w:start w:val="1"/>
      <w:numFmt w:val="chineseCountingThousand"/>
      <w:lvlText w:val="%1、"/>
      <w:lvlJc w:val="left"/>
      <w:pPr>
        <w:ind w:left="420" w:hanging="420"/>
      </w:pPr>
      <w:rPr>
        <w:rFonts w:ascii="黑体" w:eastAsia="黑体" w:hint="eastAsia"/>
        <w:sz w:val="32"/>
        <w:szCs w:val="32"/>
        <w:lang w:val="en-US"/>
      </w:rPr>
    </w:lvl>
    <w:lvl w:ilvl="1" w:tplc="04090003">
      <w:start w:val="1"/>
      <w:numFmt w:val="japaneseCounting"/>
      <w:lvlText w:val="（%2）"/>
      <w:lvlJc w:val="left"/>
      <w:pPr>
        <w:ind w:left="1275" w:hanging="855"/>
      </w:pPr>
      <w:rPr>
        <w:rFonts w:hint="default"/>
        <w:sz w:val="28"/>
        <w:szCs w:val="28"/>
      </w:rPr>
    </w:lvl>
    <w:lvl w:ilvl="2" w:tplc="36966DBE">
      <w:start w:val="1"/>
      <w:numFmt w:val="decimal"/>
      <w:lvlText w:val="%3."/>
      <w:lvlJc w:val="left"/>
      <w:pPr>
        <w:ind w:left="1575" w:hanging="735"/>
      </w:pPr>
      <w:rPr>
        <w:rFonts w:hint="default"/>
      </w:r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6" w15:restartNumberingAfterBreak="0">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7" w15:restartNumberingAfterBreak="0">
    <w:nsid w:val="6FE147B6"/>
    <w:multiLevelType w:val="singleLevel"/>
    <w:tmpl w:val="5DAA9A04"/>
    <w:lvl w:ilvl="0">
      <w:start w:val="1"/>
      <w:numFmt w:val="decimal"/>
      <w:pStyle w:val="2"/>
      <w:lvlText w:val="(%1)"/>
      <w:lvlJc w:val="left"/>
      <w:pPr>
        <w:tabs>
          <w:tab w:val="num" w:pos="360"/>
        </w:tabs>
        <w:ind w:left="0" w:firstLine="0"/>
      </w:pPr>
      <w:rPr>
        <w:rFonts w:hint="eastAsia"/>
      </w:rPr>
    </w:lvl>
  </w:abstractNum>
  <w:num w:numId="1">
    <w:abstractNumId w:val="4"/>
  </w:num>
  <w:num w:numId="2">
    <w:abstractNumId w:val="1"/>
  </w:num>
  <w:num w:numId="3">
    <w:abstractNumId w:val="2"/>
  </w:num>
  <w:num w:numId="4">
    <w:abstractNumId w:val="6"/>
  </w:num>
  <w:num w:numId="5">
    <w:abstractNumId w:val="3"/>
  </w:num>
  <w:num w:numId="6">
    <w:abstractNumId w:val="7"/>
  </w:num>
  <w:num w:numId="7">
    <w:abstractNumId w:val="5"/>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F10"/>
    <w:rsid w:val="0000223F"/>
    <w:rsid w:val="0000261D"/>
    <w:rsid w:val="00002B9C"/>
    <w:rsid w:val="00003058"/>
    <w:rsid w:val="00003074"/>
    <w:rsid w:val="00003295"/>
    <w:rsid w:val="000036AF"/>
    <w:rsid w:val="00003B57"/>
    <w:rsid w:val="00003C3D"/>
    <w:rsid w:val="00003C8C"/>
    <w:rsid w:val="00004CCB"/>
    <w:rsid w:val="00004E36"/>
    <w:rsid w:val="000051A1"/>
    <w:rsid w:val="0001052A"/>
    <w:rsid w:val="00010DA6"/>
    <w:rsid w:val="00011765"/>
    <w:rsid w:val="00012B57"/>
    <w:rsid w:val="0001365C"/>
    <w:rsid w:val="000140E3"/>
    <w:rsid w:val="000145D0"/>
    <w:rsid w:val="0001471B"/>
    <w:rsid w:val="00014C16"/>
    <w:rsid w:val="00014EF2"/>
    <w:rsid w:val="000155F6"/>
    <w:rsid w:val="00015BD2"/>
    <w:rsid w:val="00016520"/>
    <w:rsid w:val="000166A2"/>
    <w:rsid w:val="00020C57"/>
    <w:rsid w:val="00021C8E"/>
    <w:rsid w:val="00021EA4"/>
    <w:rsid w:val="000222BF"/>
    <w:rsid w:val="00022483"/>
    <w:rsid w:val="00022745"/>
    <w:rsid w:val="0002372F"/>
    <w:rsid w:val="0002398F"/>
    <w:rsid w:val="00023E84"/>
    <w:rsid w:val="0002420B"/>
    <w:rsid w:val="000249D2"/>
    <w:rsid w:val="00024D9A"/>
    <w:rsid w:val="00025E69"/>
    <w:rsid w:val="000272D6"/>
    <w:rsid w:val="00027835"/>
    <w:rsid w:val="000313C4"/>
    <w:rsid w:val="0003168F"/>
    <w:rsid w:val="00034091"/>
    <w:rsid w:val="0003458D"/>
    <w:rsid w:val="00034F14"/>
    <w:rsid w:val="00036602"/>
    <w:rsid w:val="00036F74"/>
    <w:rsid w:val="0003701B"/>
    <w:rsid w:val="00037F91"/>
    <w:rsid w:val="00040D4B"/>
    <w:rsid w:val="00040DFC"/>
    <w:rsid w:val="00040FB4"/>
    <w:rsid w:val="00041581"/>
    <w:rsid w:val="000418F9"/>
    <w:rsid w:val="00042A22"/>
    <w:rsid w:val="00043600"/>
    <w:rsid w:val="0004469A"/>
    <w:rsid w:val="00044C41"/>
    <w:rsid w:val="0004502F"/>
    <w:rsid w:val="000457ED"/>
    <w:rsid w:val="00045907"/>
    <w:rsid w:val="00046362"/>
    <w:rsid w:val="00046396"/>
    <w:rsid w:val="000465E0"/>
    <w:rsid w:val="000469AE"/>
    <w:rsid w:val="00047823"/>
    <w:rsid w:val="000505A7"/>
    <w:rsid w:val="000509F4"/>
    <w:rsid w:val="00050B17"/>
    <w:rsid w:val="00050F39"/>
    <w:rsid w:val="00051ECE"/>
    <w:rsid w:val="00052141"/>
    <w:rsid w:val="0005240D"/>
    <w:rsid w:val="00053816"/>
    <w:rsid w:val="0005440D"/>
    <w:rsid w:val="000548E7"/>
    <w:rsid w:val="00055825"/>
    <w:rsid w:val="00055F7D"/>
    <w:rsid w:val="00060C8F"/>
    <w:rsid w:val="00061902"/>
    <w:rsid w:val="00063A2A"/>
    <w:rsid w:val="000642D4"/>
    <w:rsid w:val="000650BC"/>
    <w:rsid w:val="0006513A"/>
    <w:rsid w:val="00065775"/>
    <w:rsid w:val="000657AE"/>
    <w:rsid w:val="00066584"/>
    <w:rsid w:val="000666DC"/>
    <w:rsid w:val="00067212"/>
    <w:rsid w:val="0006742F"/>
    <w:rsid w:val="000703C8"/>
    <w:rsid w:val="00071A7F"/>
    <w:rsid w:val="00072AD4"/>
    <w:rsid w:val="000730FE"/>
    <w:rsid w:val="00073E89"/>
    <w:rsid w:val="00074ADF"/>
    <w:rsid w:val="00074CBE"/>
    <w:rsid w:val="00074CE3"/>
    <w:rsid w:val="000754EB"/>
    <w:rsid w:val="00076486"/>
    <w:rsid w:val="00076E1A"/>
    <w:rsid w:val="00080777"/>
    <w:rsid w:val="00081D29"/>
    <w:rsid w:val="00082289"/>
    <w:rsid w:val="00082473"/>
    <w:rsid w:val="00082DD5"/>
    <w:rsid w:val="0008341E"/>
    <w:rsid w:val="00083B82"/>
    <w:rsid w:val="000850C7"/>
    <w:rsid w:val="00085D8D"/>
    <w:rsid w:val="00085E74"/>
    <w:rsid w:val="00086609"/>
    <w:rsid w:val="00086784"/>
    <w:rsid w:val="00086E7B"/>
    <w:rsid w:val="0008795C"/>
    <w:rsid w:val="000906AB"/>
    <w:rsid w:val="00092408"/>
    <w:rsid w:val="00092643"/>
    <w:rsid w:val="00092B27"/>
    <w:rsid w:val="000930B4"/>
    <w:rsid w:val="00093E54"/>
    <w:rsid w:val="000949E1"/>
    <w:rsid w:val="0009548A"/>
    <w:rsid w:val="00095C4E"/>
    <w:rsid w:val="00097BEA"/>
    <w:rsid w:val="000A0262"/>
    <w:rsid w:val="000A1810"/>
    <w:rsid w:val="000A1AD0"/>
    <w:rsid w:val="000A3419"/>
    <w:rsid w:val="000A3AD9"/>
    <w:rsid w:val="000A5AE4"/>
    <w:rsid w:val="000A5CF5"/>
    <w:rsid w:val="000A5E99"/>
    <w:rsid w:val="000A7054"/>
    <w:rsid w:val="000B1707"/>
    <w:rsid w:val="000B173A"/>
    <w:rsid w:val="000B1B61"/>
    <w:rsid w:val="000B1DF2"/>
    <w:rsid w:val="000B2E52"/>
    <w:rsid w:val="000B4FCD"/>
    <w:rsid w:val="000B6516"/>
    <w:rsid w:val="000B67CA"/>
    <w:rsid w:val="000B6893"/>
    <w:rsid w:val="000B73AD"/>
    <w:rsid w:val="000B7E4F"/>
    <w:rsid w:val="000C056D"/>
    <w:rsid w:val="000C0634"/>
    <w:rsid w:val="000C1A9B"/>
    <w:rsid w:val="000C2574"/>
    <w:rsid w:val="000C323D"/>
    <w:rsid w:val="000C497F"/>
    <w:rsid w:val="000C4C3B"/>
    <w:rsid w:val="000C569F"/>
    <w:rsid w:val="000C60A7"/>
    <w:rsid w:val="000C6420"/>
    <w:rsid w:val="000C6A36"/>
    <w:rsid w:val="000C6ED7"/>
    <w:rsid w:val="000D0226"/>
    <w:rsid w:val="000D10FB"/>
    <w:rsid w:val="000D1191"/>
    <w:rsid w:val="000D18EF"/>
    <w:rsid w:val="000D2587"/>
    <w:rsid w:val="000D2708"/>
    <w:rsid w:val="000D2BEB"/>
    <w:rsid w:val="000D359D"/>
    <w:rsid w:val="000D42BC"/>
    <w:rsid w:val="000D4A6F"/>
    <w:rsid w:val="000D654E"/>
    <w:rsid w:val="000D67AB"/>
    <w:rsid w:val="000E0A0F"/>
    <w:rsid w:val="000E19A5"/>
    <w:rsid w:val="000E1BBA"/>
    <w:rsid w:val="000E20B3"/>
    <w:rsid w:val="000E20DA"/>
    <w:rsid w:val="000E2A87"/>
    <w:rsid w:val="000E3153"/>
    <w:rsid w:val="000E3693"/>
    <w:rsid w:val="000E3A38"/>
    <w:rsid w:val="000E3F12"/>
    <w:rsid w:val="000E4831"/>
    <w:rsid w:val="000E4DDE"/>
    <w:rsid w:val="000E4E9A"/>
    <w:rsid w:val="000E53CE"/>
    <w:rsid w:val="000E53D6"/>
    <w:rsid w:val="000E556B"/>
    <w:rsid w:val="000E55DB"/>
    <w:rsid w:val="000E5612"/>
    <w:rsid w:val="000E5D5C"/>
    <w:rsid w:val="000E611E"/>
    <w:rsid w:val="000E6D8C"/>
    <w:rsid w:val="000E7556"/>
    <w:rsid w:val="000E7E62"/>
    <w:rsid w:val="000F0416"/>
    <w:rsid w:val="000F0E7A"/>
    <w:rsid w:val="000F1438"/>
    <w:rsid w:val="000F1B23"/>
    <w:rsid w:val="000F20CF"/>
    <w:rsid w:val="000F2901"/>
    <w:rsid w:val="000F3C25"/>
    <w:rsid w:val="000F54F0"/>
    <w:rsid w:val="000F612A"/>
    <w:rsid w:val="000F7D69"/>
    <w:rsid w:val="0010032C"/>
    <w:rsid w:val="00101BC9"/>
    <w:rsid w:val="0010277C"/>
    <w:rsid w:val="001027D1"/>
    <w:rsid w:val="00102D94"/>
    <w:rsid w:val="0010394C"/>
    <w:rsid w:val="0010583C"/>
    <w:rsid w:val="001062DE"/>
    <w:rsid w:val="0010670B"/>
    <w:rsid w:val="001068D1"/>
    <w:rsid w:val="00110BFC"/>
    <w:rsid w:val="0011104E"/>
    <w:rsid w:val="0011127F"/>
    <w:rsid w:val="001117BF"/>
    <w:rsid w:val="00111FED"/>
    <w:rsid w:val="00113828"/>
    <w:rsid w:val="00113949"/>
    <w:rsid w:val="00113B64"/>
    <w:rsid w:val="00114A25"/>
    <w:rsid w:val="001155F3"/>
    <w:rsid w:val="0011587D"/>
    <w:rsid w:val="00115F64"/>
    <w:rsid w:val="00116702"/>
    <w:rsid w:val="001169D9"/>
    <w:rsid w:val="0011700A"/>
    <w:rsid w:val="00120032"/>
    <w:rsid w:val="00120133"/>
    <w:rsid w:val="001204BE"/>
    <w:rsid w:val="00120576"/>
    <w:rsid w:val="00120AFE"/>
    <w:rsid w:val="00121015"/>
    <w:rsid w:val="0012153B"/>
    <w:rsid w:val="00122C2A"/>
    <w:rsid w:val="00122DF1"/>
    <w:rsid w:val="00124253"/>
    <w:rsid w:val="00125782"/>
    <w:rsid w:val="001270B2"/>
    <w:rsid w:val="001301BF"/>
    <w:rsid w:val="00130638"/>
    <w:rsid w:val="00130D08"/>
    <w:rsid w:val="0013204D"/>
    <w:rsid w:val="001322A8"/>
    <w:rsid w:val="00132A9C"/>
    <w:rsid w:val="00133D15"/>
    <w:rsid w:val="00133D77"/>
    <w:rsid w:val="00134572"/>
    <w:rsid w:val="001379F0"/>
    <w:rsid w:val="00137FBF"/>
    <w:rsid w:val="0014104C"/>
    <w:rsid w:val="00141616"/>
    <w:rsid w:val="001416E2"/>
    <w:rsid w:val="00141FD8"/>
    <w:rsid w:val="00143839"/>
    <w:rsid w:val="00143FF7"/>
    <w:rsid w:val="00147FF0"/>
    <w:rsid w:val="00150983"/>
    <w:rsid w:val="00151476"/>
    <w:rsid w:val="0015176F"/>
    <w:rsid w:val="001525FD"/>
    <w:rsid w:val="001530DD"/>
    <w:rsid w:val="0015358C"/>
    <w:rsid w:val="0015590E"/>
    <w:rsid w:val="00157532"/>
    <w:rsid w:val="00160244"/>
    <w:rsid w:val="00160BFB"/>
    <w:rsid w:val="00161D6D"/>
    <w:rsid w:val="00162AF5"/>
    <w:rsid w:val="00163285"/>
    <w:rsid w:val="00163BCB"/>
    <w:rsid w:val="00163FB0"/>
    <w:rsid w:val="00164811"/>
    <w:rsid w:val="00164866"/>
    <w:rsid w:val="00164EEC"/>
    <w:rsid w:val="00166571"/>
    <w:rsid w:val="00166676"/>
    <w:rsid w:val="00167F04"/>
    <w:rsid w:val="0017007A"/>
    <w:rsid w:val="00170C81"/>
    <w:rsid w:val="0017209D"/>
    <w:rsid w:val="0017240C"/>
    <w:rsid w:val="00172FA6"/>
    <w:rsid w:val="001732E0"/>
    <w:rsid w:val="00174967"/>
    <w:rsid w:val="00174F04"/>
    <w:rsid w:val="00176C64"/>
    <w:rsid w:val="0018065A"/>
    <w:rsid w:val="0018149B"/>
    <w:rsid w:val="00181E3D"/>
    <w:rsid w:val="001828A8"/>
    <w:rsid w:val="001828FC"/>
    <w:rsid w:val="00183785"/>
    <w:rsid w:val="00185E77"/>
    <w:rsid w:val="001902CE"/>
    <w:rsid w:val="0019128D"/>
    <w:rsid w:val="0019243A"/>
    <w:rsid w:val="00192FBE"/>
    <w:rsid w:val="001935B5"/>
    <w:rsid w:val="00193C3D"/>
    <w:rsid w:val="001965AC"/>
    <w:rsid w:val="00196B26"/>
    <w:rsid w:val="00196B5C"/>
    <w:rsid w:val="0019753E"/>
    <w:rsid w:val="00197755"/>
    <w:rsid w:val="00197ED1"/>
    <w:rsid w:val="001A08A9"/>
    <w:rsid w:val="001A104E"/>
    <w:rsid w:val="001A1E34"/>
    <w:rsid w:val="001A2A67"/>
    <w:rsid w:val="001A2F3C"/>
    <w:rsid w:val="001A35E0"/>
    <w:rsid w:val="001A36AA"/>
    <w:rsid w:val="001A39C9"/>
    <w:rsid w:val="001A3FCA"/>
    <w:rsid w:val="001A459B"/>
    <w:rsid w:val="001A49F3"/>
    <w:rsid w:val="001A4AC7"/>
    <w:rsid w:val="001A5340"/>
    <w:rsid w:val="001A56B9"/>
    <w:rsid w:val="001A6764"/>
    <w:rsid w:val="001A6932"/>
    <w:rsid w:val="001A6CA1"/>
    <w:rsid w:val="001A6EC2"/>
    <w:rsid w:val="001A6F5D"/>
    <w:rsid w:val="001A73A3"/>
    <w:rsid w:val="001A7815"/>
    <w:rsid w:val="001A7A0E"/>
    <w:rsid w:val="001B07EE"/>
    <w:rsid w:val="001B0F25"/>
    <w:rsid w:val="001B1D24"/>
    <w:rsid w:val="001B38F0"/>
    <w:rsid w:val="001B455B"/>
    <w:rsid w:val="001B64C5"/>
    <w:rsid w:val="001B7A4B"/>
    <w:rsid w:val="001B7A5A"/>
    <w:rsid w:val="001C01FD"/>
    <w:rsid w:val="001C0576"/>
    <w:rsid w:val="001C060A"/>
    <w:rsid w:val="001C1020"/>
    <w:rsid w:val="001C169E"/>
    <w:rsid w:val="001C19DC"/>
    <w:rsid w:val="001C1D56"/>
    <w:rsid w:val="001C1D8B"/>
    <w:rsid w:val="001C1FBE"/>
    <w:rsid w:val="001C201E"/>
    <w:rsid w:val="001C258D"/>
    <w:rsid w:val="001C31F7"/>
    <w:rsid w:val="001C34BE"/>
    <w:rsid w:val="001C3DB1"/>
    <w:rsid w:val="001C4899"/>
    <w:rsid w:val="001C4C44"/>
    <w:rsid w:val="001C5ABE"/>
    <w:rsid w:val="001C655D"/>
    <w:rsid w:val="001C7D5E"/>
    <w:rsid w:val="001D0762"/>
    <w:rsid w:val="001D1A85"/>
    <w:rsid w:val="001D1AEA"/>
    <w:rsid w:val="001D1DF1"/>
    <w:rsid w:val="001D1FE0"/>
    <w:rsid w:val="001D206C"/>
    <w:rsid w:val="001D2AC0"/>
    <w:rsid w:val="001D4BEA"/>
    <w:rsid w:val="001D50C4"/>
    <w:rsid w:val="001D57FC"/>
    <w:rsid w:val="001D61B0"/>
    <w:rsid w:val="001D6292"/>
    <w:rsid w:val="001D6437"/>
    <w:rsid w:val="001D706A"/>
    <w:rsid w:val="001D796F"/>
    <w:rsid w:val="001E1011"/>
    <w:rsid w:val="001E162F"/>
    <w:rsid w:val="001E380E"/>
    <w:rsid w:val="001E4456"/>
    <w:rsid w:val="001E52B3"/>
    <w:rsid w:val="001E5328"/>
    <w:rsid w:val="001E5B43"/>
    <w:rsid w:val="001E6136"/>
    <w:rsid w:val="001E6254"/>
    <w:rsid w:val="001E7084"/>
    <w:rsid w:val="001E7199"/>
    <w:rsid w:val="001E7253"/>
    <w:rsid w:val="001F012E"/>
    <w:rsid w:val="001F0567"/>
    <w:rsid w:val="001F103E"/>
    <w:rsid w:val="001F1B82"/>
    <w:rsid w:val="001F2857"/>
    <w:rsid w:val="001F2968"/>
    <w:rsid w:val="001F3B5B"/>
    <w:rsid w:val="001F56AA"/>
    <w:rsid w:val="001F5C11"/>
    <w:rsid w:val="001F601D"/>
    <w:rsid w:val="001F621A"/>
    <w:rsid w:val="001F6A77"/>
    <w:rsid w:val="001F6D15"/>
    <w:rsid w:val="001F712B"/>
    <w:rsid w:val="001F7597"/>
    <w:rsid w:val="001F7D14"/>
    <w:rsid w:val="00200467"/>
    <w:rsid w:val="002012D3"/>
    <w:rsid w:val="00201319"/>
    <w:rsid w:val="00202B96"/>
    <w:rsid w:val="002034F2"/>
    <w:rsid w:val="00204F18"/>
    <w:rsid w:val="002050B6"/>
    <w:rsid w:val="002054B8"/>
    <w:rsid w:val="00205C5C"/>
    <w:rsid w:val="00206605"/>
    <w:rsid w:val="0020692D"/>
    <w:rsid w:val="00207306"/>
    <w:rsid w:val="00207FA3"/>
    <w:rsid w:val="002103FB"/>
    <w:rsid w:val="002110DA"/>
    <w:rsid w:val="002110FF"/>
    <w:rsid w:val="00212784"/>
    <w:rsid w:val="00213CC0"/>
    <w:rsid w:val="00214262"/>
    <w:rsid w:val="00215D17"/>
    <w:rsid w:val="0021677F"/>
    <w:rsid w:val="00216F0C"/>
    <w:rsid w:val="00217F31"/>
    <w:rsid w:val="0022035B"/>
    <w:rsid w:val="00220845"/>
    <w:rsid w:val="0022085C"/>
    <w:rsid w:val="00220C07"/>
    <w:rsid w:val="002216B6"/>
    <w:rsid w:val="00221B68"/>
    <w:rsid w:val="002221C4"/>
    <w:rsid w:val="002223D6"/>
    <w:rsid w:val="0022242A"/>
    <w:rsid w:val="00223042"/>
    <w:rsid w:val="0022323B"/>
    <w:rsid w:val="00223E94"/>
    <w:rsid w:val="002248EA"/>
    <w:rsid w:val="00224BA3"/>
    <w:rsid w:val="00225578"/>
    <w:rsid w:val="0022579D"/>
    <w:rsid w:val="00225FDB"/>
    <w:rsid w:val="0022685A"/>
    <w:rsid w:val="00226DD4"/>
    <w:rsid w:val="0023072C"/>
    <w:rsid w:val="00230B5E"/>
    <w:rsid w:val="00231055"/>
    <w:rsid w:val="00231725"/>
    <w:rsid w:val="00232D82"/>
    <w:rsid w:val="00232F82"/>
    <w:rsid w:val="00233533"/>
    <w:rsid w:val="00233C57"/>
    <w:rsid w:val="002344FB"/>
    <w:rsid w:val="00234896"/>
    <w:rsid w:val="00237081"/>
    <w:rsid w:val="00240C62"/>
    <w:rsid w:val="00240D86"/>
    <w:rsid w:val="00241503"/>
    <w:rsid w:val="0024224C"/>
    <w:rsid w:val="002426DF"/>
    <w:rsid w:val="00242B9B"/>
    <w:rsid w:val="00243268"/>
    <w:rsid w:val="002433A0"/>
    <w:rsid w:val="00244855"/>
    <w:rsid w:val="00244B39"/>
    <w:rsid w:val="00244BDA"/>
    <w:rsid w:val="002453E8"/>
    <w:rsid w:val="00245C00"/>
    <w:rsid w:val="00250310"/>
    <w:rsid w:val="00250563"/>
    <w:rsid w:val="00250974"/>
    <w:rsid w:val="00250B06"/>
    <w:rsid w:val="0025237E"/>
    <w:rsid w:val="002540AC"/>
    <w:rsid w:val="00254B61"/>
    <w:rsid w:val="00255307"/>
    <w:rsid w:val="00255460"/>
    <w:rsid w:val="0025595A"/>
    <w:rsid w:val="00255A6F"/>
    <w:rsid w:val="00255FEE"/>
    <w:rsid w:val="0025608F"/>
    <w:rsid w:val="00256FD4"/>
    <w:rsid w:val="002604B8"/>
    <w:rsid w:val="002606EE"/>
    <w:rsid w:val="0026089D"/>
    <w:rsid w:val="00260ECD"/>
    <w:rsid w:val="0026105A"/>
    <w:rsid w:val="00261126"/>
    <w:rsid w:val="00261B07"/>
    <w:rsid w:val="002620A5"/>
    <w:rsid w:val="00262D89"/>
    <w:rsid w:val="00263567"/>
    <w:rsid w:val="002635FE"/>
    <w:rsid w:val="00263676"/>
    <w:rsid w:val="00263891"/>
    <w:rsid w:val="00264411"/>
    <w:rsid w:val="00264CA1"/>
    <w:rsid w:val="00265140"/>
    <w:rsid w:val="00266515"/>
    <w:rsid w:val="002712F1"/>
    <w:rsid w:val="0027170B"/>
    <w:rsid w:val="00271C55"/>
    <w:rsid w:val="0027270D"/>
    <w:rsid w:val="0027277B"/>
    <w:rsid w:val="002727D9"/>
    <w:rsid w:val="00272B58"/>
    <w:rsid w:val="002736D2"/>
    <w:rsid w:val="00274A1D"/>
    <w:rsid w:val="00275E9E"/>
    <w:rsid w:val="00276694"/>
    <w:rsid w:val="0027718C"/>
    <w:rsid w:val="00277778"/>
    <w:rsid w:val="00277A2C"/>
    <w:rsid w:val="00277CAE"/>
    <w:rsid w:val="00280171"/>
    <w:rsid w:val="00280BE4"/>
    <w:rsid w:val="00281540"/>
    <w:rsid w:val="00285751"/>
    <w:rsid w:val="00286099"/>
    <w:rsid w:val="002860C6"/>
    <w:rsid w:val="00286804"/>
    <w:rsid w:val="002869D7"/>
    <w:rsid w:val="00286F97"/>
    <w:rsid w:val="0028718A"/>
    <w:rsid w:val="00290AC7"/>
    <w:rsid w:val="00290EE4"/>
    <w:rsid w:val="00290FDA"/>
    <w:rsid w:val="00292CA5"/>
    <w:rsid w:val="002931BC"/>
    <w:rsid w:val="00293530"/>
    <w:rsid w:val="002944C6"/>
    <w:rsid w:val="002945D5"/>
    <w:rsid w:val="00294A7A"/>
    <w:rsid w:val="00295055"/>
    <w:rsid w:val="00295CAC"/>
    <w:rsid w:val="00295D7B"/>
    <w:rsid w:val="00296E2E"/>
    <w:rsid w:val="00297214"/>
    <w:rsid w:val="002A08C8"/>
    <w:rsid w:val="002A0AC0"/>
    <w:rsid w:val="002A0B4C"/>
    <w:rsid w:val="002A116F"/>
    <w:rsid w:val="002A3B6E"/>
    <w:rsid w:val="002A3D32"/>
    <w:rsid w:val="002A3FF7"/>
    <w:rsid w:val="002A4D90"/>
    <w:rsid w:val="002A5578"/>
    <w:rsid w:val="002A61C9"/>
    <w:rsid w:val="002A7864"/>
    <w:rsid w:val="002A7906"/>
    <w:rsid w:val="002A7EFE"/>
    <w:rsid w:val="002B0617"/>
    <w:rsid w:val="002B132C"/>
    <w:rsid w:val="002B241C"/>
    <w:rsid w:val="002B328D"/>
    <w:rsid w:val="002B39E3"/>
    <w:rsid w:val="002B4B1E"/>
    <w:rsid w:val="002B4E8D"/>
    <w:rsid w:val="002B569C"/>
    <w:rsid w:val="002C0412"/>
    <w:rsid w:val="002C0BBB"/>
    <w:rsid w:val="002C255C"/>
    <w:rsid w:val="002C5FF4"/>
    <w:rsid w:val="002C7301"/>
    <w:rsid w:val="002C78BF"/>
    <w:rsid w:val="002C7B4F"/>
    <w:rsid w:val="002D071B"/>
    <w:rsid w:val="002D1538"/>
    <w:rsid w:val="002D168B"/>
    <w:rsid w:val="002D29B0"/>
    <w:rsid w:val="002D33BA"/>
    <w:rsid w:val="002D384C"/>
    <w:rsid w:val="002D4101"/>
    <w:rsid w:val="002D50C4"/>
    <w:rsid w:val="002D57D3"/>
    <w:rsid w:val="002D5CC9"/>
    <w:rsid w:val="002D5D36"/>
    <w:rsid w:val="002D6234"/>
    <w:rsid w:val="002D6811"/>
    <w:rsid w:val="002D7DB0"/>
    <w:rsid w:val="002E048E"/>
    <w:rsid w:val="002E0D84"/>
    <w:rsid w:val="002E1AD1"/>
    <w:rsid w:val="002E2364"/>
    <w:rsid w:val="002E2434"/>
    <w:rsid w:val="002E3F16"/>
    <w:rsid w:val="002E5161"/>
    <w:rsid w:val="002E5185"/>
    <w:rsid w:val="002E578B"/>
    <w:rsid w:val="002E5A31"/>
    <w:rsid w:val="002E6892"/>
    <w:rsid w:val="002E6DED"/>
    <w:rsid w:val="002E7197"/>
    <w:rsid w:val="002F05B1"/>
    <w:rsid w:val="002F06B2"/>
    <w:rsid w:val="002F07CA"/>
    <w:rsid w:val="002F11D3"/>
    <w:rsid w:val="002F1B38"/>
    <w:rsid w:val="002F2AD9"/>
    <w:rsid w:val="002F34B6"/>
    <w:rsid w:val="002F356F"/>
    <w:rsid w:val="002F388C"/>
    <w:rsid w:val="002F4442"/>
    <w:rsid w:val="002F5907"/>
    <w:rsid w:val="002F590C"/>
    <w:rsid w:val="002F6D76"/>
    <w:rsid w:val="002F7E8C"/>
    <w:rsid w:val="002F7F70"/>
    <w:rsid w:val="00301C31"/>
    <w:rsid w:val="003021EE"/>
    <w:rsid w:val="003026E9"/>
    <w:rsid w:val="0030281A"/>
    <w:rsid w:val="0030356A"/>
    <w:rsid w:val="0030361E"/>
    <w:rsid w:val="00303E8A"/>
    <w:rsid w:val="003049A9"/>
    <w:rsid w:val="00304D03"/>
    <w:rsid w:val="00306A6D"/>
    <w:rsid w:val="003071D5"/>
    <w:rsid w:val="003077D7"/>
    <w:rsid w:val="00310899"/>
    <w:rsid w:val="003109B4"/>
    <w:rsid w:val="0031144E"/>
    <w:rsid w:val="00311C66"/>
    <w:rsid w:val="003123EC"/>
    <w:rsid w:val="003124BA"/>
    <w:rsid w:val="00313E9E"/>
    <w:rsid w:val="00313EE6"/>
    <w:rsid w:val="00315C0D"/>
    <w:rsid w:val="0031608E"/>
    <w:rsid w:val="003162B3"/>
    <w:rsid w:val="0031712D"/>
    <w:rsid w:val="00317859"/>
    <w:rsid w:val="003231D8"/>
    <w:rsid w:val="00323CAA"/>
    <w:rsid w:val="003245C3"/>
    <w:rsid w:val="0032486F"/>
    <w:rsid w:val="00324A29"/>
    <w:rsid w:val="00325AAE"/>
    <w:rsid w:val="00325F4F"/>
    <w:rsid w:val="0032726F"/>
    <w:rsid w:val="0032759B"/>
    <w:rsid w:val="003275A3"/>
    <w:rsid w:val="00330A46"/>
    <w:rsid w:val="0033120B"/>
    <w:rsid w:val="003315AC"/>
    <w:rsid w:val="00332BEC"/>
    <w:rsid w:val="00333A2C"/>
    <w:rsid w:val="00337ED9"/>
    <w:rsid w:val="0034070B"/>
    <w:rsid w:val="003409F4"/>
    <w:rsid w:val="00340BE9"/>
    <w:rsid w:val="00341510"/>
    <w:rsid w:val="00342FCD"/>
    <w:rsid w:val="00343B4E"/>
    <w:rsid w:val="0034434A"/>
    <w:rsid w:val="00345273"/>
    <w:rsid w:val="00345F1A"/>
    <w:rsid w:val="0034626C"/>
    <w:rsid w:val="0034627C"/>
    <w:rsid w:val="00346D10"/>
    <w:rsid w:val="0035037A"/>
    <w:rsid w:val="0035073F"/>
    <w:rsid w:val="00350C37"/>
    <w:rsid w:val="00350D04"/>
    <w:rsid w:val="00350FD9"/>
    <w:rsid w:val="0035163B"/>
    <w:rsid w:val="00351A85"/>
    <w:rsid w:val="003525D5"/>
    <w:rsid w:val="0035275A"/>
    <w:rsid w:val="00353259"/>
    <w:rsid w:val="003541E1"/>
    <w:rsid w:val="003545A2"/>
    <w:rsid w:val="00356893"/>
    <w:rsid w:val="00356CA0"/>
    <w:rsid w:val="00360F5C"/>
    <w:rsid w:val="00361BB0"/>
    <w:rsid w:val="003656F3"/>
    <w:rsid w:val="00365F2D"/>
    <w:rsid w:val="00366E5D"/>
    <w:rsid w:val="0036779F"/>
    <w:rsid w:val="00367D8B"/>
    <w:rsid w:val="00370078"/>
    <w:rsid w:val="003709E4"/>
    <w:rsid w:val="00370A46"/>
    <w:rsid w:val="003717FB"/>
    <w:rsid w:val="00371D98"/>
    <w:rsid w:val="00372537"/>
    <w:rsid w:val="00373EE3"/>
    <w:rsid w:val="00376527"/>
    <w:rsid w:val="0037697A"/>
    <w:rsid w:val="003801FE"/>
    <w:rsid w:val="00380C95"/>
    <w:rsid w:val="00381B17"/>
    <w:rsid w:val="00381EAD"/>
    <w:rsid w:val="00382B00"/>
    <w:rsid w:val="00383887"/>
    <w:rsid w:val="00384CAE"/>
    <w:rsid w:val="00385A0C"/>
    <w:rsid w:val="00386A90"/>
    <w:rsid w:val="00387C36"/>
    <w:rsid w:val="00387E52"/>
    <w:rsid w:val="00390485"/>
    <w:rsid w:val="0039154E"/>
    <w:rsid w:val="003926D9"/>
    <w:rsid w:val="00393540"/>
    <w:rsid w:val="00393BFE"/>
    <w:rsid w:val="00394688"/>
    <w:rsid w:val="00394748"/>
    <w:rsid w:val="00395299"/>
    <w:rsid w:val="00395CE5"/>
    <w:rsid w:val="0039613F"/>
    <w:rsid w:val="00396816"/>
    <w:rsid w:val="00396931"/>
    <w:rsid w:val="00396FAF"/>
    <w:rsid w:val="00397160"/>
    <w:rsid w:val="003A0146"/>
    <w:rsid w:val="003A063E"/>
    <w:rsid w:val="003A066F"/>
    <w:rsid w:val="003A0893"/>
    <w:rsid w:val="003A148F"/>
    <w:rsid w:val="003A4392"/>
    <w:rsid w:val="003A4EE1"/>
    <w:rsid w:val="003A58A6"/>
    <w:rsid w:val="003A67E8"/>
    <w:rsid w:val="003A6CC3"/>
    <w:rsid w:val="003A6D6C"/>
    <w:rsid w:val="003A7539"/>
    <w:rsid w:val="003B0773"/>
    <w:rsid w:val="003B0F95"/>
    <w:rsid w:val="003B1BE7"/>
    <w:rsid w:val="003B1CCC"/>
    <w:rsid w:val="003B1D89"/>
    <w:rsid w:val="003B2260"/>
    <w:rsid w:val="003B2E40"/>
    <w:rsid w:val="003B3205"/>
    <w:rsid w:val="003B3C62"/>
    <w:rsid w:val="003B4BD3"/>
    <w:rsid w:val="003B5160"/>
    <w:rsid w:val="003B5366"/>
    <w:rsid w:val="003B5FA9"/>
    <w:rsid w:val="003B6ABE"/>
    <w:rsid w:val="003B6B80"/>
    <w:rsid w:val="003B7499"/>
    <w:rsid w:val="003B7F0C"/>
    <w:rsid w:val="003C17A2"/>
    <w:rsid w:val="003C2105"/>
    <w:rsid w:val="003C3C57"/>
    <w:rsid w:val="003C3E13"/>
    <w:rsid w:val="003C47CA"/>
    <w:rsid w:val="003C5377"/>
    <w:rsid w:val="003C6DD1"/>
    <w:rsid w:val="003D0CB4"/>
    <w:rsid w:val="003D0EF9"/>
    <w:rsid w:val="003D195E"/>
    <w:rsid w:val="003D1CA7"/>
    <w:rsid w:val="003D2307"/>
    <w:rsid w:val="003D372E"/>
    <w:rsid w:val="003D3A05"/>
    <w:rsid w:val="003D74C2"/>
    <w:rsid w:val="003D757C"/>
    <w:rsid w:val="003D7A8B"/>
    <w:rsid w:val="003E1090"/>
    <w:rsid w:val="003E15C2"/>
    <w:rsid w:val="003E2CCC"/>
    <w:rsid w:val="003E2E5C"/>
    <w:rsid w:val="003E37DE"/>
    <w:rsid w:val="003E3B0E"/>
    <w:rsid w:val="003E47C7"/>
    <w:rsid w:val="003E4D02"/>
    <w:rsid w:val="003E4D40"/>
    <w:rsid w:val="003E53FC"/>
    <w:rsid w:val="003E58EB"/>
    <w:rsid w:val="003E5B96"/>
    <w:rsid w:val="003E5DE1"/>
    <w:rsid w:val="003E6EE0"/>
    <w:rsid w:val="003F2721"/>
    <w:rsid w:val="003F2DC5"/>
    <w:rsid w:val="003F430E"/>
    <w:rsid w:val="003F43CB"/>
    <w:rsid w:val="003F5106"/>
    <w:rsid w:val="003F65B9"/>
    <w:rsid w:val="003F75FE"/>
    <w:rsid w:val="0040013D"/>
    <w:rsid w:val="00400B21"/>
    <w:rsid w:val="00400CE1"/>
    <w:rsid w:val="00401FF3"/>
    <w:rsid w:val="004021A9"/>
    <w:rsid w:val="004027A4"/>
    <w:rsid w:val="00402ABE"/>
    <w:rsid w:val="00404595"/>
    <w:rsid w:val="0040466D"/>
    <w:rsid w:val="004047EC"/>
    <w:rsid w:val="004062AF"/>
    <w:rsid w:val="00407327"/>
    <w:rsid w:val="0041010A"/>
    <w:rsid w:val="0041041C"/>
    <w:rsid w:val="00410D0A"/>
    <w:rsid w:val="00411264"/>
    <w:rsid w:val="00411371"/>
    <w:rsid w:val="00412659"/>
    <w:rsid w:val="004137B1"/>
    <w:rsid w:val="00413C14"/>
    <w:rsid w:val="00414324"/>
    <w:rsid w:val="00415890"/>
    <w:rsid w:val="00416A39"/>
    <w:rsid w:val="004177B0"/>
    <w:rsid w:val="00417D09"/>
    <w:rsid w:val="00420F3E"/>
    <w:rsid w:val="004212AE"/>
    <w:rsid w:val="00421BB7"/>
    <w:rsid w:val="004233A3"/>
    <w:rsid w:val="0042361E"/>
    <w:rsid w:val="004238CF"/>
    <w:rsid w:val="004247B5"/>
    <w:rsid w:val="00424ADC"/>
    <w:rsid w:val="00424B0D"/>
    <w:rsid w:val="00424FC1"/>
    <w:rsid w:val="00424FDD"/>
    <w:rsid w:val="00425146"/>
    <w:rsid w:val="0042797C"/>
    <w:rsid w:val="0043034B"/>
    <w:rsid w:val="00431F2A"/>
    <w:rsid w:val="0043298F"/>
    <w:rsid w:val="00432CE7"/>
    <w:rsid w:val="00433343"/>
    <w:rsid w:val="00433ADC"/>
    <w:rsid w:val="00434940"/>
    <w:rsid w:val="00435137"/>
    <w:rsid w:val="00435D32"/>
    <w:rsid w:val="004365BF"/>
    <w:rsid w:val="00437B75"/>
    <w:rsid w:val="00437B80"/>
    <w:rsid w:val="00437D08"/>
    <w:rsid w:val="00437F02"/>
    <w:rsid w:val="004411CA"/>
    <w:rsid w:val="00441AF2"/>
    <w:rsid w:val="00442C34"/>
    <w:rsid w:val="00443394"/>
    <w:rsid w:val="00443C6F"/>
    <w:rsid w:val="004445B7"/>
    <w:rsid w:val="004452D1"/>
    <w:rsid w:val="00445A8F"/>
    <w:rsid w:val="00446501"/>
    <w:rsid w:val="0044661E"/>
    <w:rsid w:val="0044673D"/>
    <w:rsid w:val="00447011"/>
    <w:rsid w:val="00447506"/>
    <w:rsid w:val="0045069E"/>
    <w:rsid w:val="0045099F"/>
    <w:rsid w:val="00450EEE"/>
    <w:rsid w:val="004520D2"/>
    <w:rsid w:val="00452755"/>
    <w:rsid w:val="004527A8"/>
    <w:rsid w:val="004528E0"/>
    <w:rsid w:val="004541AB"/>
    <w:rsid w:val="0045432C"/>
    <w:rsid w:val="00454924"/>
    <w:rsid w:val="004549F1"/>
    <w:rsid w:val="00454CA2"/>
    <w:rsid w:val="00457344"/>
    <w:rsid w:val="00460329"/>
    <w:rsid w:val="00460FC0"/>
    <w:rsid w:val="00462256"/>
    <w:rsid w:val="00463181"/>
    <w:rsid w:val="00463AE6"/>
    <w:rsid w:val="00463D89"/>
    <w:rsid w:val="00463D98"/>
    <w:rsid w:val="00464865"/>
    <w:rsid w:val="00464901"/>
    <w:rsid w:val="00467D4E"/>
    <w:rsid w:val="00470755"/>
    <w:rsid w:val="00470E83"/>
    <w:rsid w:val="00473372"/>
    <w:rsid w:val="004754BA"/>
    <w:rsid w:val="0047662A"/>
    <w:rsid w:val="00480069"/>
    <w:rsid w:val="004802FE"/>
    <w:rsid w:val="00480DE4"/>
    <w:rsid w:val="0048111B"/>
    <w:rsid w:val="00481775"/>
    <w:rsid w:val="00482AB8"/>
    <w:rsid w:val="00482BE6"/>
    <w:rsid w:val="00482E93"/>
    <w:rsid w:val="00483176"/>
    <w:rsid w:val="00484740"/>
    <w:rsid w:val="0048585C"/>
    <w:rsid w:val="0048605D"/>
    <w:rsid w:val="00486088"/>
    <w:rsid w:val="0048695E"/>
    <w:rsid w:val="00487051"/>
    <w:rsid w:val="00487269"/>
    <w:rsid w:val="004903A3"/>
    <w:rsid w:val="00490D6A"/>
    <w:rsid w:val="00491589"/>
    <w:rsid w:val="00492FDA"/>
    <w:rsid w:val="004936E5"/>
    <w:rsid w:val="004938C1"/>
    <w:rsid w:val="00494441"/>
    <w:rsid w:val="00494BC1"/>
    <w:rsid w:val="00495669"/>
    <w:rsid w:val="004959B4"/>
    <w:rsid w:val="00496F52"/>
    <w:rsid w:val="004970BC"/>
    <w:rsid w:val="0049766A"/>
    <w:rsid w:val="004979D2"/>
    <w:rsid w:val="004A1429"/>
    <w:rsid w:val="004A28BB"/>
    <w:rsid w:val="004A3AF2"/>
    <w:rsid w:val="004A3F92"/>
    <w:rsid w:val="004A429A"/>
    <w:rsid w:val="004A4D45"/>
    <w:rsid w:val="004A531B"/>
    <w:rsid w:val="004A5BAC"/>
    <w:rsid w:val="004A5F10"/>
    <w:rsid w:val="004A670A"/>
    <w:rsid w:val="004A6C7A"/>
    <w:rsid w:val="004A75D7"/>
    <w:rsid w:val="004A7657"/>
    <w:rsid w:val="004A79B7"/>
    <w:rsid w:val="004A7DCA"/>
    <w:rsid w:val="004B0E03"/>
    <w:rsid w:val="004B13E3"/>
    <w:rsid w:val="004B1622"/>
    <w:rsid w:val="004B30DA"/>
    <w:rsid w:val="004B3482"/>
    <w:rsid w:val="004B40A7"/>
    <w:rsid w:val="004B4181"/>
    <w:rsid w:val="004B4462"/>
    <w:rsid w:val="004B70F7"/>
    <w:rsid w:val="004B7BB7"/>
    <w:rsid w:val="004C078E"/>
    <w:rsid w:val="004C08D6"/>
    <w:rsid w:val="004C0DD0"/>
    <w:rsid w:val="004C1511"/>
    <w:rsid w:val="004C2AE9"/>
    <w:rsid w:val="004C312D"/>
    <w:rsid w:val="004C3848"/>
    <w:rsid w:val="004C3A22"/>
    <w:rsid w:val="004C3BF7"/>
    <w:rsid w:val="004C4A63"/>
    <w:rsid w:val="004C53BA"/>
    <w:rsid w:val="004C58CB"/>
    <w:rsid w:val="004C62FF"/>
    <w:rsid w:val="004C6526"/>
    <w:rsid w:val="004C7E0A"/>
    <w:rsid w:val="004D02CA"/>
    <w:rsid w:val="004D0772"/>
    <w:rsid w:val="004D176F"/>
    <w:rsid w:val="004D1887"/>
    <w:rsid w:val="004D287B"/>
    <w:rsid w:val="004D2E4B"/>
    <w:rsid w:val="004D4442"/>
    <w:rsid w:val="004D44B2"/>
    <w:rsid w:val="004D604E"/>
    <w:rsid w:val="004D683D"/>
    <w:rsid w:val="004D7B78"/>
    <w:rsid w:val="004E0FE7"/>
    <w:rsid w:val="004E1A9F"/>
    <w:rsid w:val="004E1D59"/>
    <w:rsid w:val="004E2A36"/>
    <w:rsid w:val="004E300A"/>
    <w:rsid w:val="004E3424"/>
    <w:rsid w:val="004E3EED"/>
    <w:rsid w:val="004E425B"/>
    <w:rsid w:val="004E6A7D"/>
    <w:rsid w:val="004E7103"/>
    <w:rsid w:val="004E797F"/>
    <w:rsid w:val="004E7A46"/>
    <w:rsid w:val="004E7C60"/>
    <w:rsid w:val="004E7F68"/>
    <w:rsid w:val="004F0CB9"/>
    <w:rsid w:val="004F11A1"/>
    <w:rsid w:val="004F17B1"/>
    <w:rsid w:val="004F1CC2"/>
    <w:rsid w:val="004F4ABE"/>
    <w:rsid w:val="004F520C"/>
    <w:rsid w:val="004F5399"/>
    <w:rsid w:val="004F5454"/>
    <w:rsid w:val="004F5AD1"/>
    <w:rsid w:val="004F5C80"/>
    <w:rsid w:val="004F669E"/>
    <w:rsid w:val="005023F1"/>
    <w:rsid w:val="00502B9A"/>
    <w:rsid w:val="00502D22"/>
    <w:rsid w:val="005038DE"/>
    <w:rsid w:val="00503E49"/>
    <w:rsid w:val="00505947"/>
    <w:rsid w:val="00505D39"/>
    <w:rsid w:val="00505F93"/>
    <w:rsid w:val="00506464"/>
    <w:rsid w:val="0051005C"/>
    <w:rsid w:val="0051131E"/>
    <w:rsid w:val="00511E99"/>
    <w:rsid w:val="00512C13"/>
    <w:rsid w:val="00512E2D"/>
    <w:rsid w:val="00513507"/>
    <w:rsid w:val="00513F17"/>
    <w:rsid w:val="005141AC"/>
    <w:rsid w:val="00514A92"/>
    <w:rsid w:val="00514ACC"/>
    <w:rsid w:val="0051583C"/>
    <w:rsid w:val="00515B9A"/>
    <w:rsid w:val="00516133"/>
    <w:rsid w:val="00516217"/>
    <w:rsid w:val="00516971"/>
    <w:rsid w:val="00517772"/>
    <w:rsid w:val="005179BF"/>
    <w:rsid w:val="005179D4"/>
    <w:rsid w:val="00517B9E"/>
    <w:rsid w:val="00517DA6"/>
    <w:rsid w:val="005212A5"/>
    <w:rsid w:val="00521476"/>
    <w:rsid w:val="00521510"/>
    <w:rsid w:val="00523259"/>
    <w:rsid w:val="005244B3"/>
    <w:rsid w:val="00525A20"/>
    <w:rsid w:val="005260CB"/>
    <w:rsid w:val="005266DC"/>
    <w:rsid w:val="00527CB4"/>
    <w:rsid w:val="00530819"/>
    <w:rsid w:val="00530B10"/>
    <w:rsid w:val="00530E4A"/>
    <w:rsid w:val="0053104A"/>
    <w:rsid w:val="005316E5"/>
    <w:rsid w:val="005320D6"/>
    <w:rsid w:val="00533E05"/>
    <w:rsid w:val="00535AB6"/>
    <w:rsid w:val="00537C22"/>
    <w:rsid w:val="00537FD7"/>
    <w:rsid w:val="00541F55"/>
    <w:rsid w:val="0054291F"/>
    <w:rsid w:val="005431BA"/>
    <w:rsid w:val="00544410"/>
    <w:rsid w:val="005465E7"/>
    <w:rsid w:val="00547183"/>
    <w:rsid w:val="0055050F"/>
    <w:rsid w:val="00550A69"/>
    <w:rsid w:val="00550DD7"/>
    <w:rsid w:val="00551882"/>
    <w:rsid w:val="005522EE"/>
    <w:rsid w:val="00552CE1"/>
    <w:rsid w:val="00553873"/>
    <w:rsid w:val="005538BB"/>
    <w:rsid w:val="00553B44"/>
    <w:rsid w:val="00554702"/>
    <w:rsid w:val="005564A8"/>
    <w:rsid w:val="00557A3F"/>
    <w:rsid w:val="00560ADC"/>
    <w:rsid w:val="00561574"/>
    <w:rsid w:val="0056183D"/>
    <w:rsid w:val="00561C2C"/>
    <w:rsid w:val="00561DDC"/>
    <w:rsid w:val="00561F5A"/>
    <w:rsid w:val="00561FCD"/>
    <w:rsid w:val="005621E5"/>
    <w:rsid w:val="005633E7"/>
    <w:rsid w:val="005635CA"/>
    <w:rsid w:val="00563660"/>
    <w:rsid w:val="0056434B"/>
    <w:rsid w:val="00565A48"/>
    <w:rsid w:val="00565C96"/>
    <w:rsid w:val="00565F5A"/>
    <w:rsid w:val="00566107"/>
    <w:rsid w:val="005673D6"/>
    <w:rsid w:val="00567C3E"/>
    <w:rsid w:val="00571102"/>
    <w:rsid w:val="0057166E"/>
    <w:rsid w:val="00571C4E"/>
    <w:rsid w:val="00572EFC"/>
    <w:rsid w:val="00573A2A"/>
    <w:rsid w:val="00574CA4"/>
    <w:rsid w:val="0057670B"/>
    <w:rsid w:val="00576C69"/>
    <w:rsid w:val="005779C3"/>
    <w:rsid w:val="005804DC"/>
    <w:rsid w:val="00580C8B"/>
    <w:rsid w:val="00581D41"/>
    <w:rsid w:val="005823A8"/>
    <w:rsid w:val="005831EE"/>
    <w:rsid w:val="00583CA9"/>
    <w:rsid w:val="00583E27"/>
    <w:rsid w:val="005848BE"/>
    <w:rsid w:val="005849B6"/>
    <w:rsid w:val="00584A53"/>
    <w:rsid w:val="00585384"/>
    <w:rsid w:val="00586BFC"/>
    <w:rsid w:val="00587341"/>
    <w:rsid w:val="00587F37"/>
    <w:rsid w:val="005903A1"/>
    <w:rsid w:val="00590A90"/>
    <w:rsid w:val="00590DE2"/>
    <w:rsid w:val="00590DF6"/>
    <w:rsid w:val="00591412"/>
    <w:rsid w:val="00591E2F"/>
    <w:rsid w:val="00592277"/>
    <w:rsid w:val="0059230F"/>
    <w:rsid w:val="0059239A"/>
    <w:rsid w:val="00592CC8"/>
    <w:rsid w:val="005943D6"/>
    <w:rsid w:val="005954C2"/>
    <w:rsid w:val="005956A1"/>
    <w:rsid w:val="00595C1B"/>
    <w:rsid w:val="00595F69"/>
    <w:rsid w:val="005975D5"/>
    <w:rsid w:val="005975F2"/>
    <w:rsid w:val="005A0375"/>
    <w:rsid w:val="005A03A0"/>
    <w:rsid w:val="005A08DB"/>
    <w:rsid w:val="005A0FC6"/>
    <w:rsid w:val="005A136C"/>
    <w:rsid w:val="005A1D6B"/>
    <w:rsid w:val="005A2055"/>
    <w:rsid w:val="005A30B8"/>
    <w:rsid w:val="005A35D2"/>
    <w:rsid w:val="005A527E"/>
    <w:rsid w:val="005A58B8"/>
    <w:rsid w:val="005A5D04"/>
    <w:rsid w:val="005A62B5"/>
    <w:rsid w:val="005A661A"/>
    <w:rsid w:val="005A690C"/>
    <w:rsid w:val="005A771C"/>
    <w:rsid w:val="005A79BB"/>
    <w:rsid w:val="005B05E8"/>
    <w:rsid w:val="005B1ADC"/>
    <w:rsid w:val="005B2052"/>
    <w:rsid w:val="005B22DC"/>
    <w:rsid w:val="005B243B"/>
    <w:rsid w:val="005B3697"/>
    <w:rsid w:val="005B3F83"/>
    <w:rsid w:val="005B42C5"/>
    <w:rsid w:val="005B5ACF"/>
    <w:rsid w:val="005B64D0"/>
    <w:rsid w:val="005B650C"/>
    <w:rsid w:val="005B67CC"/>
    <w:rsid w:val="005B6975"/>
    <w:rsid w:val="005B785E"/>
    <w:rsid w:val="005B7A64"/>
    <w:rsid w:val="005C04AF"/>
    <w:rsid w:val="005C1CEE"/>
    <w:rsid w:val="005C364A"/>
    <w:rsid w:val="005C3B84"/>
    <w:rsid w:val="005C3E31"/>
    <w:rsid w:val="005C46A4"/>
    <w:rsid w:val="005C501A"/>
    <w:rsid w:val="005C560B"/>
    <w:rsid w:val="005C56D4"/>
    <w:rsid w:val="005C6855"/>
    <w:rsid w:val="005C791D"/>
    <w:rsid w:val="005C7B13"/>
    <w:rsid w:val="005D06EA"/>
    <w:rsid w:val="005D0974"/>
    <w:rsid w:val="005D0B10"/>
    <w:rsid w:val="005D1893"/>
    <w:rsid w:val="005D1E96"/>
    <w:rsid w:val="005D26C9"/>
    <w:rsid w:val="005D3EC0"/>
    <w:rsid w:val="005D4F5B"/>
    <w:rsid w:val="005D4F61"/>
    <w:rsid w:val="005D5003"/>
    <w:rsid w:val="005D55EF"/>
    <w:rsid w:val="005D5AF6"/>
    <w:rsid w:val="005D5EB0"/>
    <w:rsid w:val="005D6911"/>
    <w:rsid w:val="005D6DEC"/>
    <w:rsid w:val="005E0654"/>
    <w:rsid w:val="005E0E71"/>
    <w:rsid w:val="005E22DF"/>
    <w:rsid w:val="005E2EEC"/>
    <w:rsid w:val="005E31BD"/>
    <w:rsid w:val="005E3845"/>
    <w:rsid w:val="005E62C4"/>
    <w:rsid w:val="005F0000"/>
    <w:rsid w:val="005F080E"/>
    <w:rsid w:val="005F0B07"/>
    <w:rsid w:val="005F1140"/>
    <w:rsid w:val="005F218E"/>
    <w:rsid w:val="005F3B73"/>
    <w:rsid w:val="005F3E2A"/>
    <w:rsid w:val="005F5BFA"/>
    <w:rsid w:val="005F61BE"/>
    <w:rsid w:val="005F6FD9"/>
    <w:rsid w:val="005F7296"/>
    <w:rsid w:val="00600458"/>
    <w:rsid w:val="006006A7"/>
    <w:rsid w:val="00600B94"/>
    <w:rsid w:val="00602F3E"/>
    <w:rsid w:val="00603B4A"/>
    <w:rsid w:val="006045B7"/>
    <w:rsid w:val="00604614"/>
    <w:rsid w:val="00604653"/>
    <w:rsid w:val="00604755"/>
    <w:rsid w:val="00605C52"/>
    <w:rsid w:val="00606056"/>
    <w:rsid w:val="00606D79"/>
    <w:rsid w:val="006070AD"/>
    <w:rsid w:val="006070BD"/>
    <w:rsid w:val="00611365"/>
    <w:rsid w:val="00611B85"/>
    <w:rsid w:val="00611C37"/>
    <w:rsid w:val="0061270D"/>
    <w:rsid w:val="0061293A"/>
    <w:rsid w:val="00613DC9"/>
    <w:rsid w:val="00613DF4"/>
    <w:rsid w:val="00613F8A"/>
    <w:rsid w:val="006143F2"/>
    <w:rsid w:val="0061491A"/>
    <w:rsid w:val="006157EC"/>
    <w:rsid w:val="00615990"/>
    <w:rsid w:val="006160F9"/>
    <w:rsid w:val="006161B8"/>
    <w:rsid w:val="00620B50"/>
    <w:rsid w:val="00620F16"/>
    <w:rsid w:val="0062128F"/>
    <w:rsid w:val="00621824"/>
    <w:rsid w:val="0062383E"/>
    <w:rsid w:val="00623A78"/>
    <w:rsid w:val="00623C80"/>
    <w:rsid w:val="006252BF"/>
    <w:rsid w:val="006259BB"/>
    <w:rsid w:val="006278E0"/>
    <w:rsid w:val="00627A03"/>
    <w:rsid w:val="00627C39"/>
    <w:rsid w:val="00627CBD"/>
    <w:rsid w:val="0063098F"/>
    <w:rsid w:val="00630C6D"/>
    <w:rsid w:val="0063107A"/>
    <w:rsid w:val="0063137F"/>
    <w:rsid w:val="00632906"/>
    <w:rsid w:val="00633F55"/>
    <w:rsid w:val="006353CE"/>
    <w:rsid w:val="006357FC"/>
    <w:rsid w:val="00635F6B"/>
    <w:rsid w:val="00636721"/>
    <w:rsid w:val="00636A46"/>
    <w:rsid w:val="00636BDD"/>
    <w:rsid w:val="00637454"/>
    <w:rsid w:val="00640D6B"/>
    <w:rsid w:val="0064125E"/>
    <w:rsid w:val="006413A9"/>
    <w:rsid w:val="006415D0"/>
    <w:rsid w:val="006419D2"/>
    <w:rsid w:val="00642C63"/>
    <w:rsid w:val="00642CA6"/>
    <w:rsid w:val="0064359D"/>
    <w:rsid w:val="0064387E"/>
    <w:rsid w:val="00644175"/>
    <w:rsid w:val="00644D28"/>
    <w:rsid w:val="00644ECA"/>
    <w:rsid w:val="006458DF"/>
    <w:rsid w:val="00646342"/>
    <w:rsid w:val="006502D5"/>
    <w:rsid w:val="00650F06"/>
    <w:rsid w:val="00650FAE"/>
    <w:rsid w:val="00651124"/>
    <w:rsid w:val="006511DB"/>
    <w:rsid w:val="0065362C"/>
    <w:rsid w:val="0065382F"/>
    <w:rsid w:val="00654721"/>
    <w:rsid w:val="0065507E"/>
    <w:rsid w:val="006554CC"/>
    <w:rsid w:val="0065572F"/>
    <w:rsid w:val="00656DB9"/>
    <w:rsid w:val="00661E73"/>
    <w:rsid w:val="00662093"/>
    <w:rsid w:val="00662440"/>
    <w:rsid w:val="00663ADB"/>
    <w:rsid w:val="00663D02"/>
    <w:rsid w:val="00664708"/>
    <w:rsid w:val="00664C55"/>
    <w:rsid w:val="00664E91"/>
    <w:rsid w:val="00665E52"/>
    <w:rsid w:val="006678D6"/>
    <w:rsid w:val="00670A0C"/>
    <w:rsid w:val="006710C8"/>
    <w:rsid w:val="00671607"/>
    <w:rsid w:val="00671E33"/>
    <w:rsid w:val="0067220B"/>
    <w:rsid w:val="00672A40"/>
    <w:rsid w:val="00672D66"/>
    <w:rsid w:val="00672D8F"/>
    <w:rsid w:val="0067419F"/>
    <w:rsid w:val="0067493E"/>
    <w:rsid w:val="00674F52"/>
    <w:rsid w:val="0067563C"/>
    <w:rsid w:val="0067665A"/>
    <w:rsid w:val="00676A23"/>
    <w:rsid w:val="00677830"/>
    <w:rsid w:val="00677F56"/>
    <w:rsid w:val="00677FC4"/>
    <w:rsid w:val="006823C0"/>
    <w:rsid w:val="00682710"/>
    <w:rsid w:val="00682726"/>
    <w:rsid w:val="0068290D"/>
    <w:rsid w:val="0068335C"/>
    <w:rsid w:val="00683430"/>
    <w:rsid w:val="00683443"/>
    <w:rsid w:val="00683D03"/>
    <w:rsid w:val="006847B1"/>
    <w:rsid w:val="00685A18"/>
    <w:rsid w:val="00685B98"/>
    <w:rsid w:val="00685E90"/>
    <w:rsid w:val="00686054"/>
    <w:rsid w:val="00690084"/>
    <w:rsid w:val="00691862"/>
    <w:rsid w:val="0069273B"/>
    <w:rsid w:val="0069329C"/>
    <w:rsid w:val="00693A33"/>
    <w:rsid w:val="00693B9E"/>
    <w:rsid w:val="00693BAD"/>
    <w:rsid w:val="00695296"/>
    <w:rsid w:val="00696707"/>
    <w:rsid w:val="006A0077"/>
    <w:rsid w:val="006A0683"/>
    <w:rsid w:val="006A3054"/>
    <w:rsid w:val="006A4447"/>
    <w:rsid w:val="006A4E52"/>
    <w:rsid w:val="006A5861"/>
    <w:rsid w:val="006A5FE7"/>
    <w:rsid w:val="006A6BA9"/>
    <w:rsid w:val="006B068D"/>
    <w:rsid w:val="006B0D75"/>
    <w:rsid w:val="006B1486"/>
    <w:rsid w:val="006B1866"/>
    <w:rsid w:val="006B24CE"/>
    <w:rsid w:val="006B251C"/>
    <w:rsid w:val="006B3F8D"/>
    <w:rsid w:val="006B409C"/>
    <w:rsid w:val="006B540E"/>
    <w:rsid w:val="006B57B6"/>
    <w:rsid w:val="006B598F"/>
    <w:rsid w:val="006B5C93"/>
    <w:rsid w:val="006B60B7"/>
    <w:rsid w:val="006B6313"/>
    <w:rsid w:val="006B6C94"/>
    <w:rsid w:val="006B770E"/>
    <w:rsid w:val="006C0E97"/>
    <w:rsid w:val="006C163E"/>
    <w:rsid w:val="006C1C75"/>
    <w:rsid w:val="006C1F75"/>
    <w:rsid w:val="006C30C0"/>
    <w:rsid w:val="006C3934"/>
    <w:rsid w:val="006C3E7E"/>
    <w:rsid w:val="006C539C"/>
    <w:rsid w:val="006C5897"/>
    <w:rsid w:val="006C5921"/>
    <w:rsid w:val="006C676C"/>
    <w:rsid w:val="006C6A17"/>
    <w:rsid w:val="006C6BED"/>
    <w:rsid w:val="006C6E5D"/>
    <w:rsid w:val="006C70FF"/>
    <w:rsid w:val="006C74B9"/>
    <w:rsid w:val="006C7907"/>
    <w:rsid w:val="006D05E6"/>
    <w:rsid w:val="006D095D"/>
    <w:rsid w:val="006D1218"/>
    <w:rsid w:val="006D23A4"/>
    <w:rsid w:val="006D440D"/>
    <w:rsid w:val="006D47EF"/>
    <w:rsid w:val="006D565C"/>
    <w:rsid w:val="006D63F5"/>
    <w:rsid w:val="006D6447"/>
    <w:rsid w:val="006D6929"/>
    <w:rsid w:val="006D6BA9"/>
    <w:rsid w:val="006D6F07"/>
    <w:rsid w:val="006D70D5"/>
    <w:rsid w:val="006E03FC"/>
    <w:rsid w:val="006E08DA"/>
    <w:rsid w:val="006E1668"/>
    <w:rsid w:val="006E2A47"/>
    <w:rsid w:val="006E45F4"/>
    <w:rsid w:val="006E521E"/>
    <w:rsid w:val="006E5BD2"/>
    <w:rsid w:val="006E5E1C"/>
    <w:rsid w:val="006E73F0"/>
    <w:rsid w:val="006E7719"/>
    <w:rsid w:val="006E7E3F"/>
    <w:rsid w:val="006F09DC"/>
    <w:rsid w:val="006F0AFD"/>
    <w:rsid w:val="006F2B8E"/>
    <w:rsid w:val="006F2DC5"/>
    <w:rsid w:val="006F2F5E"/>
    <w:rsid w:val="006F3C19"/>
    <w:rsid w:val="006F466C"/>
    <w:rsid w:val="006F5A94"/>
    <w:rsid w:val="006F5FF4"/>
    <w:rsid w:val="006F71F5"/>
    <w:rsid w:val="006F737E"/>
    <w:rsid w:val="006F7629"/>
    <w:rsid w:val="007000F2"/>
    <w:rsid w:val="007007C5"/>
    <w:rsid w:val="00700B60"/>
    <w:rsid w:val="007010D9"/>
    <w:rsid w:val="0070173B"/>
    <w:rsid w:val="00701C22"/>
    <w:rsid w:val="007022DB"/>
    <w:rsid w:val="00702840"/>
    <w:rsid w:val="007031C3"/>
    <w:rsid w:val="00703577"/>
    <w:rsid w:val="007039C8"/>
    <w:rsid w:val="00703A66"/>
    <w:rsid w:val="00703A76"/>
    <w:rsid w:val="00703F7B"/>
    <w:rsid w:val="007043B4"/>
    <w:rsid w:val="00704A2D"/>
    <w:rsid w:val="00704BAD"/>
    <w:rsid w:val="00704C67"/>
    <w:rsid w:val="0070556D"/>
    <w:rsid w:val="00705FC8"/>
    <w:rsid w:val="00706DEF"/>
    <w:rsid w:val="00710D36"/>
    <w:rsid w:val="0071104D"/>
    <w:rsid w:val="007115AC"/>
    <w:rsid w:val="007115BF"/>
    <w:rsid w:val="007128CE"/>
    <w:rsid w:val="00713D64"/>
    <w:rsid w:val="00713D95"/>
    <w:rsid w:val="00713FD0"/>
    <w:rsid w:val="0071429E"/>
    <w:rsid w:val="00720558"/>
    <w:rsid w:val="007207F9"/>
    <w:rsid w:val="00720FBF"/>
    <w:rsid w:val="007211BB"/>
    <w:rsid w:val="00721B90"/>
    <w:rsid w:val="00721B9A"/>
    <w:rsid w:val="00722181"/>
    <w:rsid w:val="007224BD"/>
    <w:rsid w:val="00722A25"/>
    <w:rsid w:val="00723376"/>
    <w:rsid w:val="00724829"/>
    <w:rsid w:val="00726C93"/>
    <w:rsid w:val="007275B2"/>
    <w:rsid w:val="007279D0"/>
    <w:rsid w:val="00727FBE"/>
    <w:rsid w:val="007305B2"/>
    <w:rsid w:val="00730DAF"/>
    <w:rsid w:val="00732203"/>
    <w:rsid w:val="00732315"/>
    <w:rsid w:val="00732645"/>
    <w:rsid w:val="007326F7"/>
    <w:rsid w:val="00733DBD"/>
    <w:rsid w:val="00734751"/>
    <w:rsid w:val="007348E7"/>
    <w:rsid w:val="00734F6E"/>
    <w:rsid w:val="00735FE6"/>
    <w:rsid w:val="0073679D"/>
    <w:rsid w:val="00737435"/>
    <w:rsid w:val="00737D25"/>
    <w:rsid w:val="00737E3A"/>
    <w:rsid w:val="00740A3E"/>
    <w:rsid w:val="007415B4"/>
    <w:rsid w:val="0074170D"/>
    <w:rsid w:val="0074204A"/>
    <w:rsid w:val="00745AB8"/>
    <w:rsid w:val="00745F60"/>
    <w:rsid w:val="00746374"/>
    <w:rsid w:val="007468F3"/>
    <w:rsid w:val="00750097"/>
    <w:rsid w:val="007511B9"/>
    <w:rsid w:val="00751A02"/>
    <w:rsid w:val="00751A1C"/>
    <w:rsid w:val="007522F0"/>
    <w:rsid w:val="00752D36"/>
    <w:rsid w:val="00752D82"/>
    <w:rsid w:val="0075326F"/>
    <w:rsid w:val="007533A3"/>
    <w:rsid w:val="0075342B"/>
    <w:rsid w:val="00753D71"/>
    <w:rsid w:val="0075402E"/>
    <w:rsid w:val="007551B3"/>
    <w:rsid w:val="00755414"/>
    <w:rsid w:val="00755568"/>
    <w:rsid w:val="007561D6"/>
    <w:rsid w:val="007564CC"/>
    <w:rsid w:val="00756959"/>
    <w:rsid w:val="00757C2D"/>
    <w:rsid w:val="00757D0A"/>
    <w:rsid w:val="00760B98"/>
    <w:rsid w:val="007613F7"/>
    <w:rsid w:val="007625A8"/>
    <w:rsid w:val="00763E5D"/>
    <w:rsid w:val="0076482B"/>
    <w:rsid w:val="00764F0E"/>
    <w:rsid w:val="00765711"/>
    <w:rsid w:val="00766A82"/>
    <w:rsid w:val="0076712F"/>
    <w:rsid w:val="007705BB"/>
    <w:rsid w:val="007726C1"/>
    <w:rsid w:val="00773B7A"/>
    <w:rsid w:val="00774841"/>
    <w:rsid w:val="00775EDD"/>
    <w:rsid w:val="00775F41"/>
    <w:rsid w:val="007768F9"/>
    <w:rsid w:val="00776DD8"/>
    <w:rsid w:val="00776ECA"/>
    <w:rsid w:val="00777B89"/>
    <w:rsid w:val="00780D3C"/>
    <w:rsid w:val="00781832"/>
    <w:rsid w:val="007823BA"/>
    <w:rsid w:val="00783466"/>
    <w:rsid w:val="0078589D"/>
    <w:rsid w:val="007868AA"/>
    <w:rsid w:val="007868F8"/>
    <w:rsid w:val="0078740A"/>
    <w:rsid w:val="007901BA"/>
    <w:rsid w:val="007916F7"/>
    <w:rsid w:val="00792440"/>
    <w:rsid w:val="00792FFA"/>
    <w:rsid w:val="00796340"/>
    <w:rsid w:val="0079774B"/>
    <w:rsid w:val="007A05AD"/>
    <w:rsid w:val="007A0D2A"/>
    <w:rsid w:val="007A21D1"/>
    <w:rsid w:val="007A2D34"/>
    <w:rsid w:val="007A35E7"/>
    <w:rsid w:val="007A36DB"/>
    <w:rsid w:val="007A5033"/>
    <w:rsid w:val="007A5F93"/>
    <w:rsid w:val="007A6D1F"/>
    <w:rsid w:val="007A7B25"/>
    <w:rsid w:val="007A7C09"/>
    <w:rsid w:val="007B1513"/>
    <w:rsid w:val="007B206D"/>
    <w:rsid w:val="007B2A0B"/>
    <w:rsid w:val="007B2D72"/>
    <w:rsid w:val="007B3237"/>
    <w:rsid w:val="007B3FE7"/>
    <w:rsid w:val="007B425F"/>
    <w:rsid w:val="007B5629"/>
    <w:rsid w:val="007B5BE5"/>
    <w:rsid w:val="007B5CF9"/>
    <w:rsid w:val="007B7C9B"/>
    <w:rsid w:val="007B7FD7"/>
    <w:rsid w:val="007C011E"/>
    <w:rsid w:val="007C048F"/>
    <w:rsid w:val="007C1330"/>
    <w:rsid w:val="007C18B8"/>
    <w:rsid w:val="007C1DB1"/>
    <w:rsid w:val="007C398E"/>
    <w:rsid w:val="007C46D9"/>
    <w:rsid w:val="007C4771"/>
    <w:rsid w:val="007C49FA"/>
    <w:rsid w:val="007C4CA2"/>
    <w:rsid w:val="007C58C0"/>
    <w:rsid w:val="007C6493"/>
    <w:rsid w:val="007C7374"/>
    <w:rsid w:val="007D04E8"/>
    <w:rsid w:val="007D0B20"/>
    <w:rsid w:val="007D0E6B"/>
    <w:rsid w:val="007D1D4B"/>
    <w:rsid w:val="007D1FA0"/>
    <w:rsid w:val="007D2A1A"/>
    <w:rsid w:val="007D2A57"/>
    <w:rsid w:val="007D355B"/>
    <w:rsid w:val="007D3A75"/>
    <w:rsid w:val="007D40C3"/>
    <w:rsid w:val="007D41D2"/>
    <w:rsid w:val="007D45C0"/>
    <w:rsid w:val="007D5749"/>
    <w:rsid w:val="007D5C79"/>
    <w:rsid w:val="007D7471"/>
    <w:rsid w:val="007E0B34"/>
    <w:rsid w:val="007E0F34"/>
    <w:rsid w:val="007E1E7E"/>
    <w:rsid w:val="007E29CC"/>
    <w:rsid w:val="007E2BB6"/>
    <w:rsid w:val="007E2D40"/>
    <w:rsid w:val="007E4CCA"/>
    <w:rsid w:val="007E6ECC"/>
    <w:rsid w:val="007E7C62"/>
    <w:rsid w:val="007F081B"/>
    <w:rsid w:val="007F08C8"/>
    <w:rsid w:val="007F0CAC"/>
    <w:rsid w:val="007F13EA"/>
    <w:rsid w:val="007F14F7"/>
    <w:rsid w:val="007F1B1D"/>
    <w:rsid w:val="007F2D67"/>
    <w:rsid w:val="007F34D3"/>
    <w:rsid w:val="007F3A48"/>
    <w:rsid w:val="007F3EA1"/>
    <w:rsid w:val="007F4007"/>
    <w:rsid w:val="007F43CE"/>
    <w:rsid w:val="007F5106"/>
    <w:rsid w:val="007F6152"/>
    <w:rsid w:val="007F75C0"/>
    <w:rsid w:val="007F7C30"/>
    <w:rsid w:val="007F7EC7"/>
    <w:rsid w:val="00800056"/>
    <w:rsid w:val="0080056C"/>
    <w:rsid w:val="008009D5"/>
    <w:rsid w:val="008010FD"/>
    <w:rsid w:val="00801BD5"/>
    <w:rsid w:val="008029E5"/>
    <w:rsid w:val="00802DC9"/>
    <w:rsid w:val="00803231"/>
    <w:rsid w:val="00803687"/>
    <w:rsid w:val="008037E6"/>
    <w:rsid w:val="008039AE"/>
    <w:rsid w:val="00804702"/>
    <w:rsid w:val="00805BDB"/>
    <w:rsid w:val="00805E73"/>
    <w:rsid w:val="00806AF4"/>
    <w:rsid w:val="00810053"/>
    <w:rsid w:val="00810874"/>
    <w:rsid w:val="00811123"/>
    <w:rsid w:val="00811316"/>
    <w:rsid w:val="00811638"/>
    <w:rsid w:val="008126DC"/>
    <w:rsid w:val="00812AA9"/>
    <w:rsid w:val="008140D4"/>
    <w:rsid w:val="00814AA2"/>
    <w:rsid w:val="008156D6"/>
    <w:rsid w:val="0081687B"/>
    <w:rsid w:val="00821459"/>
    <w:rsid w:val="008217EE"/>
    <w:rsid w:val="00821A39"/>
    <w:rsid w:val="008239D6"/>
    <w:rsid w:val="00823ACC"/>
    <w:rsid w:val="00824134"/>
    <w:rsid w:val="0082432F"/>
    <w:rsid w:val="00824429"/>
    <w:rsid w:val="008245BD"/>
    <w:rsid w:val="00824E8E"/>
    <w:rsid w:val="00824FA6"/>
    <w:rsid w:val="008252BE"/>
    <w:rsid w:val="00825383"/>
    <w:rsid w:val="008253A7"/>
    <w:rsid w:val="00826094"/>
    <w:rsid w:val="00827272"/>
    <w:rsid w:val="00827893"/>
    <w:rsid w:val="00827EEF"/>
    <w:rsid w:val="008307F8"/>
    <w:rsid w:val="00830C7E"/>
    <w:rsid w:val="00831305"/>
    <w:rsid w:val="008316A0"/>
    <w:rsid w:val="00831D20"/>
    <w:rsid w:val="00833451"/>
    <w:rsid w:val="008339BD"/>
    <w:rsid w:val="00833F2C"/>
    <w:rsid w:val="00833F42"/>
    <w:rsid w:val="0083435C"/>
    <w:rsid w:val="00834CFF"/>
    <w:rsid w:val="00834EF0"/>
    <w:rsid w:val="00835118"/>
    <w:rsid w:val="0083593E"/>
    <w:rsid w:val="00835A89"/>
    <w:rsid w:val="00835D3F"/>
    <w:rsid w:val="0083608A"/>
    <w:rsid w:val="00836BE9"/>
    <w:rsid w:val="00836F2A"/>
    <w:rsid w:val="00837311"/>
    <w:rsid w:val="008400DB"/>
    <w:rsid w:val="00840335"/>
    <w:rsid w:val="00840801"/>
    <w:rsid w:val="0084087B"/>
    <w:rsid w:val="00840961"/>
    <w:rsid w:val="00840ACA"/>
    <w:rsid w:val="0084130E"/>
    <w:rsid w:val="0084144B"/>
    <w:rsid w:val="0084185F"/>
    <w:rsid w:val="00841A11"/>
    <w:rsid w:val="008438E0"/>
    <w:rsid w:val="00844406"/>
    <w:rsid w:val="0084492C"/>
    <w:rsid w:val="008458E2"/>
    <w:rsid w:val="00845C5B"/>
    <w:rsid w:val="0084644E"/>
    <w:rsid w:val="008472C5"/>
    <w:rsid w:val="00847378"/>
    <w:rsid w:val="00847555"/>
    <w:rsid w:val="00847B99"/>
    <w:rsid w:val="00850050"/>
    <w:rsid w:val="00850ED4"/>
    <w:rsid w:val="0085405A"/>
    <w:rsid w:val="0085438A"/>
    <w:rsid w:val="00855E77"/>
    <w:rsid w:val="00856359"/>
    <w:rsid w:val="00856399"/>
    <w:rsid w:val="00856AD7"/>
    <w:rsid w:val="00857041"/>
    <w:rsid w:val="0085705A"/>
    <w:rsid w:val="0085725D"/>
    <w:rsid w:val="00860831"/>
    <w:rsid w:val="0086120B"/>
    <w:rsid w:val="0086140E"/>
    <w:rsid w:val="00861926"/>
    <w:rsid w:val="00862939"/>
    <w:rsid w:val="00863E3F"/>
    <w:rsid w:val="00864338"/>
    <w:rsid w:val="008645A8"/>
    <w:rsid w:val="00864921"/>
    <w:rsid w:val="0086655E"/>
    <w:rsid w:val="00866622"/>
    <w:rsid w:val="008666E3"/>
    <w:rsid w:val="0086719F"/>
    <w:rsid w:val="00870DB3"/>
    <w:rsid w:val="0087129C"/>
    <w:rsid w:val="00871329"/>
    <w:rsid w:val="00875280"/>
    <w:rsid w:val="008754B9"/>
    <w:rsid w:val="0087608B"/>
    <w:rsid w:val="0087752A"/>
    <w:rsid w:val="0088263E"/>
    <w:rsid w:val="00882996"/>
    <w:rsid w:val="008832FB"/>
    <w:rsid w:val="0088367D"/>
    <w:rsid w:val="00883AE0"/>
    <w:rsid w:val="00884EB6"/>
    <w:rsid w:val="0088543F"/>
    <w:rsid w:val="00885F2D"/>
    <w:rsid w:val="008862AF"/>
    <w:rsid w:val="00886E12"/>
    <w:rsid w:val="00887162"/>
    <w:rsid w:val="008871F6"/>
    <w:rsid w:val="008876AB"/>
    <w:rsid w:val="00887F5D"/>
    <w:rsid w:val="008922F0"/>
    <w:rsid w:val="008936F3"/>
    <w:rsid w:val="00894851"/>
    <w:rsid w:val="0089487C"/>
    <w:rsid w:val="00894921"/>
    <w:rsid w:val="0089503E"/>
    <w:rsid w:val="008968DE"/>
    <w:rsid w:val="00897387"/>
    <w:rsid w:val="008A034C"/>
    <w:rsid w:val="008A0484"/>
    <w:rsid w:val="008A0A1D"/>
    <w:rsid w:val="008A1358"/>
    <w:rsid w:val="008A2BC1"/>
    <w:rsid w:val="008A2C48"/>
    <w:rsid w:val="008A2D5F"/>
    <w:rsid w:val="008A43D1"/>
    <w:rsid w:val="008A544D"/>
    <w:rsid w:val="008A5EAC"/>
    <w:rsid w:val="008A63B9"/>
    <w:rsid w:val="008A71EF"/>
    <w:rsid w:val="008B1E07"/>
    <w:rsid w:val="008B28A3"/>
    <w:rsid w:val="008B2CE3"/>
    <w:rsid w:val="008B30E8"/>
    <w:rsid w:val="008B34E4"/>
    <w:rsid w:val="008B3672"/>
    <w:rsid w:val="008B417E"/>
    <w:rsid w:val="008B4A78"/>
    <w:rsid w:val="008B5919"/>
    <w:rsid w:val="008B5C6F"/>
    <w:rsid w:val="008B5E54"/>
    <w:rsid w:val="008B5FC5"/>
    <w:rsid w:val="008B674D"/>
    <w:rsid w:val="008C1150"/>
    <w:rsid w:val="008C1261"/>
    <w:rsid w:val="008C2379"/>
    <w:rsid w:val="008C34B7"/>
    <w:rsid w:val="008C359B"/>
    <w:rsid w:val="008C3974"/>
    <w:rsid w:val="008C5ED7"/>
    <w:rsid w:val="008C65E6"/>
    <w:rsid w:val="008C6D6A"/>
    <w:rsid w:val="008C76D3"/>
    <w:rsid w:val="008C7CCD"/>
    <w:rsid w:val="008D0102"/>
    <w:rsid w:val="008D0FB0"/>
    <w:rsid w:val="008D36D3"/>
    <w:rsid w:val="008D4660"/>
    <w:rsid w:val="008D470F"/>
    <w:rsid w:val="008D51E8"/>
    <w:rsid w:val="008D5E4A"/>
    <w:rsid w:val="008D5E90"/>
    <w:rsid w:val="008D5ED8"/>
    <w:rsid w:val="008D5EE1"/>
    <w:rsid w:val="008D5FA6"/>
    <w:rsid w:val="008D6544"/>
    <w:rsid w:val="008D66CE"/>
    <w:rsid w:val="008D6AE0"/>
    <w:rsid w:val="008D71DB"/>
    <w:rsid w:val="008D7906"/>
    <w:rsid w:val="008D7A0B"/>
    <w:rsid w:val="008D7BC6"/>
    <w:rsid w:val="008E0948"/>
    <w:rsid w:val="008E0A24"/>
    <w:rsid w:val="008E0C39"/>
    <w:rsid w:val="008E104B"/>
    <w:rsid w:val="008E2207"/>
    <w:rsid w:val="008E2823"/>
    <w:rsid w:val="008E315F"/>
    <w:rsid w:val="008E34C1"/>
    <w:rsid w:val="008E4E40"/>
    <w:rsid w:val="008E664C"/>
    <w:rsid w:val="008E72FC"/>
    <w:rsid w:val="008E74D5"/>
    <w:rsid w:val="008E7968"/>
    <w:rsid w:val="008F0298"/>
    <w:rsid w:val="008F23AC"/>
    <w:rsid w:val="008F28CC"/>
    <w:rsid w:val="008F3155"/>
    <w:rsid w:val="008F3805"/>
    <w:rsid w:val="008F5A82"/>
    <w:rsid w:val="008F5B7B"/>
    <w:rsid w:val="008F6073"/>
    <w:rsid w:val="008F669E"/>
    <w:rsid w:val="008F734A"/>
    <w:rsid w:val="008F7723"/>
    <w:rsid w:val="008F7761"/>
    <w:rsid w:val="008F77C7"/>
    <w:rsid w:val="009006C7"/>
    <w:rsid w:val="00900E89"/>
    <w:rsid w:val="009019AF"/>
    <w:rsid w:val="00902D65"/>
    <w:rsid w:val="00903724"/>
    <w:rsid w:val="009038A8"/>
    <w:rsid w:val="00903C57"/>
    <w:rsid w:val="00903CAC"/>
    <w:rsid w:val="009047F2"/>
    <w:rsid w:val="0090619E"/>
    <w:rsid w:val="009065E8"/>
    <w:rsid w:val="009068AA"/>
    <w:rsid w:val="009071FC"/>
    <w:rsid w:val="009104C5"/>
    <w:rsid w:val="00910512"/>
    <w:rsid w:val="00910DA1"/>
    <w:rsid w:val="00910E35"/>
    <w:rsid w:val="00911DF9"/>
    <w:rsid w:val="009125B6"/>
    <w:rsid w:val="0091267C"/>
    <w:rsid w:val="00913016"/>
    <w:rsid w:val="0091338A"/>
    <w:rsid w:val="00913AEC"/>
    <w:rsid w:val="00913B36"/>
    <w:rsid w:val="009150C7"/>
    <w:rsid w:val="00917C1E"/>
    <w:rsid w:val="009200F8"/>
    <w:rsid w:val="00920E40"/>
    <w:rsid w:val="0092124E"/>
    <w:rsid w:val="009219C3"/>
    <w:rsid w:val="0092304F"/>
    <w:rsid w:val="00923DCE"/>
    <w:rsid w:val="0092514F"/>
    <w:rsid w:val="00927498"/>
    <w:rsid w:val="009274CC"/>
    <w:rsid w:val="009300FB"/>
    <w:rsid w:val="009304CA"/>
    <w:rsid w:val="00931352"/>
    <w:rsid w:val="0093157F"/>
    <w:rsid w:val="0093217F"/>
    <w:rsid w:val="00932555"/>
    <w:rsid w:val="00932B55"/>
    <w:rsid w:val="0093369B"/>
    <w:rsid w:val="00933753"/>
    <w:rsid w:val="00933B80"/>
    <w:rsid w:val="00934092"/>
    <w:rsid w:val="009356C9"/>
    <w:rsid w:val="009362BA"/>
    <w:rsid w:val="0093700D"/>
    <w:rsid w:val="00937253"/>
    <w:rsid w:val="00937642"/>
    <w:rsid w:val="00937652"/>
    <w:rsid w:val="0093772F"/>
    <w:rsid w:val="00941846"/>
    <w:rsid w:val="00942F7A"/>
    <w:rsid w:val="009436EB"/>
    <w:rsid w:val="00943CC4"/>
    <w:rsid w:val="009445E9"/>
    <w:rsid w:val="0094571B"/>
    <w:rsid w:val="00945A97"/>
    <w:rsid w:val="00945BB4"/>
    <w:rsid w:val="00945D03"/>
    <w:rsid w:val="00946694"/>
    <w:rsid w:val="0094786E"/>
    <w:rsid w:val="009504DA"/>
    <w:rsid w:val="0095051C"/>
    <w:rsid w:val="0095060E"/>
    <w:rsid w:val="009513B4"/>
    <w:rsid w:val="00951B90"/>
    <w:rsid w:val="00952671"/>
    <w:rsid w:val="009537B5"/>
    <w:rsid w:val="00953C93"/>
    <w:rsid w:val="009540C1"/>
    <w:rsid w:val="009544B2"/>
    <w:rsid w:val="00954AA6"/>
    <w:rsid w:val="00955ACC"/>
    <w:rsid w:val="00956999"/>
    <w:rsid w:val="00957F2F"/>
    <w:rsid w:val="00960CBE"/>
    <w:rsid w:val="0096165B"/>
    <w:rsid w:val="00962D9A"/>
    <w:rsid w:val="00963284"/>
    <w:rsid w:val="009644F5"/>
    <w:rsid w:val="00964A72"/>
    <w:rsid w:val="00965A48"/>
    <w:rsid w:val="0096617C"/>
    <w:rsid w:val="0096799E"/>
    <w:rsid w:val="00967CD3"/>
    <w:rsid w:val="00967E9D"/>
    <w:rsid w:val="00970615"/>
    <w:rsid w:val="009711C5"/>
    <w:rsid w:val="00972A01"/>
    <w:rsid w:val="00972B87"/>
    <w:rsid w:val="009738DD"/>
    <w:rsid w:val="00977337"/>
    <w:rsid w:val="00977BEF"/>
    <w:rsid w:val="00977C10"/>
    <w:rsid w:val="00977CDD"/>
    <w:rsid w:val="00980990"/>
    <w:rsid w:val="00980C21"/>
    <w:rsid w:val="0098252A"/>
    <w:rsid w:val="009825FD"/>
    <w:rsid w:val="0098284E"/>
    <w:rsid w:val="00982EAB"/>
    <w:rsid w:val="00983E70"/>
    <w:rsid w:val="00984542"/>
    <w:rsid w:val="00985468"/>
    <w:rsid w:val="00986AD6"/>
    <w:rsid w:val="0098778D"/>
    <w:rsid w:val="009878AC"/>
    <w:rsid w:val="00987CB3"/>
    <w:rsid w:val="00991724"/>
    <w:rsid w:val="009917C1"/>
    <w:rsid w:val="00991F3F"/>
    <w:rsid w:val="00992387"/>
    <w:rsid w:val="00992624"/>
    <w:rsid w:val="009926A3"/>
    <w:rsid w:val="009927C9"/>
    <w:rsid w:val="00993520"/>
    <w:rsid w:val="009937FF"/>
    <w:rsid w:val="009956B3"/>
    <w:rsid w:val="00996758"/>
    <w:rsid w:val="009A040E"/>
    <w:rsid w:val="009A2A18"/>
    <w:rsid w:val="009A3ED5"/>
    <w:rsid w:val="009A463D"/>
    <w:rsid w:val="009A4B3E"/>
    <w:rsid w:val="009A4FD4"/>
    <w:rsid w:val="009A4FEB"/>
    <w:rsid w:val="009A539E"/>
    <w:rsid w:val="009A6E3E"/>
    <w:rsid w:val="009A79A2"/>
    <w:rsid w:val="009B0D6C"/>
    <w:rsid w:val="009B10E1"/>
    <w:rsid w:val="009B13A5"/>
    <w:rsid w:val="009B1AB6"/>
    <w:rsid w:val="009B1E21"/>
    <w:rsid w:val="009B27EF"/>
    <w:rsid w:val="009B435A"/>
    <w:rsid w:val="009B4FAD"/>
    <w:rsid w:val="009B6098"/>
    <w:rsid w:val="009B62D5"/>
    <w:rsid w:val="009B6495"/>
    <w:rsid w:val="009B6949"/>
    <w:rsid w:val="009B7127"/>
    <w:rsid w:val="009B7616"/>
    <w:rsid w:val="009C0CCA"/>
    <w:rsid w:val="009C0F45"/>
    <w:rsid w:val="009C170A"/>
    <w:rsid w:val="009C1D43"/>
    <w:rsid w:val="009C2430"/>
    <w:rsid w:val="009C2D65"/>
    <w:rsid w:val="009C2F75"/>
    <w:rsid w:val="009C32F8"/>
    <w:rsid w:val="009C3449"/>
    <w:rsid w:val="009C371D"/>
    <w:rsid w:val="009C391D"/>
    <w:rsid w:val="009C4329"/>
    <w:rsid w:val="009C48A5"/>
    <w:rsid w:val="009C535F"/>
    <w:rsid w:val="009C55EF"/>
    <w:rsid w:val="009C5AF6"/>
    <w:rsid w:val="009C6110"/>
    <w:rsid w:val="009C612F"/>
    <w:rsid w:val="009C62F0"/>
    <w:rsid w:val="009C715B"/>
    <w:rsid w:val="009D0C42"/>
    <w:rsid w:val="009D0D48"/>
    <w:rsid w:val="009D0EA4"/>
    <w:rsid w:val="009D0FBA"/>
    <w:rsid w:val="009D2383"/>
    <w:rsid w:val="009D286A"/>
    <w:rsid w:val="009D3D43"/>
    <w:rsid w:val="009D461E"/>
    <w:rsid w:val="009D4B60"/>
    <w:rsid w:val="009D4F87"/>
    <w:rsid w:val="009D7AA9"/>
    <w:rsid w:val="009E05CD"/>
    <w:rsid w:val="009E0B78"/>
    <w:rsid w:val="009E0F20"/>
    <w:rsid w:val="009E2176"/>
    <w:rsid w:val="009E234B"/>
    <w:rsid w:val="009E3DFE"/>
    <w:rsid w:val="009E43A7"/>
    <w:rsid w:val="009E4A06"/>
    <w:rsid w:val="009E4A43"/>
    <w:rsid w:val="009E4E34"/>
    <w:rsid w:val="009E5DBD"/>
    <w:rsid w:val="009E6EB4"/>
    <w:rsid w:val="009E6FE4"/>
    <w:rsid w:val="009F090F"/>
    <w:rsid w:val="009F2120"/>
    <w:rsid w:val="009F2CE3"/>
    <w:rsid w:val="009F3B17"/>
    <w:rsid w:val="009F51C4"/>
    <w:rsid w:val="009F696E"/>
    <w:rsid w:val="009F6975"/>
    <w:rsid w:val="009F69F2"/>
    <w:rsid w:val="00A0154F"/>
    <w:rsid w:val="00A01CCF"/>
    <w:rsid w:val="00A02F52"/>
    <w:rsid w:val="00A03426"/>
    <w:rsid w:val="00A03462"/>
    <w:rsid w:val="00A03E49"/>
    <w:rsid w:val="00A0573C"/>
    <w:rsid w:val="00A06438"/>
    <w:rsid w:val="00A069E9"/>
    <w:rsid w:val="00A073C9"/>
    <w:rsid w:val="00A07646"/>
    <w:rsid w:val="00A07DFD"/>
    <w:rsid w:val="00A11A1B"/>
    <w:rsid w:val="00A13858"/>
    <w:rsid w:val="00A140BE"/>
    <w:rsid w:val="00A14271"/>
    <w:rsid w:val="00A14C73"/>
    <w:rsid w:val="00A15F2E"/>
    <w:rsid w:val="00A16951"/>
    <w:rsid w:val="00A16FBF"/>
    <w:rsid w:val="00A2023A"/>
    <w:rsid w:val="00A2034B"/>
    <w:rsid w:val="00A219D4"/>
    <w:rsid w:val="00A226D3"/>
    <w:rsid w:val="00A229F2"/>
    <w:rsid w:val="00A2305F"/>
    <w:rsid w:val="00A23664"/>
    <w:rsid w:val="00A23A85"/>
    <w:rsid w:val="00A24270"/>
    <w:rsid w:val="00A24917"/>
    <w:rsid w:val="00A251EC"/>
    <w:rsid w:val="00A26272"/>
    <w:rsid w:val="00A30F95"/>
    <w:rsid w:val="00A3112D"/>
    <w:rsid w:val="00A31275"/>
    <w:rsid w:val="00A318A3"/>
    <w:rsid w:val="00A32370"/>
    <w:rsid w:val="00A32CB0"/>
    <w:rsid w:val="00A33491"/>
    <w:rsid w:val="00A33757"/>
    <w:rsid w:val="00A3436E"/>
    <w:rsid w:val="00A34B43"/>
    <w:rsid w:val="00A350CC"/>
    <w:rsid w:val="00A373BA"/>
    <w:rsid w:val="00A376C0"/>
    <w:rsid w:val="00A37CF6"/>
    <w:rsid w:val="00A40097"/>
    <w:rsid w:val="00A41685"/>
    <w:rsid w:val="00A43031"/>
    <w:rsid w:val="00A4312F"/>
    <w:rsid w:val="00A43CFA"/>
    <w:rsid w:val="00A45039"/>
    <w:rsid w:val="00A450B3"/>
    <w:rsid w:val="00A4521D"/>
    <w:rsid w:val="00A46A32"/>
    <w:rsid w:val="00A5035C"/>
    <w:rsid w:val="00A50C72"/>
    <w:rsid w:val="00A50CE0"/>
    <w:rsid w:val="00A50E75"/>
    <w:rsid w:val="00A51390"/>
    <w:rsid w:val="00A52895"/>
    <w:rsid w:val="00A52A87"/>
    <w:rsid w:val="00A52D83"/>
    <w:rsid w:val="00A53A68"/>
    <w:rsid w:val="00A54B09"/>
    <w:rsid w:val="00A55014"/>
    <w:rsid w:val="00A55D2C"/>
    <w:rsid w:val="00A5629D"/>
    <w:rsid w:val="00A56B7B"/>
    <w:rsid w:val="00A56C7D"/>
    <w:rsid w:val="00A60D68"/>
    <w:rsid w:val="00A61254"/>
    <w:rsid w:val="00A6178C"/>
    <w:rsid w:val="00A635DB"/>
    <w:rsid w:val="00A66074"/>
    <w:rsid w:val="00A666A5"/>
    <w:rsid w:val="00A702EA"/>
    <w:rsid w:val="00A7119C"/>
    <w:rsid w:val="00A71411"/>
    <w:rsid w:val="00A71421"/>
    <w:rsid w:val="00A71DF6"/>
    <w:rsid w:val="00A73C9C"/>
    <w:rsid w:val="00A74540"/>
    <w:rsid w:val="00A746EB"/>
    <w:rsid w:val="00A74E4A"/>
    <w:rsid w:val="00A750A3"/>
    <w:rsid w:val="00A75A6E"/>
    <w:rsid w:val="00A75FEE"/>
    <w:rsid w:val="00A75FFE"/>
    <w:rsid w:val="00A763F3"/>
    <w:rsid w:val="00A77AAB"/>
    <w:rsid w:val="00A77E9D"/>
    <w:rsid w:val="00A80031"/>
    <w:rsid w:val="00A80913"/>
    <w:rsid w:val="00A81685"/>
    <w:rsid w:val="00A81C9D"/>
    <w:rsid w:val="00A81E0C"/>
    <w:rsid w:val="00A82D98"/>
    <w:rsid w:val="00A834DA"/>
    <w:rsid w:val="00A8353E"/>
    <w:rsid w:val="00A83A76"/>
    <w:rsid w:val="00A84F3E"/>
    <w:rsid w:val="00A85595"/>
    <w:rsid w:val="00A86C0D"/>
    <w:rsid w:val="00A86F1D"/>
    <w:rsid w:val="00A878AB"/>
    <w:rsid w:val="00A901FF"/>
    <w:rsid w:val="00A90665"/>
    <w:rsid w:val="00A90990"/>
    <w:rsid w:val="00A92995"/>
    <w:rsid w:val="00A92C0E"/>
    <w:rsid w:val="00A933E2"/>
    <w:rsid w:val="00A95920"/>
    <w:rsid w:val="00A95BC7"/>
    <w:rsid w:val="00A95C82"/>
    <w:rsid w:val="00A95C99"/>
    <w:rsid w:val="00A95D9E"/>
    <w:rsid w:val="00A96654"/>
    <w:rsid w:val="00AA08BD"/>
    <w:rsid w:val="00AA1F6C"/>
    <w:rsid w:val="00AA2851"/>
    <w:rsid w:val="00AA4EFE"/>
    <w:rsid w:val="00AA5FA2"/>
    <w:rsid w:val="00AA6293"/>
    <w:rsid w:val="00AA63C6"/>
    <w:rsid w:val="00AB1E7F"/>
    <w:rsid w:val="00AB2E64"/>
    <w:rsid w:val="00AB3CFC"/>
    <w:rsid w:val="00AB4B00"/>
    <w:rsid w:val="00AB4D2A"/>
    <w:rsid w:val="00AB5D6C"/>
    <w:rsid w:val="00AB6DF3"/>
    <w:rsid w:val="00AB6E42"/>
    <w:rsid w:val="00AC11D3"/>
    <w:rsid w:val="00AC136B"/>
    <w:rsid w:val="00AC1BE4"/>
    <w:rsid w:val="00AC1EDB"/>
    <w:rsid w:val="00AC322B"/>
    <w:rsid w:val="00AC3253"/>
    <w:rsid w:val="00AC4E57"/>
    <w:rsid w:val="00AC532F"/>
    <w:rsid w:val="00AC5F47"/>
    <w:rsid w:val="00AC65B4"/>
    <w:rsid w:val="00AC675E"/>
    <w:rsid w:val="00AC6A00"/>
    <w:rsid w:val="00AC77A7"/>
    <w:rsid w:val="00AC7AD1"/>
    <w:rsid w:val="00AD0BAD"/>
    <w:rsid w:val="00AD1041"/>
    <w:rsid w:val="00AD1420"/>
    <w:rsid w:val="00AD1FDA"/>
    <w:rsid w:val="00AD31C7"/>
    <w:rsid w:val="00AD42DC"/>
    <w:rsid w:val="00AD462A"/>
    <w:rsid w:val="00AD551C"/>
    <w:rsid w:val="00AD5CCE"/>
    <w:rsid w:val="00AD6790"/>
    <w:rsid w:val="00AD6BB5"/>
    <w:rsid w:val="00AD6C74"/>
    <w:rsid w:val="00AD716E"/>
    <w:rsid w:val="00AD71D4"/>
    <w:rsid w:val="00AD7C3C"/>
    <w:rsid w:val="00AD7F4D"/>
    <w:rsid w:val="00AE0A86"/>
    <w:rsid w:val="00AE0AF9"/>
    <w:rsid w:val="00AE0CAA"/>
    <w:rsid w:val="00AE112D"/>
    <w:rsid w:val="00AE130E"/>
    <w:rsid w:val="00AE29A9"/>
    <w:rsid w:val="00AE337F"/>
    <w:rsid w:val="00AE39B1"/>
    <w:rsid w:val="00AE3BBC"/>
    <w:rsid w:val="00AE3E68"/>
    <w:rsid w:val="00AE437A"/>
    <w:rsid w:val="00AE4828"/>
    <w:rsid w:val="00AE49C0"/>
    <w:rsid w:val="00AE4F2B"/>
    <w:rsid w:val="00AE57CF"/>
    <w:rsid w:val="00AE5D29"/>
    <w:rsid w:val="00AE60BB"/>
    <w:rsid w:val="00AE69AE"/>
    <w:rsid w:val="00AE6BED"/>
    <w:rsid w:val="00AE6EB9"/>
    <w:rsid w:val="00AE6EE6"/>
    <w:rsid w:val="00AE70BC"/>
    <w:rsid w:val="00AE70C8"/>
    <w:rsid w:val="00AF2F82"/>
    <w:rsid w:val="00AF3003"/>
    <w:rsid w:val="00AF3C69"/>
    <w:rsid w:val="00AF405A"/>
    <w:rsid w:val="00AF4602"/>
    <w:rsid w:val="00AF4C58"/>
    <w:rsid w:val="00AF5010"/>
    <w:rsid w:val="00AF5953"/>
    <w:rsid w:val="00AF77BB"/>
    <w:rsid w:val="00B0001C"/>
    <w:rsid w:val="00B00848"/>
    <w:rsid w:val="00B00F1E"/>
    <w:rsid w:val="00B01DAF"/>
    <w:rsid w:val="00B01F42"/>
    <w:rsid w:val="00B024D4"/>
    <w:rsid w:val="00B027AA"/>
    <w:rsid w:val="00B035CF"/>
    <w:rsid w:val="00B03774"/>
    <w:rsid w:val="00B0534E"/>
    <w:rsid w:val="00B0541F"/>
    <w:rsid w:val="00B06799"/>
    <w:rsid w:val="00B067CC"/>
    <w:rsid w:val="00B1006C"/>
    <w:rsid w:val="00B10179"/>
    <w:rsid w:val="00B1017B"/>
    <w:rsid w:val="00B10E00"/>
    <w:rsid w:val="00B1130E"/>
    <w:rsid w:val="00B11771"/>
    <w:rsid w:val="00B11D28"/>
    <w:rsid w:val="00B12341"/>
    <w:rsid w:val="00B12426"/>
    <w:rsid w:val="00B136E2"/>
    <w:rsid w:val="00B13962"/>
    <w:rsid w:val="00B14015"/>
    <w:rsid w:val="00B14451"/>
    <w:rsid w:val="00B15296"/>
    <w:rsid w:val="00B159BB"/>
    <w:rsid w:val="00B16A8C"/>
    <w:rsid w:val="00B16D14"/>
    <w:rsid w:val="00B17174"/>
    <w:rsid w:val="00B17256"/>
    <w:rsid w:val="00B17F9B"/>
    <w:rsid w:val="00B20FA6"/>
    <w:rsid w:val="00B21227"/>
    <w:rsid w:val="00B21438"/>
    <w:rsid w:val="00B216A9"/>
    <w:rsid w:val="00B224A5"/>
    <w:rsid w:val="00B244FA"/>
    <w:rsid w:val="00B246B9"/>
    <w:rsid w:val="00B249B3"/>
    <w:rsid w:val="00B249F2"/>
    <w:rsid w:val="00B24A93"/>
    <w:rsid w:val="00B2514A"/>
    <w:rsid w:val="00B25D38"/>
    <w:rsid w:val="00B25FC6"/>
    <w:rsid w:val="00B33B0E"/>
    <w:rsid w:val="00B33C93"/>
    <w:rsid w:val="00B34169"/>
    <w:rsid w:val="00B34194"/>
    <w:rsid w:val="00B3518A"/>
    <w:rsid w:val="00B35B19"/>
    <w:rsid w:val="00B36EE7"/>
    <w:rsid w:val="00B376A8"/>
    <w:rsid w:val="00B3776A"/>
    <w:rsid w:val="00B407A4"/>
    <w:rsid w:val="00B40D65"/>
    <w:rsid w:val="00B4146C"/>
    <w:rsid w:val="00B43781"/>
    <w:rsid w:val="00B43FDA"/>
    <w:rsid w:val="00B4575A"/>
    <w:rsid w:val="00B45E50"/>
    <w:rsid w:val="00B46F82"/>
    <w:rsid w:val="00B46FC6"/>
    <w:rsid w:val="00B47019"/>
    <w:rsid w:val="00B47AD5"/>
    <w:rsid w:val="00B47D7B"/>
    <w:rsid w:val="00B502EE"/>
    <w:rsid w:val="00B50456"/>
    <w:rsid w:val="00B50E0D"/>
    <w:rsid w:val="00B519AD"/>
    <w:rsid w:val="00B52027"/>
    <w:rsid w:val="00B52AD2"/>
    <w:rsid w:val="00B52E21"/>
    <w:rsid w:val="00B53C9B"/>
    <w:rsid w:val="00B54155"/>
    <w:rsid w:val="00B5491E"/>
    <w:rsid w:val="00B54DC1"/>
    <w:rsid w:val="00B54E2B"/>
    <w:rsid w:val="00B5563C"/>
    <w:rsid w:val="00B5697C"/>
    <w:rsid w:val="00B574C1"/>
    <w:rsid w:val="00B576E9"/>
    <w:rsid w:val="00B57C93"/>
    <w:rsid w:val="00B60D72"/>
    <w:rsid w:val="00B60E77"/>
    <w:rsid w:val="00B61759"/>
    <w:rsid w:val="00B61B44"/>
    <w:rsid w:val="00B61E65"/>
    <w:rsid w:val="00B628C6"/>
    <w:rsid w:val="00B62A84"/>
    <w:rsid w:val="00B63AA9"/>
    <w:rsid w:val="00B643F9"/>
    <w:rsid w:val="00B64545"/>
    <w:rsid w:val="00B66199"/>
    <w:rsid w:val="00B66CBA"/>
    <w:rsid w:val="00B67828"/>
    <w:rsid w:val="00B67C65"/>
    <w:rsid w:val="00B67F23"/>
    <w:rsid w:val="00B70857"/>
    <w:rsid w:val="00B7089F"/>
    <w:rsid w:val="00B71501"/>
    <w:rsid w:val="00B716F8"/>
    <w:rsid w:val="00B71BB1"/>
    <w:rsid w:val="00B725A4"/>
    <w:rsid w:val="00B73B33"/>
    <w:rsid w:val="00B74460"/>
    <w:rsid w:val="00B7475C"/>
    <w:rsid w:val="00B74C7B"/>
    <w:rsid w:val="00B75BC6"/>
    <w:rsid w:val="00B773B5"/>
    <w:rsid w:val="00B77E3A"/>
    <w:rsid w:val="00B83508"/>
    <w:rsid w:val="00B8421A"/>
    <w:rsid w:val="00B84E90"/>
    <w:rsid w:val="00B87750"/>
    <w:rsid w:val="00B910D0"/>
    <w:rsid w:val="00B9135D"/>
    <w:rsid w:val="00B9136A"/>
    <w:rsid w:val="00B91459"/>
    <w:rsid w:val="00B91525"/>
    <w:rsid w:val="00B919D9"/>
    <w:rsid w:val="00B91D87"/>
    <w:rsid w:val="00B92F7A"/>
    <w:rsid w:val="00B93AFA"/>
    <w:rsid w:val="00B94C78"/>
    <w:rsid w:val="00B9508A"/>
    <w:rsid w:val="00B96589"/>
    <w:rsid w:val="00B965B4"/>
    <w:rsid w:val="00B96C55"/>
    <w:rsid w:val="00B976A7"/>
    <w:rsid w:val="00BA1D0E"/>
    <w:rsid w:val="00BA1F03"/>
    <w:rsid w:val="00BA22B7"/>
    <w:rsid w:val="00BA2A0F"/>
    <w:rsid w:val="00BA4768"/>
    <w:rsid w:val="00BA4826"/>
    <w:rsid w:val="00BA4918"/>
    <w:rsid w:val="00BA4B30"/>
    <w:rsid w:val="00BA5677"/>
    <w:rsid w:val="00BA5E7F"/>
    <w:rsid w:val="00BA6129"/>
    <w:rsid w:val="00BA64B5"/>
    <w:rsid w:val="00BA64DC"/>
    <w:rsid w:val="00BA72FE"/>
    <w:rsid w:val="00BA7459"/>
    <w:rsid w:val="00BB065C"/>
    <w:rsid w:val="00BB084A"/>
    <w:rsid w:val="00BB1115"/>
    <w:rsid w:val="00BB26A9"/>
    <w:rsid w:val="00BB2D9C"/>
    <w:rsid w:val="00BB43E1"/>
    <w:rsid w:val="00BB4AD4"/>
    <w:rsid w:val="00BB7C7A"/>
    <w:rsid w:val="00BC08B1"/>
    <w:rsid w:val="00BC0BAC"/>
    <w:rsid w:val="00BC120F"/>
    <w:rsid w:val="00BC1A58"/>
    <w:rsid w:val="00BC1DEB"/>
    <w:rsid w:val="00BC3ABF"/>
    <w:rsid w:val="00BC3B90"/>
    <w:rsid w:val="00BC46A6"/>
    <w:rsid w:val="00BC477D"/>
    <w:rsid w:val="00BC481D"/>
    <w:rsid w:val="00BC58F3"/>
    <w:rsid w:val="00BC5926"/>
    <w:rsid w:val="00BC61D3"/>
    <w:rsid w:val="00BC65ED"/>
    <w:rsid w:val="00BC6CC7"/>
    <w:rsid w:val="00BC7534"/>
    <w:rsid w:val="00BD00EE"/>
    <w:rsid w:val="00BD0789"/>
    <w:rsid w:val="00BD2369"/>
    <w:rsid w:val="00BD2BCE"/>
    <w:rsid w:val="00BD4341"/>
    <w:rsid w:val="00BD4964"/>
    <w:rsid w:val="00BD5AD0"/>
    <w:rsid w:val="00BD65B3"/>
    <w:rsid w:val="00BD65B9"/>
    <w:rsid w:val="00BD684C"/>
    <w:rsid w:val="00BD79C0"/>
    <w:rsid w:val="00BD7E67"/>
    <w:rsid w:val="00BE11FD"/>
    <w:rsid w:val="00BE131D"/>
    <w:rsid w:val="00BE1B54"/>
    <w:rsid w:val="00BE1C0C"/>
    <w:rsid w:val="00BE2611"/>
    <w:rsid w:val="00BE2D89"/>
    <w:rsid w:val="00BE3443"/>
    <w:rsid w:val="00BE389C"/>
    <w:rsid w:val="00BE5F2C"/>
    <w:rsid w:val="00BE667C"/>
    <w:rsid w:val="00BE6945"/>
    <w:rsid w:val="00BE6B02"/>
    <w:rsid w:val="00BE6FBE"/>
    <w:rsid w:val="00BE766D"/>
    <w:rsid w:val="00BE7780"/>
    <w:rsid w:val="00BF01B2"/>
    <w:rsid w:val="00BF1548"/>
    <w:rsid w:val="00BF32B7"/>
    <w:rsid w:val="00BF4384"/>
    <w:rsid w:val="00BF598B"/>
    <w:rsid w:val="00BF632A"/>
    <w:rsid w:val="00BF650B"/>
    <w:rsid w:val="00BF65DE"/>
    <w:rsid w:val="00BF721D"/>
    <w:rsid w:val="00BF791C"/>
    <w:rsid w:val="00C008A2"/>
    <w:rsid w:val="00C008A9"/>
    <w:rsid w:val="00C009A8"/>
    <w:rsid w:val="00C01334"/>
    <w:rsid w:val="00C01DA7"/>
    <w:rsid w:val="00C0274A"/>
    <w:rsid w:val="00C030A4"/>
    <w:rsid w:val="00C03F26"/>
    <w:rsid w:val="00C0504F"/>
    <w:rsid w:val="00C057A7"/>
    <w:rsid w:val="00C05E19"/>
    <w:rsid w:val="00C05F5C"/>
    <w:rsid w:val="00C06055"/>
    <w:rsid w:val="00C06F22"/>
    <w:rsid w:val="00C06FE1"/>
    <w:rsid w:val="00C07939"/>
    <w:rsid w:val="00C1011A"/>
    <w:rsid w:val="00C10C2E"/>
    <w:rsid w:val="00C1163C"/>
    <w:rsid w:val="00C11917"/>
    <w:rsid w:val="00C11EF7"/>
    <w:rsid w:val="00C133BE"/>
    <w:rsid w:val="00C14923"/>
    <w:rsid w:val="00C149E0"/>
    <w:rsid w:val="00C14C53"/>
    <w:rsid w:val="00C15AD6"/>
    <w:rsid w:val="00C16110"/>
    <w:rsid w:val="00C1649F"/>
    <w:rsid w:val="00C1674F"/>
    <w:rsid w:val="00C172B3"/>
    <w:rsid w:val="00C175C9"/>
    <w:rsid w:val="00C20B3D"/>
    <w:rsid w:val="00C21255"/>
    <w:rsid w:val="00C21433"/>
    <w:rsid w:val="00C23987"/>
    <w:rsid w:val="00C23BF1"/>
    <w:rsid w:val="00C24BB2"/>
    <w:rsid w:val="00C255E4"/>
    <w:rsid w:val="00C2618A"/>
    <w:rsid w:val="00C26D39"/>
    <w:rsid w:val="00C27097"/>
    <w:rsid w:val="00C3048C"/>
    <w:rsid w:val="00C32A3A"/>
    <w:rsid w:val="00C335B2"/>
    <w:rsid w:val="00C338E9"/>
    <w:rsid w:val="00C33CB4"/>
    <w:rsid w:val="00C34AB3"/>
    <w:rsid w:val="00C35FC9"/>
    <w:rsid w:val="00C36F69"/>
    <w:rsid w:val="00C412C8"/>
    <w:rsid w:val="00C4279A"/>
    <w:rsid w:val="00C42862"/>
    <w:rsid w:val="00C42FFB"/>
    <w:rsid w:val="00C43263"/>
    <w:rsid w:val="00C436AD"/>
    <w:rsid w:val="00C44FC9"/>
    <w:rsid w:val="00C46139"/>
    <w:rsid w:val="00C46E1A"/>
    <w:rsid w:val="00C4708B"/>
    <w:rsid w:val="00C5019A"/>
    <w:rsid w:val="00C51124"/>
    <w:rsid w:val="00C51536"/>
    <w:rsid w:val="00C528D5"/>
    <w:rsid w:val="00C52D90"/>
    <w:rsid w:val="00C5301D"/>
    <w:rsid w:val="00C54B8F"/>
    <w:rsid w:val="00C57E0F"/>
    <w:rsid w:val="00C60507"/>
    <w:rsid w:val="00C6115D"/>
    <w:rsid w:val="00C6161B"/>
    <w:rsid w:val="00C61D38"/>
    <w:rsid w:val="00C6235E"/>
    <w:rsid w:val="00C628E7"/>
    <w:rsid w:val="00C63DF3"/>
    <w:rsid w:val="00C653C7"/>
    <w:rsid w:val="00C655D7"/>
    <w:rsid w:val="00C66304"/>
    <w:rsid w:val="00C730F6"/>
    <w:rsid w:val="00C731FE"/>
    <w:rsid w:val="00C740EE"/>
    <w:rsid w:val="00C74187"/>
    <w:rsid w:val="00C74242"/>
    <w:rsid w:val="00C74897"/>
    <w:rsid w:val="00C75237"/>
    <w:rsid w:val="00C7564B"/>
    <w:rsid w:val="00C772A0"/>
    <w:rsid w:val="00C77A8B"/>
    <w:rsid w:val="00C77ACF"/>
    <w:rsid w:val="00C801EB"/>
    <w:rsid w:val="00C802EC"/>
    <w:rsid w:val="00C80A3B"/>
    <w:rsid w:val="00C80D88"/>
    <w:rsid w:val="00C80E0A"/>
    <w:rsid w:val="00C81633"/>
    <w:rsid w:val="00C819B6"/>
    <w:rsid w:val="00C81D74"/>
    <w:rsid w:val="00C81FFD"/>
    <w:rsid w:val="00C82AF0"/>
    <w:rsid w:val="00C83BC1"/>
    <w:rsid w:val="00C85432"/>
    <w:rsid w:val="00C85D07"/>
    <w:rsid w:val="00C860C0"/>
    <w:rsid w:val="00C86433"/>
    <w:rsid w:val="00C86FCD"/>
    <w:rsid w:val="00C870F3"/>
    <w:rsid w:val="00C87ABE"/>
    <w:rsid w:val="00C9058B"/>
    <w:rsid w:val="00C9063B"/>
    <w:rsid w:val="00C90679"/>
    <w:rsid w:val="00C90FD2"/>
    <w:rsid w:val="00C91D27"/>
    <w:rsid w:val="00C9333B"/>
    <w:rsid w:val="00C9344C"/>
    <w:rsid w:val="00C93CBE"/>
    <w:rsid w:val="00C95839"/>
    <w:rsid w:val="00C9650D"/>
    <w:rsid w:val="00C97324"/>
    <w:rsid w:val="00CA0F32"/>
    <w:rsid w:val="00CA1322"/>
    <w:rsid w:val="00CA13BC"/>
    <w:rsid w:val="00CA13CA"/>
    <w:rsid w:val="00CA1F18"/>
    <w:rsid w:val="00CA32F3"/>
    <w:rsid w:val="00CA3514"/>
    <w:rsid w:val="00CA4826"/>
    <w:rsid w:val="00CA4832"/>
    <w:rsid w:val="00CA4EC7"/>
    <w:rsid w:val="00CA5467"/>
    <w:rsid w:val="00CA5AAE"/>
    <w:rsid w:val="00CA633F"/>
    <w:rsid w:val="00CA66BD"/>
    <w:rsid w:val="00CA6D47"/>
    <w:rsid w:val="00CA7A8C"/>
    <w:rsid w:val="00CB0B75"/>
    <w:rsid w:val="00CB1039"/>
    <w:rsid w:val="00CB12BF"/>
    <w:rsid w:val="00CB14D6"/>
    <w:rsid w:val="00CB16B0"/>
    <w:rsid w:val="00CB1C29"/>
    <w:rsid w:val="00CB281C"/>
    <w:rsid w:val="00CB28FF"/>
    <w:rsid w:val="00CB38B2"/>
    <w:rsid w:val="00CB4929"/>
    <w:rsid w:val="00CB5C82"/>
    <w:rsid w:val="00CB60B2"/>
    <w:rsid w:val="00CB72AA"/>
    <w:rsid w:val="00CB7EA6"/>
    <w:rsid w:val="00CC017D"/>
    <w:rsid w:val="00CC04A8"/>
    <w:rsid w:val="00CC0844"/>
    <w:rsid w:val="00CC1715"/>
    <w:rsid w:val="00CC1F94"/>
    <w:rsid w:val="00CC1FF9"/>
    <w:rsid w:val="00CC260A"/>
    <w:rsid w:val="00CC29F8"/>
    <w:rsid w:val="00CC39A0"/>
    <w:rsid w:val="00CC495D"/>
    <w:rsid w:val="00CC5769"/>
    <w:rsid w:val="00CC742E"/>
    <w:rsid w:val="00CC7FD8"/>
    <w:rsid w:val="00CD0947"/>
    <w:rsid w:val="00CD22AD"/>
    <w:rsid w:val="00CD23FB"/>
    <w:rsid w:val="00CD3F28"/>
    <w:rsid w:val="00CD4062"/>
    <w:rsid w:val="00CD4956"/>
    <w:rsid w:val="00CD4A16"/>
    <w:rsid w:val="00CD4D76"/>
    <w:rsid w:val="00CD4ECA"/>
    <w:rsid w:val="00CD5BA3"/>
    <w:rsid w:val="00CD5C51"/>
    <w:rsid w:val="00CD6B1D"/>
    <w:rsid w:val="00CE09EE"/>
    <w:rsid w:val="00CE0B47"/>
    <w:rsid w:val="00CE10CB"/>
    <w:rsid w:val="00CE1265"/>
    <w:rsid w:val="00CE1659"/>
    <w:rsid w:val="00CE27A0"/>
    <w:rsid w:val="00CE342A"/>
    <w:rsid w:val="00CE44D1"/>
    <w:rsid w:val="00CE4EC4"/>
    <w:rsid w:val="00CE5D7E"/>
    <w:rsid w:val="00CE7BEA"/>
    <w:rsid w:val="00CF0748"/>
    <w:rsid w:val="00CF0FDA"/>
    <w:rsid w:val="00CF112A"/>
    <w:rsid w:val="00CF16DE"/>
    <w:rsid w:val="00CF2897"/>
    <w:rsid w:val="00CF4F3B"/>
    <w:rsid w:val="00CF5055"/>
    <w:rsid w:val="00CF597A"/>
    <w:rsid w:val="00CF5E22"/>
    <w:rsid w:val="00CF627E"/>
    <w:rsid w:val="00CF64B5"/>
    <w:rsid w:val="00CF6C48"/>
    <w:rsid w:val="00CF7D9D"/>
    <w:rsid w:val="00D00D83"/>
    <w:rsid w:val="00D010EB"/>
    <w:rsid w:val="00D013AD"/>
    <w:rsid w:val="00D031B1"/>
    <w:rsid w:val="00D03B7E"/>
    <w:rsid w:val="00D04203"/>
    <w:rsid w:val="00D06080"/>
    <w:rsid w:val="00D07958"/>
    <w:rsid w:val="00D07FB4"/>
    <w:rsid w:val="00D1068A"/>
    <w:rsid w:val="00D108B0"/>
    <w:rsid w:val="00D10DF9"/>
    <w:rsid w:val="00D11BA2"/>
    <w:rsid w:val="00D11C98"/>
    <w:rsid w:val="00D13704"/>
    <w:rsid w:val="00D1420C"/>
    <w:rsid w:val="00D1465C"/>
    <w:rsid w:val="00D146F3"/>
    <w:rsid w:val="00D14B0A"/>
    <w:rsid w:val="00D1546F"/>
    <w:rsid w:val="00D1553D"/>
    <w:rsid w:val="00D159DF"/>
    <w:rsid w:val="00D15A13"/>
    <w:rsid w:val="00D15CE7"/>
    <w:rsid w:val="00D16B81"/>
    <w:rsid w:val="00D1714A"/>
    <w:rsid w:val="00D1795A"/>
    <w:rsid w:val="00D200B7"/>
    <w:rsid w:val="00D200BD"/>
    <w:rsid w:val="00D2041B"/>
    <w:rsid w:val="00D2104A"/>
    <w:rsid w:val="00D21AB3"/>
    <w:rsid w:val="00D22ABB"/>
    <w:rsid w:val="00D25AFD"/>
    <w:rsid w:val="00D25B00"/>
    <w:rsid w:val="00D25B76"/>
    <w:rsid w:val="00D268CA"/>
    <w:rsid w:val="00D27453"/>
    <w:rsid w:val="00D27864"/>
    <w:rsid w:val="00D31268"/>
    <w:rsid w:val="00D312A0"/>
    <w:rsid w:val="00D31460"/>
    <w:rsid w:val="00D31D92"/>
    <w:rsid w:val="00D32B2A"/>
    <w:rsid w:val="00D33C95"/>
    <w:rsid w:val="00D3457D"/>
    <w:rsid w:val="00D369C1"/>
    <w:rsid w:val="00D36BEB"/>
    <w:rsid w:val="00D36E3D"/>
    <w:rsid w:val="00D36F73"/>
    <w:rsid w:val="00D36FFA"/>
    <w:rsid w:val="00D37396"/>
    <w:rsid w:val="00D3783A"/>
    <w:rsid w:val="00D4035D"/>
    <w:rsid w:val="00D4045A"/>
    <w:rsid w:val="00D40F10"/>
    <w:rsid w:val="00D41199"/>
    <w:rsid w:val="00D41619"/>
    <w:rsid w:val="00D41747"/>
    <w:rsid w:val="00D41BA9"/>
    <w:rsid w:val="00D42BFC"/>
    <w:rsid w:val="00D437E5"/>
    <w:rsid w:val="00D4414A"/>
    <w:rsid w:val="00D44854"/>
    <w:rsid w:val="00D4586A"/>
    <w:rsid w:val="00D46314"/>
    <w:rsid w:val="00D4692A"/>
    <w:rsid w:val="00D46DF2"/>
    <w:rsid w:val="00D47F0C"/>
    <w:rsid w:val="00D47F36"/>
    <w:rsid w:val="00D50123"/>
    <w:rsid w:val="00D519BA"/>
    <w:rsid w:val="00D51E66"/>
    <w:rsid w:val="00D52CD7"/>
    <w:rsid w:val="00D53095"/>
    <w:rsid w:val="00D53490"/>
    <w:rsid w:val="00D53492"/>
    <w:rsid w:val="00D5393A"/>
    <w:rsid w:val="00D53DB9"/>
    <w:rsid w:val="00D54437"/>
    <w:rsid w:val="00D54886"/>
    <w:rsid w:val="00D54899"/>
    <w:rsid w:val="00D5512E"/>
    <w:rsid w:val="00D5587B"/>
    <w:rsid w:val="00D55C1C"/>
    <w:rsid w:val="00D55D41"/>
    <w:rsid w:val="00D55F8A"/>
    <w:rsid w:val="00D563EA"/>
    <w:rsid w:val="00D5642B"/>
    <w:rsid w:val="00D574C3"/>
    <w:rsid w:val="00D57825"/>
    <w:rsid w:val="00D578E5"/>
    <w:rsid w:val="00D57B42"/>
    <w:rsid w:val="00D57E22"/>
    <w:rsid w:val="00D60ACF"/>
    <w:rsid w:val="00D60D16"/>
    <w:rsid w:val="00D60E65"/>
    <w:rsid w:val="00D60EA9"/>
    <w:rsid w:val="00D6110B"/>
    <w:rsid w:val="00D612D5"/>
    <w:rsid w:val="00D61911"/>
    <w:rsid w:val="00D61C3B"/>
    <w:rsid w:val="00D62146"/>
    <w:rsid w:val="00D62CF7"/>
    <w:rsid w:val="00D63065"/>
    <w:rsid w:val="00D631BF"/>
    <w:rsid w:val="00D6419A"/>
    <w:rsid w:val="00D64DE9"/>
    <w:rsid w:val="00D66001"/>
    <w:rsid w:val="00D67373"/>
    <w:rsid w:val="00D67B5A"/>
    <w:rsid w:val="00D70793"/>
    <w:rsid w:val="00D709D1"/>
    <w:rsid w:val="00D70A2D"/>
    <w:rsid w:val="00D70D79"/>
    <w:rsid w:val="00D70F95"/>
    <w:rsid w:val="00D71A8A"/>
    <w:rsid w:val="00D723FC"/>
    <w:rsid w:val="00D724D2"/>
    <w:rsid w:val="00D72810"/>
    <w:rsid w:val="00D739B3"/>
    <w:rsid w:val="00D73CFA"/>
    <w:rsid w:val="00D7406F"/>
    <w:rsid w:val="00D744B0"/>
    <w:rsid w:val="00D7462C"/>
    <w:rsid w:val="00D74A9A"/>
    <w:rsid w:val="00D75A81"/>
    <w:rsid w:val="00D76F12"/>
    <w:rsid w:val="00D80F99"/>
    <w:rsid w:val="00D81388"/>
    <w:rsid w:val="00D8214C"/>
    <w:rsid w:val="00D82582"/>
    <w:rsid w:val="00D833AC"/>
    <w:rsid w:val="00D8646A"/>
    <w:rsid w:val="00D86E7A"/>
    <w:rsid w:val="00D9029A"/>
    <w:rsid w:val="00D91796"/>
    <w:rsid w:val="00D91D0E"/>
    <w:rsid w:val="00D923AA"/>
    <w:rsid w:val="00D926FF"/>
    <w:rsid w:val="00D945B2"/>
    <w:rsid w:val="00D95336"/>
    <w:rsid w:val="00D9572F"/>
    <w:rsid w:val="00D9577B"/>
    <w:rsid w:val="00D97AF3"/>
    <w:rsid w:val="00DA0A12"/>
    <w:rsid w:val="00DA14E9"/>
    <w:rsid w:val="00DA156C"/>
    <w:rsid w:val="00DA2D1A"/>
    <w:rsid w:val="00DA2E96"/>
    <w:rsid w:val="00DA3028"/>
    <w:rsid w:val="00DA54D1"/>
    <w:rsid w:val="00DA563C"/>
    <w:rsid w:val="00DA5E03"/>
    <w:rsid w:val="00DA5E8A"/>
    <w:rsid w:val="00DA7DD0"/>
    <w:rsid w:val="00DB13E4"/>
    <w:rsid w:val="00DB229C"/>
    <w:rsid w:val="00DB27E1"/>
    <w:rsid w:val="00DB3919"/>
    <w:rsid w:val="00DB504A"/>
    <w:rsid w:val="00DB6001"/>
    <w:rsid w:val="00DB6379"/>
    <w:rsid w:val="00DB786C"/>
    <w:rsid w:val="00DB7C42"/>
    <w:rsid w:val="00DB7EC7"/>
    <w:rsid w:val="00DC064E"/>
    <w:rsid w:val="00DC070C"/>
    <w:rsid w:val="00DC0887"/>
    <w:rsid w:val="00DC0944"/>
    <w:rsid w:val="00DC115F"/>
    <w:rsid w:val="00DC1C4C"/>
    <w:rsid w:val="00DC2C0E"/>
    <w:rsid w:val="00DC31B1"/>
    <w:rsid w:val="00DC39AA"/>
    <w:rsid w:val="00DC4239"/>
    <w:rsid w:val="00DC44D8"/>
    <w:rsid w:val="00DC4AEF"/>
    <w:rsid w:val="00DC5284"/>
    <w:rsid w:val="00DC554A"/>
    <w:rsid w:val="00DC5558"/>
    <w:rsid w:val="00DC656B"/>
    <w:rsid w:val="00DC7932"/>
    <w:rsid w:val="00DC7C04"/>
    <w:rsid w:val="00DD0F4A"/>
    <w:rsid w:val="00DD15AF"/>
    <w:rsid w:val="00DD1839"/>
    <w:rsid w:val="00DD1EBB"/>
    <w:rsid w:val="00DD4208"/>
    <w:rsid w:val="00DD4797"/>
    <w:rsid w:val="00DD4928"/>
    <w:rsid w:val="00DD5006"/>
    <w:rsid w:val="00DD582A"/>
    <w:rsid w:val="00DD5EC7"/>
    <w:rsid w:val="00DD693D"/>
    <w:rsid w:val="00DE02A3"/>
    <w:rsid w:val="00DE0A81"/>
    <w:rsid w:val="00DE1B78"/>
    <w:rsid w:val="00DE21D0"/>
    <w:rsid w:val="00DE3260"/>
    <w:rsid w:val="00DE3B79"/>
    <w:rsid w:val="00DE4144"/>
    <w:rsid w:val="00DE63EC"/>
    <w:rsid w:val="00DF1271"/>
    <w:rsid w:val="00DF1E89"/>
    <w:rsid w:val="00DF3FE1"/>
    <w:rsid w:val="00DF40B5"/>
    <w:rsid w:val="00DF4C03"/>
    <w:rsid w:val="00DF4E68"/>
    <w:rsid w:val="00DF4EA2"/>
    <w:rsid w:val="00DF5194"/>
    <w:rsid w:val="00DF53CF"/>
    <w:rsid w:val="00DF5478"/>
    <w:rsid w:val="00DF5775"/>
    <w:rsid w:val="00DF5A6A"/>
    <w:rsid w:val="00DF5B46"/>
    <w:rsid w:val="00DF64F2"/>
    <w:rsid w:val="00DF680E"/>
    <w:rsid w:val="00E01072"/>
    <w:rsid w:val="00E02140"/>
    <w:rsid w:val="00E039B3"/>
    <w:rsid w:val="00E047DF"/>
    <w:rsid w:val="00E05057"/>
    <w:rsid w:val="00E0519E"/>
    <w:rsid w:val="00E05656"/>
    <w:rsid w:val="00E05CA5"/>
    <w:rsid w:val="00E061F7"/>
    <w:rsid w:val="00E07720"/>
    <w:rsid w:val="00E1015E"/>
    <w:rsid w:val="00E121B3"/>
    <w:rsid w:val="00E125E0"/>
    <w:rsid w:val="00E15228"/>
    <w:rsid w:val="00E175AD"/>
    <w:rsid w:val="00E20BC4"/>
    <w:rsid w:val="00E218D3"/>
    <w:rsid w:val="00E21F39"/>
    <w:rsid w:val="00E22A30"/>
    <w:rsid w:val="00E2410E"/>
    <w:rsid w:val="00E2459F"/>
    <w:rsid w:val="00E24944"/>
    <w:rsid w:val="00E24969"/>
    <w:rsid w:val="00E24996"/>
    <w:rsid w:val="00E2534F"/>
    <w:rsid w:val="00E265C3"/>
    <w:rsid w:val="00E2744D"/>
    <w:rsid w:val="00E27AE6"/>
    <w:rsid w:val="00E27FE5"/>
    <w:rsid w:val="00E30949"/>
    <w:rsid w:val="00E30BA0"/>
    <w:rsid w:val="00E3152F"/>
    <w:rsid w:val="00E334B1"/>
    <w:rsid w:val="00E33AAB"/>
    <w:rsid w:val="00E33E31"/>
    <w:rsid w:val="00E343BC"/>
    <w:rsid w:val="00E348E1"/>
    <w:rsid w:val="00E34D89"/>
    <w:rsid w:val="00E354AB"/>
    <w:rsid w:val="00E3651C"/>
    <w:rsid w:val="00E40ACF"/>
    <w:rsid w:val="00E40EA1"/>
    <w:rsid w:val="00E412F3"/>
    <w:rsid w:val="00E415E7"/>
    <w:rsid w:val="00E41941"/>
    <w:rsid w:val="00E42569"/>
    <w:rsid w:val="00E43143"/>
    <w:rsid w:val="00E449B2"/>
    <w:rsid w:val="00E46AB7"/>
    <w:rsid w:val="00E47FB8"/>
    <w:rsid w:val="00E507B9"/>
    <w:rsid w:val="00E50820"/>
    <w:rsid w:val="00E51127"/>
    <w:rsid w:val="00E5139F"/>
    <w:rsid w:val="00E52356"/>
    <w:rsid w:val="00E52A03"/>
    <w:rsid w:val="00E52C13"/>
    <w:rsid w:val="00E54743"/>
    <w:rsid w:val="00E5515D"/>
    <w:rsid w:val="00E55977"/>
    <w:rsid w:val="00E559B3"/>
    <w:rsid w:val="00E55B76"/>
    <w:rsid w:val="00E60B25"/>
    <w:rsid w:val="00E61E60"/>
    <w:rsid w:val="00E61EB5"/>
    <w:rsid w:val="00E62676"/>
    <w:rsid w:val="00E63195"/>
    <w:rsid w:val="00E631BE"/>
    <w:rsid w:val="00E64713"/>
    <w:rsid w:val="00E658C8"/>
    <w:rsid w:val="00E666DA"/>
    <w:rsid w:val="00E6739E"/>
    <w:rsid w:val="00E678B6"/>
    <w:rsid w:val="00E67C16"/>
    <w:rsid w:val="00E67E1F"/>
    <w:rsid w:val="00E7083D"/>
    <w:rsid w:val="00E70C23"/>
    <w:rsid w:val="00E70F67"/>
    <w:rsid w:val="00E71363"/>
    <w:rsid w:val="00E72959"/>
    <w:rsid w:val="00E72B0C"/>
    <w:rsid w:val="00E734BF"/>
    <w:rsid w:val="00E73C48"/>
    <w:rsid w:val="00E746A0"/>
    <w:rsid w:val="00E74F6A"/>
    <w:rsid w:val="00E753A8"/>
    <w:rsid w:val="00E758D0"/>
    <w:rsid w:val="00E759A4"/>
    <w:rsid w:val="00E75B33"/>
    <w:rsid w:val="00E761C1"/>
    <w:rsid w:val="00E76345"/>
    <w:rsid w:val="00E76B04"/>
    <w:rsid w:val="00E76BC4"/>
    <w:rsid w:val="00E76D22"/>
    <w:rsid w:val="00E801FE"/>
    <w:rsid w:val="00E82A06"/>
    <w:rsid w:val="00E82A9A"/>
    <w:rsid w:val="00E82C35"/>
    <w:rsid w:val="00E84700"/>
    <w:rsid w:val="00E85333"/>
    <w:rsid w:val="00E8583C"/>
    <w:rsid w:val="00E859F9"/>
    <w:rsid w:val="00E87698"/>
    <w:rsid w:val="00E87B30"/>
    <w:rsid w:val="00E87F99"/>
    <w:rsid w:val="00E90F28"/>
    <w:rsid w:val="00E912E9"/>
    <w:rsid w:val="00E921EE"/>
    <w:rsid w:val="00E9249D"/>
    <w:rsid w:val="00E92E0D"/>
    <w:rsid w:val="00E938E4"/>
    <w:rsid w:val="00E93B1F"/>
    <w:rsid w:val="00E94672"/>
    <w:rsid w:val="00E94724"/>
    <w:rsid w:val="00E949D9"/>
    <w:rsid w:val="00E95DCD"/>
    <w:rsid w:val="00E95EFC"/>
    <w:rsid w:val="00E96BA4"/>
    <w:rsid w:val="00E96C6F"/>
    <w:rsid w:val="00EA1000"/>
    <w:rsid w:val="00EA128E"/>
    <w:rsid w:val="00EA172C"/>
    <w:rsid w:val="00EA1C43"/>
    <w:rsid w:val="00EA1DD0"/>
    <w:rsid w:val="00EA24D0"/>
    <w:rsid w:val="00EA3179"/>
    <w:rsid w:val="00EA37F6"/>
    <w:rsid w:val="00EA382D"/>
    <w:rsid w:val="00EA442A"/>
    <w:rsid w:val="00EA4F7B"/>
    <w:rsid w:val="00EA567C"/>
    <w:rsid w:val="00EA56EB"/>
    <w:rsid w:val="00EA7060"/>
    <w:rsid w:val="00EA72AC"/>
    <w:rsid w:val="00EA7337"/>
    <w:rsid w:val="00EA77FD"/>
    <w:rsid w:val="00EB0860"/>
    <w:rsid w:val="00EB28B8"/>
    <w:rsid w:val="00EB41FE"/>
    <w:rsid w:val="00EB4283"/>
    <w:rsid w:val="00EB44BB"/>
    <w:rsid w:val="00EB4591"/>
    <w:rsid w:val="00EB5095"/>
    <w:rsid w:val="00EB581C"/>
    <w:rsid w:val="00EB5F2E"/>
    <w:rsid w:val="00EB6AB1"/>
    <w:rsid w:val="00EB7434"/>
    <w:rsid w:val="00EB784D"/>
    <w:rsid w:val="00EC0C93"/>
    <w:rsid w:val="00EC112B"/>
    <w:rsid w:val="00EC1F4C"/>
    <w:rsid w:val="00EC20B4"/>
    <w:rsid w:val="00EC2D3E"/>
    <w:rsid w:val="00EC4681"/>
    <w:rsid w:val="00EC52AC"/>
    <w:rsid w:val="00EC52C5"/>
    <w:rsid w:val="00EC530E"/>
    <w:rsid w:val="00EC5819"/>
    <w:rsid w:val="00EC6A56"/>
    <w:rsid w:val="00EC7654"/>
    <w:rsid w:val="00ED0A12"/>
    <w:rsid w:val="00ED1340"/>
    <w:rsid w:val="00ED7A7F"/>
    <w:rsid w:val="00ED7B5B"/>
    <w:rsid w:val="00EE0514"/>
    <w:rsid w:val="00EE07AF"/>
    <w:rsid w:val="00EE0E2C"/>
    <w:rsid w:val="00EE13C0"/>
    <w:rsid w:val="00EE1BD1"/>
    <w:rsid w:val="00EE2226"/>
    <w:rsid w:val="00EE2D74"/>
    <w:rsid w:val="00EE3C0F"/>
    <w:rsid w:val="00EE4B6B"/>
    <w:rsid w:val="00EE50DC"/>
    <w:rsid w:val="00EE6716"/>
    <w:rsid w:val="00EE693F"/>
    <w:rsid w:val="00EE7A39"/>
    <w:rsid w:val="00EF30C7"/>
    <w:rsid w:val="00EF39D7"/>
    <w:rsid w:val="00EF5F0D"/>
    <w:rsid w:val="00EF7B78"/>
    <w:rsid w:val="00F023C2"/>
    <w:rsid w:val="00F03527"/>
    <w:rsid w:val="00F03DEC"/>
    <w:rsid w:val="00F03F23"/>
    <w:rsid w:val="00F04F98"/>
    <w:rsid w:val="00F06A61"/>
    <w:rsid w:val="00F06C43"/>
    <w:rsid w:val="00F1095D"/>
    <w:rsid w:val="00F1184F"/>
    <w:rsid w:val="00F11C95"/>
    <w:rsid w:val="00F11FD7"/>
    <w:rsid w:val="00F13204"/>
    <w:rsid w:val="00F136D6"/>
    <w:rsid w:val="00F146A1"/>
    <w:rsid w:val="00F17471"/>
    <w:rsid w:val="00F17F45"/>
    <w:rsid w:val="00F20177"/>
    <w:rsid w:val="00F223DB"/>
    <w:rsid w:val="00F22493"/>
    <w:rsid w:val="00F22B5A"/>
    <w:rsid w:val="00F2301D"/>
    <w:rsid w:val="00F23D19"/>
    <w:rsid w:val="00F23E16"/>
    <w:rsid w:val="00F2571C"/>
    <w:rsid w:val="00F25BF8"/>
    <w:rsid w:val="00F25C34"/>
    <w:rsid w:val="00F25E6E"/>
    <w:rsid w:val="00F261EE"/>
    <w:rsid w:val="00F2620A"/>
    <w:rsid w:val="00F26455"/>
    <w:rsid w:val="00F2712B"/>
    <w:rsid w:val="00F27A36"/>
    <w:rsid w:val="00F302CC"/>
    <w:rsid w:val="00F3092E"/>
    <w:rsid w:val="00F3142E"/>
    <w:rsid w:val="00F3153E"/>
    <w:rsid w:val="00F3222B"/>
    <w:rsid w:val="00F32BB6"/>
    <w:rsid w:val="00F32CAD"/>
    <w:rsid w:val="00F332A0"/>
    <w:rsid w:val="00F33840"/>
    <w:rsid w:val="00F346C6"/>
    <w:rsid w:val="00F34D69"/>
    <w:rsid w:val="00F355F4"/>
    <w:rsid w:val="00F35637"/>
    <w:rsid w:val="00F35BFA"/>
    <w:rsid w:val="00F368B5"/>
    <w:rsid w:val="00F36B76"/>
    <w:rsid w:val="00F36BC6"/>
    <w:rsid w:val="00F36C18"/>
    <w:rsid w:val="00F36EF1"/>
    <w:rsid w:val="00F37671"/>
    <w:rsid w:val="00F37EE1"/>
    <w:rsid w:val="00F4035D"/>
    <w:rsid w:val="00F40A0B"/>
    <w:rsid w:val="00F40E99"/>
    <w:rsid w:val="00F42613"/>
    <w:rsid w:val="00F43854"/>
    <w:rsid w:val="00F43D88"/>
    <w:rsid w:val="00F43FF9"/>
    <w:rsid w:val="00F47379"/>
    <w:rsid w:val="00F47AD0"/>
    <w:rsid w:val="00F50814"/>
    <w:rsid w:val="00F51701"/>
    <w:rsid w:val="00F53F9B"/>
    <w:rsid w:val="00F54E0C"/>
    <w:rsid w:val="00F5606A"/>
    <w:rsid w:val="00F60B11"/>
    <w:rsid w:val="00F60C7C"/>
    <w:rsid w:val="00F61837"/>
    <w:rsid w:val="00F618A3"/>
    <w:rsid w:val="00F62A8F"/>
    <w:rsid w:val="00F6333A"/>
    <w:rsid w:val="00F63D16"/>
    <w:rsid w:val="00F63E98"/>
    <w:rsid w:val="00F64327"/>
    <w:rsid w:val="00F6467D"/>
    <w:rsid w:val="00F64AD8"/>
    <w:rsid w:val="00F65C0F"/>
    <w:rsid w:val="00F663C2"/>
    <w:rsid w:val="00F670C8"/>
    <w:rsid w:val="00F673D2"/>
    <w:rsid w:val="00F6773D"/>
    <w:rsid w:val="00F67F4C"/>
    <w:rsid w:val="00F72B72"/>
    <w:rsid w:val="00F72B84"/>
    <w:rsid w:val="00F73D5A"/>
    <w:rsid w:val="00F74323"/>
    <w:rsid w:val="00F74B77"/>
    <w:rsid w:val="00F75A17"/>
    <w:rsid w:val="00F75BA1"/>
    <w:rsid w:val="00F75CC9"/>
    <w:rsid w:val="00F7627B"/>
    <w:rsid w:val="00F773F3"/>
    <w:rsid w:val="00F8088B"/>
    <w:rsid w:val="00F80974"/>
    <w:rsid w:val="00F80E68"/>
    <w:rsid w:val="00F825A2"/>
    <w:rsid w:val="00F82EAB"/>
    <w:rsid w:val="00F83916"/>
    <w:rsid w:val="00F83D30"/>
    <w:rsid w:val="00F85FEC"/>
    <w:rsid w:val="00F86208"/>
    <w:rsid w:val="00F86F7E"/>
    <w:rsid w:val="00F90855"/>
    <w:rsid w:val="00F9209C"/>
    <w:rsid w:val="00F92834"/>
    <w:rsid w:val="00F933F3"/>
    <w:rsid w:val="00F93C9E"/>
    <w:rsid w:val="00F94A78"/>
    <w:rsid w:val="00F950E5"/>
    <w:rsid w:val="00F95BBA"/>
    <w:rsid w:val="00F96279"/>
    <w:rsid w:val="00F96B91"/>
    <w:rsid w:val="00FA0106"/>
    <w:rsid w:val="00FA0BC3"/>
    <w:rsid w:val="00FA19CF"/>
    <w:rsid w:val="00FA23CA"/>
    <w:rsid w:val="00FA2E00"/>
    <w:rsid w:val="00FA36BF"/>
    <w:rsid w:val="00FA43D7"/>
    <w:rsid w:val="00FA43DE"/>
    <w:rsid w:val="00FA51BF"/>
    <w:rsid w:val="00FA5203"/>
    <w:rsid w:val="00FA536A"/>
    <w:rsid w:val="00FA5861"/>
    <w:rsid w:val="00FA5EEF"/>
    <w:rsid w:val="00FA68F7"/>
    <w:rsid w:val="00FA6C9B"/>
    <w:rsid w:val="00FA7B1D"/>
    <w:rsid w:val="00FA7DD9"/>
    <w:rsid w:val="00FB0085"/>
    <w:rsid w:val="00FB0455"/>
    <w:rsid w:val="00FB0849"/>
    <w:rsid w:val="00FB0C7D"/>
    <w:rsid w:val="00FB169C"/>
    <w:rsid w:val="00FB2B80"/>
    <w:rsid w:val="00FB3BAE"/>
    <w:rsid w:val="00FB4FC6"/>
    <w:rsid w:val="00FB5161"/>
    <w:rsid w:val="00FB63AF"/>
    <w:rsid w:val="00FB7740"/>
    <w:rsid w:val="00FC001A"/>
    <w:rsid w:val="00FC0E7D"/>
    <w:rsid w:val="00FC2F42"/>
    <w:rsid w:val="00FC3DEA"/>
    <w:rsid w:val="00FC4C09"/>
    <w:rsid w:val="00FC5032"/>
    <w:rsid w:val="00FC632A"/>
    <w:rsid w:val="00FC66F9"/>
    <w:rsid w:val="00FC67BC"/>
    <w:rsid w:val="00FC6E9C"/>
    <w:rsid w:val="00FC7F64"/>
    <w:rsid w:val="00FD38FE"/>
    <w:rsid w:val="00FD3AE6"/>
    <w:rsid w:val="00FD436B"/>
    <w:rsid w:val="00FD4BEF"/>
    <w:rsid w:val="00FD4F78"/>
    <w:rsid w:val="00FD52E3"/>
    <w:rsid w:val="00FD57F0"/>
    <w:rsid w:val="00FD57F4"/>
    <w:rsid w:val="00FD5E42"/>
    <w:rsid w:val="00FD6178"/>
    <w:rsid w:val="00FD689D"/>
    <w:rsid w:val="00FD6CC4"/>
    <w:rsid w:val="00FD6FA8"/>
    <w:rsid w:val="00FD72F1"/>
    <w:rsid w:val="00FD78F9"/>
    <w:rsid w:val="00FD79C3"/>
    <w:rsid w:val="00FE072E"/>
    <w:rsid w:val="00FE0821"/>
    <w:rsid w:val="00FE285D"/>
    <w:rsid w:val="00FE299C"/>
    <w:rsid w:val="00FE2C39"/>
    <w:rsid w:val="00FE2F6E"/>
    <w:rsid w:val="00FE4524"/>
    <w:rsid w:val="00FE480E"/>
    <w:rsid w:val="00FE6233"/>
    <w:rsid w:val="00FE632F"/>
    <w:rsid w:val="00FE6E56"/>
    <w:rsid w:val="00FE74CC"/>
    <w:rsid w:val="00FE77D3"/>
    <w:rsid w:val="00FF199F"/>
    <w:rsid w:val="00FF1D42"/>
    <w:rsid w:val="00FF23C3"/>
    <w:rsid w:val="00FF30F4"/>
    <w:rsid w:val="00FF359B"/>
    <w:rsid w:val="00FF38AB"/>
    <w:rsid w:val="00FF4142"/>
    <w:rsid w:val="00FF446C"/>
    <w:rsid w:val="00FF48E1"/>
    <w:rsid w:val="00FF517F"/>
    <w:rsid w:val="00FF5468"/>
    <w:rsid w:val="00FF5726"/>
    <w:rsid w:val="00FF595D"/>
    <w:rsid w:val="00FF5A6E"/>
    <w:rsid w:val="00FF5F68"/>
    <w:rsid w:val="00FF62E7"/>
    <w:rsid w:val="00FF7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A0260"/>
  <w15:docId w15:val="{37ACED83-2844-4310-AD2A-1BB3539BE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8E7"/>
    <w:pPr>
      <w:widowControl w:val="0"/>
      <w:jc w:val="both"/>
    </w:pPr>
    <w:rPr>
      <w:kern w:val="2"/>
      <w:sz w:val="21"/>
      <w:szCs w:val="22"/>
    </w:rPr>
  </w:style>
  <w:style w:type="paragraph" w:styleId="1">
    <w:name w:val="heading 1"/>
    <w:basedOn w:val="a"/>
    <w:next w:val="a"/>
    <w:link w:val="1Char"/>
    <w:qFormat/>
    <w:rsid w:val="00827272"/>
    <w:pPr>
      <w:keepNext/>
      <w:spacing w:beforeLines="100" w:afterLines="100"/>
      <w:ind w:firstLineChars="200" w:firstLine="200"/>
      <w:jc w:val="center"/>
      <w:outlineLvl w:val="0"/>
    </w:pPr>
    <w:rPr>
      <w:rFonts w:ascii="黑体" w:eastAsia="黑体" w:hAnsi="Times New Roman"/>
      <w:sz w:val="32"/>
      <w:szCs w:val="32"/>
    </w:rPr>
  </w:style>
  <w:style w:type="paragraph" w:styleId="20">
    <w:name w:val="heading 2"/>
    <w:aliases w:val="H2,Heading 2 Hidden,Heading 2 CCBS,标题 2 Char Char,2nd level,h2,2,Header 2,PIM2,l2,Level 2 Head,proj2,proj21,proj22,proj23,proj24,proj25,proj26,proj27,proj28,proj29,proj210,proj211,proj212,proj221,proj231,proj241,proj251,proj261,proj271,proj281"/>
    <w:basedOn w:val="a"/>
    <w:next w:val="a"/>
    <w:link w:val="2Char"/>
    <w:qFormat/>
    <w:rsid w:val="00827272"/>
    <w:pPr>
      <w:keepNext/>
      <w:keepLines/>
      <w:spacing w:beforeLines="100" w:afterLines="100"/>
      <w:ind w:firstLineChars="200" w:firstLine="200"/>
      <w:outlineLvl w:val="1"/>
    </w:pPr>
    <w:rPr>
      <w:rFonts w:ascii="Arial" w:hAnsi="Arial"/>
      <w:b/>
      <w:sz w:val="28"/>
      <w:szCs w:val="28"/>
    </w:rPr>
  </w:style>
  <w:style w:type="paragraph" w:styleId="3">
    <w:name w:val="heading 3"/>
    <w:aliases w:val="Bold Head,bh,h3,Level 3 Head,H3,l3,CT,Heading 3 - old,3rd level,level_3,PIM 3,sect1.2.3,3,heading 3,标题 4.1.1,Fab-3,sect1.2.31,sect1.2.32,sect1.2.311,sect1.2.33,sect1.2.312,Title3,sl3,Heading 3under,- Maj Side,prop3,3heading,Heading 31,Map,H31,HeadC"/>
    <w:basedOn w:val="a"/>
    <w:next w:val="a"/>
    <w:link w:val="3Char"/>
    <w:qFormat/>
    <w:rsid w:val="00827272"/>
    <w:pPr>
      <w:numPr>
        <w:ilvl w:val="2"/>
        <w:numId w:val="4"/>
      </w:numPr>
      <w:spacing w:before="260" w:after="260" w:line="416" w:lineRule="auto"/>
      <w:outlineLvl w:val="2"/>
    </w:pPr>
    <w:rPr>
      <w:rFonts w:ascii="仿宋_GB2312" w:eastAsia="仿宋_GB2312" w:hAnsi="Times New Roman"/>
      <w:sz w:val="24"/>
      <w:szCs w:val="20"/>
    </w:rPr>
  </w:style>
  <w:style w:type="paragraph" w:styleId="4">
    <w:name w:val="heading 4"/>
    <w:aliases w:val="H4,PIM 4,h4,Fab-4,T5,Ref Heading 1,rh1,Heading sql,sect 1.2.3.4"/>
    <w:basedOn w:val="a"/>
    <w:next w:val="a"/>
    <w:link w:val="4Char"/>
    <w:qFormat/>
    <w:rsid w:val="00827272"/>
    <w:pPr>
      <w:keepNext/>
      <w:keepLines/>
      <w:numPr>
        <w:ilvl w:val="3"/>
        <w:numId w:val="3"/>
      </w:numPr>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827272"/>
    <w:pPr>
      <w:keepNext/>
      <w:keepLines/>
      <w:numPr>
        <w:ilvl w:val="4"/>
        <w:numId w:val="3"/>
      </w:numPr>
      <w:spacing w:before="280" w:after="290" w:line="376" w:lineRule="auto"/>
      <w:ind w:firstLineChars="200" w:firstLine="200"/>
      <w:outlineLvl w:val="4"/>
    </w:pPr>
    <w:rPr>
      <w:rFonts w:ascii="Times New Roman" w:hAnsi="Times New Roman"/>
      <w:b/>
      <w:bCs/>
      <w:sz w:val="28"/>
      <w:szCs w:val="28"/>
    </w:rPr>
  </w:style>
  <w:style w:type="paragraph" w:styleId="6">
    <w:name w:val="heading 6"/>
    <w:basedOn w:val="a"/>
    <w:next w:val="a"/>
    <w:link w:val="6Char"/>
    <w:qFormat/>
    <w:rsid w:val="00827272"/>
    <w:pPr>
      <w:keepNext/>
      <w:keepLines/>
      <w:numPr>
        <w:ilvl w:val="5"/>
        <w:numId w:val="3"/>
      </w:numPr>
      <w:spacing w:before="240" w:after="64" w:line="320" w:lineRule="auto"/>
      <w:ind w:firstLineChars="200" w:firstLine="200"/>
      <w:outlineLvl w:val="5"/>
    </w:pPr>
    <w:rPr>
      <w:rFonts w:ascii="Arial" w:eastAsia="黑体" w:hAnsi="Arial"/>
      <w:b/>
      <w:bCs/>
      <w:sz w:val="24"/>
      <w:szCs w:val="24"/>
    </w:rPr>
  </w:style>
  <w:style w:type="paragraph" w:styleId="7">
    <w:name w:val="heading 7"/>
    <w:basedOn w:val="a"/>
    <w:next w:val="a"/>
    <w:link w:val="7Char"/>
    <w:qFormat/>
    <w:rsid w:val="00827272"/>
    <w:pPr>
      <w:keepNext/>
      <w:keepLines/>
      <w:numPr>
        <w:ilvl w:val="6"/>
        <w:numId w:val="3"/>
      </w:numPr>
      <w:spacing w:before="240" w:after="64" w:line="320" w:lineRule="auto"/>
      <w:ind w:firstLineChars="200" w:firstLine="200"/>
      <w:outlineLvl w:val="6"/>
    </w:pPr>
    <w:rPr>
      <w:rFonts w:ascii="Times New Roman" w:hAnsi="Times New Roman"/>
      <w:b/>
      <w:bCs/>
      <w:sz w:val="24"/>
      <w:szCs w:val="24"/>
    </w:rPr>
  </w:style>
  <w:style w:type="paragraph" w:styleId="8">
    <w:name w:val="heading 8"/>
    <w:basedOn w:val="a"/>
    <w:next w:val="a"/>
    <w:link w:val="8Char"/>
    <w:qFormat/>
    <w:rsid w:val="00827272"/>
    <w:pPr>
      <w:keepNext/>
      <w:keepLines/>
      <w:numPr>
        <w:ilvl w:val="7"/>
        <w:numId w:val="3"/>
      </w:numPr>
      <w:spacing w:before="240" w:after="64" w:line="320" w:lineRule="auto"/>
      <w:ind w:firstLineChars="200" w:firstLine="200"/>
      <w:outlineLvl w:val="7"/>
    </w:pPr>
    <w:rPr>
      <w:rFonts w:ascii="Arial" w:eastAsia="黑体" w:hAnsi="Arial"/>
      <w:sz w:val="24"/>
      <w:szCs w:val="24"/>
    </w:rPr>
  </w:style>
  <w:style w:type="paragraph" w:styleId="9">
    <w:name w:val="heading 9"/>
    <w:basedOn w:val="a"/>
    <w:next w:val="a"/>
    <w:link w:val="9Char"/>
    <w:qFormat/>
    <w:rsid w:val="00827272"/>
    <w:pPr>
      <w:keepNext/>
      <w:keepLines/>
      <w:numPr>
        <w:ilvl w:val="8"/>
        <w:numId w:val="3"/>
      </w:numPr>
      <w:spacing w:before="240" w:after="64" w:line="320" w:lineRule="auto"/>
      <w:ind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27272"/>
    <w:rPr>
      <w:rFonts w:ascii="黑体" w:eastAsia="黑体" w:hAnsi="Times New Roman"/>
      <w:kern w:val="2"/>
      <w:sz w:val="32"/>
      <w:szCs w:val="32"/>
    </w:rPr>
  </w:style>
  <w:style w:type="character" w:customStyle="1" w:styleId="2Char">
    <w:name w:val="标题 2 Char"/>
    <w:aliases w:val="H2 Char,Heading 2 Hidden Char,Heading 2 CCBS Char,标题 2 Char Char Char,2nd level Char,h2 Char,2 Char,Header 2 Char,PIM2 Char,l2 Char,Level 2 Head Char,proj2 Char,proj21 Char,proj22 Char,proj23 Char,proj24 Char,proj25 Char,proj26 Char"/>
    <w:basedOn w:val="a0"/>
    <w:link w:val="20"/>
    <w:rsid w:val="00827272"/>
    <w:rPr>
      <w:rFonts w:ascii="Arial" w:hAnsi="Arial"/>
      <w:b/>
      <w:kern w:val="2"/>
      <w:sz w:val="28"/>
      <w:szCs w:val="28"/>
    </w:rPr>
  </w:style>
  <w:style w:type="character" w:customStyle="1" w:styleId="3Char">
    <w:name w:val="标题 3 Char"/>
    <w:aliases w:val="Bold Head Char,bh Char,h3 Char,Level 3 Head Char,H3 Char,l3 Char,CT Char,Heading 3 - old Char,3rd level Char,level_3 Char,PIM 3 Char,sect1.2.3 Char,3 Char,heading 3 Char,标题 4.1.1 Char,Fab-3 Char,sect1.2.31 Char,sect1.2.32 Char,sect1.2.311 Char"/>
    <w:basedOn w:val="a0"/>
    <w:link w:val="3"/>
    <w:rsid w:val="00827272"/>
    <w:rPr>
      <w:rFonts w:ascii="仿宋_GB2312" w:eastAsia="仿宋_GB2312" w:hAnsi="Times New Roman"/>
      <w:kern w:val="2"/>
      <w:sz w:val="24"/>
    </w:rPr>
  </w:style>
  <w:style w:type="character" w:customStyle="1" w:styleId="4Char">
    <w:name w:val="标题 4 Char"/>
    <w:aliases w:val="H4 Char,PIM 4 Char,h4 Char,Fab-4 Char,T5 Char,Ref Heading 1 Char,rh1 Char,Heading sql Char,sect 1.2.3.4 Char"/>
    <w:basedOn w:val="a0"/>
    <w:link w:val="4"/>
    <w:rsid w:val="00827272"/>
    <w:rPr>
      <w:rFonts w:ascii="Arial" w:eastAsia="黑体" w:hAnsi="Arial"/>
      <w:b/>
      <w:bCs/>
      <w:kern w:val="2"/>
      <w:sz w:val="28"/>
      <w:szCs w:val="28"/>
    </w:rPr>
  </w:style>
  <w:style w:type="character" w:customStyle="1" w:styleId="5Char">
    <w:name w:val="标题 5 Char"/>
    <w:basedOn w:val="a0"/>
    <w:link w:val="5"/>
    <w:rsid w:val="00827272"/>
    <w:rPr>
      <w:rFonts w:ascii="Times New Roman" w:hAnsi="Times New Roman"/>
      <w:b/>
      <w:bCs/>
      <w:kern w:val="2"/>
      <w:sz w:val="28"/>
      <w:szCs w:val="28"/>
    </w:rPr>
  </w:style>
  <w:style w:type="character" w:customStyle="1" w:styleId="6Char">
    <w:name w:val="标题 6 Char"/>
    <w:basedOn w:val="a0"/>
    <w:link w:val="6"/>
    <w:rsid w:val="00827272"/>
    <w:rPr>
      <w:rFonts w:ascii="Arial" w:eastAsia="黑体" w:hAnsi="Arial"/>
      <w:b/>
      <w:bCs/>
      <w:kern w:val="2"/>
      <w:sz w:val="24"/>
      <w:szCs w:val="24"/>
    </w:rPr>
  </w:style>
  <w:style w:type="character" w:customStyle="1" w:styleId="7Char">
    <w:name w:val="标题 7 Char"/>
    <w:basedOn w:val="a0"/>
    <w:link w:val="7"/>
    <w:rsid w:val="00827272"/>
    <w:rPr>
      <w:rFonts w:ascii="Times New Roman" w:hAnsi="Times New Roman"/>
      <w:b/>
      <w:bCs/>
      <w:kern w:val="2"/>
      <w:sz w:val="24"/>
      <w:szCs w:val="24"/>
    </w:rPr>
  </w:style>
  <w:style w:type="character" w:customStyle="1" w:styleId="8Char">
    <w:name w:val="标题 8 Char"/>
    <w:basedOn w:val="a0"/>
    <w:link w:val="8"/>
    <w:rsid w:val="00827272"/>
    <w:rPr>
      <w:rFonts w:ascii="Arial" w:eastAsia="黑体" w:hAnsi="Arial"/>
      <w:kern w:val="2"/>
      <w:sz w:val="24"/>
      <w:szCs w:val="24"/>
    </w:rPr>
  </w:style>
  <w:style w:type="character" w:customStyle="1" w:styleId="9Char">
    <w:name w:val="标题 9 Char"/>
    <w:basedOn w:val="a0"/>
    <w:link w:val="9"/>
    <w:rsid w:val="00827272"/>
    <w:rPr>
      <w:rFonts w:ascii="Arial" w:eastAsia="黑体" w:hAnsi="Arial"/>
      <w:kern w:val="2"/>
      <w:sz w:val="24"/>
      <w:szCs w:val="21"/>
    </w:rPr>
  </w:style>
  <w:style w:type="paragraph" w:styleId="a3">
    <w:name w:val="header"/>
    <w:basedOn w:val="a"/>
    <w:link w:val="Char"/>
    <w:unhideWhenUsed/>
    <w:rsid w:val="00D40F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40F10"/>
    <w:rPr>
      <w:sz w:val="18"/>
      <w:szCs w:val="18"/>
    </w:rPr>
  </w:style>
  <w:style w:type="paragraph" w:styleId="a4">
    <w:name w:val="footer"/>
    <w:basedOn w:val="a"/>
    <w:link w:val="Char0"/>
    <w:unhideWhenUsed/>
    <w:rsid w:val="00D40F1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40F10"/>
    <w:rPr>
      <w:sz w:val="18"/>
      <w:szCs w:val="18"/>
    </w:rPr>
  </w:style>
  <w:style w:type="paragraph" w:styleId="a5">
    <w:name w:val="List Paragraph"/>
    <w:basedOn w:val="a"/>
    <w:uiPriority w:val="34"/>
    <w:qFormat/>
    <w:rsid w:val="00396FAF"/>
    <w:pPr>
      <w:ind w:firstLineChars="200" w:firstLine="420"/>
    </w:pPr>
  </w:style>
  <w:style w:type="table" w:styleId="a6">
    <w:name w:val="Table Grid"/>
    <w:basedOn w:val="a1"/>
    <w:rsid w:val="00E678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footnote text"/>
    <w:basedOn w:val="a"/>
    <w:link w:val="Char1"/>
    <w:semiHidden/>
    <w:unhideWhenUsed/>
    <w:rsid w:val="001965AC"/>
    <w:pPr>
      <w:snapToGrid w:val="0"/>
      <w:jc w:val="left"/>
    </w:pPr>
    <w:rPr>
      <w:sz w:val="18"/>
      <w:szCs w:val="18"/>
    </w:rPr>
  </w:style>
  <w:style w:type="character" w:customStyle="1" w:styleId="Char1">
    <w:name w:val="脚注文本 Char"/>
    <w:basedOn w:val="a0"/>
    <w:link w:val="a7"/>
    <w:uiPriority w:val="99"/>
    <w:semiHidden/>
    <w:rsid w:val="001965AC"/>
    <w:rPr>
      <w:kern w:val="2"/>
      <w:sz w:val="18"/>
      <w:szCs w:val="18"/>
    </w:rPr>
  </w:style>
  <w:style w:type="character" w:styleId="a8">
    <w:name w:val="footnote reference"/>
    <w:basedOn w:val="a0"/>
    <w:semiHidden/>
    <w:unhideWhenUsed/>
    <w:rsid w:val="001965AC"/>
    <w:rPr>
      <w:vertAlign w:val="superscript"/>
    </w:rPr>
  </w:style>
  <w:style w:type="paragraph" w:customStyle="1" w:styleId="211">
    <w:name w:val="样式 标题 2 + 段前: 1 行 段后: 1 行"/>
    <w:basedOn w:val="20"/>
    <w:rsid w:val="00827272"/>
    <w:pPr>
      <w:numPr>
        <w:numId w:val="2"/>
      </w:numPr>
      <w:spacing w:before="447" w:after="447"/>
    </w:pPr>
    <w:rPr>
      <w:b w:val="0"/>
      <w:szCs w:val="20"/>
    </w:rPr>
  </w:style>
  <w:style w:type="paragraph" w:customStyle="1" w:styleId="CharCharCharCharCharCharChar">
    <w:name w:val="正文文字 Char Char Char Char Char Char Char"/>
    <w:basedOn w:val="a"/>
    <w:next w:val="30"/>
    <w:rsid w:val="00827272"/>
    <w:pPr>
      <w:numPr>
        <w:ilvl w:val="1"/>
        <w:numId w:val="5"/>
      </w:numPr>
      <w:spacing w:after="120"/>
    </w:pPr>
    <w:rPr>
      <w:rFonts w:ascii="Times New Roman" w:hAnsi="Times New Roman"/>
      <w:sz w:val="16"/>
      <w:szCs w:val="16"/>
    </w:rPr>
  </w:style>
  <w:style w:type="paragraph" w:styleId="30">
    <w:name w:val="Body Text 3"/>
    <w:basedOn w:val="a"/>
    <w:link w:val="3Char0"/>
    <w:rsid w:val="00827272"/>
    <w:pPr>
      <w:spacing w:after="120"/>
    </w:pPr>
    <w:rPr>
      <w:rFonts w:ascii="Times New Roman" w:hAnsi="Times New Roman"/>
      <w:sz w:val="16"/>
      <w:szCs w:val="16"/>
    </w:rPr>
  </w:style>
  <w:style w:type="character" w:customStyle="1" w:styleId="3Char0">
    <w:name w:val="正文文本 3 Char"/>
    <w:basedOn w:val="a0"/>
    <w:link w:val="30"/>
    <w:rsid w:val="00827272"/>
    <w:rPr>
      <w:rFonts w:ascii="Times New Roman" w:hAnsi="Times New Roman"/>
      <w:kern w:val="2"/>
      <w:sz w:val="16"/>
      <w:szCs w:val="16"/>
    </w:rPr>
  </w:style>
  <w:style w:type="paragraph" w:styleId="10">
    <w:name w:val="toc 1"/>
    <w:basedOn w:val="a"/>
    <w:next w:val="a"/>
    <w:autoRedefine/>
    <w:uiPriority w:val="39"/>
    <w:rsid w:val="00827272"/>
    <w:pPr>
      <w:tabs>
        <w:tab w:val="left" w:pos="993"/>
        <w:tab w:val="right" w:leader="dot" w:pos="8296"/>
      </w:tabs>
      <w:jc w:val="left"/>
    </w:pPr>
    <w:rPr>
      <w:rFonts w:ascii="宋体" w:eastAsia="黑体" w:hAnsi="宋体"/>
      <w:b/>
      <w:caps/>
      <w:noProof/>
      <w:sz w:val="24"/>
      <w:szCs w:val="28"/>
    </w:rPr>
  </w:style>
  <w:style w:type="paragraph" w:styleId="21">
    <w:name w:val="toc 2"/>
    <w:basedOn w:val="a"/>
    <w:next w:val="a"/>
    <w:autoRedefine/>
    <w:semiHidden/>
    <w:rsid w:val="00827272"/>
    <w:pPr>
      <w:tabs>
        <w:tab w:val="right" w:leader="dot" w:pos="8268"/>
      </w:tabs>
      <w:ind w:leftChars="152" w:left="319" w:firstLineChars="348" w:firstLine="731"/>
      <w:jc w:val="left"/>
    </w:pPr>
    <w:rPr>
      <w:rFonts w:ascii="Times New Roman" w:eastAsia="仿宋_GB2312" w:hAnsi="Times New Roman"/>
      <w:smallCaps/>
      <w:noProof/>
      <w:szCs w:val="20"/>
    </w:rPr>
  </w:style>
  <w:style w:type="paragraph" w:customStyle="1" w:styleId="11">
    <w:name w:val="样式 标题 1 + 黑体 非加粗"/>
    <w:basedOn w:val="1"/>
    <w:rsid w:val="00827272"/>
    <w:pPr>
      <w:pageBreakBefore/>
    </w:pPr>
    <w:rPr>
      <w:rFonts w:hAnsi="黑体"/>
      <w:b/>
    </w:rPr>
  </w:style>
  <w:style w:type="paragraph" w:customStyle="1" w:styleId="111">
    <w:name w:val="样式 标题 1 + 段前: 1 行 段后: 1 行"/>
    <w:basedOn w:val="1"/>
    <w:rsid w:val="00827272"/>
    <w:pPr>
      <w:pageBreakBefore/>
    </w:pPr>
    <w:rPr>
      <w:szCs w:val="20"/>
    </w:rPr>
  </w:style>
  <w:style w:type="paragraph" w:customStyle="1" w:styleId="115">
    <w:name w:val="样式 标题 1 + 段前: 1.5 行"/>
    <w:basedOn w:val="a"/>
    <w:rsid w:val="00827272"/>
    <w:pPr>
      <w:tabs>
        <w:tab w:val="num" w:pos="990"/>
      </w:tabs>
      <w:ind w:left="990" w:hanging="840"/>
    </w:pPr>
    <w:rPr>
      <w:rFonts w:ascii="Times New Roman" w:hAnsi="Times New Roman"/>
      <w:sz w:val="24"/>
      <w:szCs w:val="20"/>
    </w:rPr>
  </w:style>
  <w:style w:type="paragraph" w:customStyle="1" w:styleId="22">
    <w:name w:val="样式 首行缩进:  2 字符"/>
    <w:basedOn w:val="a"/>
    <w:rsid w:val="00827272"/>
    <w:pPr>
      <w:spacing w:before="100" w:beforeAutospacing="1" w:after="100" w:afterAutospacing="1" w:line="360" w:lineRule="auto"/>
      <w:ind w:firstLineChars="200" w:firstLine="480"/>
    </w:pPr>
    <w:rPr>
      <w:rFonts w:ascii="Times New Roman" w:hAnsi="Times New Roman"/>
      <w:szCs w:val="20"/>
    </w:rPr>
  </w:style>
  <w:style w:type="paragraph" w:customStyle="1" w:styleId="2111111">
    <w:name w:val="样式 样式 样式 标题 2 + 段前: 1 行 段后: 1 行1 + 段前: 1 行 段后: 1 行 + 段前: 1 行 段后..."/>
    <w:basedOn w:val="a"/>
    <w:rsid w:val="00827272"/>
    <w:pPr>
      <w:keepNext/>
      <w:keepLines/>
      <w:spacing w:beforeLines="100" w:afterLines="100"/>
      <w:outlineLvl w:val="1"/>
    </w:pPr>
    <w:rPr>
      <w:rFonts w:ascii="Arial" w:hAnsi="Arial"/>
      <w:b/>
      <w:bCs/>
      <w:sz w:val="28"/>
      <w:szCs w:val="20"/>
    </w:rPr>
  </w:style>
  <w:style w:type="paragraph" w:customStyle="1" w:styleId="2111">
    <w:name w:val="样式 标题 2 + 段前: 1 行 段后: 1 行1"/>
    <w:basedOn w:val="20"/>
    <w:rsid w:val="00827272"/>
    <w:pPr>
      <w:ind w:firstLineChars="0" w:firstLine="0"/>
    </w:pPr>
    <w:rPr>
      <w:bCs/>
      <w:szCs w:val="20"/>
    </w:rPr>
  </w:style>
  <w:style w:type="paragraph" w:customStyle="1" w:styleId="211111">
    <w:name w:val="样式 样式 标题 2 + 段前: 1 行 段后: 1 行1 + 段前: 1 行 段后: 1 行"/>
    <w:basedOn w:val="2111"/>
    <w:rsid w:val="00827272"/>
  </w:style>
  <w:style w:type="paragraph" w:styleId="a9">
    <w:name w:val="Title"/>
    <w:basedOn w:val="a"/>
    <w:link w:val="Char2"/>
    <w:qFormat/>
    <w:rsid w:val="00827272"/>
    <w:pPr>
      <w:spacing w:before="240" w:after="60"/>
      <w:jc w:val="center"/>
      <w:outlineLvl w:val="0"/>
    </w:pPr>
    <w:rPr>
      <w:rFonts w:ascii="Arial" w:hAnsi="Arial" w:cs="Arial"/>
      <w:b/>
      <w:bCs/>
      <w:sz w:val="32"/>
      <w:szCs w:val="32"/>
    </w:rPr>
  </w:style>
  <w:style w:type="character" w:customStyle="1" w:styleId="Char2">
    <w:name w:val="标题 Char"/>
    <w:basedOn w:val="a0"/>
    <w:link w:val="a9"/>
    <w:rsid w:val="00827272"/>
    <w:rPr>
      <w:rFonts w:ascii="Arial" w:hAnsi="Arial" w:cs="Arial"/>
      <w:b/>
      <w:bCs/>
      <w:kern w:val="2"/>
      <w:sz w:val="32"/>
      <w:szCs w:val="32"/>
    </w:rPr>
  </w:style>
  <w:style w:type="paragraph" w:styleId="aa">
    <w:name w:val="Closing"/>
    <w:basedOn w:val="a"/>
    <w:link w:val="Char3"/>
    <w:rsid w:val="00827272"/>
    <w:pPr>
      <w:ind w:leftChars="2100" w:left="100"/>
    </w:pPr>
    <w:rPr>
      <w:rFonts w:ascii="Times New Roman" w:hAnsi="Times New Roman"/>
      <w:szCs w:val="24"/>
    </w:rPr>
  </w:style>
  <w:style w:type="character" w:customStyle="1" w:styleId="Char3">
    <w:name w:val="结束语 Char"/>
    <w:basedOn w:val="a0"/>
    <w:link w:val="aa"/>
    <w:rsid w:val="00827272"/>
    <w:rPr>
      <w:rFonts w:ascii="Times New Roman" w:hAnsi="Times New Roman"/>
      <w:kern w:val="2"/>
      <w:sz w:val="21"/>
      <w:szCs w:val="24"/>
    </w:rPr>
  </w:style>
  <w:style w:type="paragraph" w:styleId="ab">
    <w:name w:val="List Number"/>
    <w:basedOn w:val="a"/>
    <w:rsid w:val="00827272"/>
    <w:pPr>
      <w:tabs>
        <w:tab w:val="num" w:pos="360"/>
      </w:tabs>
      <w:ind w:left="360" w:hangingChars="200" w:hanging="360"/>
    </w:pPr>
    <w:rPr>
      <w:rFonts w:ascii="Times New Roman" w:hAnsi="Times New Roman"/>
      <w:szCs w:val="24"/>
    </w:rPr>
  </w:style>
  <w:style w:type="paragraph" w:styleId="23">
    <w:name w:val="List Number 2"/>
    <w:basedOn w:val="a"/>
    <w:rsid w:val="00827272"/>
    <w:pPr>
      <w:tabs>
        <w:tab w:val="num" w:pos="780"/>
      </w:tabs>
      <w:ind w:leftChars="200" w:left="780" w:hangingChars="200" w:hanging="360"/>
    </w:pPr>
    <w:rPr>
      <w:rFonts w:ascii="Times New Roman" w:hAnsi="Times New Roman"/>
      <w:szCs w:val="24"/>
    </w:rPr>
  </w:style>
  <w:style w:type="paragraph" w:styleId="31">
    <w:name w:val="List Number 3"/>
    <w:basedOn w:val="a"/>
    <w:rsid w:val="00827272"/>
    <w:pPr>
      <w:tabs>
        <w:tab w:val="num" w:pos="1200"/>
      </w:tabs>
      <w:ind w:leftChars="400" w:left="1200" w:hangingChars="200" w:hanging="360"/>
    </w:pPr>
    <w:rPr>
      <w:rFonts w:ascii="Times New Roman" w:hAnsi="Times New Roman"/>
      <w:szCs w:val="24"/>
    </w:rPr>
  </w:style>
  <w:style w:type="paragraph" w:styleId="40">
    <w:name w:val="List Number 4"/>
    <w:basedOn w:val="a"/>
    <w:rsid w:val="00827272"/>
    <w:pPr>
      <w:tabs>
        <w:tab w:val="num" w:pos="1620"/>
      </w:tabs>
      <w:ind w:leftChars="600" w:left="1620" w:hangingChars="200" w:hanging="360"/>
    </w:pPr>
    <w:rPr>
      <w:rFonts w:ascii="Times New Roman" w:hAnsi="Times New Roman"/>
      <w:szCs w:val="24"/>
    </w:rPr>
  </w:style>
  <w:style w:type="paragraph" w:styleId="50">
    <w:name w:val="List Number 5"/>
    <w:basedOn w:val="a"/>
    <w:rsid w:val="00827272"/>
    <w:pPr>
      <w:tabs>
        <w:tab w:val="num" w:pos="2040"/>
      </w:tabs>
      <w:ind w:leftChars="800" w:left="2040" w:hangingChars="200" w:hanging="360"/>
    </w:pPr>
    <w:rPr>
      <w:rFonts w:ascii="Times New Roman" w:hAnsi="Times New Roman"/>
      <w:szCs w:val="24"/>
    </w:rPr>
  </w:style>
  <w:style w:type="paragraph" w:styleId="ac">
    <w:name w:val="List Bullet"/>
    <w:basedOn w:val="a"/>
    <w:autoRedefine/>
    <w:rsid w:val="00827272"/>
    <w:pPr>
      <w:tabs>
        <w:tab w:val="num" w:pos="360"/>
      </w:tabs>
      <w:ind w:left="360" w:hangingChars="200" w:hanging="360"/>
    </w:pPr>
    <w:rPr>
      <w:rFonts w:ascii="Times New Roman" w:hAnsi="Times New Roman"/>
      <w:szCs w:val="24"/>
    </w:rPr>
  </w:style>
  <w:style w:type="paragraph" w:styleId="24">
    <w:name w:val="List Bullet 2"/>
    <w:basedOn w:val="a"/>
    <w:autoRedefine/>
    <w:rsid w:val="00827272"/>
    <w:pPr>
      <w:tabs>
        <w:tab w:val="num" w:pos="780"/>
      </w:tabs>
      <w:ind w:leftChars="200" w:left="780" w:hangingChars="200" w:hanging="360"/>
    </w:pPr>
    <w:rPr>
      <w:rFonts w:ascii="Times New Roman" w:hAnsi="Times New Roman"/>
      <w:szCs w:val="24"/>
    </w:rPr>
  </w:style>
  <w:style w:type="paragraph" w:styleId="32">
    <w:name w:val="List Bullet 3"/>
    <w:basedOn w:val="a"/>
    <w:autoRedefine/>
    <w:rsid w:val="00827272"/>
    <w:pPr>
      <w:tabs>
        <w:tab w:val="num" w:pos="1200"/>
      </w:tabs>
      <w:ind w:leftChars="400" w:left="1200" w:hangingChars="200" w:hanging="360"/>
    </w:pPr>
    <w:rPr>
      <w:rFonts w:ascii="Times New Roman" w:hAnsi="Times New Roman"/>
      <w:szCs w:val="24"/>
    </w:rPr>
  </w:style>
  <w:style w:type="paragraph" w:styleId="41">
    <w:name w:val="List Bullet 4"/>
    <w:basedOn w:val="a"/>
    <w:autoRedefine/>
    <w:rsid w:val="00827272"/>
    <w:pPr>
      <w:tabs>
        <w:tab w:val="num" w:pos="1620"/>
      </w:tabs>
      <w:ind w:leftChars="600" w:left="1620" w:hangingChars="200" w:hanging="360"/>
    </w:pPr>
    <w:rPr>
      <w:rFonts w:ascii="Times New Roman" w:hAnsi="Times New Roman"/>
      <w:szCs w:val="24"/>
    </w:rPr>
  </w:style>
  <w:style w:type="paragraph" w:styleId="51">
    <w:name w:val="List Bullet 5"/>
    <w:basedOn w:val="a"/>
    <w:autoRedefine/>
    <w:rsid w:val="00827272"/>
    <w:pPr>
      <w:tabs>
        <w:tab w:val="num" w:pos="2040"/>
      </w:tabs>
      <w:ind w:leftChars="800" w:left="2040" w:hangingChars="200" w:hanging="360"/>
    </w:pPr>
    <w:rPr>
      <w:rFonts w:ascii="Times New Roman" w:hAnsi="Times New Roman"/>
      <w:szCs w:val="24"/>
    </w:rPr>
  </w:style>
  <w:style w:type="paragraph" w:styleId="ad">
    <w:name w:val="table of figures"/>
    <w:basedOn w:val="a"/>
    <w:next w:val="a"/>
    <w:semiHidden/>
    <w:rsid w:val="00827272"/>
    <w:pPr>
      <w:ind w:leftChars="200" w:left="840" w:hangingChars="200" w:hanging="420"/>
    </w:pPr>
    <w:rPr>
      <w:rFonts w:ascii="Times New Roman" w:hAnsi="Times New Roman"/>
      <w:szCs w:val="24"/>
    </w:rPr>
  </w:style>
  <w:style w:type="paragraph" w:styleId="ae">
    <w:name w:val="Body Text"/>
    <w:basedOn w:val="a"/>
    <w:link w:val="Char4"/>
    <w:rsid w:val="00827272"/>
    <w:pPr>
      <w:spacing w:after="120"/>
    </w:pPr>
    <w:rPr>
      <w:rFonts w:ascii="Times New Roman" w:hAnsi="Times New Roman"/>
      <w:szCs w:val="24"/>
    </w:rPr>
  </w:style>
  <w:style w:type="character" w:customStyle="1" w:styleId="Char4">
    <w:name w:val="正文文本 Char"/>
    <w:basedOn w:val="a0"/>
    <w:link w:val="ae"/>
    <w:rsid w:val="00827272"/>
    <w:rPr>
      <w:rFonts w:ascii="Times New Roman" w:hAnsi="Times New Roman"/>
      <w:kern w:val="2"/>
      <w:sz w:val="21"/>
      <w:szCs w:val="24"/>
    </w:rPr>
  </w:style>
  <w:style w:type="paragraph" w:styleId="af">
    <w:name w:val="Body Text First Indent"/>
    <w:basedOn w:val="ae"/>
    <w:link w:val="Char5"/>
    <w:rsid w:val="00827272"/>
    <w:pPr>
      <w:ind w:firstLineChars="100" w:firstLine="420"/>
    </w:pPr>
  </w:style>
  <w:style w:type="character" w:customStyle="1" w:styleId="Char5">
    <w:name w:val="正文首行缩进 Char"/>
    <w:basedOn w:val="Char4"/>
    <w:link w:val="af"/>
    <w:rsid w:val="00827272"/>
    <w:rPr>
      <w:rFonts w:ascii="Times New Roman" w:hAnsi="Times New Roman"/>
      <w:kern w:val="2"/>
      <w:sz w:val="21"/>
      <w:szCs w:val="24"/>
    </w:rPr>
  </w:style>
  <w:style w:type="paragraph" w:styleId="af0">
    <w:name w:val="Body Text Indent"/>
    <w:basedOn w:val="a"/>
    <w:link w:val="Char6"/>
    <w:rsid w:val="00827272"/>
    <w:pPr>
      <w:spacing w:after="120"/>
      <w:ind w:left="420"/>
    </w:pPr>
    <w:rPr>
      <w:rFonts w:ascii="Times New Roman" w:hAnsi="Times New Roman"/>
      <w:szCs w:val="24"/>
    </w:rPr>
  </w:style>
  <w:style w:type="character" w:customStyle="1" w:styleId="Char6">
    <w:name w:val="正文文本缩进 Char"/>
    <w:basedOn w:val="a0"/>
    <w:link w:val="af0"/>
    <w:rsid w:val="00827272"/>
    <w:rPr>
      <w:rFonts w:ascii="Times New Roman" w:hAnsi="Times New Roman"/>
      <w:kern w:val="2"/>
      <w:sz w:val="21"/>
      <w:szCs w:val="24"/>
    </w:rPr>
  </w:style>
  <w:style w:type="paragraph" w:styleId="af1">
    <w:name w:val="Note Heading"/>
    <w:basedOn w:val="a"/>
    <w:next w:val="a"/>
    <w:link w:val="Char7"/>
    <w:rsid w:val="00827272"/>
    <w:pPr>
      <w:jc w:val="center"/>
    </w:pPr>
    <w:rPr>
      <w:rFonts w:ascii="Times New Roman" w:hAnsi="Times New Roman"/>
      <w:szCs w:val="24"/>
    </w:rPr>
  </w:style>
  <w:style w:type="character" w:customStyle="1" w:styleId="Char7">
    <w:name w:val="注释标题 Char"/>
    <w:basedOn w:val="a0"/>
    <w:link w:val="af1"/>
    <w:rsid w:val="00827272"/>
    <w:rPr>
      <w:rFonts w:ascii="Times New Roman" w:hAnsi="Times New Roman"/>
      <w:kern w:val="2"/>
      <w:sz w:val="21"/>
      <w:szCs w:val="24"/>
    </w:rPr>
  </w:style>
  <w:style w:type="paragraph" w:customStyle="1" w:styleId="af2">
    <w:name w:val="特点"/>
    <w:aliases w:val="表正文,正文非缩进,段1"/>
    <w:basedOn w:val="a"/>
    <w:next w:val="af3"/>
    <w:rsid w:val="00827272"/>
    <w:pPr>
      <w:ind w:firstLine="420"/>
    </w:pPr>
    <w:rPr>
      <w:rFonts w:ascii="Times New Roman" w:hAnsi="Times New Roman"/>
      <w:szCs w:val="20"/>
    </w:rPr>
  </w:style>
  <w:style w:type="paragraph" w:styleId="af3">
    <w:name w:val="Normal Indent"/>
    <w:aliases w:val="正文缩进1,ALT+Z"/>
    <w:basedOn w:val="a"/>
    <w:rsid w:val="00827272"/>
    <w:pPr>
      <w:ind w:firstLine="420"/>
    </w:pPr>
    <w:rPr>
      <w:rFonts w:ascii="Times New Roman" w:hAnsi="Times New Roman"/>
      <w:szCs w:val="24"/>
    </w:rPr>
  </w:style>
  <w:style w:type="paragraph" w:styleId="33">
    <w:name w:val="Body Text Indent 3"/>
    <w:basedOn w:val="a"/>
    <w:link w:val="3Char1"/>
    <w:rsid w:val="00827272"/>
    <w:pPr>
      <w:spacing w:after="120"/>
      <w:ind w:left="420"/>
    </w:pPr>
    <w:rPr>
      <w:rFonts w:ascii="Times New Roman" w:hAnsi="Times New Roman"/>
      <w:sz w:val="16"/>
      <w:szCs w:val="16"/>
    </w:rPr>
  </w:style>
  <w:style w:type="character" w:customStyle="1" w:styleId="3Char1">
    <w:name w:val="正文文本缩进 3 Char"/>
    <w:basedOn w:val="a0"/>
    <w:link w:val="33"/>
    <w:rsid w:val="00827272"/>
    <w:rPr>
      <w:rFonts w:ascii="Times New Roman" w:hAnsi="Times New Roman"/>
      <w:kern w:val="2"/>
      <w:sz w:val="16"/>
      <w:szCs w:val="16"/>
    </w:rPr>
  </w:style>
  <w:style w:type="paragraph" w:styleId="af4">
    <w:name w:val="Plain Text"/>
    <w:basedOn w:val="a"/>
    <w:link w:val="Char8"/>
    <w:rsid w:val="00827272"/>
    <w:rPr>
      <w:rFonts w:ascii="宋体" w:hAnsi="Courier New" w:cs="Courier New"/>
      <w:szCs w:val="21"/>
    </w:rPr>
  </w:style>
  <w:style w:type="character" w:customStyle="1" w:styleId="Char8">
    <w:name w:val="纯文本 Char"/>
    <w:basedOn w:val="a0"/>
    <w:link w:val="af4"/>
    <w:rsid w:val="00827272"/>
    <w:rPr>
      <w:rFonts w:ascii="宋体" w:hAnsi="Courier New" w:cs="Courier New"/>
      <w:kern w:val="2"/>
      <w:sz w:val="21"/>
      <w:szCs w:val="21"/>
    </w:rPr>
  </w:style>
  <w:style w:type="paragraph" w:styleId="25">
    <w:name w:val="Body Text Indent 2"/>
    <w:basedOn w:val="a"/>
    <w:link w:val="2Char0"/>
    <w:rsid w:val="00827272"/>
    <w:pPr>
      <w:spacing w:after="120" w:line="480" w:lineRule="auto"/>
      <w:ind w:left="420"/>
    </w:pPr>
    <w:rPr>
      <w:rFonts w:ascii="Times New Roman" w:hAnsi="Times New Roman"/>
      <w:szCs w:val="24"/>
    </w:rPr>
  </w:style>
  <w:style w:type="character" w:customStyle="1" w:styleId="2Char0">
    <w:name w:val="正文文本缩进 2 Char"/>
    <w:basedOn w:val="a0"/>
    <w:link w:val="25"/>
    <w:rsid w:val="00827272"/>
    <w:rPr>
      <w:rFonts w:ascii="Times New Roman" w:hAnsi="Times New Roman"/>
      <w:kern w:val="2"/>
      <w:sz w:val="21"/>
      <w:szCs w:val="24"/>
    </w:rPr>
  </w:style>
  <w:style w:type="paragraph" w:styleId="26">
    <w:name w:val="Body Text 2"/>
    <w:basedOn w:val="a"/>
    <w:link w:val="2Char1"/>
    <w:rsid w:val="00827272"/>
    <w:pPr>
      <w:spacing w:after="120" w:line="480" w:lineRule="auto"/>
    </w:pPr>
    <w:rPr>
      <w:rFonts w:ascii="Times New Roman" w:hAnsi="Times New Roman"/>
      <w:szCs w:val="24"/>
    </w:rPr>
  </w:style>
  <w:style w:type="character" w:customStyle="1" w:styleId="2Char1">
    <w:name w:val="正文文本 2 Char"/>
    <w:basedOn w:val="a0"/>
    <w:link w:val="26"/>
    <w:rsid w:val="00827272"/>
    <w:rPr>
      <w:rFonts w:ascii="Times New Roman" w:hAnsi="Times New Roman"/>
      <w:kern w:val="2"/>
      <w:sz w:val="21"/>
      <w:szCs w:val="24"/>
    </w:rPr>
  </w:style>
  <w:style w:type="paragraph" w:styleId="HTML">
    <w:name w:val="HTML Preformatted"/>
    <w:basedOn w:val="a"/>
    <w:link w:val="HTMLChar"/>
    <w:rsid w:val="00827272"/>
    <w:rPr>
      <w:rFonts w:ascii="Courier New" w:hAnsi="Courier New" w:cs="Courier New"/>
      <w:sz w:val="20"/>
      <w:szCs w:val="20"/>
    </w:rPr>
  </w:style>
  <w:style w:type="character" w:customStyle="1" w:styleId="HTMLChar">
    <w:name w:val="HTML 预设格式 Char"/>
    <w:basedOn w:val="a0"/>
    <w:link w:val="HTML"/>
    <w:rsid w:val="00827272"/>
    <w:rPr>
      <w:rFonts w:ascii="Courier New" w:hAnsi="Courier New" w:cs="Courier New"/>
      <w:kern w:val="2"/>
    </w:rPr>
  </w:style>
  <w:style w:type="paragraph" w:styleId="af5">
    <w:name w:val="Normal (Web)"/>
    <w:basedOn w:val="a"/>
    <w:rsid w:val="00827272"/>
    <w:rPr>
      <w:rFonts w:ascii="Times New Roman" w:hAnsi="Times New Roman"/>
      <w:sz w:val="24"/>
      <w:szCs w:val="24"/>
    </w:rPr>
  </w:style>
  <w:style w:type="paragraph" w:styleId="af6">
    <w:name w:val="Subtitle"/>
    <w:basedOn w:val="a"/>
    <w:link w:val="Char9"/>
    <w:qFormat/>
    <w:rsid w:val="00827272"/>
    <w:pPr>
      <w:spacing w:before="240" w:after="60" w:line="312" w:lineRule="auto"/>
      <w:jc w:val="center"/>
      <w:outlineLvl w:val="1"/>
    </w:pPr>
    <w:rPr>
      <w:rFonts w:ascii="Arial" w:hAnsi="Arial" w:cs="Arial"/>
      <w:b/>
      <w:bCs/>
      <w:kern w:val="28"/>
      <w:sz w:val="32"/>
      <w:szCs w:val="32"/>
    </w:rPr>
  </w:style>
  <w:style w:type="character" w:customStyle="1" w:styleId="Char9">
    <w:name w:val="副标题 Char"/>
    <w:basedOn w:val="a0"/>
    <w:link w:val="af6"/>
    <w:rsid w:val="00827272"/>
    <w:rPr>
      <w:rFonts w:ascii="Arial" w:hAnsi="Arial" w:cs="Arial"/>
      <w:b/>
      <w:bCs/>
      <w:kern w:val="28"/>
      <w:sz w:val="32"/>
      <w:szCs w:val="32"/>
    </w:rPr>
  </w:style>
  <w:style w:type="paragraph" w:styleId="af7">
    <w:name w:val="Block Text"/>
    <w:basedOn w:val="a"/>
    <w:rsid w:val="00827272"/>
    <w:pPr>
      <w:spacing w:after="120"/>
      <w:ind w:left="1440" w:right="1440"/>
    </w:pPr>
    <w:rPr>
      <w:rFonts w:ascii="Times New Roman" w:hAnsi="Times New Roman"/>
      <w:szCs w:val="24"/>
    </w:rPr>
  </w:style>
  <w:style w:type="character" w:styleId="af8">
    <w:name w:val="Strong"/>
    <w:basedOn w:val="a0"/>
    <w:qFormat/>
    <w:rsid w:val="00827272"/>
    <w:rPr>
      <w:b/>
      <w:bCs/>
    </w:rPr>
  </w:style>
  <w:style w:type="paragraph" w:styleId="af9">
    <w:name w:val="Document Map"/>
    <w:basedOn w:val="a"/>
    <w:link w:val="Chara"/>
    <w:semiHidden/>
    <w:rsid w:val="00827272"/>
    <w:pPr>
      <w:shd w:val="clear" w:color="auto" w:fill="000080"/>
    </w:pPr>
    <w:rPr>
      <w:rFonts w:ascii="Times New Roman" w:hAnsi="Times New Roman"/>
      <w:szCs w:val="24"/>
    </w:rPr>
  </w:style>
  <w:style w:type="character" w:customStyle="1" w:styleId="Chara">
    <w:name w:val="文档结构图 Char"/>
    <w:basedOn w:val="a0"/>
    <w:link w:val="af9"/>
    <w:semiHidden/>
    <w:rsid w:val="00827272"/>
    <w:rPr>
      <w:rFonts w:ascii="Times New Roman" w:hAnsi="Times New Roman"/>
      <w:kern w:val="2"/>
      <w:sz w:val="21"/>
      <w:szCs w:val="24"/>
      <w:shd w:val="clear" w:color="auto" w:fill="000080"/>
    </w:rPr>
  </w:style>
  <w:style w:type="paragraph" w:customStyle="1" w:styleId="2">
    <w:name w:val="列表2"/>
    <w:basedOn w:val="a"/>
    <w:next w:val="a9"/>
    <w:rsid w:val="00827272"/>
    <w:pPr>
      <w:numPr>
        <w:numId w:val="6"/>
      </w:numPr>
      <w:spacing w:line="360" w:lineRule="auto"/>
    </w:pPr>
    <w:rPr>
      <w:rFonts w:ascii="宋体" w:hAnsi="Times New Roman"/>
      <w:szCs w:val="20"/>
    </w:rPr>
  </w:style>
  <w:style w:type="paragraph" w:customStyle="1" w:styleId="12">
    <w:name w:val="列表1"/>
    <w:basedOn w:val="a"/>
    <w:next w:val="a"/>
    <w:rsid w:val="00827272"/>
    <w:pPr>
      <w:tabs>
        <w:tab w:val="num" w:pos="644"/>
      </w:tabs>
      <w:spacing w:line="360" w:lineRule="auto"/>
      <w:ind w:left="567" w:hanging="283"/>
    </w:pPr>
    <w:rPr>
      <w:rFonts w:ascii="Times New Roman" w:hAnsi="Times New Roman"/>
      <w:szCs w:val="20"/>
    </w:rPr>
  </w:style>
  <w:style w:type="paragraph" w:customStyle="1" w:styleId="2211">
    <w:name w:val="样式 标题 2 + 首行缩进:  2 字符 段前: 1 行 段后: 1 行"/>
    <w:basedOn w:val="20"/>
    <w:rsid w:val="00827272"/>
    <w:pPr>
      <w:tabs>
        <w:tab w:val="num" w:pos="1276"/>
      </w:tabs>
      <w:spacing w:beforeLines="0" w:afterLines="0"/>
      <w:ind w:left="851" w:firstLineChars="0" w:firstLine="0"/>
    </w:pPr>
    <w:rPr>
      <w:szCs w:val="20"/>
    </w:rPr>
  </w:style>
  <w:style w:type="paragraph" w:styleId="afa">
    <w:name w:val="Balloon Text"/>
    <w:basedOn w:val="a"/>
    <w:link w:val="Charb"/>
    <w:semiHidden/>
    <w:rsid w:val="00827272"/>
    <w:rPr>
      <w:rFonts w:ascii="Times New Roman" w:hAnsi="Times New Roman"/>
      <w:sz w:val="18"/>
      <w:szCs w:val="18"/>
    </w:rPr>
  </w:style>
  <w:style w:type="character" w:customStyle="1" w:styleId="Charb">
    <w:name w:val="批注框文本 Char"/>
    <w:basedOn w:val="a0"/>
    <w:link w:val="afa"/>
    <w:semiHidden/>
    <w:rsid w:val="00827272"/>
    <w:rPr>
      <w:rFonts w:ascii="Times New Roman" w:hAnsi="Times New Roman"/>
      <w:kern w:val="2"/>
      <w:sz w:val="18"/>
      <w:szCs w:val="18"/>
    </w:rPr>
  </w:style>
  <w:style w:type="paragraph" w:styleId="afb">
    <w:name w:val="annotation text"/>
    <w:basedOn w:val="a"/>
    <w:link w:val="Charc"/>
    <w:unhideWhenUsed/>
    <w:rsid w:val="00827272"/>
    <w:pPr>
      <w:jc w:val="left"/>
    </w:pPr>
  </w:style>
  <w:style w:type="character" w:customStyle="1" w:styleId="Charc">
    <w:name w:val="批注文字 Char"/>
    <w:basedOn w:val="a0"/>
    <w:link w:val="afb"/>
    <w:rsid w:val="00827272"/>
    <w:rPr>
      <w:kern w:val="2"/>
      <w:sz w:val="21"/>
      <w:szCs w:val="22"/>
    </w:rPr>
  </w:style>
  <w:style w:type="paragraph" w:styleId="afc">
    <w:name w:val="annotation subject"/>
    <w:basedOn w:val="afb"/>
    <w:next w:val="afb"/>
    <w:link w:val="Chard"/>
    <w:semiHidden/>
    <w:rsid w:val="00827272"/>
    <w:rPr>
      <w:rFonts w:ascii="Times New Roman" w:hAnsi="Times New Roman"/>
      <w:b/>
      <w:bCs/>
      <w:szCs w:val="24"/>
    </w:rPr>
  </w:style>
  <w:style w:type="character" w:customStyle="1" w:styleId="Chard">
    <w:name w:val="批注主题 Char"/>
    <w:basedOn w:val="Charc"/>
    <w:link w:val="afc"/>
    <w:semiHidden/>
    <w:rsid w:val="00827272"/>
    <w:rPr>
      <w:rFonts w:ascii="Times New Roman" w:hAnsi="Times New Roman"/>
      <w:b/>
      <w:bCs/>
      <w:kern w:val="2"/>
      <w:sz w:val="21"/>
      <w:szCs w:val="24"/>
    </w:rPr>
  </w:style>
  <w:style w:type="paragraph" w:customStyle="1" w:styleId="13">
    <w:name w:val="1"/>
    <w:basedOn w:val="a"/>
    <w:rsid w:val="00827272"/>
    <w:pPr>
      <w:spacing w:before="100" w:beforeAutospacing="1" w:after="120" w:afterAutospacing="1" w:line="360" w:lineRule="auto"/>
      <w:ind w:leftChars="200" w:left="420"/>
    </w:pPr>
    <w:rPr>
      <w:rFonts w:ascii="Times New Roman" w:hAnsi="Times New Roman"/>
      <w:szCs w:val="24"/>
    </w:rPr>
  </w:style>
  <w:style w:type="character" w:styleId="afd">
    <w:name w:val="FollowedHyperlink"/>
    <w:basedOn w:val="a0"/>
    <w:rsid w:val="00827272"/>
    <w:rPr>
      <w:color w:val="800080"/>
      <w:u w:val="single"/>
    </w:rPr>
  </w:style>
  <w:style w:type="paragraph" w:customStyle="1" w:styleId="CharCharCharChar">
    <w:name w:val="Char Char Char Char"/>
    <w:basedOn w:val="a"/>
    <w:autoRedefine/>
    <w:rsid w:val="00827272"/>
    <w:pPr>
      <w:tabs>
        <w:tab w:val="num" w:pos="360"/>
      </w:tabs>
    </w:pPr>
    <w:rPr>
      <w:rFonts w:ascii="Times New Roman" w:hAnsi="Times New Roman"/>
      <w:sz w:val="24"/>
      <w:szCs w:val="24"/>
    </w:rPr>
  </w:style>
  <w:style w:type="table" w:styleId="afe">
    <w:name w:val="Table Theme"/>
    <w:basedOn w:val="a1"/>
    <w:rsid w:val="00827272"/>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e">
    <w:name w:val="Char"/>
    <w:basedOn w:val="a"/>
    <w:rsid w:val="00827272"/>
    <w:rPr>
      <w:rFonts w:ascii="Times New Roman" w:hAnsi="Times New Roman"/>
      <w:szCs w:val="24"/>
    </w:rPr>
  </w:style>
  <w:style w:type="paragraph" w:customStyle="1" w:styleId="ParaChar">
    <w:name w:val="默认段落字体 Para Char"/>
    <w:basedOn w:val="a"/>
    <w:autoRedefine/>
    <w:rsid w:val="00827272"/>
    <w:pPr>
      <w:tabs>
        <w:tab w:val="num" w:pos="360"/>
        <w:tab w:val="num" w:pos="3243"/>
      </w:tabs>
    </w:pPr>
    <w:rPr>
      <w:rFonts w:ascii="Times New Roman" w:hAnsi="Times New Roman"/>
      <w:sz w:val="24"/>
      <w:szCs w:val="24"/>
    </w:rPr>
  </w:style>
  <w:style w:type="paragraph" w:customStyle="1" w:styleId="CharCharChar1">
    <w:name w:val="Char Char Char1"/>
    <w:basedOn w:val="a"/>
    <w:rsid w:val="00827272"/>
    <w:rPr>
      <w:rFonts w:ascii="Times New Roman" w:hAnsi="Times New Roman"/>
      <w:szCs w:val="24"/>
    </w:rPr>
  </w:style>
  <w:style w:type="paragraph" w:customStyle="1" w:styleId="aff">
    <w:name w:val="正文所"/>
    <w:basedOn w:val="a"/>
    <w:rsid w:val="00827272"/>
    <w:pPr>
      <w:spacing w:line="360" w:lineRule="auto"/>
      <w:ind w:firstLineChars="200" w:firstLine="420"/>
    </w:pPr>
    <w:rPr>
      <w:rFonts w:ascii="Times New Roman" w:hAnsi="Times New Roman"/>
      <w:szCs w:val="24"/>
    </w:rPr>
  </w:style>
  <w:style w:type="paragraph" w:styleId="aff0">
    <w:name w:val="Date"/>
    <w:basedOn w:val="a"/>
    <w:next w:val="a"/>
    <w:link w:val="Charf"/>
    <w:rsid w:val="00827272"/>
    <w:pPr>
      <w:ind w:leftChars="2500" w:left="100"/>
    </w:pPr>
    <w:rPr>
      <w:rFonts w:ascii="Times New Roman" w:hAnsi="Times New Roman"/>
      <w:szCs w:val="24"/>
    </w:rPr>
  </w:style>
  <w:style w:type="character" w:customStyle="1" w:styleId="Charf">
    <w:name w:val="日期 Char"/>
    <w:basedOn w:val="a0"/>
    <w:link w:val="aff0"/>
    <w:rsid w:val="00827272"/>
    <w:rPr>
      <w:rFonts w:ascii="Times New Roman" w:hAnsi="Times New Roman"/>
      <w:kern w:val="2"/>
      <w:sz w:val="21"/>
      <w:szCs w:val="24"/>
    </w:rPr>
  </w:style>
  <w:style w:type="paragraph" w:customStyle="1" w:styleId="unnamed1">
    <w:name w:val="unnamed1"/>
    <w:basedOn w:val="a"/>
    <w:rsid w:val="00827272"/>
    <w:pPr>
      <w:widowControl/>
      <w:spacing w:before="60" w:after="60"/>
      <w:ind w:left="15" w:right="15"/>
      <w:jc w:val="left"/>
    </w:pPr>
    <w:rPr>
      <w:rFonts w:ascii="宋体" w:hAnsi="宋体" w:hint="eastAsia"/>
      <w:color w:val="000000"/>
      <w:kern w:val="0"/>
      <w:sz w:val="18"/>
      <w:szCs w:val="18"/>
    </w:rPr>
  </w:style>
  <w:style w:type="character" w:styleId="aff1">
    <w:name w:val="annotation reference"/>
    <w:basedOn w:val="a0"/>
    <w:semiHidden/>
    <w:unhideWhenUsed/>
    <w:rsid w:val="004C3A22"/>
    <w:rPr>
      <w:sz w:val="21"/>
      <w:szCs w:val="21"/>
    </w:rPr>
  </w:style>
  <w:style w:type="paragraph" w:styleId="aff2">
    <w:name w:val="Revision"/>
    <w:hidden/>
    <w:uiPriority w:val="99"/>
    <w:semiHidden/>
    <w:rsid w:val="00C802E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813828">
      <w:bodyDiv w:val="1"/>
      <w:marLeft w:val="0"/>
      <w:marRight w:val="0"/>
      <w:marTop w:val="0"/>
      <w:marBottom w:val="0"/>
      <w:divBdr>
        <w:top w:val="none" w:sz="0" w:space="0" w:color="auto"/>
        <w:left w:val="none" w:sz="0" w:space="0" w:color="auto"/>
        <w:bottom w:val="none" w:sz="0" w:space="0" w:color="auto"/>
        <w:right w:val="none" w:sz="0" w:space="0" w:color="auto"/>
      </w:divBdr>
    </w:div>
    <w:div w:id="1245912601">
      <w:bodyDiv w:val="1"/>
      <w:marLeft w:val="0"/>
      <w:marRight w:val="0"/>
      <w:marTop w:val="0"/>
      <w:marBottom w:val="0"/>
      <w:divBdr>
        <w:top w:val="none" w:sz="0" w:space="0" w:color="auto"/>
        <w:left w:val="none" w:sz="0" w:space="0" w:color="auto"/>
        <w:bottom w:val="none" w:sz="0" w:space="0" w:color="auto"/>
        <w:right w:val="none" w:sz="0" w:space="0" w:color="auto"/>
      </w:divBdr>
    </w:div>
    <w:div w:id="1715501456">
      <w:bodyDiv w:val="1"/>
      <w:marLeft w:val="0"/>
      <w:marRight w:val="0"/>
      <w:marTop w:val="0"/>
      <w:marBottom w:val="0"/>
      <w:divBdr>
        <w:top w:val="none" w:sz="0" w:space="0" w:color="auto"/>
        <w:left w:val="none" w:sz="0" w:space="0" w:color="auto"/>
        <w:bottom w:val="none" w:sz="0" w:space="0" w:color="auto"/>
        <w:right w:val="none" w:sz="0" w:space="0" w:color="auto"/>
      </w:divBdr>
      <w:divsChild>
        <w:div w:id="1914310163">
          <w:marLeft w:val="0"/>
          <w:marRight w:val="0"/>
          <w:marTop w:val="0"/>
          <w:marBottom w:val="0"/>
          <w:divBdr>
            <w:top w:val="none" w:sz="0" w:space="0" w:color="auto"/>
            <w:left w:val="none" w:sz="0" w:space="0" w:color="auto"/>
            <w:bottom w:val="none" w:sz="0" w:space="0" w:color="auto"/>
            <w:right w:val="none" w:sz="0" w:space="0" w:color="auto"/>
          </w:divBdr>
        </w:div>
        <w:div w:id="2034189323">
          <w:marLeft w:val="0"/>
          <w:marRight w:val="0"/>
          <w:marTop w:val="0"/>
          <w:marBottom w:val="0"/>
          <w:divBdr>
            <w:top w:val="none" w:sz="0" w:space="0" w:color="auto"/>
            <w:left w:val="none" w:sz="0" w:space="0" w:color="auto"/>
            <w:bottom w:val="none" w:sz="0" w:space="0" w:color="auto"/>
            <w:right w:val="none" w:sz="0" w:space="0" w:color="auto"/>
          </w:divBdr>
        </w:div>
        <w:div w:id="1915822004">
          <w:marLeft w:val="0"/>
          <w:marRight w:val="0"/>
          <w:marTop w:val="0"/>
          <w:marBottom w:val="0"/>
          <w:divBdr>
            <w:top w:val="none" w:sz="0" w:space="0" w:color="auto"/>
            <w:left w:val="none" w:sz="0" w:space="0" w:color="auto"/>
            <w:bottom w:val="none" w:sz="0" w:space="0" w:color="auto"/>
            <w:right w:val="none" w:sz="0" w:space="0" w:color="auto"/>
          </w:divBdr>
        </w:div>
        <w:div w:id="1021511747">
          <w:marLeft w:val="0"/>
          <w:marRight w:val="0"/>
          <w:marTop w:val="0"/>
          <w:marBottom w:val="0"/>
          <w:divBdr>
            <w:top w:val="none" w:sz="0" w:space="0" w:color="auto"/>
            <w:left w:val="none" w:sz="0" w:space="0" w:color="auto"/>
            <w:bottom w:val="none" w:sz="0" w:space="0" w:color="auto"/>
            <w:right w:val="none" w:sz="0" w:space="0" w:color="auto"/>
          </w:divBdr>
        </w:div>
        <w:div w:id="1815876448">
          <w:marLeft w:val="0"/>
          <w:marRight w:val="0"/>
          <w:marTop w:val="0"/>
          <w:marBottom w:val="0"/>
          <w:divBdr>
            <w:top w:val="none" w:sz="0" w:space="0" w:color="auto"/>
            <w:left w:val="none" w:sz="0" w:space="0" w:color="auto"/>
            <w:bottom w:val="none" w:sz="0" w:space="0" w:color="auto"/>
            <w:right w:val="none" w:sz="0" w:space="0" w:color="auto"/>
          </w:divBdr>
        </w:div>
        <w:div w:id="1241477439">
          <w:marLeft w:val="0"/>
          <w:marRight w:val="0"/>
          <w:marTop w:val="0"/>
          <w:marBottom w:val="0"/>
          <w:divBdr>
            <w:top w:val="none" w:sz="0" w:space="0" w:color="auto"/>
            <w:left w:val="none" w:sz="0" w:space="0" w:color="auto"/>
            <w:bottom w:val="none" w:sz="0" w:space="0" w:color="auto"/>
            <w:right w:val="none" w:sz="0" w:space="0" w:color="auto"/>
          </w:divBdr>
        </w:div>
        <w:div w:id="694884953">
          <w:marLeft w:val="0"/>
          <w:marRight w:val="0"/>
          <w:marTop w:val="0"/>
          <w:marBottom w:val="0"/>
          <w:divBdr>
            <w:top w:val="none" w:sz="0" w:space="0" w:color="auto"/>
            <w:left w:val="none" w:sz="0" w:space="0" w:color="auto"/>
            <w:bottom w:val="none" w:sz="0" w:space="0" w:color="auto"/>
            <w:right w:val="none" w:sz="0" w:space="0" w:color="auto"/>
          </w:divBdr>
        </w:div>
        <w:div w:id="1413116380">
          <w:marLeft w:val="0"/>
          <w:marRight w:val="0"/>
          <w:marTop w:val="0"/>
          <w:marBottom w:val="0"/>
          <w:divBdr>
            <w:top w:val="none" w:sz="0" w:space="0" w:color="auto"/>
            <w:left w:val="none" w:sz="0" w:space="0" w:color="auto"/>
            <w:bottom w:val="none" w:sz="0" w:space="0" w:color="auto"/>
            <w:right w:val="none" w:sz="0" w:space="0" w:color="auto"/>
          </w:divBdr>
        </w:div>
        <w:div w:id="1071656045">
          <w:marLeft w:val="0"/>
          <w:marRight w:val="0"/>
          <w:marTop w:val="0"/>
          <w:marBottom w:val="0"/>
          <w:divBdr>
            <w:top w:val="none" w:sz="0" w:space="0" w:color="auto"/>
            <w:left w:val="none" w:sz="0" w:space="0" w:color="auto"/>
            <w:bottom w:val="none" w:sz="0" w:space="0" w:color="auto"/>
            <w:right w:val="none" w:sz="0" w:space="0" w:color="auto"/>
          </w:divBdr>
        </w:div>
        <w:div w:id="1649044025">
          <w:marLeft w:val="0"/>
          <w:marRight w:val="0"/>
          <w:marTop w:val="0"/>
          <w:marBottom w:val="0"/>
          <w:divBdr>
            <w:top w:val="none" w:sz="0" w:space="0" w:color="auto"/>
            <w:left w:val="none" w:sz="0" w:space="0" w:color="auto"/>
            <w:bottom w:val="none" w:sz="0" w:space="0" w:color="auto"/>
            <w:right w:val="none" w:sz="0" w:space="0" w:color="auto"/>
          </w:divBdr>
        </w:div>
        <w:div w:id="1126896660">
          <w:marLeft w:val="0"/>
          <w:marRight w:val="0"/>
          <w:marTop w:val="0"/>
          <w:marBottom w:val="0"/>
          <w:divBdr>
            <w:top w:val="none" w:sz="0" w:space="0" w:color="auto"/>
            <w:left w:val="none" w:sz="0" w:space="0" w:color="auto"/>
            <w:bottom w:val="none" w:sz="0" w:space="0" w:color="auto"/>
            <w:right w:val="none" w:sz="0" w:space="0" w:color="auto"/>
          </w:divBdr>
        </w:div>
        <w:div w:id="1582907575">
          <w:marLeft w:val="0"/>
          <w:marRight w:val="0"/>
          <w:marTop w:val="0"/>
          <w:marBottom w:val="0"/>
          <w:divBdr>
            <w:top w:val="none" w:sz="0" w:space="0" w:color="auto"/>
            <w:left w:val="none" w:sz="0" w:space="0" w:color="auto"/>
            <w:bottom w:val="none" w:sz="0" w:space="0" w:color="auto"/>
            <w:right w:val="none" w:sz="0" w:space="0" w:color="auto"/>
          </w:divBdr>
        </w:div>
        <w:div w:id="923538975">
          <w:marLeft w:val="0"/>
          <w:marRight w:val="0"/>
          <w:marTop w:val="0"/>
          <w:marBottom w:val="0"/>
          <w:divBdr>
            <w:top w:val="none" w:sz="0" w:space="0" w:color="auto"/>
            <w:left w:val="none" w:sz="0" w:space="0" w:color="auto"/>
            <w:bottom w:val="none" w:sz="0" w:space="0" w:color="auto"/>
            <w:right w:val="none" w:sz="0" w:space="0" w:color="auto"/>
          </w:divBdr>
        </w:div>
        <w:div w:id="634600818">
          <w:marLeft w:val="0"/>
          <w:marRight w:val="0"/>
          <w:marTop w:val="0"/>
          <w:marBottom w:val="0"/>
          <w:divBdr>
            <w:top w:val="none" w:sz="0" w:space="0" w:color="auto"/>
            <w:left w:val="none" w:sz="0" w:space="0" w:color="auto"/>
            <w:bottom w:val="none" w:sz="0" w:space="0" w:color="auto"/>
            <w:right w:val="none" w:sz="0" w:space="0" w:color="auto"/>
          </w:divBdr>
        </w:div>
        <w:div w:id="1603415942">
          <w:marLeft w:val="0"/>
          <w:marRight w:val="0"/>
          <w:marTop w:val="0"/>
          <w:marBottom w:val="0"/>
          <w:divBdr>
            <w:top w:val="none" w:sz="0" w:space="0" w:color="auto"/>
            <w:left w:val="none" w:sz="0" w:space="0" w:color="auto"/>
            <w:bottom w:val="none" w:sz="0" w:space="0" w:color="auto"/>
            <w:right w:val="none" w:sz="0" w:space="0" w:color="auto"/>
          </w:divBdr>
        </w:div>
        <w:div w:id="848059321">
          <w:marLeft w:val="0"/>
          <w:marRight w:val="0"/>
          <w:marTop w:val="0"/>
          <w:marBottom w:val="0"/>
          <w:divBdr>
            <w:top w:val="none" w:sz="0" w:space="0" w:color="auto"/>
            <w:left w:val="none" w:sz="0" w:space="0" w:color="auto"/>
            <w:bottom w:val="none" w:sz="0" w:space="0" w:color="auto"/>
            <w:right w:val="none" w:sz="0" w:space="0" w:color="auto"/>
          </w:divBdr>
        </w:div>
        <w:div w:id="1526946899">
          <w:marLeft w:val="0"/>
          <w:marRight w:val="0"/>
          <w:marTop w:val="0"/>
          <w:marBottom w:val="0"/>
          <w:divBdr>
            <w:top w:val="none" w:sz="0" w:space="0" w:color="auto"/>
            <w:left w:val="none" w:sz="0" w:space="0" w:color="auto"/>
            <w:bottom w:val="none" w:sz="0" w:space="0" w:color="auto"/>
            <w:right w:val="none" w:sz="0" w:space="0" w:color="auto"/>
          </w:divBdr>
        </w:div>
        <w:div w:id="1820463209">
          <w:marLeft w:val="0"/>
          <w:marRight w:val="0"/>
          <w:marTop w:val="0"/>
          <w:marBottom w:val="0"/>
          <w:divBdr>
            <w:top w:val="none" w:sz="0" w:space="0" w:color="auto"/>
            <w:left w:val="none" w:sz="0" w:space="0" w:color="auto"/>
            <w:bottom w:val="none" w:sz="0" w:space="0" w:color="auto"/>
            <w:right w:val="none" w:sz="0" w:space="0" w:color="auto"/>
          </w:divBdr>
        </w:div>
        <w:div w:id="475877503">
          <w:marLeft w:val="0"/>
          <w:marRight w:val="0"/>
          <w:marTop w:val="0"/>
          <w:marBottom w:val="0"/>
          <w:divBdr>
            <w:top w:val="none" w:sz="0" w:space="0" w:color="auto"/>
            <w:left w:val="none" w:sz="0" w:space="0" w:color="auto"/>
            <w:bottom w:val="none" w:sz="0" w:space="0" w:color="auto"/>
            <w:right w:val="none" w:sz="0" w:space="0" w:color="auto"/>
          </w:divBdr>
        </w:div>
        <w:div w:id="1111900741">
          <w:marLeft w:val="0"/>
          <w:marRight w:val="0"/>
          <w:marTop w:val="0"/>
          <w:marBottom w:val="0"/>
          <w:divBdr>
            <w:top w:val="none" w:sz="0" w:space="0" w:color="auto"/>
            <w:left w:val="none" w:sz="0" w:space="0" w:color="auto"/>
            <w:bottom w:val="none" w:sz="0" w:space="0" w:color="auto"/>
            <w:right w:val="none" w:sz="0" w:space="0" w:color="auto"/>
          </w:divBdr>
        </w:div>
        <w:div w:id="1922524171">
          <w:marLeft w:val="0"/>
          <w:marRight w:val="0"/>
          <w:marTop w:val="0"/>
          <w:marBottom w:val="0"/>
          <w:divBdr>
            <w:top w:val="none" w:sz="0" w:space="0" w:color="auto"/>
            <w:left w:val="none" w:sz="0" w:space="0" w:color="auto"/>
            <w:bottom w:val="none" w:sz="0" w:space="0" w:color="auto"/>
            <w:right w:val="none" w:sz="0" w:space="0" w:color="auto"/>
          </w:divBdr>
        </w:div>
        <w:div w:id="412974431">
          <w:marLeft w:val="0"/>
          <w:marRight w:val="0"/>
          <w:marTop w:val="0"/>
          <w:marBottom w:val="0"/>
          <w:divBdr>
            <w:top w:val="none" w:sz="0" w:space="0" w:color="auto"/>
            <w:left w:val="none" w:sz="0" w:space="0" w:color="auto"/>
            <w:bottom w:val="none" w:sz="0" w:space="0" w:color="auto"/>
            <w:right w:val="none" w:sz="0" w:space="0" w:color="auto"/>
          </w:divBdr>
        </w:div>
        <w:div w:id="1206482619">
          <w:marLeft w:val="0"/>
          <w:marRight w:val="0"/>
          <w:marTop w:val="0"/>
          <w:marBottom w:val="0"/>
          <w:divBdr>
            <w:top w:val="none" w:sz="0" w:space="0" w:color="auto"/>
            <w:left w:val="none" w:sz="0" w:space="0" w:color="auto"/>
            <w:bottom w:val="none" w:sz="0" w:space="0" w:color="auto"/>
            <w:right w:val="none" w:sz="0" w:space="0" w:color="auto"/>
          </w:divBdr>
        </w:div>
        <w:div w:id="18168455">
          <w:marLeft w:val="0"/>
          <w:marRight w:val="0"/>
          <w:marTop w:val="0"/>
          <w:marBottom w:val="0"/>
          <w:divBdr>
            <w:top w:val="none" w:sz="0" w:space="0" w:color="auto"/>
            <w:left w:val="none" w:sz="0" w:space="0" w:color="auto"/>
            <w:bottom w:val="none" w:sz="0" w:space="0" w:color="auto"/>
            <w:right w:val="none" w:sz="0" w:space="0" w:color="auto"/>
          </w:divBdr>
        </w:div>
        <w:div w:id="1959025247">
          <w:marLeft w:val="0"/>
          <w:marRight w:val="0"/>
          <w:marTop w:val="0"/>
          <w:marBottom w:val="0"/>
          <w:divBdr>
            <w:top w:val="none" w:sz="0" w:space="0" w:color="auto"/>
            <w:left w:val="none" w:sz="0" w:space="0" w:color="auto"/>
            <w:bottom w:val="none" w:sz="0" w:space="0" w:color="auto"/>
            <w:right w:val="none" w:sz="0" w:space="0" w:color="auto"/>
          </w:divBdr>
        </w:div>
        <w:div w:id="449470875">
          <w:marLeft w:val="0"/>
          <w:marRight w:val="0"/>
          <w:marTop w:val="0"/>
          <w:marBottom w:val="0"/>
          <w:divBdr>
            <w:top w:val="none" w:sz="0" w:space="0" w:color="auto"/>
            <w:left w:val="none" w:sz="0" w:space="0" w:color="auto"/>
            <w:bottom w:val="none" w:sz="0" w:space="0" w:color="auto"/>
            <w:right w:val="none" w:sz="0" w:space="0" w:color="auto"/>
          </w:divBdr>
        </w:div>
        <w:div w:id="173495149">
          <w:marLeft w:val="0"/>
          <w:marRight w:val="0"/>
          <w:marTop w:val="0"/>
          <w:marBottom w:val="0"/>
          <w:divBdr>
            <w:top w:val="none" w:sz="0" w:space="0" w:color="auto"/>
            <w:left w:val="none" w:sz="0" w:space="0" w:color="auto"/>
            <w:bottom w:val="none" w:sz="0" w:space="0" w:color="auto"/>
            <w:right w:val="none" w:sz="0" w:space="0" w:color="auto"/>
          </w:divBdr>
        </w:div>
        <w:div w:id="240217243">
          <w:marLeft w:val="0"/>
          <w:marRight w:val="0"/>
          <w:marTop w:val="0"/>
          <w:marBottom w:val="0"/>
          <w:divBdr>
            <w:top w:val="none" w:sz="0" w:space="0" w:color="auto"/>
            <w:left w:val="none" w:sz="0" w:space="0" w:color="auto"/>
            <w:bottom w:val="none" w:sz="0" w:space="0" w:color="auto"/>
            <w:right w:val="none" w:sz="0" w:space="0" w:color="auto"/>
          </w:divBdr>
        </w:div>
        <w:div w:id="246235102">
          <w:marLeft w:val="0"/>
          <w:marRight w:val="0"/>
          <w:marTop w:val="0"/>
          <w:marBottom w:val="0"/>
          <w:divBdr>
            <w:top w:val="none" w:sz="0" w:space="0" w:color="auto"/>
            <w:left w:val="none" w:sz="0" w:space="0" w:color="auto"/>
            <w:bottom w:val="none" w:sz="0" w:space="0" w:color="auto"/>
            <w:right w:val="none" w:sz="0" w:space="0" w:color="auto"/>
          </w:divBdr>
        </w:div>
        <w:div w:id="857474671">
          <w:marLeft w:val="0"/>
          <w:marRight w:val="0"/>
          <w:marTop w:val="0"/>
          <w:marBottom w:val="0"/>
          <w:divBdr>
            <w:top w:val="none" w:sz="0" w:space="0" w:color="auto"/>
            <w:left w:val="none" w:sz="0" w:space="0" w:color="auto"/>
            <w:bottom w:val="none" w:sz="0" w:space="0" w:color="auto"/>
            <w:right w:val="none" w:sz="0" w:space="0" w:color="auto"/>
          </w:divBdr>
        </w:div>
        <w:div w:id="1593006703">
          <w:marLeft w:val="0"/>
          <w:marRight w:val="0"/>
          <w:marTop w:val="0"/>
          <w:marBottom w:val="0"/>
          <w:divBdr>
            <w:top w:val="none" w:sz="0" w:space="0" w:color="auto"/>
            <w:left w:val="none" w:sz="0" w:space="0" w:color="auto"/>
            <w:bottom w:val="none" w:sz="0" w:space="0" w:color="auto"/>
            <w:right w:val="none" w:sz="0" w:space="0" w:color="auto"/>
          </w:divBdr>
        </w:div>
        <w:div w:id="49040861">
          <w:marLeft w:val="0"/>
          <w:marRight w:val="0"/>
          <w:marTop w:val="0"/>
          <w:marBottom w:val="0"/>
          <w:divBdr>
            <w:top w:val="none" w:sz="0" w:space="0" w:color="auto"/>
            <w:left w:val="none" w:sz="0" w:space="0" w:color="auto"/>
            <w:bottom w:val="none" w:sz="0" w:space="0" w:color="auto"/>
            <w:right w:val="none" w:sz="0" w:space="0" w:color="auto"/>
          </w:divBdr>
        </w:div>
        <w:div w:id="773090139">
          <w:marLeft w:val="0"/>
          <w:marRight w:val="0"/>
          <w:marTop w:val="0"/>
          <w:marBottom w:val="0"/>
          <w:divBdr>
            <w:top w:val="none" w:sz="0" w:space="0" w:color="auto"/>
            <w:left w:val="none" w:sz="0" w:space="0" w:color="auto"/>
            <w:bottom w:val="none" w:sz="0" w:space="0" w:color="auto"/>
            <w:right w:val="none" w:sz="0" w:space="0" w:color="auto"/>
          </w:divBdr>
        </w:div>
        <w:div w:id="453712206">
          <w:marLeft w:val="0"/>
          <w:marRight w:val="0"/>
          <w:marTop w:val="0"/>
          <w:marBottom w:val="0"/>
          <w:divBdr>
            <w:top w:val="none" w:sz="0" w:space="0" w:color="auto"/>
            <w:left w:val="none" w:sz="0" w:space="0" w:color="auto"/>
            <w:bottom w:val="none" w:sz="0" w:space="0" w:color="auto"/>
            <w:right w:val="none" w:sz="0" w:space="0" w:color="auto"/>
          </w:divBdr>
        </w:div>
        <w:div w:id="1133251496">
          <w:marLeft w:val="0"/>
          <w:marRight w:val="0"/>
          <w:marTop w:val="0"/>
          <w:marBottom w:val="0"/>
          <w:divBdr>
            <w:top w:val="none" w:sz="0" w:space="0" w:color="auto"/>
            <w:left w:val="none" w:sz="0" w:space="0" w:color="auto"/>
            <w:bottom w:val="none" w:sz="0" w:space="0" w:color="auto"/>
            <w:right w:val="none" w:sz="0" w:space="0" w:color="auto"/>
          </w:divBdr>
        </w:div>
        <w:div w:id="792285393">
          <w:marLeft w:val="0"/>
          <w:marRight w:val="0"/>
          <w:marTop w:val="0"/>
          <w:marBottom w:val="0"/>
          <w:divBdr>
            <w:top w:val="none" w:sz="0" w:space="0" w:color="auto"/>
            <w:left w:val="none" w:sz="0" w:space="0" w:color="auto"/>
            <w:bottom w:val="none" w:sz="0" w:space="0" w:color="auto"/>
            <w:right w:val="none" w:sz="0" w:space="0" w:color="auto"/>
          </w:divBdr>
        </w:div>
        <w:div w:id="1958219385">
          <w:marLeft w:val="0"/>
          <w:marRight w:val="0"/>
          <w:marTop w:val="0"/>
          <w:marBottom w:val="0"/>
          <w:divBdr>
            <w:top w:val="none" w:sz="0" w:space="0" w:color="auto"/>
            <w:left w:val="none" w:sz="0" w:space="0" w:color="auto"/>
            <w:bottom w:val="none" w:sz="0" w:space="0" w:color="auto"/>
            <w:right w:val="none" w:sz="0" w:space="0" w:color="auto"/>
          </w:divBdr>
        </w:div>
        <w:div w:id="920602200">
          <w:marLeft w:val="0"/>
          <w:marRight w:val="0"/>
          <w:marTop w:val="0"/>
          <w:marBottom w:val="0"/>
          <w:divBdr>
            <w:top w:val="none" w:sz="0" w:space="0" w:color="auto"/>
            <w:left w:val="none" w:sz="0" w:space="0" w:color="auto"/>
            <w:bottom w:val="none" w:sz="0" w:space="0" w:color="auto"/>
            <w:right w:val="none" w:sz="0" w:space="0" w:color="auto"/>
          </w:divBdr>
        </w:div>
        <w:div w:id="740907009">
          <w:marLeft w:val="0"/>
          <w:marRight w:val="0"/>
          <w:marTop w:val="0"/>
          <w:marBottom w:val="0"/>
          <w:divBdr>
            <w:top w:val="none" w:sz="0" w:space="0" w:color="auto"/>
            <w:left w:val="none" w:sz="0" w:space="0" w:color="auto"/>
            <w:bottom w:val="none" w:sz="0" w:space="0" w:color="auto"/>
            <w:right w:val="none" w:sz="0" w:space="0" w:color="auto"/>
          </w:divBdr>
        </w:div>
        <w:div w:id="1173685153">
          <w:marLeft w:val="0"/>
          <w:marRight w:val="0"/>
          <w:marTop w:val="0"/>
          <w:marBottom w:val="0"/>
          <w:divBdr>
            <w:top w:val="none" w:sz="0" w:space="0" w:color="auto"/>
            <w:left w:val="none" w:sz="0" w:space="0" w:color="auto"/>
            <w:bottom w:val="none" w:sz="0" w:space="0" w:color="auto"/>
            <w:right w:val="none" w:sz="0" w:space="0" w:color="auto"/>
          </w:divBdr>
        </w:div>
        <w:div w:id="1208645586">
          <w:marLeft w:val="0"/>
          <w:marRight w:val="0"/>
          <w:marTop w:val="0"/>
          <w:marBottom w:val="0"/>
          <w:divBdr>
            <w:top w:val="none" w:sz="0" w:space="0" w:color="auto"/>
            <w:left w:val="none" w:sz="0" w:space="0" w:color="auto"/>
            <w:bottom w:val="none" w:sz="0" w:space="0" w:color="auto"/>
            <w:right w:val="none" w:sz="0" w:space="0" w:color="auto"/>
          </w:divBdr>
        </w:div>
        <w:div w:id="1441484187">
          <w:marLeft w:val="0"/>
          <w:marRight w:val="0"/>
          <w:marTop w:val="0"/>
          <w:marBottom w:val="0"/>
          <w:divBdr>
            <w:top w:val="none" w:sz="0" w:space="0" w:color="auto"/>
            <w:left w:val="none" w:sz="0" w:space="0" w:color="auto"/>
            <w:bottom w:val="none" w:sz="0" w:space="0" w:color="auto"/>
            <w:right w:val="none" w:sz="0" w:space="0" w:color="auto"/>
          </w:divBdr>
        </w:div>
        <w:div w:id="1478187873">
          <w:marLeft w:val="0"/>
          <w:marRight w:val="0"/>
          <w:marTop w:val="0"/>
          <w:marBottom w:val="0"/>
          <w:divBdr>
            <w:top w:val="none" w:sz="0" w:space="0" w:color="auto"/>
            <w:left w:val="none" w:sz="0" w:space="0" w:color="auto"/>
            <w:bottom w:val="none" w:sz="0" w:space="0" w:color="auto"/>
            <w:right w:val="none" w:sz="0" w:space="0" w:color="auto"/>
          </w:divBdr>
        </w:div>
        <w:div w:id="800457882">
          <w:marLeft w:val="0"/>
          <w:marRight w:val="0"/>
          <w:marTop w:val="0"/>
          <w:marBottom w:val="0"/>
          <w:divBdr>
            <w:top w:val="none" w:sz="0" w:space="0" w:color="auto"/>
            <w:left w:val="none" w:sz="0" w:space="0" w:color="auto"/>
            <w:bottom w:val="none" w:sz="0" w:space="0" w:color="auto"/>
            <w:right w:val="none" w:sz="0" w:space="0" w:color="auto"/>
          </w:divBdr>
        </w:div>
        <w:div w:id="593706593">
          <w:marLeft w:val="0"/>
          <w:marRight w:val="0"/>
          <w:marTop w:val="0"/>
          <w:marBottom w:val="0"/>
          <w:divBdr>
            <w:top w:val="none" w:sz="0" w:space="0" w:color="auto"/>
            <w:left w:val="none" w:sz="0" w:space="0" w:color="auto"/>
            <w:bottom w:val="none" w:sz="0" w:space="0" w:color="auto"/>
            <w:right w:val="none" w:sz="0" w:space="0" w:color="auto"/>
          </w:divBdr>
        </w:div>
        <w:div w:id="633676936">
          <w:marLeft w:val="0"/>
          <w:marRight w:val="0"/>
          <w:marTop w:val="0"/>
          <w:marBottom w:val="0"/>
          <w:divBdr>
            <w:top w:val="none" w:sz="0" w:space="0" w:color="auto"/>
            <w:left w:val="none" w:sz="0" w:space="0" w:color="auto"/>
            <w:bottom w:val="none" w:sz="0" w:space="0" w:color="auto"/>
            <w:right w:val="none" w:sz="0" w:space="0" w:color="auto"/>
          </w:divBdr>
        </w:div>
        <w:div w:id="2013945961">
          <w:marLeft w:val="0"/>
          <w:marRight w:val="0"/>
          <w:marTop w:val="0"/>
          <w:marBottom w:val="0"/>
          <w:divBdr>
            <w:top w:val="none" w:sz="0" w:space="0" w:color="auto"/>
            <w:left w:val="none" w:sz="0" w:space="0" w:color="auto"/>
            <w:bottom w:val="none" w:sz="0" w:space="0" w:color="auto"/>
            <w:right w:val="none" w:sz="0" w:space="0" w:color="auto"/>
          </w:divBdr>
        </w:div>
        <w:div w:id="1007908189">
          <w:marLeft w:val="0"/>
          <w:marRight w:val="0"/>
          <w:marTop w:val="0"/>
          <w:marBottom w:val="0"/>
          <w:divBdr>
            <w:top w:val="none" w:sz="0" w:space="0" w:color="auto"/>
            <w:left w:val="none" w:sz="0" w:space="0" w:color="auto"/>
            <w:bottom w:val="none" w:sz="0" w:space="0" w:color="auto"/>
            <w:right w:val="none" w:sz="0" w:space="0" w:color="auto"/>
          </w:divBdr>
        </w:div>
        <w:div w:id="482819447">
          <w:marLeft w:val="0"/>
          <w:marRight w:val="0"/>
          <w:marTop w:val="0"/>
          <w:marBottom w:val="0"/>
          <w:divBdr>
            <w:top w:val="none" w:sz="0" w:space="0" w:color="auto"/>
            <w:left w:val="none" w:sz="0" w:space="0" w:color="auto"/>
            <w:bottom w:val="none" w:sz="0" w:space="0" w:color="auto"/>
            <w:right w:val="none" w:sz="0" w:space="0" w:color="auto"/>
          </w:divBdr>
        </w:div>
        <w:div w:id="486165991">
          <w:marLeft w:val="0"/>
          <w:marRight w:val="0"/>
          <w:marTop w:val="0"/>
          <w:marBottom w:val="0"/>
          <w:divBdr>
            <w:top w:val="none" w:sz="0" w:space="0" w:color="auto"/>
            <w:left w:val="none" w:sz="0" w:space="0" w:color="auto"/>
            <w:bottom w:val="none" w:sz="0" w:space="0" w:color="auto"/>
            <w:right w:val="none" w:sz="0" w:space="0" w:color="auto"/>
          </w:divBdr>
        </w:div>
        <w:div w:id="822239669">
          <w:marLeft w:val="0"/>
          <w:marRight w:val="0"/>
          <w:marTop w:val="0"/>
          <w:marBottom w:val="0"/>
          <w:divBdr>
            <w:top w:val="none" w:sz="0" w:space="0" w:color="auto"/>
            <w:left w:val="none" w:sz="0" w:space="0" w:color="auto"/>
            <w:bottom w:val="none" w:sz="0" w:space="0" w:color="auto"/>
            <w:right w:val="none" w:sz="0" w:space="0" w:color="auto"/>
          </w:divBdr>
        </w:div>
        <w:div w:id="1888489694">
          <w:marLeft w:val="0"/>
          <w:marRight w:val="0"/>
          <w:marTop w:val="0"/>
          <w:marBottom w:val="0"/>
          <w:divBdr>
            <w:top w:val="none" w:sz="0" w:space="0" w:color="auto"/>
            <w:left w:val="none" w:sz="0" w:space="0" w:color="auto"/>
            <w:bottom w:val="none" w:sz="0" w:space="0" w:color="auto"/>
            <w:right w:val="none" w:sz="0" w:space="0" w:color="auto"/>
          </w:divBdr>
        </w:div>
        <w:div w:id="643199613">
          <w:marLeft w:val="0"/>
          <w:marRight w:val="0"/>
          <w:marTop w:val="0"/>
          <w:marBottom w:val="0"/>
          <w:divBdr>
            <w:top w:val="none" w:sz="0" w:space="0" w:color="auto"/>
            <w:left w:val="none" w:sz="0" w:space="0" w:color="auto"/>
            <w:bottom w:val="none" w:sz="0" w:space="0" w:color="auto"/>
            <w:right w:val="none" w:sz="0" w:space="0" w:color="auto"/>
          </w:divBdr>
        </w:div>
        <w:div w:id="1149133236">
          <w:marLeft w:val="0"/>
          <w:marRight w:val="0"/>
          <w:marTop w:val="0"/>
          <w:marBottom w:val="0"/>
          <w:divBdr>
            <w:top w:val="none" w:sz="0" w:space="0" w:color="auto"/>
            <w:left w:val="none" w:sz="0" w:space="0" w:color="auto"/>
            <w:bottom w:val="none" w:sz="0" w:space="0" w:color="auto"/>
            <w:right w:val="none" w:sz="0" w:space="0" w:color="auto"/>
          </w:divBdr>
        </w:div>
        <w:div w:id="1325671576">
          <w:marLeft w:val="0"/>
          <w:marRight w:val="0"/>
          <w:marTop w:val="0"/>
          <w:marBottom w:val="0"/>
          <w:divBdr>
            <w:top w:val="none" w:sz="0" w:space="0" w:color="auto"/>
            <w:left w:val="none" w:sz="0" w:space="0" w:color="auto"/>
            <w:bottom w:val="none" w:sz="0" w:space="0" w:color="auto"/>
            <w:right w:val="none" w:sz="0" w:space="0" w:color="auto"/>
          </w:divBdr>
        </w:div>
      </w:divsChild>
    </w:div>
    <w:div w:id="182420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3" Type="http://schemas.openxmlformats.org/officeDocument/2006/relationships/numbering" Target="numbering.xml"/><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2" Type="http://schemas.openxmlformats.org/officeDocument/2006/relationships/customXml" Target="../customXml/item1.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image" Target="media/image17.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hyperlink" Target="http://www.efunds.com.cn&#25110;&#32773;&#25320;&#25171;&#26412;&#20844;&#21496;&#23458;&#26381;&#30005;&#35805;&#65306;40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C70C06-EA7D-4191-AFD8-6DE8D4B2C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782</Words>
  <Characters>4459</Characters>
  <Application>Microsoft Office Word</Application>
  <DocSecurity>0</DocSecurity>
  <Lines>37</Lines>
  <Paragraphs>10</Paragraphs>
  <ScaleCrop>false</ScaleCrop>
  <Company>易方达基金管理有限公司</Company>
  <LinksUpToDate>false</LinksUpToDate>
  <CharactersWithSpaces>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曹传琪</dc:creator>
  <cp:lastModifiedBy>陈红</cp:lastModifiedBy>
  <cp:revision>3</cp:revision>
  <cp:lastPrinted>2011-04-15T07:55:00Z</cp:lastPrinted>
  <dcterms:created xsi:type="dcterms:W3CDTF">2020-07-06T10:42:00Z</dcterms:created>
  <dcterms:modified xsi:type="dcterms:W3CDTF">2020-07-06T12:21:00Z</dcterms:modified>
</cp:coreProperties>
</file>