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4E" w:rsidRPr="00721084" w:rsidRDefault="0064594E" w:rsidP="00CE3F81">
      <w:pPr>
        <w:snapToGrid w:val="0"/>
        <w:spacing w:line="360" w:lineRule="auto"/>
        <w:ind w:firstLineChars="200" w:firstLine="883"/>
        <w:jc w:val="center"/>
        <w:rPr>
          <w:rFonts w:asciiTheme="minorEastAsia" w:eastAsiaTheme="minorEastAsia" w:hAnsiTheme="minorEastAsia"/>
          <w:b/>
          <w:sz w:val="44"/>
        </w:rPr>
      </w:pPr>
    </w:p>
    <w:p w:rsidR="00EC2F95" w:rsidRPr="00721084" w:rsidRDefault="0064594E" w:rsidP="00CE3F81">
      <w:pPr>
        <w:snapToGrid w:val="0"/>
        <w:spacing w:line="360" w:lineRule="auto"/>
        <w:ind w:firstLineChars="200" w:firstLine="723"/>
        <w:jc w:val="center"/>
        <w:rPr>
          <w:rFonts w:asciiTheme="minorEastAsia" w:eastAsiaTheme="minorEastAsia" w:hAnsiTheme="minorEastAsia"/>
          <w:b/>
          <w:sz w:val="36"/>
          <w:szCs w:val="36"/>
        </w:rPr>
      </w:pPr>
      <w:r w:rsidRPr="00721084">
        <w:rPr>
          <w:rFonts w:asciiTheme="minorEastAsia" w:eastAsiaTheme="minorEastAsia" w:hAnsiTheme="minorEastAsia" w:hint="eastAsia"/>
          <w:b/>
          <w:sz w:val="36"/>
          <w:szCs w:val="36"/>
        </w:rPr>
        <w:t>易方达</w:t>
      </w:r>
      <w:r w:rsidR="00416014" w:rsidRPr="00721084">
        <w:rPr>
          <w:rFonts w:asciiTheme="minorEastAsia" w:eastAsiaTheme="minorEastAsia" w:hAnsiTheme="minorEastAsia" w:hint="eastAsia"/>
          <w:b/>
          <w:sz w:val="36"/>
          <w:szCs w:val="36"/>
        </w:rPr>
        <w:t>亚洲精选</w:t>
      </w:r>
      <w:r w:rsidRPr="00721084">
        <w:rPr>
          <w:rFonts w:asciiTheme="minorEastAsia" w:eastAsiaTheme="minorEastAsia" w:hAnsiTheme="minorEastAsia" w:hint="eastAsia"/>
          <w:b/>
          <w:sz w:val="36"/>
          <w:szCs w:val="36"/>
        </w:rPr>
        <w:t>股票型证券投资基金</w:t>
      </w:r>
    </w:p>
    <w:p w:rsidR="0064594E" w:rsidRPr="00721084" w:rsidRDefault="00EC2F95" w:rsidP="00CE3F81">
      <w:pPr>
        <w:snapToGrid w:val="0"/>
        <w:spacing w:line="360" w:lineRule="auto"/>
        <w:ind w:firstLineChars="200" w:firstLine="723"/>
        <w:jc w:val="center"/>
        <w:rPr>
          <w:rFonts w:asciiTheme="minorEastAsia" w:eastAsiaTheme="minorEastAsia" w:hAnsiTheme="minorEastAsia"/>
          <w:b/>
          <w:sz w:val="36"/>
          <w:szCs w:val="36"/>
        </w:rPr>
      </w:pPr>
      <w:r w:rsidRPr="00721084">
        <w:rPr>
          <w:rFonts w:asciiTheme="minorEastAsia" w:eastAsiaTheme="minorEastAsia" w:hAnsiTheme="minorEastAsia" w:hint="eastAsia"/>
          <w:b/>
          <w:sz w:val="36"/>
          <w:szCs w:val="36"/>
        </w:rPr>
        <w:t>更新的</w:t>
      </w:r>
      <w:r w:rsidR="0064594E" w:rsidRPr="00721084">
        <w:rPr>
          <w:rFonts w:asciiTheme="minorEastAsia" w:eastAsiaTheme="minorEastAsia" w:hAnsiTheme="minorEastAsia" w:hint="eastAsia"/>
          <w:b/>
          <w:sz w:val="36"/>
          <w:szCs w:val="36"/>
        </w:rPr>
        <w:t>招募说明书</w:t>
      </w:r>
    </w:p>
    <w:p w:rsidR="0064594E" w:rsidRPr="00721084" w:rsidRDefault="0064594E" w:rsidP="00CE3F81">
      <w:pPr>
        <w:snapToGrid w:val="0"/>
        <w:spacing w:line="360" w:lineRule="auto"/>
        <w:ind w:firstLineChars="200" w:firstLine="723"/>
        <w:jc w:val="center"/>
        <w:rPr>
          <w:rFonts w:asciiTheme="minorEastAsia" w:eastAsiaTheme="minorEastAsia" w:hAnsiTheme="minorEastAsia"/>
          <w:b/>
          <w:sz w:val="36"/>
          <w:szCs w:val="36"/>
        </w:rPr>
      </w:pPr>
    </w:p>
    <w:p w:rsidR="0064594E" w:rsidRPr="00721084" w:rsidRDefault="0064594E" w:rsidP="00CE3F81">
      <w:pPr>
        <w:snapToGrid w:val="0"/>
        <w:spacing w:line="360" w:lineRule="auto"/>
        <w:ind w:firstLineChars="200" w:firstLine="883"/>
        <w:jc w:val="center"/>
        <w:rPr>
          <w:rFonts w:asciiTheme="minorEastAsia" w:eastAsiaTheme="minorEastAsia" w:hAnsiTheme="minorEastAsia"/>
          <w:b/>
          <w:sz w:val="44"/>
        </w:rPr>
      </w:pPr>
    </w:p>
    <w:p w:rsidR="0023144C" w:rsidRPr="00721084" w:rsidRDefault="0023144C" w:rsidP="00CE3F81">
      <w:pPr>
        <w:snapToGrid w:val="0"/>
        <w:spacing w:line="360" w:lineRule="auto"/>
        <w:ind w:firstLineChars="200" w:firstLine="883"/>
        <w:jc w:val="center"/>
        <w:rPr>
          <w:rFonts w:asciiTheme="minorEastAsia" w:eastAsiaTheme="minorEastAsia" w:hAnsiTheme="minorEastAsia"/>
          <w:b/>
          <w:sz w:val="44"/>
        </w:rPr>
      </w:pPr>
    </w:p>
    <w:p w:rsidR="0064594E" w:rsidRPr="00721084" w:rsidRDefault="0064594E" w:rsidP="00CE3F81">
      <w:pPr>
        <w:snapToGrid w:val="0"/>
        <w:spacing w:line="360" w:lineRule="auto"/>
        <w:ind w:firstLineChars="200" w:firstLine="480"/>
        <w:jc w:val="center"/>
        <w:rPr>
          <w:rFonts w:asciiTheme="minorEastAsia" w:eastAsiaTheme="minorEastAsia" w:hAnsiTheme="minorEastAsia"/>
          <w:sz w:val="24"/>
        </w:rPr>
      </w:pPr>
    </w:p>
    <w:p w:rsidR="0064594E" w:rsidRPr="00721084" w:rsidRDefault="0064594E" w:rsidP="00CE3F81">
      <w:pPr>
        <w:snapToGrid w:val="0"/>
        <w:spacing w:line="360" w:lineRule="auto"/>
        <w:ind w:firstLineChars="200" w:firstLine="600"/>
        <w:rPr>
          <w:rFonts w:asciiTheme="minorEastAsia" w:eastAsiaTheme="minorEastAsia" w:hAnsiTheme="minorEastAsia"/>
          <w:sz w:val="30"/>
          <w:szCs w:val="30"/>
        </w:rPr>
      </w:pPr>
    </w:p>
    <w:p w:rsidR="0064594E" w:rsidRPr="00721084" w:rsidRDefault="0064594E" w:rsidP="00CE3F81">
      <w:pPr>
        <w:snapToGrid w:val="0"/>
        <w:spacing w:line="360" w:lineRule="auto"/>
        <w:ind w:firstLineChars="200" w:firstLine="600"/>
        <w:rPr>
          <w:rFonts w:asciiTheme="minorEastAsia" w:eastAsiaTheme="minorEastAsia" w:hAnsiTheme="minorEastAsia"/>
          <w:sz w:val="30"/>
          <w:szCs w:val="30"/>
        </w:rPr>
      </w:pPr>
    </w:p>
    <w:p w:rsidR="0011576F" w:rsidRPr="00721084" w:rsidRDefault="0011576F" w:rsidP="00CE3F81">
      <w:pPr>
        <w:snapToGrid w:val="0"/>
        <w:spacing w:line="360" w:lineRule="auto"/>
        <w:ind w:firstLineChars="200" w:firstLine="600"/>
        <w:rPr>
          <w:rFonts w:asciiTheme="minorEastAsia" w:eastAsiaTheme="minorEastAsia" w:hAnsiTheme="minorEastAsia"/>
          <w:sz w:val="30"/>
          <w:szCs w:val="30"/>
        </w:rPr>
      </w:pPr>
    </w:p>
    <w:p w:rsidR="0011576F" w:rsidRPr="00721084" w:rsidRDefault="0011576F" w:rsidP="00CE3F81">
      <w:pPr>
        <w:snapToGrid w:val="0"/>
        <w:spacing w:line="360" w:lineRule="auto"/>
        <w:ind w:firstLineChars="200" w:firstLine="600"/>
        <w:rPr>
          <w:rFonts w:asciiTheme="minorEastAsia" w:eastAsiaTheme="minorEastAsia" w:hAnsiTheme="minorEastAsia"/>
          <w:sz w:val="30"/>
          <w:szCs w:val="30"/>
        </w:rPr>
      </w:pPr>
    </w:p>
    <w:p w:rsidR="0064594E" w:rsidRPr="00721084" w:rsidRDefault="0064594E" w:rsidP="00CE3F81">
      <w:pPr>
        <w:snapToGrid w:val="0"/>
        <w:spacing w:line="360" w:lineRule="auto"/>
        <w:ind w:firstLineChars="200" w:firstLine="600"/>
        <w:jc w:val="center"/>
        <w:rPr>
          <w:rFonts w:asciiTheme="minorEastAsia" w:eastAsiaTheme="minorEastAsia" w:hAnsiTheme="minorEastAsia"/>
          <w:sz w:val="30"/>
          <w:szCs w:val="30"/>
        </w:rPr>
      </w:pPr>
      <w:r w:rsidRPr="00721084">
        <w:rPr>
          <w:rFonts w:asciiTheme="minorEastAsia" w:eastAsiaTheme="minorEastAsia" w:hAnsiTheme="minorEastAsia" w:hint="eastAsia"/>
          <w:sz w:val="30"/>
          <w:szCs w:val="30"/>
        </w:rPr>
        <w:t>基金管理人：易方达基金管理有限公司</w:t>
      </w:r>
    </w:p>
    <w:p w:rsidR="0064594E" w:rsidRPr="00721084" w:rsidRDefault="0064594E" w:rsidP="00CE3F81">
      <w:pPr>
        <w:snapToGrid w:val="0"/>
        <w:spacing w:line="360" w:lineRule="auto"/>
        <w:ind w:firstLineChars="200" w:firstLine="600"/>
        <w:jc w:val="center"/>
        <w:rPr>
          <w:rFonts w:asciiTheme="minorEastAsia" w:eastAsiaTheme="minorEastAsia" w:hAnsiTheme="minorEastAsia"/>
          <w:sz w:val="30"/>
          <w:szCs w:val="30"/>
        </w:rPr>
      </w:pPr>
      <w:r w:rsidRPr="00721084">
        <w:rPr>
          <w:rFonts w:asciiTheme="minorEastAsia" w:eastAsiaTheme="minorEastAsia" w:hAnsiTheme="minorEastAsia" w:hint="eastAsia"/>
          <w:sz w:val="30"/>
          <w:szCs w:val="30"/>
        </w:rPr>
        <w:t>基金托管人：中国工商银行股份有限公司</w:t>
      </w:r>
    </w:p>
    <w:p w:rsidR="00492685" w:rsidRPr="00721084"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721084"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721084"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721084"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2465F1" w:rsidRPr="00721084" w:rsidRDefault="002465F1" w:rsidP="00CE3F81">
      <w:pPr>
        <w:snapToGrid w:val="0"/>
        <w:spacing w:line="360" w:lineRule="auto"/>
        <w:ind w:firstLineChars="200" w:firstLine="600"/>
        <w:jc w:val="center"/>
        <w:rPr>
          <w:rFonts w:asciiTheme="minorEastAsia" w:eastAsiaTheme="minorEastAsia" w:hAnsiTheme="minorEastAsia"/>
          <w:sz w:val="30"/>
          <w:szCs w:val="30"/>
        </w:rPr>
      </w:pPr>
      <w:r w:rsidRPr="00721084">
        <w:rPr>
          <w:rFonts w:asciiTheme="minorEastAsia" w:eastAsiaTheme="minorEastAsia" w:hAnsiTheme="minorEastAsia" w:hint="eastAsia"/>
          <w:sz w:val="30"/>
          <w:szCs w:val="30"/>
        </w:rPr>
        <w:t>二○二○年</w:t>
      </w:r>
      <w:r w:rsidR="00B77E83">
        <w:rPr>
          <w:rFonts w:asciiTheme="minorEastAsia" w:eastAsiaTheme="minorEastAsia" w:hAnsiTheme="minorEastAsia" w:hint="eastAsia"/>
          <w:sz w:val="30"/>
          <w:szCs w:val="30"/>
        </w:rPr>
        <w:t>七</w:t>
      </w:r>
      <w:r w:rsidRPr="00721084">
        <w:rPr>
          <w:rFonts w:asciiTheme="minorEastAsia" w:eastAsiaTheme="minorEastAsia" w:hAnsiTheme="minorEastAsia" w:hint="eastAsia"/>
          <w:sz w:val="30"/>
          <w:szCs w:val="30"/>
        </w:rPr>
        <w:t>月</w:t>
      </w:r>
    </w:p>
    <w:p w:rsidR="00492685" w:rsidRPr="00721084"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721084"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492685" w:rsidRPr="00721084" w:rsidRDefault="00492685" w:rsidP="00CE3F81">
      <w:pPr>
        <w:snapToGrid w:val="0"/>
        <w:spacing w:line="360" w:lineRule="auto"/>
        <w:ind w:firstLineChars="200" w:firstLine="600"/>
        <w:jc w:val="center"/>
        <w:rPr>
          <w:rFonts w:asciiTheme="minorEastAsia" w:eastAsiaTheme="minorEastAsia" w:hAnsiTheme="minorEastAsia"/>
          <w:sz w:val="30"/>
          <w:szCs w:val="30"/>
        </w:rPr>
      </w:pPr>
    </w:p>
    <w:p w:rsidR="0064594E" w:rsidRPr="00721084" w:rsidRDefault="0064594E" w:rsidP="00CE3F81">
      <w:pPr>
        <w:snapToGrid w:val="0"/>
        <w:spacing w:line="360" w:lineRule="auto"/>
        <w:ind w:firstLineChars="200" w:firstLine="562"/>
        <w:jc w:val="center"/>
        <w:rPr>
          <w:rFonts w:asciiTheme="minorEastAsia" w:eastAsiaTheme="minorEastAsia" w:hAnsiTheme="minorEastAsia"/>
          <w:b/>
          <w:sz w:val="28"/>
          <w:szCs w:val="28"/>
        </w:rPr>
      </w:pPr>
      <w:r w:rsidRPr="00721084">
        <w:rPr>
          <w:rFonts w:asciiTheme="minorEastAsia" w:eastAsiaTheme="minorEastAsia" w:hAnsiTheme="minorEastAsia" w:hint="eastAsia"/>
          <w:b/>
          <w:sz w:val="28"/>
          <w:szCs w:val="28"/>
        </w:rPr>
        <w:lastRenderedPageBreak/>
        <w:t>重要提示</w:t>
      </w:r>
    </w:p>
    <w:p w:rsidR="0064594E" w:rsidRPr="00721084" w:rsidRDefault="0064594E" w:rsidP="00CE3F81">
      <w:pPr>
        <w:snapToGrid w:val="0"/>
        <w:spacing w:line="360" w:lineRule="auto"/>
        <w:ind w:firstLineChars="200" w:firstLine="420"/>
        <w:rPr>
          <w:rFonts w:asciiTheme="minorEastAsia" w:eastAsiaTheme="minorEastAsia" w:hAnsiTheme="minorEastAsia"/>
          <w:b/>
          <w:szCs w:val="21"/>
        </w:rPr>
      </w:pPr>
      <w:r w:rsidRPr="00721084">
        <w:rPr>
          <w:rFonts w:asciiTheme="minorEastAsia" w:eastAsiaTheme="minorEastAsia" w:hAnsiTheme="minorEastAsia" w:hint="eastAsia"/>
        </w:rPr>
        <w:t>本基金根据200</w:t>
      </w:r>
      <w:r w:rsidR="00B96018" w:rsidRPr="00721084">
        <w:rPr>
          <w:rFonts w:asciiTheme="minorEastAsia" w:eastAsiaTheme="minorEastAsia" w:hAnsiTheme="minorEastAsia" w:hint="eastAsia"/>
        </w:rPr>
        <w:t>8</w:t>
      </w:r>
      <w:r w:rsidRPr="00721084">
        <w:rPr>
          <w:rFonts w:asciiTheme="minorEastAsia" w:eastAsiaTheme="minorEastAsia" w:hAnsiTheme="minorEastAsia" w:hint="eastAsia"/>
        </w:rPr>
        <w:t>年</w:t>
      </w:r>
      <w:r w:rsidR="00A8330D" w:rsidRPr="00721084">
        <w:rPr>
          <w:rFonts w:asciiTheme="minorEastAsia" w:eastAsiaTheme="minorEastAsia" w:hAnsiTheme="minorEastAsia" w:hint="eastAsia"/>
        </w:rPr>
        <w:t>8</w:t>
      </w:r>
      <w:r w:rsidRPr="00721084">
        <w:rPr>
          <w:rFonts w:asciiTheme="minorEastAsia" w:eastAsiaTheme="minorEastAsia" w:hAnsiTheme="minorEastAsia" w:hint="eastAsia"/>
        </w:rPr>
        <w:t>月</w:t>
      </w:r>
      <w:r w:rsidR="00A8330D" w:rsidRPr="00721084">
        <w:rPr>
          <w:rFonts w:asciiTheme="minorEastAsia" w:eastAsiaTheme="minorEastAsia" w:hAnsiTheme="minorEastAsia" w:hint="eastAsia"/>
        </w:rPr>
        <w:t>2</w:t>
      </w:r>
      <w:r w:rsidR="002E3038" w:rsidRPr="00721084">
        <w:rPr>
          <w:rFonts w:asciiTheme="minorEastAsia" w:eastAsiaTheme="minorEastAsia" w:hAnsiTheme="minorEastAsia" w:hint="eastAsia"/>
        </w:rPr>
        <w:t>7</w:t>
      </w:r>
      <w:r w:rsidRPr="00721084">
        <w:rPr>
          <w:rFonts w:asciiTheme="minorEastAsia" w:eastAsiaTheme="minorEastAsia" w:hAnsiTheme="minorEastAsia" w:hint="eastAsia"/>
        </w:rPr>
        <w:t>日中国证券监督管理委员会《关于</w:t>
      </w:r>
      <w:r w:rsidR="00A8330D" w:rsidRPr="00721084">
        <w:rPr>
          <w:rFonts w:asciiTheme="minorEastAsia" w:eastAsiaTheme="minorEastAsia" w:hAnsiTheme="minorEastAsia" w:hint="eastAsia"/>
        </w:rPr>
        <w:t>核准</w:t>
      </w:r>
      <w:r w:rsidRPr="00721084">
        <w:rPr>
          <w:rFonts w:asciiTheme="minorEastAsia" w:eastAsiaTheme="minorEastAsia" w:hAnsiTheme="minorEastAsia" w:hint="eastAsia"/>
        </w:rPr>
        <w:t>易方达</w:t>
      </w:r>
      <w:r w:rsidR="00416014" w:rsidRPr="00721084">
        <w:rPr>
          <w:rFonts w:asciiTheme="minorEastAsia" w:eastAsiaTheme="minorEastAsia" w:hAnsiTheme="minorEastAsia" w:hint="eastAsia"/>
        </w:rPr>
        <w:t>亚洲精选</w:t>
      </w:r>
      <w:r w:rsidRPr="00721084">
        <w:rPr>
          <w:rFonts w:asciiTheme="minorEastAsia" w:eastAsiaTheme="minorEastAsia" w:hAnsiTheme="minorEastAsia" w:hint="eastAsia"/>
        </w:rPr>
        <w:t>股票型证券投资基金募集的批复》（证监</w:t>
      </w:r>
      <w:r w:rsidR="00A8330D" w:rsidRPr="00721084">
        <w:rPr>
          <w:rFonts w:asciiTheme="minorEastAsia" w:eastAsiaTheme="minorEastAsia" w:hAnsiTheme="minorEastAsia" w:hint="eastAsia"/>
        </w:rPr>
        <w:t>许可</w:t>
      </w:r>
      <w:r w:rsidRPr="00721084">
        <w:rPr>
          <w:rFonts w:asciiTheme="minorEastAsia" w:eastAsiaTheme="minorEastAsia" w:hAnsiTheme="minorEastAsia"/>
        </w:rPr>
        <w:t>【</w:t>
      </w:r>
      <w:r w:rsidRPr="00721084">
        <w:rPr>
          <w:rFonts w:asciiTheme="minorEastAsia" w:eastAsiaTheme="minorEastAsia" w:hAnsiTheme="minorEastAsia" w:hint="eastAsia"/>
        </w:rPr>
        <w:t>200</w:t>
      </w:r>
      <w:r w:rsidR="00C248D4" w:rsidRPr="00721084">
        <w:rPr>
          <w:rFonts w:asciiTheme="minorEastAsia" w:eastAsiaTheme="minorEastAsia" w:hAnsiTheme="minorEastAsia" w:hint="eastAsia"/>
        </w:rPr>
        <w:t>8</w:t>
      </w:r>
      <w:r w:rsidRPr="00721084">
        <w:rPr>
          <w:rFonts w:asciiTheme="minorEastAsia" w:eastAsiaTheme="minorEastAsia" w:hAnsiTheme="minorEastAsia"/>
        </w:rPr>
        <w:t>】</w:t>
      </w:r>
      <w:r w:rsidR="00A8330D" w:rsidRPr="00721084">
        <w:rPr>
          <w:rFonts w:asciiTheme="minorEastAsia" w:eastAsiaTheme="minorEastAsia" w:hAnsiTheme="minorEastAsia" w:hint="eastAsia"/>
        </w:rPr>
        <w:t>1064</w:t>
      </w:r>
      <w:r w:rsidRPr="00721084">
        <w:rPr>
          <w:rFonts w:asciiTheme="minorEastAsia" w:eastAsiaTheme="minorEastAsia" w:hAnsiTheme="minorEastAsia" w:hint="eastAsia"/>
        </w:rPr>
        <w:t>号）</w:t>
      </w:r>
      <w:r w:rsidR="00DC48F6" w:rsidRPr="00721084">
        <w:rPr>
          <w:rFonts w:asciiTheme="minorEastAsia" w:eastAsiaTheme="minorEastAsia" w:hAnsiTheme="minorEastAsia" w:hint="eastAsia"/>
        </w:rPr>
        <w:t>、2009年5月</w:t>
      </w:r>
      <w:r w:rsidR="002E3038" w:rsidRPr="00721084">
        <w:rPr>
          <w:rFonts w:asciiTheme="minorEastAsia" w:eastAsiaTheme="minorEastAsia" w:hAnsiTheme="minorEastAsia" w:hint="eastAsia"/>
        </w:rPr>
        <w:t>8</w:t>
      </w:r>
      <w:r w:rsidR="00DC48F6" w:rsidRPr="00721084">
        <w:rPr>
          <w:rFonts w:asciiTheme="minorEastAsia" w:eastAsiaTheme="minorEastAsia" w:hAnsiTheme="minorEastAsia" w:hint="eastAsia"/>
        </w:rPr>
        <w:t>日《关于核准易方达亚洲精选股票型证券投资基金备案的批复》（证监许可</w:t>
      </w:r>
      <w:r w:rsidR="00DC48F6" w:rsidRPr="00721084">
        <w:rPr>
          <w:rFonts w:asciiTheme="minorEastAsia" w:eastAsiaTheme="minorEastAsia" w:hAnsiTheme="minorEastAsia"/>
        </w:rPr>
        <w:t>【</w:t>
      </w:r>
      <w:r w:rsidR="00DC48F6" w:rsidRPr="00721084">
        <w:rPr>
          <w:rFonts w:asciiTheme="minorEastAsia" w:eastAsiaTheme="minorEastAsia" w:hAnsiTheme="minorEastAsia" w:hint="eastAsia"/>
        </w:rPr>
        <w:t>2009</w:t>
      </w:r>
      <w:r w:rsidR="00DC48F6" w:rsidRPr="00721084">
        <w:rPr>
          <w:rFonts w:asciiTheme="minorEastAsia" w:eastAsiaTheme="minorEastAsia" w:hAnsiTheme="minorEastAsia"/>
        </w:rPr>
        <w:t>】</w:t>
      </w:r>
      <w:r w:rsidR="00DC48F6" w:rsidRPr="00721084">
        <w:rPr>
          <w:rFonts w:asciiTheme="minorEastAsia" w:eastAsiaTheme="minorEastAsia" w:hAnsiTheme="minorEastAsia" w:hint="eastAsia"/>
        </w:rPr>
        <w:t>367号）</w:t>
      </w:r>
      <w:r w:rsidRPr="00721084">
        <w:rPr>
          <w:rFonts w:asciiTheme="minorEastAsia" w:eastAsiaTheme="minorEastAsia" w:hAnsiTheme="minorEastAsia" w:hint="eastAsia"/>
        </w:rPr>
        <w:t>和</w:t>
      </w:r>
      <w:r w:rsidR="00A8330D" w:rsidRPr="00721084">
        <w:rPr>
          <w:rFonts w:asciiTheme="minorEastAsia" w:eastAsiaTheme="minorEastAsia" w:hAnsiTheme="minorEastAsia" w:hint="eastAsia"/>
        </w:rPr>
        <w:t>2009</w:t>
      </w:r>
      <w:r w:rsidR="002E3038" w:rsidRPr="00721084">
        <w:rPr>
          <w:rFonts w:asciiTheme="minorEastAsia" w:eastAsiaTheme="minorEastAsia" w:hAnsiTheme="minorEastAsia" w:hint="eastAsia"/>
        </w:rPr>
        <w:t>年11月12日《关于易方达亚洲精选股票型证券投资基金募集时间安排的确认函》（基金部函[2009]711号）</w:t>
      </w:r>
      <w:r w:rsidRPr="00721084">
        <w:rPr>
          <w:rFonts w:asciiTheme="minorEastAsia" w:eastAsiaTheme="minorEastAsia" w:hAnsiTheme="minorEastAsia" w:hint="eastAsia"/>
        </w:rPr>
        <w:t>，进行募集。</w:t>
      </w:r>
      <w:r w:rsidR="00CD116B" w:rsidRPr="00721084">
        <w:rPr>
          <w:rFonts w:asciiTheme="minorEastAsia" w:eastAsiaTheme="minorEastAsia" w:hAnsiTheme="minorEastAsia" w:hint="eastAsia"/>
        </w:rPr>
        <w:t>本基金的基金合同于2010年1月21日正式生效。</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基金管理人保证《招募说明书》的内容真实、准确、完整。</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基金管理人依照恪尽职守、诚实信用、谨慎勤勉的原则管理和运用基金</w:t>
      </w:r>
      <w:r w:rsidRPr="00721084">
        <w:rPr>
          <w:rFonts w:asciiTheme="minorEastAsia" w:eastAsiaTheme="minorEastAsia" w:hAnsiTheme="minorEastAsia" w:hint="eastAsia"/>
          <w:szCs w:val="21"/>
        </w:rPr>
        <w:t>财产</w:t>
      </w:r>
      <w:r w:rsidRPr="00721084">
        <w:rPr>
          <w:rFonts w:asciiTheme="minorEastAsia" w:eastAsiaTheme="minorEastAsia" w:hAnsiTheme="minorEastAsia"/>
          <w:szCs w:val="21"/>
        </w:rPr>
        <w:t>，</w:t>
      </w:r>
      <w:r w:rsidRPr="00721084">
        <w:rPr>
          <w:rFonts w:asciiTheme="minorEastAsia" w:eastAsiaTheme="minorEastAsia" w:hAnsiTheme="minorEastAsia" w:hint="eastAsia"/>
          <w:szCs w:val="21"/>
        </w:rPr>
        <w:t>但</w:t>
      </w:r>
      <w:r w:rsidRPr="00721084">
        <w:rPr>
          <w:rFonts w:asciiTheme="minorEastAsia" w:eastAsiaTheme="minorEastAsia" w:hAnsiTheme="minorEastAsia"/>
          <w:szCs w:val="21"/>
        </w:rPr>
        <w:t>不保证基金一定盈利，也不保证最低收益</w:t>
      </w:r>
      <w:r w:rsidRPr="00721084">
        <w:rPr>
          <w:rFonts w:asciiTheme="minorEastAsia" w:eastAsiaTheme="minorEastAsia" w:hAnsiTheme="minorEastAsia" w:hint="eastAsia"/>
          <w:szCs w:val="21"/>
        </w:rPr>
        <w:t>。</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本《招募说明书》经中国证监会核准，但中国证监会对本基金募集的核准，并不表明其对本基金的价值和收益作出实质性判断或保证，也不表明投资于本基金没有风险。</w:t>
      </w:r>
    </w:p>
    <w:p w:rsidR="0064594E" w:rsidRPr="00721084" w:rsidRDefault="000635A0"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本基金主要投资于在亚洲地区（日本除外）证券市场交易的企业以及在其他证券市场交易的亚洲企业（日本除外），对以上两类企业的投资合计不低于股票资产的80%。</w:t>
      </w:r>
      <w:r w:rsidR="0064594E" w:rsidRPr="00721084">
        <w:rPr>
          <w:rFonts w:asciiTheme="minorEastAsia" w:eastAsiaTheme="minorEastAsia" w:hAnsiTheme="minorEastAsia" w:hint="eastAsia"/>
          <w:szCs w:val="21"/>
        </w:rPr>
        <w:t>基金净值会因为证券市场波动等因素产生波动，投资者在投资本基金前，请认真阅读本招募说明书</w:t>
      </w:r>
      <w:r w:rsidR="001E7C29" w:rsidRPr="00721084">
        <w:rPr>
          <w:rFonts w:asciiTheme="minorEastAsia" w:eastAsiaTheme="minorEastAsia" w:hAnsiTheme="minorEastAsia" w:hint="eastAsia"/>
          <w:szCs w:val="21"/>
        </w:rPr>
        <w:t>和基金产品资料概要</w:t>
      </w:r>
      <w:r w:rsidR="0064594E" w:rsidRPr="00721084">
        <w:rPr>
          <w:rFonts w:asciiTheme="minorEastAsia" w:eastAsiaTheme="minorEastAsia" w:hAnsiTheme="minorEastAsia" w:hint="eastAsia"/>
          <w:szCs w:val="21"/>
        </w:rPr>
        <w:t>，全面认识本基金产品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海外投资面临的汇率风险、国别风险、新兴市场风险等特别投资风险；基金所投资的股票、债券、衍生品等各种投资工具的相关风险；流动性风险；基金投资过程中产生的操作风险；因交收违约和投资债券引发的信用风险</w:t>
      </w:r>
      <w:r w:rsidR="00001E34" w:rsidRPr="00721084">
        <w:rPr>
          <w:rFonts w:asciiTheme="minorEastAsia" w:eastAsiaTheme="minorEastAsia" w:hAnsiTheme="minorEastAsia" w:hint="eastAsia"/>
          <w:szCs w:val="21"/>
        </w:rPr>
        <w:t>；</w:t>
      </w:r>
      <w:r w:rsidR="0064594E" w:rsidRPr="00721084">
        <w:rPr>
          <w:rFonts w:asciiTheme="minorEastAsia" w:eastAsiaTheme="minorEastAsia" w:hAnsiTheme="minorEastAsia" w:hint="eastAsia"/>
          <w:szCs w:val="21"/>
        </w:rPr>
        <w:t>基金投资对象与投资策略引致的特有风险</w:t>
      </w:r>
      <w:r w:rsidR="00135317" w:rsidRPr="00721084">
        <w:rPr>
          <w:rFonts w:asciiTheme="minorEastAsia" w:eastAsiaTheme="minorEastAsia" w:hAnsiTheme="minorEastAsia" w:hint="eastAsia"/>
          <w:szCs w:val="21"/>
        </w:rPr>
        <w:t>；</w:t>
      </w:r>
      <w:r w:rsidR="001E7C29" w:rsidRPr="00721084">
        <w:rPr>
          <w:rFonts w:asciiTheme="minorEastAsia" w:eastAsiaTheme="minorEastAsia" w:hAnsiTheme="minorEastAsia" w:hint="eastAsia"/>
          <w:szCs w:val="21"/>
        </w:rPr>
        <w:t>本基金法律文件中涉及基金风险特征的表述与销售机构对基金的风险评级可能不一致的风险；</w:t>
      </w:r>
      <w:r w:rsidR="00001E34" w:rsidRPr="00721084">
        <w:rPr>
          <w:rFonts w:asciiTheme="minorEastAsia" w:eastAsiaTheme="minorEastAsia" w:hAnsiTheme="minorEastAsia" w:hint="eastAsia"/>
          <w:szCs w:val="21"/>
        </w:rPr>
        <w:t>不可抗力风险</w:t>
      </w:r>
      <w:r w:rsidR="00135317" w:rsidRPr="00721084">
        <w:rPr>
          <w:rFonts w:asciiTheme="minorEastAsia" w:eastAsiaTheme="minorEastAsia" w:hAnsiTheme="minorEastAsia" w:hint="eastAsia"/>
          <w:szCs w:val="21"/>
        </w:rPr>
        <w:t>；</w:t>
      </w:r>
      <w:r w:rsidR="0064594E" w:rsidRPr="00721084">
        <w:rPr>
          <w:rFonts w:asciiTheme="minorEastAsia" w:eastAsiaTheme="minorEastAsia" w:hAnsiTheme="minorEastAsia" w:hint="eastAsia"/>
          <w:szCs w:val="21"/>
        </w:rPr>
        <w:t>等等。基金管理人提醒投资者基金投资的“买者自负”原则，在投资者作出投资决策后，基金运营状况与基金净值变化引致的投资风险，由投资者自行负责。</w:t>
      </w:r>
    </w:p>
    <w:p w:rsidR="00B50644" w:rsidRPr="00721084" w:rsidRDefault="00B50644"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本基金由易方达基金管理有限公司独立管理，未聘请境外投资顾问。</w:t>
      </w:r>
    </w:p>
    <w:p w:rsidR="0064594E" w:rsidRPr="00721084" w:rsidRDefault="0053041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投资有风险</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投资者</w:t>
      </w:r>
      <w:r w:rsidRPr="00721084">
        <w:rPr>
          <w:rFonts w:asciiTheme="minorEastAsia" w:eastAsiaTheme="minorEastAsia" w:hAnsiTheme="minorEastAsia" w:hint="eastAsia"/>
          <w:szCs w:val="21"/>
        </w:rPr>
        <w:t>投资本</w:t>
      </w:r>
      <w:r w:rsidRPr="00721084">
        <w:rPr>
          <w:rFonts w:asciiTheme="minorEastAsia" w:eastAsiaTheme="minorEastAsia" w:hAnsiTheme="minorEastAsia"/>
          <w:szCs w:val="21"/>
        </w:rPr>
        <w:t>基金时应认真阅读本</w:t>
      </w:r>
      <w:r w:rsidR="001A71C0" w:rsidRPr="00721084">
        <w:rPr>
          <w:rFonts w:asciiTheme="minorEastAsia" w:eastAsiaTheme="minorEastAsia" w:hAnsiTheme="minorEastAsia" w:hint="eastAsia"/>
          <w:szCs w:val="21"/>
        </w:rPr>
        <w:t>招募说明书、基金合同和基金产品资料概要等信息披露文件</w:t>
      </w:r>
      <w:r w:rsidRPr="00721084">
        <w:rPr>
          <w:rFonts w:asciiTheme="minorEastAsia" w:eastAsiaTheme="minorEastAsia" w:hAnsiTheme="minorEastAsia" w:hint="eastAsia"/>
          <w:szCs w:val="21"/>
        </w:rPr>
        <w:t>；</w:t>
      </w:r>
      <w:r w:rsidR="0064594E" w:rsidRPr="00721084">
        <w:rPr>
          <w:rFonts w:asciiTheme="minorEastAsia" w:eastAsiaTheme="minorEastAsia" w:hAnsiTheme="minorEastAsia" w:hint="eastAsia"/>
          <w:szCs w:val="21"/>
        </w:rPr>
        <w:t>基金的过往业绩并不预示其未来表现。</w:t>
      </w:r>
    </w:p>
    <w:p w:rsidR="00B03607" w:rsidRPr="00721084" w:rsidRDefault="00B03607" w:rsidP="006D35EC">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基金合同约定的基金产品资料概要编制、披露与更新要求，自《信息披露办法》实施之日起一年后开始执行。</w:t>
      </w:r>
    </w:p>
    <w:p w:rsidR="00AB3A0C" w:rsidRPr="00721084" w:rsidRDefault="00AB3A0C" w:rsidP="00AB3A0C">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除非另有说明，</w:t>
      </w:r>
      <w:r w:rsidR="008C50DB" w:rsidRPr="00721084">
        <w:rPr>
          <w:rFonts w:asciiTheme="minorEastAsia" w:eastAsiaTheme="minorEastAsia" w:hAnsiTheme="minorEastAsia"/>
          <w:szCs w:val="21"/>
        </w:rPr>
        <w:t>本招募说明书</w:t>
      </w:r>
      <w:r w:rsidR="002465F1" w:rsidRPr="00721084">
        <w:rPr>
          <w:rFonts w:asciiTheme="minorEastAsia" w:eastAsiaTheme="minorEastAsia" w:hAnsiTheme="minorEastAsia"/>
          <w:szCs w:val="21"/>
        </w:rPr>
        <w:t>所载内容截止日为2020年5月16日</w:t>
      </w:r>
      <w:r w:rsidRPr="00721084">
        <w:rPr>
          <w:rFonts w:asciiTheme="minorEastAsia" w:eastAsiaTheme="minorEastAsia" w:hAnsiTheme="minorEastAsia"/>
          <w:szCs w:val="21"/>
        </w:rPr>
        <w:t>，</w:t>
      </w:r>
      <w:r w:rsidR="002465F1" w:rsidRPr="00721084">
        <w:rPr>
          <w:rFonts w:asciiTheme="minorEastAsia" w:eastAsiaTheme="minorEastAsia" w:hAnsiTheme="minorEastAsia"/>
          <w:szCs w:val="21"/>
        </w:rPr>
        <w:t>有关财务数据截止日为2020年3月31日</w:t>
      </w:r>
      <w:r w:rsidRPr="00721084">
        <w:rPr>
          <w:rFonts w:asciiTheme="minorEastAsia" w:eastAsiaTheme="minorEastAsia" w:hAnsiTheme="minorEastAsia"/>
          <w:szCs w:val="21"/>
        </w:rPr>
        <w:t>，</w:t>
      </w:r>
      <w:r w:rsidR="002465F1" w:rsidRPr="00721084">
        <w:rPr>
          <w:rFonts w:asciiTheme="minorEastAsia" w:eastAsiaTheme="minorEastAsia" w:hAnsiTheme="minorEastAsia"/>
          <w:szCs w:val="21"/>
        </w:rPr>
        <w:t>净值表现截止日为2019年12月31日</w:t>
      </w:r>
      <w:r w:rsidRPr="00721084">
        <w:rPr>
          <w:rFonts w:asciiTheme="minorEastAsia" w:eastAsiaTheme="minorEastAsia" w:hAnsiTheme="minorEastAsia"/>
          <w:szCs w:val="21"/>
        </w:rPr>
        <w:t>。（本报告中财务数据未经审计）</w:t>
      </w:r>
    </w:p>
    <w:p w:rsidR="00BD0B00" w:rsidRPr="00721084" w:rsidRDefault="00BD0B00" w:rsidP="00CE3F81">
      <w:pPr>
        <w:snapToGrid w:val="0"/>
        <w:spacing w:line="360" w:lineRule="auto"/>
        <w:ind w:firstLineChars="200" w:firstLine="420"/>
        <w:rPr>
          <w:rFonts w:asciiTheme="minorEastAsia" w:eastAsiaTheme="minorEastAsia" w:hAnsiTheme="minorEastAsia"/>
          <w:szCs w:val="21"/>
        </w:rPr>
        <w:sectPr w:rsidR="00BD0B00" w:rsidRPr="00721084" w:rsidSect="0011576F">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425"/>
          <w:titlePg/>
          <w:docGrid w:type="lines" w:linePitch="447"/>
        </w:sectPr>
      </w:pPr>
    </w:p>
    <w:p w:rsidR="0064594E" w:rsidRPr="00721084" w:rsidRDefault="0064594E" w:rsidP="00CE3F81">
      <w:pPr>
        <w:snapToGrid w:val="0"/>
        <w:spacing w:line="360" w:lineRule="auto"/>
        <w:ind w:firstLineChars="200" w:firstLine="562"/>
        <w:jc w:val="center"/>
        <w:rPr>
          <w:rFonts w:asciiTheme="minorEastAsia" w:eastAsiaTheme="minorEastAsia" w:hAnsiTheme="minorEastAsia"/>
          <w:b/>
          <w:sz w:val="28"/>
          <w:szCs w:val="28"/>
        </w:rPr>
      </w:pPr>
      <w:r w:rsidRPr="00721084">
        <w:rPr>
          <w:rFonts w:asciiTheme="minorEastAsia" w:eastAsiaTheme="minorEastAsia" w:hAnsiTheme="minorEastAsia" w:hint="eastAsia"/>
          <w:b/>
          <w:sz w:val="28"/>
          <w:szCs w:val="28"/>
        </w:rPr>
        <w:lastRenderedPageBreak/>
        <w:t>目录</w:t>
      </w:r>
    </w:p>
    <w:p w:rsidR="00EC79FF" w:rsidRDefault="000E5F6B">
      <w:pPr>
        <w:pStyle w:val="10"/>
        <w:tabs>
          <w:tab w:val="left" w:pos="1260"/>
        </w:tabs>
        <w:rPr>
          <w:rFonts w:asciiTheme="minorHAnsi" w:eastAsiaTheme="minorEastAsia" w:hAnsiTheme="minorHAnsi" w:cstheme="minorBidi"/>
          <w:caps w:val="0"/>
          <w:sz w:val="21"/>
          <w:szCs w:val="22"/>
        </w:rPr>
      </w:pPr>
      <w:r w:rsidRPr="00721084">
        <w:rPr>
          <w:rFonts w:asciiTheme="minorEastAsia" w:eastAsiaTheme="minorEastAsia" w:hAnsiTheme="minorEastAsia"/>
          <w:b/>
          <w:caps w:val="0"/>
          <w:szCs w:val="21"/>
        </w:rPr>
        <w:fldChar w:fldCharType="begin"/>
      </w:r>
      <w:r w:rsidR="0064594E" w:rsidRPr="00721084">
        <w:rPr>
          <w:rFonts w:asciiTheme="minorEastAsia" w:eastAsiaTheme="minorEastAsia" w:hAnsiTheme="minorEastAsia"/>
          <w:b/>
          <w:caps w:val="0"/>
          <w:szCs w:val="21"/>
        </w:rPr>
        <w:instrText xml:space="preserve"> TOC \o "1-3" \h \z \u </w:instrText>
      </w:r>
      <w:r w:rsidRPr="00721084">
        <w:rPr>
          <w:rFonts w:asciiTheme="minorEastAsia" w:eastAsiaTheme="minorEastAsia" w:hAnsiTheme="minorEastAsia"/>
          <w:b/>
          <w:caps w:val="0"/>
          <w:szCs w:val="21"/>
        </w:rPr>
        <w:fldChar w:fldCharType="separate"/>
      </w:r>
      <w:hyperlink w:anchor="_Toc44351058" w:history="1">
        <w:r w:rsidR="00EC79FF" w:rsidRPr="00035FD1">
          <w:rPr>
            <w:rStyle w:val="af2"/>
            <w:rFonts w:asciiTheme="minorEastAsia" w:hAnsiTheme="minorEastAsia" w:hint="eastAsia"/>
          </w:rPr>
          <w:t>第一节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绪言</w:t>
        </w:r>
        <w:r w:rsidR="00EC79FF">
          <w:rPr>
            <w:webHidden/>
          </w:rPr>
          <w:tab/>
        </w:r>
        <w:r w:rsidR="00EC79FF">
          <w:rPr>
            <w:webHidden/>
          </w:rPr>
          <w:fldChar w:fldCharType="begin"/>
        </w:r>
        <w:r w:rsidR="00EC79FF">
          <w:rPr>
            <w:webHidden/>
          </w:rPr>
          <w:instrText xml:space="preserve"> PAGEREF _Toc44351058 \h </w:instrText>
        </w:r>
        <w:r w:rsidR="00EC79FF">
          <w:rPr>
            <w:webHidden/>
          </w:rPr>
        </w:r>
        <w:r w:rsidR="00EC79FF">
          <w:rPr>
            <w:webHidden/>
          </w:rPr>
          <w:fldChar w:fldCharType="separate"/>
        </w:r>
        <w:r w:rsidR="003012AE">
          <w:rPr>
            <w:webHidden/>
          </w:rPr>
          <w:t>1</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059" w:history="1">
        <w:r w:rsidR="00EC79FF" w:rsidRPr="00035FD1">
          <w:rPr>
            <w:rStyle w:val="af2"/>
            <w:rFonts w:asciiTheme="minorEastAsia" w:hAnsiTheme="minorEastAsia" w:hint="eastAsia"/>
          </w:rPr>
          <w:t>第二节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释义</w:t>
        </w:r>
        <w:r w:rsidR="00EC79FF">
          <w:rPr>
            <w:webHidden/>
          </w:rPr>
          <w:tab/>
        </w:r>
        <w:r w:rsidR="00EC79FF">
          <w:rPr>
            <w:webHidden/>
          </w:rPr>
          <w:fldChar w:fldCharType="begin"/>
        </w:r>
        <w:r w:rsidR="00EC79FF">
          <w:rPr>
            <w:webHidden/>
          </w:rPr>
          <w:instrText xml:space="preserve"> PAGEREF _Toc44351059 \h </w:instrText>
        </w:r>
        <w:r w:rsidR="00EC79FF">
          <w:rPr>
            <w:webHidden/>
          </w:rPr>
        </w:r>
        <w:r w:rsidR="00EC79FF">
          <w:rPr>
            <w:webHidden/>
          </w:rPr>
          <w:fldChar w:fldCharType="separate"/>
        </w:r>
        <w:r w:rsidR="003012AE">
          <w:rPr>
            <w:webHidden/>
          </w:rPr>
          <w:t>2</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060" w:history="1">
        <w:r w:rsidR="00EC79FF" w:rsidRPr="00035FD1">
          <w:rPr>
            <w:rStyle w:val="af2"/>
            <w:rFonts w:asciiTheme="minorEastAsia" w:hAnsiTheme="minorEastAsia" w:hint="eastAsia"/>
          </w:rPr>
          <w:t>第三节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风险揭示</w:t>
        </w:r>
        <w:r w:rsidR="00EC79FF">
          <w:rPr>
            <w:webHidden/>
          </w:rPr>
          <w:tab/>
        </w:r>
        <w:r w:rsidR="00EC79FF">
          <w:rPr>
            <w:webHidden/>
          </w:rPr>
          <w:fldChar w:fldCharType="begin"/>
        </w:r>
        <w:r w:rsidR="00EC79FF">
          <w:rPr>
            <w:webHidden/>
          </w:rPr>
          <w:instrText xml:space="preserve"> PAGEREF _Toc44351060 \h </w:instrText>
        </w:r>
        <w:r w:rsidR="00EC79FF">
          <w:rPr>
            <w:webHidden/>
          </w:rPr>
        </w:r>
        <w:r w:rsidR="00EC79FF">
          <w:rPr>
            <w:webHidden/>
          </w:rPr>
          <w:fldChar w:fldCharType="separate"/>
        </w:r>
        <w:r w:rsidR="003012AE">
          <w:rPr>
            <w:webHidden/>
          </w:rPr>
          <w:t>6</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061" w:history="1">
        <w:r w:rsidR="00EC79FF" w:rsidRPr="00035FD1">
          <w:rPr>
            <w:rStyle w:val="af2"/>
            <w:rFonts w:asciiTheme="minorEastAsia" w:hAnsiTheme="minorEastAsia" w:hint="eastAsia"/>
          </w:rPr>
          <w:t>第四节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基金的投资</w:t>
        </w:r>
        <w:r w:rsidR="00EC79FF">
          <w:rPr>
            <w:webHidden/>
          </w:rPr>
          <w:tab/>
        </w:r>
        <w:r w:rsidR="00EC79FF">
          <w:rPr>
            <w:webHidden/>
          </w:rPr>
          <w:fldChar w:fldCharType="begin"/>
        </w:r>
        <w:r w:rsidR="00EC79FF">
          <w:rPr>
            <w:webHidden/>
          </w:rPr>
          <w:instrText xml:space="preserve"> PAGEREF _Toc44351061 \h </w:instrText>
        </w:r>
        <w:r w:rsidR="00EC79FF">
          <w:rPr>
            <w:webHidden/>
          </w:rPr>
        </w:r>
        <w:r w:rsidR="00EC79FF">
          <w:rPr>
            <w:webHidden/>
          </w:rPr>
          <w:fldChar w:fldCharType="separate"/>
        </w:r>
        <w:r w:rsidR="003012AE">
          <w:rPr>
            <w:webHidden/>
          </w:rPr>
          <w:t>12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62" w:history="1">
        <w:r w:rsidR="00EC79FF" w:rsidRPr="00035FD1">
          <w:rPr>
            <w:rStyle w:val="af2"/>
            <w:rFonts w:asciiTheme="minorEastAsia" w:hAnsiTheme="minorEastAsia" w:hint="eastAsia"/>
          </w:rPr>
          <w:t>一、投资目标</w:t>
        </w:r>
        <w:r w:rsidR="00EC79FF">
          <w:rPr>
            <w:webHidden/>
          </w:rPr>
          <w:tab/>
        </w:r>
        <w:r w:rsidR="00EC79FF">
          <w:rPr>
            <w:webHidden/>
          </w:rPr>
          <w:fldChar w:fldCharType="begin"/>
        </w:r>
        <w:r w:rsidR="00EC79FF">
          <w:rPr>
            <w:webHidden/>
          </w:rPr>
          <w:instrText xml:space="preserve"> PAGEREF _Toc44351062 \h </w:instrText>
        </w:r>
        <w:r w:rsidR="00EC79FF">
          <w:rPr>
            <w:webHidden/>
          </w:rPr>
        </w:r>
        <w:r w:rsidR="00EC79FF">
          <w:rPr>
            <w:webHidden/>
          </w:rPr>
          <w:fldChar w:fldCharType="separate"/>
        </w:r>
        <w:r w:rsidR="003012AE">
          <w:rPr>
            <w:webHidden/>
          </w:rPr>
          <w:t>12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63" w:history="1">
        <w:r w:rsidR="00EC79FF" w:rsidRPr="00035FD1">
          <w:rPr>
            <w:rStyle w:val="af2"/>
            <w:rFonts w:asciiTheme="minorEastAsia" w:hAnsiTheme="minorEastAsia" w:hint="eastAsia"/>
          </w:rPr>
          <w:t>二、</w:t>
        </w:r>
        <w:r w:rsidR="00EC79FF" w:rsidRPr="00035FD1">
          <w:rPr>
            <w:rStyle w:val="af2"/>
            <w:rFonts w:asciiTheme="minorEastAsia" w:hAnsiTheme="minorEastAsia" w:hint="eastAsia"/>
            <w:bCs/>
          </w:rPr>
          <w:t>投资范围</w:t>
        </w:r>
        <w:r w:rsidR="00EC79FF">
          <w:rPr>
            <w:webHidden/>
          </w:rPr>
          <w:tab/>
        </w:r>
        <w:r w:rsidR="00EC79FF">
          <w:rPr>
            <w:webHidden/>
          </w:rPr>
          <w:fldChar w:fldCharType="begin"/>
        </w:r>
        <w:r w:rsidR="00EC79FF">
          <w:rPr>
            <w:webHidden/>
          </w:rPr>
          <w:instrText xml:space="preserve"> PAGEREF _Toc44351063 \h </w:instrText>
        </w:r>
        <w:r w:rsidR="00EC79FF">
          <w:rPr>
            <w:webHidden/>
          </w:rPr>
        </w:r>
        <w:r w:rsidR="00EC79FF">
          <w:rPr>
            <w:webHidden/>
          </w:rPr>
          <w:fldChar w:fldCharType="separate"/>
        </w:r>
        <w:r w:rsidR="003012AE">
          <w:rPr>
            <w:webHidden/>
          </w:rPr>
          <w:t>12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64" w:history="1">
        <w:r w:rsidR="00EC79FF" w:rsidRPr="00035FD1">
          <w:rPr>
            <w:rStyle w:val="af2"/>
            <w:rFonts w:asciiTheme="minorEastAsia" w:hAnsiTheme="minorEastAsia" w:hint="eastAsia"/>
            <w:bCs/>
          </w:rPr>
          <w:t>三、投资理念</w:t>
        </w:r>
        <w:r w:rsidR="00EC79FF">
          <w:rPr>
            <w:webHidden/>
          </w:rPr>
          <w:tab/>
        </w:r>
        <w:r w:rsidR="00EC79FF">
          <w:rPr>
            <w:webHidden/>
          </w:rPr>
          <w:fldChar w:fldCharType="begin"/>
        </w:r>
        <w:r w:rsidR="00EC79FF">
          <w:rPr>
            <w:webHidden/>
          </w:rPr>
          <w:instrText xml:space="preserve"> PAGEREF _Toc44351064 \h </w:instrText>
        </w:r>
        <w:r w:rsidR="00EC79FF">
          <w:rPr>
            <w:webHidden/>
          </w:rPr>
        </w:r>
        <w:r w:rsidR="00EC79FF">
          <w:rPr>
            <w:webHidden/>
          </w:rPr>
          <w:fldChar w:fldCharType="separate"/>
        </w:r>
        <w:r w:rsidR="003012AE">
          <w:rPr>
            <w:webHidden/>
          </w:rPr>
          <w:t>12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65" w:history="1">
        <w:r w:rsidR="00EC79FF" w:rsidRPr="00035FD1">
          <w:rPr>
            <w:rStyle w:val="af2"/>
            <w:rFonts w:asciiTheme="minorEastAsia" w:hAnsiTheme="minorEastAsia" w:hint="eastAsia"/>
            <w:bCs/>
          </w:rPr>
          <w:t>四、投资策略</w:t>
        </w:r>
        <w:r w:rsidR="00EC79FF">
          <w:rPr>
            <w:webHidden/>
          </w:rPr>
          <w:tab/>
        </w:r>
        <w:r w:rsidR="00EC79FF">
          <w:rPr>
            <w:webHidden/>
          </w:rPr>
          <w:fldChar w:fldCharType="begin"/>
        </w:r>
        <w:r w:rsidR="00EC79FF">
          <w:rPr>
            <w:webHidden/>
          </w:rPr>
          <w:instrText xml:space="preserve"> PAGEREF _Toc44351065 \h </w:instrText>
        </w:r>
        <w:r w:rsidR="00EC79FF">
          <w:rPr>
            <w:webHidden/>
          </w:rPr>
        </w:r>
        <w:r w:rsidR="00EC79FF">
          <w:rPr>
            <w:webHidden/>
          </w:rPr>
          <w:fldChar w:fldCharType="separate"/>
        </w:r>
        <w:r w:rsidR="003012AE">
          <w:rPr>
            <w:webHidden/>
          </w:rPr>
          <w:t>12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66" w:history="1">
        <w:r w:rsidR="00EC79FF" w:rsidRPr="00035FD1">
          <w:rPr>
            <w:rStyle w:val="af2"/>
            <w:rFonts w:asciiTheme="minorEastAsia" w:hAnsiTheme="minorEastAsia" w:hint="eastAsia"/>
            <w:bCs/>
          </w:rPr>
          <w:t>五、业绩比较基准</w:t>
        </w:r>
        <w:r w:rsidR="00EC79FF">
          <w:rPr>
            <w:webHidden/>
          </w:rPr>
          <w:tab/>
        </w:r>
        <w:r w:rsidR="00EC79FF">
          <w:rPr>
            <w:webHidden/>
          </w:rPr>
          <w:fldChar w:fldCharType="begin"/>
        </w:r>
        <w:r w:rsidR="00EC79FF">
          <w:rPr>
            <w:webHidden/>
          </w:rPr>
          <w:instrText xml:space="preserve"> PAGEREF _Toc44351066 \h </w:instrText>
        </w:r>
        <w:r w:rsidR="00EC79FF">
          <w:rPr>
            <w:webHidden/>
          </w:rPr>
        </w:r>
        <w:r w:rsidR="00EC79FF">
          <w:rPr>
            <w:webHidden/>
          </w:rPr>
          <w:fldChar w:fldCharType="separate"/>
        </w:r>
        <w:r w:rsidR="003012AE">
          <w:rPr>
            <w:webHidden/>
          </w:rPr>
          <w:t>15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67" w:history="1">
        <w:r w:rsidR="00EC79FF" w:rsidRPr="00035FD1">
          <w:rPr>
            <w:rStyle w:val="af2"/>
            <w:rFonts w:asciiTheme="minorEastAsia" w:hAnsiTheme="minorEastAsia" w:hint="eastAsia"/>
            <w:bCs/>
          </w:rPr>
          <w:t>六、风险收益特征</w:t>
        </w:r>
        <w:r w:rsidR="00EC79FF">
          <w:rPr>
            <w:webHidden/>
          </w:rPr>
          <w:tab/>
        </w:r>
        <w:r w:rsidR="00EC79FF">
          <w:rPr>
            <w:webHidden/>
          </w:rPr>
          <w:fldChar w:fldCharType="begin"/>
        </w:r>
        <w:r w:rsidR="00EC79FF">
          <w:rPr>
            <w:webHidden/>
          </w:rPr>
          <w:instrText xml:space="preserve"> PAGEREF _Toc44351067 \h </w:instrText>
        </w:r>
        <w:r w:rsidR="00EC79FF">
          <w:rPr>
            <w:webHidden/>
          </w:rPr>
        </w:r>
        <w:r w:rsidR="00EC79FF">
          <w:rPr>
            <w:webHidden/>
          </w:rPr>
          <w:fldChar w:fldCharType="separate"/>
        </w:r>
        <w:r w:rsidR="003012AE">
          <w:rPr>
            <w:webHidden/>
          </w:rPr>
          <w:t>15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68" w:history="1">
        <w:r w:rsidR="00EC79FF" w:rsidRPr="00035FD1">
          <w:rPr>
            <w:rStyle w:val="af2"/>
            <w:rFonts w:asciiTheme="minorEastAsia" w:hAnsiTheme="minorEastAsia" w:hint="eastAsia"/>
            <w:bCs/>
          </w:rPr>
          <w:t>七、投资决策依据与决策程序</w:t>
        </w:r>
        <w:r w:rsidR="00EC79FF">
          <w:rPr>
            <w:webHidden/>
          </w:rPr>
          <w:tab/>
        </w:r>
        <w:r w:rsidR="00EC79FF">
          <w:rPr>
            <w:webHidden/>
          </w:rPr>
          <w:fldChar w:fldCharType="begin"/>
        </w:r>
        <w:r w:rsidR="00EC79FF">
          <w:rPr>
            <w:webHidden/>
          </w:rPr>
          <w:instrText xml:space="preserve"> PAGEREF _Toc44351068 \h </w:instrText>
        </w:r>
        <w:r w:rsidR="00EC79FF">
          <w:rPr>
            <w:webHidden/>
          </w:rPr>
        </w:r>
        <w:r w:rsidR="00EC79FF">
          <w:rPr>
            <w:webHidden/>
          </w:rPr>
          <w:fldChar w:fldCharType="separate"/>
        </w:r>
        <w:r w:rsidR="003012AE">
          <w:rPr>
            <w:webHidden/>
          </w:rPr>
          <w:t>15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69" w:history="1">
        <w:r w:rsidR="00EC79FF" w:rsidRPr="00035FD1">
          <w:rPr>
            <w:rStyle w:val="af2"/>
            <w:rFonts w:asciiTheme="minorEastAsia" w:hAnsiTheme="minorEastAsia" w:hint="eastAsia"/>
            <w:bCs/>
          </w:rPr>
          <w:t>八、投资禁止与限制</w:t>
        </w:r>
        <w:r w:rsidR="00EC79FF">
          <w:rPr>
            <w:webHidden/>
          </w:rPr>
          <w:tab/>
        </w:r>
        <w:r w:rsidR="00EC79FF">
          <w:rPr>
            <w:webHidden/>
          </w:rPr>
          <w:fldChar w:fldCharType="begin"/>
        </w:r>
        <w:r w:rsidR="00EC79FF">
          <w:rPr>
            <w:webHidden/>
          </w:rPr>
          <w:instrText xml:space="preserve"> PAGEREF _Toc44351069 \h </w:instrText>
        </w:r>
        <w:r w:rsidR="00EC79FF">
          <w:rPr>
            <w:webHidden/>
          </w:rPr>
        </w:r>
        <w:r w:rsidR="00EC79FF">
          <w:rPr>
            <w:webHidden/>
          </w:rPr>
          <w:fldChar w:fldCharType="separate"/>
        </w:r>
        <w:r w:rsidR="003012AE">
          <w:rPr>
            <w:webHidden/>
          </w:rPr>
          <w:t>16</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70" w:history="1">
        <w:r w:rsidR="00EC79FF" w:rsidRPr="00035FD1">
          <w:rPr>
            <w:rStyle w:val="af2"/>
            <w:rFonts w:asciiTheme="minorEastAsia" w:hAnsiTheme="minorEastAsia" w:hint="eastAsia"/>
            <w:bCs/>
          </w:rPr>
          <w:t>九、衍生品投资的风险管理与决策流程</w:t>
        </w:r>
        <w:r w:rsidR="00EC79FF">
          <w:rPr>
            <w:webHidden/>
          </w:rPr>
          <w:tab/>
        </w:r>
        <w:r w:rsidR="00EC79FF">
          <w:rPr>
            <w:webHidden/>
          </w:rPr>
          <w:fldChar w:fldCharType="begin"/>
        </w:r>
        <w:r w:rsidR="00EC79FF">
          <w:rPr>
            <w:webHidden/>
          </w:rPr>
          <w:instrText xml:space="preserve"> PAGEREF _Toc44351070 \h </w:instrText>
        </w:r>
        <w:r w:rsidR="00EC79FF">
          <w:rPr>
            <w:webHidden/>
          </w:rPr>
        </w:r>
        <w:r w:rsidR="00EC79FF">
          <w:rPr>
            <w:webHidden/>
          </w:rPr>
          <w:fldChar w:fldCharType="separate"/>
        </w:r>
        <w:r w:rsidR="003012AE">
          <w:rPr>
            <w:webHidden/>
          </w:rPr>
          <w:t>19</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71" w:history="1">
        <w:r w:rsidR="00EC79FF" w:rsidRPr="00035FD1">
          <w:rPr>
            <w:rStyle w:val="af2"/>
            <w:rFonts w:asciiTheme="minorEastAsia" w:hAnsiTheme="minorEastAsia" w:hint="eastAsia"/>
            <w:bCs/>
          </w:rPr>
          <w:t>十、代理投票</w:t>
        </w:r>
        <w:r w:rsidR="00EC79FF">
          <w:rPr>
            <w:webHidden/>
          </w:rPr>
          <w:tab/>
        </w:r>
        <w:r w:rsidR="00EC79FF">
          <w:rPr>
            <w:webHidden/>
          </w:rPr>
          <w:fldChar w:fldCharType="begin"/>
        </w:r>
        <w:r w:rsidR="00EC79FF">
          <w:rPr>
            <w:webHidden/>
          </w:rPr>
          <w:instrText xml:space="preserve"> PAGEREF _Toc44351071 \h </w:instrText>
        </w:r>
        <w:r w:rsidR="00EC79FF">
          <w:rPr>
            <w:webHidden/>
          </w:rPr>
        </w:r>
        <w:r w:rsidR="00EC79FF">
          <w:rPr>
            <w:webHidden/>
          </w:rPr>
          <w:fldChar w:fldCharType="separate"/>
        </w:r>
        <w:r w:rsidR="003012AE">
          <w:rPr>
            <w:webHidden/>
          </w:rPr>
          <w:t>20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72" w:history="1">
        <w:r w:rsidR="00EC79FF" w:rsidRPr="00035FD1">
          <w:rPr>
            <w:rStyle w:val="af2"/>
            <w:rFonts w:asciiTheme="minorEastAsia" w:hAnsiTheme="minorEastAsia" w:hint="eastAsia"/>
            <w:bCs/>
          </w:rPr>
          <w:t>十一、证券交易管理</w:t>
        </w:r>
        <w:r w:rsidR="00EC79FF">
          <w:rPr>
            <w:webHidden/>
          </w:rPr>
          <w:tab/>
        </w:r>
        <w:r w:rsidR="00EC79FF">
          <w:rPr>
            <w:webHidden/>
          </w:rPr>
          <w:fldChar w:fldCharType="begin"/>
        </w:r>
        <w:r w:rsidR="00EC79FF">
          <w:rPr>
            <w:webHidden/>
          </w:rPr>
          <w:instrText xml:space="preserve"> PAGEREF _Toc44351072 \h </w:instrText>
        </w:r>
        <w:r w:rsidR="00EC79FF">
          <w:rPr>
            <w:webHidden/>
          </w:rPr>
        </w:r>
        <w:r w:rsidR="00EC79FF">
          <w:rPr>
            <w:webHidden/>
          </w:rPr>
          <w:fldChar w:fldCharType="separate"/>
        </w:r>
        <w:r w:rsidR="003012AE">
          <w:rPr>
            <w:webHidden/>
          </w:rPr>
          <w:t>20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73" w:history="1">
        <w:r w:rsidR="00EC79FF" w:rsidRPr="00035FD1">
          <w:rPr>
            <w:rStyle w:val="af2"/>
            <w:rFonts w:asciiTheme="minorEastAsia" w:hAnsiTheme="minorEastAsia" w:hint="eastAsia"/>
            <w:bCs/>
          </w:rPr>
          <w:t>十二、</w:t>
        </w:r>
        <w:r w:rsidR="00EC79FF" w:rsidRPr="00035FD1">
          <w:rPr>
            <w:rStyle w:val="af2"/>
            <w:rFonts w:asciiTheme="minorEastAsia" w:hAnsiTheme="minorEastAsia" w:hint="eastAsia"/>
            <w:bCs/>
            <w:spacing w:val="-6"/>
          </w:rPr>
          <w:t>基金管理人代表基金行使所投资证券产生权利的处理原则及方法</w:t>
        </w:r>
        <w:r w:rsidR="00EC79FF">
          <w:rPr>
            <w:webHidden/>
          </w:rPr>
          <w:tab/>
        </w:r>
        <w:r w:rsidR="00EC79FF">
          <w:rPr>
            <w:webHidden/>
          </w:rPr>
          <w:fldChar w:fldCharType="begin"/>
        </w:r>
        <w:r w:rsidR="00EC79FF">
          <w:rPr>
            <w:webHidden/>
          </w:rPr>
          <w:instrText xml:space="preserve"> PAGEREF _Toc44351073 \h </w:instrText>
        </w:r>
        <w:r w:rsidR="00EC79FF">
          <w:rPr>
            <w:webHidden/>
          </w:rPr>
        </w:r>
        <w:r w:rsidR="00EC79FF">
          <w:rPr>
            <w:webHidden/>
          </w:rPr>
          <w:fldChar w:fldCharType="separate"/>
        </w:r>
        <w:r w:rsidR="003012AE">
          <w:rPr>
            <w:webHidden/>
          </w:rPr>
          <w:t>21</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74" w:history="1">
        <w:r w:rsidR="00EC79FF" w:rsidRPr="00035FD1">
          <w:rPr>
            <w:rStyle w:val="af2"/>
            <w:rFonts w:asciiTheme="minorEastAsia" w:hAnsiTheme="minorEastAsia" w:hint="eastAsia"/>
            <w:bCs/>
            <w:spacing w:val="-6"/>
          </w:rPr>
          <w:t>十三、基金投资组合报告</w:t>
        </w:r>
        <w:r w:rsidR="00EC79FF" w:rsidRPr="00035FD1">
          <w:rPr>
            <w:rStyle w:val="af2"/>
            <w:rFonts w:asciiTheme="minorEastAsia" w:hAnsiTheme="minorEastAsia"/>
            <w:bCs/>
            <w:spacing w:val="-6"/>
          </w:rPr>
          <w:t>(</w:t>
        </w:r>
        <w:r w:rsidR="00EC79FF" w:rsidRPr="00035FD1">
          <w:rPr>
            <w:rStyle w:val="af2"/>
            <w:rFonts w:asciiTheme="minorEastAsia" w:hAnsiTheme="minorEastAsia" w:hint="eastAsia"/>
            <w:bCs/>
            <w:spacing w:val="-6"/>
          </w:rPr>
          <w:t>未经审计</w:t>
        </w:r>
        <w:r w:rsidR="00EC79FF" w:rsidRPr="00035FD1">
          <w:rPr>
            <w:rStyle w:val="af2"/>
            <w:rFonts w:asciiTheme="minorEastAsia" w:hAnsiTheme="minorEastAsia"/>
            <w:bCs/>
            <w:spacing w:val="-6"/>
          </w:rPr>
          <w:t>)</w:t>
        </w:r>
        <w:r w:rsidR="00EC79FF">
          <w:rPr>
            <w:webHidden/>
          </w:rPr>
          <w:tab/>
        </w:r>
        <w:r w:rsidR="00EC79FF">
          <w:rPr>
            <w:webHidden/>
          </w:rPr>
          <w:fldChar w:fldCharType="begin"/>
        </w:r>
        <w:r w:rsidR="00EC79FF">
          <w:rPr>
            <w:webHidden/>
          </w:rPr>
          <w:instrText xml:space="preserve"> PAGEREF _Toc44351074 \h </w:instrText>
        </w:r>
        <w:r w:rsidR="00EC79FF">
          <w:rPr>
            <w:webHidden/>
          </w:rPr>
        </w:r>
        <w:r w:rsidR="00EC79FF">
          <w:rPr>
            <w:webHidden/>
          </w:rPr>
          <w:fldChar w:fldCharType="separate"/>
        </w:r>
        <w:r w:rsidR="003012AE">
          <w:rPr>
            <w:webHidden/>
          </w:rPr>
          <w:t>21</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075" w:history="1">
        <w:r w:rsidR="00EC79FF" w:rsidRPr="00035FD1">
          <w:rPr>
            <w:rStyle w:val="af2"/>
            <w:rFonts w:asciiTheme="minorEastAsia" w:hAnsiTheme="minorEastAsia" w:hint="eastAsia"/>
          </w:rPr>
          <w:t>第五节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基金的业绩</w:t>
        </w:r>
        <w:r w:rsidR="00EC79FF">
          <w:rPr>
            <w:webHidden/>
          </w:rPr>
          <w:tab/>
        </w:r>
        <w:r w:rsidR="00EC79FF">
          <w:rPr>
            <w:webHidden/>
          </w:rPr>
          <w:fldChar w:fldCharType="begin"/>
        </w:r>
        <w:r w:rsidR="00EC79FF">
          <w:rPr>
            <w:webHidden/>
          </w:rPr>
          <w:instrText xml:space="preserve"> PAGEREF _Toc44351075 \h </w:instrText>
        </w:r>
        <w:r w:rsidR="00EC79FF">
          <w:rPr>
            <w:webHidden/>
          </w:rPr>
        </w:r>
        <w:r w:rsidR="00EC79FF">
          <w:rPr>
            <w:webHidden/>
          </w:rPr>
          <w:fldChar w:fldCharType="separate"/>
        </w:r>
        <w:r w:rsidR="003012AE">
          <w:rPr>
            <w:webHidden/>
          </w:rPr>
          <w:t>26</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076" w:history="1">
        <w:r w:rsidR="00EC79FF" w:rsidRPr="00035FD1">
          <w:rPr>
            <w:rStyle w:val="af2"/>
            <w:rFonts w:asciiTheme="minorEastAsia" w:hAnsiTheme="minorEastAsia" w:hint="eastAsia"/>
          </w:rPr>
          <w:t>第六节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基金管理人</w:t>
        </w:r>
        <w:r w:rsidR="00EC79FF">
          <w:rPr>
            <w:webHidden/>
          </w:rPr>
          <w:tab/>
        </w:r>
        <w:r w:rsidR="00EC79FF">
          <w:rPr>
            <w:webHidden/>
          </w:rPr>
          <w:fldChar w:fldCharType="begin"/>
        </w:r>
        <w:r w:rsidR="00EC79FF">
          <w:rPr>
            <w:webHidden/>
          </w:rPr>
          <w:instrText xml:space="preserve"> PAGEREF _Toc44351076 \h </w:instrText>
        </w:r>
        <w:r w:rsidR="00EC79FF">
          <w:rPr>
            <w:webHidden/>
          </w:rPr>
        </w:r>
        <w:r w:rsidR="00EC79FF">
          <w:rPr>
            <w:webHidden/>
          </w:rPr>
          <w:fldChar w:fldCharType="separate"/>
        </w:r>
        <w:r w:rsidR="003012AE">
          <w:rPr>
            <w:webHidden/>
          </w:rPr>
          <w:t>28</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77" w:history="1">
        <w:r w:rsidR="00EC79FF" w:rsidRPr="00035FD1">
          <w:rPr>
            <w:rStyle w:val="af2"/>
            <w:rFonts w:asciiTheme="minorEastAsia" w:hAnsiTheme="minorEastAsia" w:cs="仿宋_GB2312" w:hint="eastAsia"/>
            <w:bCs/>
            <w:kern w:val="0"/>
          </w:rPr>
          <w:t>一、基金管理人基本情况</w:t>
        </w:r>
        <w:r w:rsidR="00EC79FF">
          <w:rPr>
            <w:webHidden/>
          </w:rPr>
          <w:tab/>
        </w:r>
        <w:r w:rsidR="00EC79FF">
          <w:rPr>
            <w:webHidden/>
          </w:rPr>
          <w:fldChar w:fldCharType="begin"/>
        </w:r>
        <w:r w:rsidR="00EC79FF">
          <w:rPr>
            <w:webHidden/>
          </w:rPr>
          <w:instrText xml:space="preserve"> PAGEREF _Toc44351077 \h </w:instrText>
        </w:r>
        <w:r w:rsidR="00EC79FF">
          <w:rPr>
            <w:webHidden/>
          </w:rPr>
        </w:r>
        <w:r w:rsidR="00EC79FF">
          <w:rPr>
            <w:webHidden/>
          </w:rPr>
          <w:fldChar w:fldCharType="separate"/>
        </w:r>
        <w:r w:rsidR="003012AE">
          <w:rPr>
            <w:webHidden/>
          </w:rPr>
          <w:t>28</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78" w:history="1">
        <w:r w:rsidR="00EC79FF" w:rsidRPr="00035FD1">
          <w:rPr>
            <w:rStyle w:val="af2"/>
            <w:rFonts w:asciiTheme="minorEastAsia" w:hAnsiTheme="minorEastAsia" w:hint="eastAsia"/>
            <w:bCs/>
          </w:rPr>
          <w:t>二、主要人员情况</w:t>
        </w:r>
        <w:r w:rsidR="00EC79FF">
          <w:rPr>
            <w:webHidden/>
          </w:rPr>
          <w:tab/>
        </w:r>
        <w:r w:rsidR="00EC79FF">
          <w:rPr>
            <w:webHidden/>
          </w:rPr>
          <w:fldChar w:fldCharType="begin"/>
        </w:r>
        <w:r w:rsidR="00EC79FF">
          <w:rPr>
            <w:webHidden/>
          </w:rPr>
          <w:instrText xml:space="preserve"> PAGEREF _Toc44351078 \h </w:instrText>
        </w:r>
        <w:r w:rsidR="00EC79FF">
          <w:rPr>
            <w:webHidden/>
          </w:rPr>
        </w:r>
        <w:r w:rsidR="00EC79FF">
          <w:rPr>
            <w:webHidden/>
          </w:rPr>
          <w:fldChar w:fldCharType="separate"/>
        </w:r>
        <w:r w:rsidR="003012AE">
          <w:rPr>
            <w:webHidden/>
          </w:rPr>
          <w:t>28</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79" w:history="1">
        <w:r w:rsidR="00EC79FF" w:rsidRPr="00035FD1">
          <w:rPr>
            <w:rStyle w:val="af2"/>
            <w:rFonts w:asciiTheme="minorEastAsia" w:hAnsiTheme="minorEastAsia" w:hint="eastAsia"/>
            <w:bCs/>
          </w:rPr>
          <w:t>三、基金管理人的职责</w:t>
        </w:r>
        <w:r w:rsidR="00EC79FF">
          <w:rPr>
            <w:webHidden/>
          </w:rPr>
          <w:tab/>
        </w:r>
        <w:r w:rsidR="00EC79FF">
          <w:rPr>
            <w:webHidden/>
          </w:rPr>
          <w:fldChar w:fldCharType="begin"/>
        </w:r>
        <w:r w:rsidR="00EC79FF">
          <w:rPr>
            <w:webHidden/>
          </w:rPr>
          <w:instrText xml:space="preserve"> PAGEREF _Toc44351079 \h </w:instrText>
        </w:r>
        <w:r w:rsidR="00EC79FF">
          <w:rPr>
            <w:webHidden/>
          </w:rPr>
        </w:r>
        <w:r w:rsidR="00EC79FF">
          <w:rPr>
            <w:webHidden/>
          </w:rPr>
          <w:fldChar w:fldCharType="separate"/>
        </w:r>
        <w:r w:rsidR="003012AE">
          <w:rPr>
            <w:webHidden/>
          </w:rPr>
          <w:t>33</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80" w:history="1">
        <w:r w:rsidR="00EC79FF" w:rsidRPr="00035FD1">
          <w:rPr>
            <w:rStyle w:val="af2"/>
            <w:rFonts w:asciiTheme="minorEastAsia" w:hAnsiTheme="minorEastAsia" w:hint="eastAsia"/>
            <w:bCs/>
          </w:rPr>
          <w:t>四、基金管理人的承诺</w:t>
        </w:r>
        <w:r w:rsidR="00EC79FF">
          <w:rPr>
            <w:webHidden/>
          </w:rPr>
          <w:tab/>
        </w:r>
        <w:r w:rsidR="00EC79FF">
          <w:rPr>
            <w:webHidden/>
          </w:rPr>
          <w:fldChar w:fldCharType="begin"/>
        </w:r>
        <w:r w:rsidR="00EC79FF">
          <w:rPr>
            <w:webHidden/>
          </w:rPr>
          <w:instrText xml:space="preserve"> PAGEREF _Toc44351080 \h </w:instrText>
        </w:r>
        <w:r w:rsidR="00EC79FF">
          <w:rPr>
            <w:webHidden/>
          </w:rPr>
        </w:r>
        <w:r w:rsidR="00EC79FF">
          <w:rPr>
            <w:webHidden/>
          </w:rPr>
          <w:fldChar w:fldCharType="separate"/>
        </w:r>
        <w:r w:rsidR="003012AE">
          <w:rPr>
            <w:webHidden/>
          </w:rPr>
          <w:t>34</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81" w:history="1">
        <w:r w:rsidR="00EC79FF" w:rsidRPr="00035FD1">
          <w:rPr>
            <w:rStyle w:val="af2"/>
            <w:rFonts w:asciiTheme="minorEastAsia" w:hAnsiTheme="minorEastAsia" w:hint="eastAsia"/>
            <w:bCs/>
          </w:rPr>
          <w:t>五、基金管理人的内部控制制度</w:t>
        </w:r>
        <w:r w:rsidR="00EC79FF">
          <w:rPr>
            <w:webHidden/>
          </w:rPr>
          <w:tab/>
        </w:r>
        <w:r w:rsidR="00EC79FF">
          <w:rPr>
            <w:webHidden/>
          </w:rPr>
          <w:fldChar w:fldCharType="begin"/>
        </w:r>
        <w:r w:rsidR="00EC79FF">
          <w:rPr>
            <w:webHidden/>
          </w:rPr>
          <w:instrText xml:space="preserve"> PAGEREF _Toc44351081 \h </w:instrText>
        </w:r>
        <w:r w:rsidR="00EC79FF">
          <w:rPr>
            <w:webHidden/>
          </w:rPr>
        </w:r>
        <w:r w:rsidR="00EC79FF">
          <w:rPr>
            <w:webHidden/>
          </w:rPr>
          <w:fldChar w:fldCharType="separate"/>
        </w:r>
        <w:r w:rsidR="003012AE">
          <w:rPr>
            <w:webHidden/>
          </w:rPr>
          <w:t>35</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082" w:history="1">
        <w:r w:rsidR="00EC79FF" w:rsidRPr="00035FD1">
          <w:rPr>
            <w:rStyle w:val="af2"/>
            <w:rFonts w:asciiTheme="minorEastAsia" w:hAnsiTheme="minorEastAsia" w:hint="eastAsia"/>
          </w:rPr>
          <w:t>第七节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基金的募集</w:t>
        </w:r>
        <w:r w:rsidR="00EC79FF">
          <w:rPr>
            <w:webHidden/>
          </w:rPr>
          <w:tab/>
        </w:r>
        <w:r w:rsidR="00EC79FF">
          <w:rPr>
            <w:webHidden/>
          </w:rPr>
          <w:fldChar w:fldCharType="begin"/>
        </w:r>
        <w:r w:rsidR="00EC79FF">
          <w:rPr>
            <w:webHidden/>
          </w:rPr>
          <w:instrText xml:space="preserve"> PAGEREF _Toc44351082 \h </w:instrText>
        </w:r>
        <w:r w:rsidR="00EC79FF">
          <w:rPr>
            <w:webHidden/>
          </w:rPr>
        </w:r>
        <w:r w:rsidR="00EC79FF">
          <w:rPr>
            <w:webHidden/>
          </w:rPr>
          <w:fldChar w:fldCharType="separate"/>
        </w:r>
        <w:r w:rsidR="003012AE">
          <w:rPr>
            <w:webHidden/>
          </w:rPr>
          <w:t>38</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083" w:history="1">
        <w:r w:rsidR="00EC79FF" w:rsidRPr="00035FD1">
          <w:rPr>
            <w:rStyle w:val="af2"/>
            <w:rFonts w:asciiTheme="minorEastAsia" w:hAnsiTheme="minorEastAsia" w:hint="eastAsia"/>
          </w:rPr>
          <w:t>第八节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基金合同的生效</w:t>
        </w:r>
        <w:r w:rsidR="00EC79FF">
          <w:rPr>
            <w:webHidden/>
          </w:rPr>
          <w:tab/>
        </w:r>
        <w:r w:rsidR="00EC79FF">
          <w:rPr>
            <w:webHidden/>
          </w:rPr>
          <w:fldChar w:fldCharType="begin"/>
        </w:r>
        <w:r w:rsidR="00EC79FF">
          <w:rPr>
            <w:webHidden/>
          </w:rPr>
          <w:instrText xml:space="preserve"> PAGEREF _Toc44351083 \h </w:instrText>
        </w:r>
        <w:r w:rsidR="00EC79FF">
          <w:rPr>
            <w:webHidden/>
          </w:rPr>
        </w:r>
        <w:r w:rsidR="00EC79FF">
          <w:rPr>
            <w:webHidden/>
          </w:rPr>
          <w:fldChar w:fldCharType="separate"/>
        </w:r>
        <w:r w:rsidR="003012AE">
          <w:rPr>
            <w:webHidden/>
          </w:rPr>
          <w:t>39</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84" w:history="1">
        <w:r w:rsidR="00EC79FF" w:rsidRPr="00035FD1">
          <w:rPr>
            <w:rStyle w:val="af2"/>
            <w:rFonts w:asciiTheme="minorEastAsia" w:hAnsiTheme="minorEastAsia" w:hint="eastAsia"/>
          </w:rPr>
          <w:t>一、基金合同生效</w:t>
        </w:r>
        <w:r w:rsidR="00EC79FF">
          <w:rPr>
            <w:webHidden/>
          </w:rPr>
          <w:tab/>
        </w:r>
        <w:r w:rsidR="00EC79FF">
          <w:rPr>
            <w:webHidden/>
          </w:rPr>
          <w:fldChar w:fldCharType="begin"/>
        </w:r>
        <w:r w:rsidR="00EC79FF">
          <w:rPr>
            <w:webHidden/>
          </w:rPr>
          <w:instrText xml:space="preserve"> PAGEREF _Toc44351084 \h </w:instrText>
        </w:r>
        <w:r w:rsidR="00EC79FF">
          <w:rPr>
            <w:webHidden/>
          </w:rPr>
        </w:r>
        <w:r w:rsidR="00EC79FF">
          <w:rPr>
            <w:webHidden/>
          </w:rPr>
          <w:fldChar w:fldCharType="separate"/>
        </w:r>
        <w:r w:rsidR="003012AE">
          <w:rPr>
            <w:webHidden/>
          </w:rPr>
          <w:t>39</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85" w:history="1">
        <w:r w:rsidR="00EC79FF" w:rsidRPr="00035FD1">
          <w:rPr>
            <w:rStyle w:val="af2"/>
            <w:rFonts w:asciiTheme="minorEastAsia" w:hAnsiTheme="minorEastAsia" w:hint="eastAsia"/>
          </w:rPr>
          <w:t>二、基金存续期内的基金份额持有人数量和资产规模</w:t>
        </w:r>
        <w:r w:rsidR="00EC79FF">
          <w:rPr>
            <w:webHidden/>
          </w:rPr>
          <w:tab/>
        </w:r>
        <w:r w:rsidR="00EC79FF">
          <w:rPr>
            <w:webHidden/>
          </w:rPr>
          <w:fldChar w:fldCharType="begin"/>
        </w:r>
        <w:r w:rsidR="00EC79FF">
          <w:rPr>
            <w:webHidden/>
          </w:rPr>
          <w:instrText xml:space="preserve"> PAGEREF _Toc44351085 \h </w:instrText>
        </w:r>
        <w:r w:rsidR="00EC79FF">
          <w:rPr>
            <w:webHidden/>
          </w:rPr>
        </w:r>
        <w:r w:rsidR="00EC79FF">
          <w:rPr>
            <w:webHidden/>
          </w:rPr>
          <w:fldChar w:fldCharType="separate"/>
        </w:r>
        <w:r w:rsidR="003012AE">
          <w:rPr>
            <w:webHidden/>
          </w:rPr>
          <w:t>39</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086" w:history="1">
        <w:r w:rsidR="00EC79FF" w:rsidRPr="00035FD1">
          <w:rPr>
            <w:rStyle w:val="af2"/>
            <w:rFonts w:asciiTheme="minorEastAsia" w:hAnsiTheme="minorEastAsia" w:hint="eastAsia"/>
          </w:rPr>
          <w:t>第九节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基金份额的申购、赎回</w:t>
        </w:r>
        <w:r w:rsidR="00EC79FF">
          <w:rPr>
            <w:webHidden/>
          </w:rPr>
          <w:tab/>
        </w:r>
        <w:r w:rsidR="00EC79FF">
          <w:rPr>
            <w:webHidden/>
          </w:rPr>
          <w:fldChar w:fldCharType="begin"/>
        </w:r>
        <w:r w:rsidR="00EC79FF">
          <w:rPr>
            <w:webHidden/>
          </w:rPr>
          <w:instrText xml:space="preserve"> PAGEREF _Toc44351086 \h </w:instrText>
        </w:r>
        <w:r w:rsidR="00EC79FF">
          <w:rPr>
            <w:webHidden/>
          </w:rPr>
        </w:r>
        <w:r w:rsidR="00EC79FF">
          <w:rPr>
            <w:webHidden/>
          </w:rPr>
          <w:fldChar w:fldCharType="separate"/>
        </w:r>
        <w:r w:rsidR="003012AE">
          <w:rPr>
            <w:webHidden/>
          </w:rPr>
          <w:t>40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87" w:history="1">
        <w:r w:rsidR="00EC79FF" w:rsidRPr="00035FD1">
          <w:rPr>
            <w:rStyle w:val="af2"/>
            <w:rFonts w:asciiTheme="minorEastAsia" w:hAnsiTheme="minorEastAsia" w:hint="eastAsia"/>
          </w:rPr>
          <w:t>一、基金投资者范围</w:t>
        </w:r>
        <w:r w:rsidR="00EC79FF">
          <w:rPr>
            <w:webHidden/>
          </w:rPr>
          <w:tab/>
        </w:r>
        <w:r w:rsidR="00EC79FF">
          <w:rPr>
            <w:webHidden/>
          </w:rPr>
          <w:fldChar w:fldCharType="begin"/>
        </w:r>
        <w:r w:rsidR="00EC79FF">
          <w:rPr>
            <w:webHidden/>
          </w:rPr>
          <w:instrText xml:space="preserve"> PAGEREF _Toc44351087 \h </w:instrText>
        </w:r>
        <w:r w:rsidR="00EC79FF">
          <w:rPr>
            <w:webHidden/>
          </w:rPr>
        </w:r>
        <w:r w:rsidR="00EC79FF">
          <w:rPr>
            <w:webHidden/>
          </w:rPr>
          <w:fldChar w:fldCharType="separate"/>
        </w:r>
        <w:r w:rsidR="003012AE">
          <w:rPr>
            <w:webHidden/>
          </w:rPr>
          <w:t>40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88" w:history="1">
        <w:r w:rsidR="00EC79FF" w:rsidRPr="00035FD1">
          <w:rPr>
            <w:rStyle w:val="af2"/>
            <w:rFonts w:asciiTheme="minorEastAsia" w:hAnsiTheme="minorEastAsia" w:hint="eastAsia"/>
          </w:rPr>
          <w:t>二、申购与赎回的场所</w:t>
        </w:r>
        <w:r w:rsidR="00EC79FF">
          <w:rPr>
            <w:webHidden/>
          </w:rPr>
          <w:tab/>
        </w:r>
        <w:r w:rsidR="00EC79FF">
          <w:rPr>
            <w:webHidden/>
          </w:rPr>
          <w:fldChar w:fldCharType="begin"/>
        </w:r>
        <w:r w:rsidR="00EC79FF">
          <w:rPr>
            <w:webHidden/>
          </w:rPr>
          <w:instrText xml:space="preserve"> PAGEREF _Toc44351088 \h </w:instrText>
        </w:r>
        <w:r w:rsidR="00EC79FF">
          <w:rPr>
            <w:webHidden/>
          </w:rPr>
        </w:r>
        <w:r w:rsidR="00EC79FF">
          <w:rPr>
            <w:webHidden/>
          </w:rPr>
          <w:fldChar w:fldCharType="separate"/>
        </w:r>
        <w:r w:rsidR="003012AE">
          <w:rPr>
            <w:webHidden/>
          </w:rPr>
          <w:t>40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89" w:history="1">
        <w:r w:rsidR="00EC79FF" w:rsidRPr="00035FD1">
          <w:rPr>
            <w:rStyle w:val="af2"/>
            <w:rFonts w:asciiTheme="minorEastAsia" w:hAnsiTheme="minorEastAsia" w:hint="eastAsia"/>
          </w:rPr>
          <w:t>三、申购和赎回的开放日及时间</w:t>
        </w:r>
        <w:r w:rsidR="00EC79FF">
          <w:rPr>
            <w:webHidden/>
          </w:rPr>
          <w:tab/>
        </w:r>
        <w:r w:rsidR="00EC79FF">
          <w:rPr>
            <w:webHidden/>
          </w:rPr>
          <w:fldChar w:fldCharType="begin"/>
        </w:r>
        <w:r w:rsidR="00EC79FF">
          <w:rPr>
            <w:webHidden/>
          </w:rPr>
          <w:instrText xml:space="preserve"> PAGEREF _Toc44351089 \h </w:instrText>
        </w:r>
        <w:r w:rsidR="00EC79FF">
          <w:rPr>
            <w:webHidden/>
          </w:rPr>
        </w:r>
        <w:r w:rsidR="00EC79FF">
          <w:rPr>
            <w:webHidden/>
          </w:rPr>
          <w:fldChar w:fldCharType="separate"/>
        </w:r>
        <w:r w:rsidR="003012AE">
          <w:rPr>
            <w:webHidden/>
          </w:rPr>
          <w:t>40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0" w:history="1">
        <w:r w:rsidR="00EC79FF" w:rsidRPr="00035FD1">
          <w:rPr>
            <w:rStyle w:val="af2"/>
            <w:rFonts w:asciiTheme="minorEastAsia" w:hAnsiTheme="minorEastAsia" w:hint="eastAsia"/>
          </w:rPr>
          <w:t>四、申购与赎回的原则</w:t>
        </w:r>
        <w:r w:rsidR="00EC79FF">
          <w:rPr>
            <w:webHidden/>
          </w:rPr>
          <w:tab/>
        </w:r>
        <w:r w:rsidR="00EC79FF">
          <w:rPr>
            <w:webHidden/>
          </w:rPr>
          <w:fldChar w:fldCharType="begin"/>
        </w:r>
        <w:r w:rsidR="00EC79FF">
          <w:rPr>
            <w:webHidden/>
          </w:rPr>
          <w:instrText xml:space="preserve"> PAGEREF _Toc44351090 \h </w:instrText>
        </w:r>
        <w:r w:rsidR="00EC79FF">
          <w:rPr>
            <w:webHidden/>
          </w:rPr>
        </w:r>
        <w:r w:rsidR="00EC79FF">
          <w:rPr>
            <w:webHidden/>
          </w:rPr>
          <w:fldChar w:fldCharType="separate"/>
        </w:r>
        <w:r w:rsidR="003012AE">
          <w:rPr>
            <w:webHidden/>
          </w:rPr>
          <w:t>40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1" w:history="1">
        <w:r w:rsidR="00EC79FF" w:rsidRPr="00035FD1">
          <w:rPr>
            <w:rStyle w:val="af2"/>
            <w:rFonts w:asciiTheme="minorEastAsia" w:hAnsiTheme="minorEastAsia" w:hint="eastAsia"/>
          </w:rPr>
          <w:t>五、申购和赎回的程序</w:t>
        </w:r>
        <w:r w:rsidR="00EC79FF">
          <w:rPr>
            <w:webHidden/>
          </w:rPr>
          <w:tab/>
        </w:r>
        <w:r w:rsidR="00EC79FF">
          <w:rPr>
            <w:webHidden/>
          </w:rPr>
          <w:fldChar w:fldCharType="begin"/>
        </w:r>
        <w:r w:rsidR="00EC79FF">
          <w:rPr>
            <w:webHidden/>
          </w:rPr>
          <w:instrText xml:space="preserve"> PAGEREF _Toc44351091 \h </w:instrText>
        </w:r>
        <w:r w:rsidR="00EC79FF">
          <w:rPr>
            <w:webHidden/>
          </w:rPr>
        </w:r>
        <w:r w:rsidR="00EC79FF">
          <w:rPr>
            <w:webHidden/>
          </w:rPr>
          <w:fldChar w:fldCharType="separate"/>
        </w:r>
        <w:r w:rsidR="003012AE">
          <w:rPr>
            <w:webHidden/>
          </w:rPr>
          <w:t>41</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2" w:history="1">
        <w:r w:rsidR="00EC79FF" w:rsidRPr="00035FD1">
          <w:rPr>
            <w:rStyle w:val="af2"/>
            <w:rFonts w:asciiTheme="minorEastAsia" w:hAnsiTheme="minorEastAsia" w:hint="eastAsia"/>
          </w:rPr>
          <w:t>六、申购和赎回的数额限制</w:t>
        </w:r>
        <w:r w:rsidR="00EC79FF">
          <w:rPr>
            <w:webHidden/>
          </w:rPr>
          <w:tab/>
        </w:r>
        <w:r w:rsidR="00EC79FF">
          <w:rPr>
            <w:webHidden/>
          </w:rPr>
          <w:fldChar w:fldCharType="begin"/>
        </w:r>
        <w:r w:rsidR="00EC79FF">
          <w:rPr>
            <w:webHidden/>
          </w:rPr>
          <w:instrText xml:space="preserve"> PAGEREF _Toc44351092 \h </w:instrText>
        </w:r>
        <w:r w:rsidR="00EC79FF">
          <w:rPr>
            <w:webHidden/>
          </w:rPr>
        </w:r>
        <w:r w:rsidR="00EC79FF">
          <w:rPr>
            <w:webHidden/>
          </w:rPr>
          <w:fldChar w:fldCharType="separate"/>
        </w:r>
        <w:r w:rsidR="003012AE">
          <w:rPr>
            <w:webHidden/>
          </w:rPr>
          <w:t>41</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3" w:history="1">
        <w:r w:rsidR="00EC79FF" w:rsidRPr="00035FD1">
          <w:rPr>
            <w:rStyle w:val="af2"/>
            <w:rFonts w:asciiTheme="minorEastAsia" w:hAnsiTheme="minorEastAsia" w:hint="eastAsia"/>
          </w:rPr>
          <w:t>七、申购与赎回的费率</w:t>
        </w:r>
        <w:r w:rsidR="00EC79FF">
          <w:rPr>
            <w:webHidden/>
          </w:rPr>
          <w:tab/>
        </w:r>
        <w:r w:rsidR="00EC79FF">
          <w:rPr>
            <w:webHidden/>
          </w:rPr>
          <w:fldChar w:fldCharType="begin"/>
        </w:r>
        <w:r w:rsidR="00EC79FF">
          <w:rPr>
            <w:webHidden/>
          </w:rPr>
          <w:instrText xml:space="preserve"> PAGEREF _Toc44351093 \h </w:instrText>
        </w:r>
        <w:r w:rsidR="00EC79FF">
          <w:rPr>
            <w:webHidden/>
          </w:rPr>
        </w:r>
        <w:r w:rsidR="00EC79FF">
          <w:rPr>
            <w:webHidden/>
          </w:rPr>
          <w:fldChar w:fldCharType="separate"/>
        </w:r>
        <w:r w:rsidR="003012AE">
          <w:rPr>
            <w:webHidden/>
          </w:rPr>
          <w:t>42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4" w:history="1">
        <w:r w:rsidR="00EC79FF" w:rsidRPr="00035FD1">
          <w:rPr>
            <w:rStyle w:val="af2"/>
            <w:rFonts w:asciiTheme="minorEastAsia" w:hAnsiTheme="minorEastAsia" w:hint="eastAsia"/>
          </w:rPr>
          <w:t>八、申购份额与赎回金额的计算</w:t>
        </w:r>
        <w:r w:rsidR="00EC79FF">
          <w:rPr>
            <w:webHidden/>
          </w:rPr>
          <w:tab/>
        </w:r>
        <w:r w:rsidR="00EC79FF">
          <w:rPr>
            <w:webHidden/>
          </w:rPr>
          <w:fldChar w:fldCharType="begin"/>
        </w:r>
        <w:r w:rsidR="00EC79FF">
          <w:rPr>
            <w:webHidden/>
          </w:rPr>
          <w:instrText xml:space="preserve"> PAGEREF _Toc44351094 \h </w:instrText>
        </w:r>
        <w:r w:rsidR="00EC79FF">
          <w:rPr>
            <w:webHidden/>
          </w:rPr>
        </w:r>
        <w:r w:rsidR="00EC79FF">
          <w:rPr>
            <w:webHidden/>
          </w:rPr>
          <w:fldChar w:fldCharType="separate"/>
        </w:r>
        <w:r w:rsidR="003012AE">
          <w:rPr>
            <w:webHidden/>
          </w:rPr>
          <w:t>43</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5" w:history="1">
        <w:r w:rsidR="00EC79FF" w:rsidRPr="00035FD1">
          <w:rPr>
            <w:rStyle w:val="af2"/>
            <w:rFonts w:asciiTheme="minorEastAsia" w:hAnsiTheme="minorEastAsia" w:hint="eastAsia"/>
          </w:rPr>
          <w:t>九、申购和赎回的注册登记</w:t>
        </w:r>
        <w:r w:rsidR="00EC79FF">
          <w:rPr>
            <w:webHidden/>
          </w:rPr>
          <w:tab/>
        </w:r>
        <w:r w:rsidR="00EC79FF">
          <w:rPr>
            <w:webHidden/>
          </w:rPr>
          <w:fldChar w:fldCharType="begin"/>
        </w:r>
        <w:r w:rsidR="00EC79FF">
          <w:rPr>
            <w:webHidden/>
          </w:rPr>
          <w:instrText xml:space="preserve"> PAGEREF _Toc44351095 \h </w:instrText>
        </w:r>
        <w:r w:rsidR="00EC79FF">
          <w:rPr>
            <w:webHidden/>
          </w:rPr>
        </w:r>
        <w:r w:rsidR="00EC79FF">
          <w:rPr>
            <w:webHidden/>
          </w:rPr>
          <w:fldChar w:fldCharType="separate"/>
        </w:r>
        <w:r w:rsidR="003012AE">
          <w:rPr>
            <w:webHidden/>
          </w:rPr>
          <w:t>44</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6" w:history="1">
        <w:r w:rsidR="00EC79FF" w:rsidRPr="00035FD1">
          <w:rPr>
            <w:rStyle w:val="af2"/>
            <w:rFonts w:asciiTheme="minorEastAsia" w:hAnsiTheme="minorEastAsia" w:hint="eastAsia"/>
          </w:rPr>
          <w:t>十、拒绝或暂停申购的情形及处理方式</w:t>
        </w:r>
        <w:r w:rsidR="00EC79FF">
          <w:rPr>
            <w:webHidden/>
          </w:rPr>
          <w:tab/>
        </w:r>
        <w:r w:rsidR="00EC79FF">
          <w:rPr>
            <w:webHidden/>
          </w:rPr>
          <w:fldChar w:fldCharType="begin"/>
        </w:r>
        <w:r w:rsidR="00EC79FF">
          <w:rPr>
            <w:webHidden/>
          </w:rPr>
          <w:instrText xml:space="preserve"> PAGEREF _Toc44351096 \h </w:instrText>
        </w:r>
        <w:r w:rsidR="00EC79FF">
          <w:rPr>
            <w:webHidden/>
          </w:rPr>
        </w:r>
        <w:r w:rsidR="00EC79FF">
          <w:rPr>
            <w:webHidden/>
          </w:rPr>
          <w:fldChar w:fldCharType="separate"/>
        </w:r>
        <w:r w:rsidR="003012AE">
          <w:rPr>
            <w:webHidden/>
          </w:rPr>
          <w:t>44</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7" w:history="1">
        <w:r w:rsidR="00EC79FF" w:rsidRPr="00035FD1">
          <w:rPr>
            <w:rStyle w:val="af2"/>
            <w:rFonts w:asciiTheme="minorEastAsia" w:hAnsiTheme="minorEastAsia" w:hint="eastAsia"/>
          </w:rPr>
          <w:t>十一、暂停赎回或者延缓支付赎回款项的情形及处理方式</w:t>
        </w:r>
        <w:r w:rsidR="00EC79FF">
          <w:rPr>
            <w:webHidden/>
          </w:rPr>
          <w:tab/>
        </w:r>
        <w:r w:rsidR="00EC79FF">
          <w:rPr>
            <w:webHidden/>
          </w:rPr>
          <w:fldChar w:fldCharType="begin"/>
        </w:r>
        <w:r w:rsidR="00EC79FF">
          <w:rPr>
            <w:webHidden/>
          </w:rPr>
          <w:instrText xml:space="preserve"> PAGEREF _Toc44351097 \h </w:instrText>
        </w:r>
        <w:r w:rsidR="00EC79FF">
          <w:rPr>
            <w:webHidden/>
          </w:rPr>
        </w:r>
        <w:r w:rsidR="00EC79FF">
          <w:rPr>
            <w:webHidden/>
          </w:rPr>
          <w:fldChar w:fldCharType="separate"/>
        </w:r>
        <w:r w:rsidR="003012AE">
          <w:rPr>
            <w:webHidden/>
          </w:rPr>
          <w:t>45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8" w:history="1">
        <w:r w:rsidR="00EC79FF" w:rsidRPr="00035FD1">
          <w:rPr>
            <w:rStyle w:val="af2"/>
            <w:rFonts w:asciiTheme="minorEastAsia" w:hAnsiTheme="minorEastAsia" w:hint="eastAsia"/>
          </w:rPr>
          <w:t>十二、其他暂停申购和赎回的情形及处理方式</w:t>
        </w:r>
        <w:r w:rsidR="00EC79FF">
          <w:rPr>
            <w:webHidden/>
          </w:rPr>
          <w:tab/>
        </w:r>
        <w:r w:rsidR="00EC79FF">
          <w:rPr>
            <w:webHidden/>
          </w:rPr>
          <w:fldChar w:fldCharType="begin"/>
        </w:r>
        <w:r w:rsidR="00EC79FF">
          <w:rPr>
            <w:webHidden/>
          </w:rPr>
          <w:instrText xml:space="preserve"> PAGEREF _Toc44351098 \h </w:instrText>
        </w:r>
        <w:r w:rsidR="00EC79FF">
          <w:rPr>
            <w:webHidden/>
          </w:rPr>
        </w:r>
        <w:r w:rsidR="00EC79FF">
          <w:rPr>
            <w:webHidden/>
          </w:rPr>
          <w:fldChar w:fldCharType="separate"/>
        </w:r>
        <w:r w:rsidR="003012AE">
          <w:rPr>
            <w:webHidden/>
          </w:rPr>
          <w:t>46</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099" w:history="1">
        <w:r w:rsidR="00EC79FF" w:rsidRPr="00035FD1">
          <w:rPr>
            <w:rStyle w:val="af2"/>
            <w:rFonts w:asciiTheme="minorEastAsia" w:hAnsiTheme="minorEastAsia" w:hint="eastAsia"/>
          </w:rPr>
          <w:t>十三、重新开放申购或赎回的公告</w:t>
        </w:r>
        <w:r w:rsidR="00EC79FF">
          <w:rPr>
            <w:webHidden/>
          </w:rPr>
          <w:tab/>
        </w:r>
        <w:r w:rsidR="00EC79FF">
          <w:rPr>
            <w:webHidden/>
          </w:rPr>
          <w:fldChar w:fldCharType="begin"/>
        </w:r>
        <w:r w:rsidR="00EC79FF">
          <w:rPr>
            <w:webHidden/>
          </w:rPr>
          <w:instrText xml:space="preserve"> PAGEREF _Toc44351099 \h </w:instrText>
        </w:r>
        <w:r w:rsidR="00EC79FF">
          <w:rPr>
            <w:webHidden/>
          </w:rPr>
        </w:r>
        <w:r w:rsidR="00EC79FF">
          <w:rPr>
            <w:webHidden/>
          </w:rPr>
          <w:fldChar w:fldCharType="separate"/>
        </w:r>
        <w:r w:rsidR="003012AE">
          <w:rPr>
            <w:webHidden/>
          </w:rPr>
          <w:t>46</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00" w:history="1">
        <w:r w:rsidR="00EC79FF" w:rsidRPr="00035FD1">
          <w:rPr>
            <w:rStyle w:val="af2"/>
            <w:rFonts w:asciiTheme="minorEastAsia" w:hAnsiTheme="minorEastAsia" w:hint="eastAsia"/>
          </w:rPr>
          <w:t>十四、巨额赎回的认定及处理方式</w:t>
        </w:r>
        <w:r w:rsidR="00EC79FF">
          <w:rPr>
            <w:webHidden/>
          </w:rPr>
          <w:tab/>
        </w:r>
        <w:r w:rsidR="00EC79FF">
          <w:rPr>
            <w:webHidden/>
          </w:rPr>
          <w:fldChar w:fldCharType="begin"/>
        </w:r>
        <w:r w:rsidR="00EC79FF">
          <w:rPr>
            <w:webHidden/>
          </w:rPr>
          <w:instrText xml:space="preserve"> PAGEREF _Toc44351100 \h </w:instrText>
        </w:r>
        <w:r w:rsidR="00EC79FF">
          <w:rPr>
            <w:webHidden/>
          </w:rPr>
        </w:r>
        <w:r w:rsidR="00EC79FF">
          <w:rPr>
            <w:webHidden/>
          </w:rPr>
          <w:fldChar w:fldCharType="separate"/>
        </w:r>
        <w:r w:rsidR="003012AE">
          <w:rPr>
            <w:webHidden/>
          </w:rPr>
          <w:t>47</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01" w:history="1">
        <w:r w:rsidR="00EC79FF" w:rsidRPr="00035FD1">
          <w:rPr>
            <w:rStyle w:val="af2"/>
            <w:rFonts w:asciiTheme="minorEastAsia" w:hAnsiTheme="minorEastAsia" w:hint="eastAsia"/>
          </w:rPr>
          <w:t>十五、基金的转换</w:t>
        </w:r>
        <w:r w:rsidR="00EC79FF">
          <w:rPr>
            <w:webHidden/>
          </w:rPr>
          <w:tab/>
        </w:r>
        <w:r w:rsidR="00EC79FF">
          <w:rPr>
            <w:webHidden/>
          </w:rPr>
          <w:fldChar w:fldCharType="begin"/>
        </w:r>
        <w:r w:rsidR="00EC79FF">
          <w:rPr>
            <w:webHidden/>
          </w:rPr>
          <w:instrText xml:space="preserve"> PAGEREF _Toc44351101 \h </w:instrText>
        </w:r>
        <w:r w:rsidR="00EC79FF">
          <w:rPr>
            <w:webHidden/>
          </w:rPr>
        </w:r>
        <w:r w:rsidR="00EC79FF">
          <w:rPr>
            <w:webHidden/>
          </w:rPr>
          <w:fldChar w:fldCharType="separate"/>
        </w:r>
        <w:r w:rsidR="003012AE">
          <w:rPr>
            <w:webHidden/>
          </w:rPr>
          <w:t>47</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02" w:history="1">
        <w:r w:rsidR="00EC79FF" w:rsidRPr="00035FD1">
          <w:rPr>
            <w:rStyle w:val="af2"/>
            <w:rFonts w:asciiTheme="minorEastAsia" w:hAnsiTheme="minorEastAsia" w:hint="eastAsia"/>
          </w:rPr>
          <w:t>十六、转托管</w:t>
        </w:r>
        <w:r w:rsidR="00EC79FF">
          <w:rPr>
            <w:webHidden/>
          </w:rPr>
          <w:tab/>
        </w:r>
        <w:r w:rsidR="00EC79FF">
          <w:rPr>
            <w:webHidden/>
          </w:rPr>
          <w:fldChar w:fldCharType="begin"/>
        </w:r>
        <w:r w:rsidR="00EC79FF">
          <w:rPr>
            <w:webHidden/>
          </w:rPr>
          <w:instrText xml:space="preserve"> PAGEREF _Toc44351102 \h </w:instrText>
        </w:r>
        <w:r w:rsidR="00EC79FF">
          <w:rPr>
            <w:webHidden/>
          </w:rPr>
        </w:r>
        <w:r w:rsidR="00EC79FF">
          <w:rPr>
            <w:webHidden/>
          </w:rPr>
          <w:fldChar w:fldCharType="separate"/>
        </w:r>
        <w:r w:rsidR="003012AE">
          <w:rPr>
            <w:webHidden/>
          </w:rPr>
          <w:t>52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03" w:history="1">
        <w:r w:rsidR="00EC79FF" w:rsidRPr="00035FD1">
          <w:rPr>
            <w:rStyle w:val="af2"/>
            <w:rFonts w:asciiTheme="minorEastAsia" w:hAnsiTheme="minorEastAsia" w:hint="eastAsia"/>
          </w:rPr>
          <w:t>十七、基金的非交易过户</w:t>
        </w:r>
        <w:r w:rsidR="00EC79FF">
          <w:rPr>
            <w:webHidden/>
          </w:rPr>
          <w:tab/>
        </w:r>
        <w:r w:rsidR="00EC79FF">
          <w:rPr>
            <w:webHidden/>
          </w:rPr>
          <w:fldChar w:fldCharType="begin"/>
        </w:r>
        <w:r w:rsidR="00EC79FF">
          <w:rPr>
            <w:webHidden/>
          </w:rPr>
          <w:instrText xml:space="preserve"> PAGEREF _Toc44351103 \h </w:instrText>
        </w:r>
        <w:r w:rsidR="00EC79FF">
          <w:rPr>
            <w:webHidden/>
          </w:rPr>
        </w:r>
        <w:r w:rsidR="00EC79FF">
          <w:rPr>
            <w:webHidden/>
          </w:rPr>
          <w:fldChar w:fldCharType="separate"/>
        </w:r>
        <w:r w:rsidR="003012AE">
          <w:rPr>
            <w:webHidden/>
          </w:rPr>
          <w:t>52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04" w:history="1">
        <w:r w:rsidR="00EC79FF" w:rsidRPr="00035FD1">
          <w:rPr>
            <w:rStyle w:val="af2"/>
            <w:rFonts w:asciiTheme="minorEastAsia" w:hAnsiTheme="minorEastAsia" w:hint="eastAsia"/>
          </w:rPr>
          <w:t>十八、基金的冻结与解冻</w:t>
        </w:r>
        <w:r w:rsidR="00EC79FF">
          <w:rPr>
            <w:webHidden/>
          </w:rPr>
          <w:tab/>
        </w:r>
        <w:r w:rsidR="00EC79FF">
          <w:rPr>
            <w:webHidden/>
          </w:rPr>
          <w:fldChar w:fldCharType="begin"/>
        </w:r>
        <w:r w:rsidR="00EC79FF">
          <w:rPr>
            <w:webHidden/>
          </w:rPr>
          <w:instrText xml:space="preserve"> PAGEREF _Toc44351104 \h </w:instrText>
        </w:r>
        <w:r w:rsidR="00EC79FF">
          <w:rPr>
            <w:webHidden/>
          </w:rPr>
        </w:r>
        <w:r w:rsidR="00EC79FF">
          <w:rPr>
            <w:webHidden/>
          </w:rPr>
          <w:fldChar w:fldCharType="separate"/>
        </w:r>
        <w:r w:rsidR="003012AE">
          <w:rPr>
            <w:webHidden/>
          </w:rPr>
          <w:t>53</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05" w:history="1">
        <w:r w:rsidR="00EC79FF" w:rsidRPr="00035FD1">
          <w:rPr>
            <w:rStyle w:val="af2"/>
            <w:rFonts w:asciiTheme="minorEastAsia" w:hAnsiTheme="minorEastAsia" w:hint="eastAsia"/>
          </w:rPr>
          <w:t>第十节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基金的费用与税收</w:t>
        </w:r>
        <w:r w:rsidR="00EC79FF">
          <w:rPr>
            <w:webHidden/>
          </w:rPr>
          <w:tab/>
        </w:r>
        <w:r w:rsidR="00EC79FF">
          <w:rPr>
            <w:webHidden/>
          </w:rPr>
          <w:fldChar w:fldCharType="begin"/>
        </w:r>
        <w:r w:rsidR="00EC79FF">
          <w:rPr>
            <w:webHidden/>
          </w:rPr>
          <w:instrText xml:space="preserve"> PAGEREF _Toc44351105 \h </w:instrText>
        </w:r>
        <w:r w:rsidR="00EC79FF">
          <w:rPr>
            <w:webHidden/>
          </w:rPr>
        </w:r>
        <w:r w:rsidR="00EC79FF">
          <w:rPr>
            <w:webHidden/>
          </w:rPr>
          <w:fldChar w:fldCharType="separate"/>
        </w:r>
        <w:r w:rsidR="003012AE">
          <w:rPr>
            <w:webHidden/>
          </w:rPr>
          <w:t>54</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06" w:history="1">
        <w:r w:rsidR="00EC79FF" w:rsidRPr="00035FD1">
          <w:rPr>
            <w:rStyle w:val="af2"/>
            <w:rFonts w:asciiTheme="minorEastAsia" w:hAnsiTheme="minorEastAsia" w:hint="eastAsia"/>
          </w:rPr>
          <w:t>一、与基金运作相关的费用</w:t>
        </w:r>
        <w:r w:rsidR="00EC79FF">
          <w:rPr>
            <w:webHidden/>
          </w:rPr>
          <w:tab/>
        </w:r>
        <w:r w:rsidR="00EC79FF">
          <w:rPr>
            <w:webHidden/>
          </w:rPr>
          <w:fldChar w:fldCharType="begin"/>
        </w:r>
        <w:r w:rsidR="00EC79FF">
          <w:rPr>
            <w:webHidden/>
          </w:rPr>
          <w:instrText xml:space="preserve"> PAGEREF _Toc44351106 \h </w:instrText>
        </w:r>
        <w:r w:rsidR="00EC79FF">
          <w:rPr>
            <w:webHidden/>
          </w:rPr>
        </w:r>
        <w:r w:rsidR="00EC79FF">
          <w:rPr>
            <w:webHidden/>
          </w:rPr>
          <w:fldChar w:fldCharType="separate"/>
        </w:r>
        <w:r w:rsidR="003012AE">
          <w:rPr>
            <w:webHidden/>
          </w:rPr>
          <w:t>54</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07" w:history="1">
        <w:r w:rsidR="00EC79FF" w:rsidRPr="00035FD1">
          <w:rPr>
            <w:rStyle w:val="af2"/>
            <w:rFonts w:asciiTheme="minorEastAsia" w:hAnsiTheme="minorEastAsia" w:hint="eastAsia"/>
          </w:rPr>
          <w:t>二、与基金销售有关的费用</w:t>
        </w:r>
        <w:r w:rsidR="00EC79FF">
          <w:rPr>
            <w:webHidden/>
          </w:rPr>
          <w:tab/>
        </w:r>
        <w:r w:rsidR="00EC79FF">
          <w:rPr>
            <w:webHidden/>
          </w:rPr>
          <w:fldChar w:fldCharType="begin"/>
        </w:r>
        <w:r w:rsidR="00EC79FF">
          <w:rPr>
            <w:webHidden/>
          </w:rPr>
          <w:instrText xml:space="preserve"> PAGEREF _Toc44351107 \h </w:instrText>
        </w:r>
        <w:r w:rsidR="00EC79FF">
          <w:rPr>
            <w:webHidden/>
          </w:rPr>
        </w:r>
        <w:r w:rsidR="00EC79FF">
          <w:rPr>
            <w:webHidden/>
          </w:rPr>
          <w:fldChar w:fldCharType="separate"/>
        </w:r>
        <w:r w:rsidR="003012AE">
          <w:rPr>
            <w:webHidden/>
          </w:rPr>
          <w:t>55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08" w:history="1">
        <w:r w:rsidR="00EC79FF" w:rsidRPr="00035FD1">
          <w:rPr>
            <w:rStyle w:val="af2"/>
            <w:rFonts w:asciiTheme="minorEastAsia" w:hAnsiTheme="minorEastAsia" w:hint="eastAsia"/>
          </w:rPr>
          <w:t>三、基金税收</w:t>
        </w:r>
        <w:r w:rsidR="00EC79FF">
          <w:rPr>
            <w:webHidden/>
          </w:rPr>
          <w:tab/>
        </w:r>
        <w:r w:rsidR="00EC79FF">
          <w:rPr>
            <w:webHidden/>
          </w:rPr>
          <w:fldChar w:fldCharType="begin"/>
        </w:r>
        <w:r w:rsidR="00EC79FF">
          <w:rPr>
            <w:webHidden/>
          </w:rPr>
          <w:instrText xml:space="preserve"> PAGEREF _Toc44351108 \h </w:instrText>
        </w:r>
        <w:r w:rsidR="00EC79FF">
          <w:rPr>
            <w:webHidden/>
          </w:rPr>
        </w:r>
        <w:r w:rsidR="00EC79FF">
          <w:rPr>
            <w:webHidden/>
          </w:rPr>
          <w:fldChar w:fldCharType="separate"/>
        </w:r>
        <w:r w:rsidR="003012AE">
          <w:rPr>
            <w:webHidden/>
          </w:rPr>
          <w:t>57</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09" w:history="1">
        <w:r w:rsidR="00EC79FF" w:rsidRPr="00035FD1">
          <w:rPr>
            <w:rStyle w:val="af2"/>
            <w:rFonts w:asciiTheme="minorEastAsia" w:hAnsiTheme="minorEastAsia" w:hint="eastAsia"/>
          </w:rPr>
          <w:t>第十一节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基金的财产</w:t>
        </w:r>
        <w:r w:rsidR="00EC79FF">
          <w:rPr>
            <w:webHidden/>
          </w:rPr>
          <w:tab/>
        </w:r>
        <w:r w:rsidR="00EC79FF">
          <w:rPr>
            <w:webHidden/>
          </w:rPr>
          <w:fldChar w:fldCharType="begin"/>
        </w:r>
        <w:r w:rsidR="00EC79FF">
          <w:rPr>
            <w:webHidden/>
          </w:rPr>
          <w:instrText xml:space="preserve"> PAGEREF _Toc44351109 \h </w:instrText>
        </w:r>
        <w:r w:rsidR="00EC79FF">
          <w:rPr>
            <w:webHidden/>
          </w:rPr>
        </w:r>
        <w:r w:rsidR="00EC79FF">
          <w:rPr>
            <w:webHidden/>
          </w:rPr>
          <w:fldChar w:fldCharType="separate"/>
        </w:r>
        <w:r w:rsidR="003012AE">
          <w:rPr>
            <w:webHidden/>
          </w:rPr>
          <w:t>58</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10" w:history="1">
        <w:r w:rsidR="00EC79FF" w:rsidRPr="00035FD1">
          <w:rPr>
            <w:rStyle w:val="af2"/>
            <w:rFonts w:asciiTheme="minorEastAsia" w:hAnsiTheme="minorEastAsia" w:hint="eastAsia"/>
          </w:rPr>
          <w:t>一、基金资产总值</w:t>
        </w:r>
        <w:r w:rsidR="00EC79FF">
          <w:rPr>
            <w:webHidden/>
          </w:rPr>
          <w:tab/>
        </w:r>
        <w:r w:rsidR="00EC79FF">
          <w:rPr>
            <w:webHidden/>
          </w:rPr>
          <w:fldChar w:fldCharType="begin"/>
        </w:r>
        <w:r w:rsidR="00EC79FF">
          <w:rPr>
            <w:webHidden/>
          </w:rPr>
          <w:instrText xml:space="preserve"> PAGEREF _Toc44351110 \h </w:instrText>
        </w:r>
        <w:r w:rsidR="00EC79FF">
          <w:rPr>
            <w:webHidden/>
          </w:rPr>
        </w:r>
        <w:r w:rsidR="00EC79FF">
          <w:rPr>
            <w:webHidden/>
          </w:rPr>
          <w:fldChar w:fldCharType="separate"/>
        </w:r>
        <w:r w:rsidR="003012AE">
          <w:rPr>
            <w:webHidden/>
          </w:rPr>
          <w:t>58</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11" w:history="1">
        <w:r w:rsidR="00EC79FF" w:rsidRPr="00035FD1">
          <w:rPr>
            <w:rStyle w:val="af2"/>
            <w:rFonts w:asciiTheme="minorEastAsia" w:hAnsiTheme="minorEastAsia" w:hint="eastAsia"/>
          </w:rPr>
          <w:t>二、基金资产净值</w:t>
        </w:r>
        <w:r w:rsidR="00EC79FF">
          <w:rPr>
            <w:webHidden/>
          </w:rPr>
          <w:tab/>
        </w:r>
        <w:r w:rsidR="00EC79FF">
          <w:rPr>
            <w:webHidden/>
          </w:rPr>
          <w:fldChar w:fldCharType="begin"/>
        </w:r>
        <w:r w:rsidR="00EC79FF">
          <w:rPr>
            <w:webHidden/>
          </w:rPr>
          <w:instrText xml:space="preserve"> PAGEREF _Toc44351111 \h </w:instrText>
        </w:r>
        <w:r w:rsidR="00EC79FF">
          <w:rPr>
            <w:webHidden/>
          </w:rPr>
        </w:r>
        <w:r w:rsidR="00EC79FF">
          <w:rPr>
            <w:webHidden/>
          </w:rPr>
          <w:fldChar w:fldCharType="separate"/>
        </w:r>
        <w:r w:rsidR="003012AE">
          <w:rPr>
            <w:webHidden/>
          </w:rPr>
          <w:t>58</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12" w:history="1">
        <w:r w:rsidR="00EC79FF" w:rsidRPr="00035FD1">
          <w:rPr>
            <w:rStyle w:val="af2"/>
            <w:rFonts w:asciiTheme="minorEastAsia" w:hAnsiTheme="minorEastAsia" w:hint="eastAsia"/>
          </w:rPr>
          <w:t>三、基金财产的账户</w:t>
        </w:r>
        <w:r w:rsidR="00EC79FF">
          <w:rPr>
            <w:webHidden/>
          </w:rPr>
          <w:tab/>
        </w:r>
        <w:r w:rsidR="00EC79FF">
          <w:rPr>
            <w:webHidden/>
          </w:rPr>
          <w:fldChar w:fldCharType="begin"/>
        </w:r>
        <w:r w:rsidR="00EC79FF">
          <w:rPr>
            <w:webHidden/>
          </w:rPr>
          <w:instrText xml:space="preserve"> PAGEREF _Toc44351112 \h </w:instrText>
        </w:r>
        <w:r w:rsidR="00EC79FF">
          <w:rPr>
            <w:webHidden/>
          </w:rPr>
        </w:r>
        <w:r w:rsidR="00EC79FF">
          <w:rPr>
            <w:webHidden/>
          </w:rPr>
          <w:fldChar w:fldCharType="separate"/>
        </w:r>
        <w:r w:rsidR="003012AE">
          <w:rPr>
            <w:webHidden/>
          </w:rPr>
          <w:t>58</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13" w:history="1">
        <w:r w:rsidR="00EC79FF" w:rsidRPr="00035FD1">
          <w:rPr>
            <w:rStyle w:val="af2"/>
            <w:rFonts w:asciiTheme="minorEastAsia" w:hAnsiTheme="minorEastAsia" w:hint="eastAsia"/>
          </w:rPr>
          <w:t>四、基金财产的保管和处分</w:t>
        </w:r>
        <w:r w:rsidR="00EC79FF">
          <w:rPr>
            <w:webHidden/>
          </w:rPr>
          <w:tab/>
        </w:r>
        <w:r w:rsidR="00EC79FF">
          <w:rPr>
            <w:webHidden/>
          </w:rPr>
          <w:fldChar w:fldCharType="begin"/>
        </w:r>
        <w:r w:rsidR="00EC79FF">
          <w:rPr>
            <w:webHidden/>
          </w:rPr>
          <w:instrText xml:space="preserve"> PAGEREF _Toc44351113 \h </w:instrText>
        </w:r>
        <w:r w:rsidR="00EC79FF">
          <w:rPr>
            <w:webHidden/>
          </w:rPr>
        </w:r>
        <w:r w:rsidR="00EC79FF">
          <w:rPr>
            <w:webHidden/>
          </w:rPr>
          <w:fldChar w:fldCharType="separate"/>
        </w:r>
        <w:r w:rsidR="003012AE">
          <w:rPr>
            <w:webHidden/>
          </w:rPr>
          <w:t>58</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14" w:history="1">
        <w:r w:rsidR="00EC79FF" w:rsidRPr="00035FD1">
          <w:rPr>
            <w:rStyle w:val="af2"/>
            <w:rFonts w:asciiTheme="minorEastAsia" w:hAnsiTheme="minorEastAsia" w:hint="eastAsia"/>
          </w:rPr>
          <w:t>第十二节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基金资产估值</w:t>
        </w:r>
        <w:r w:rsidR="00EC79FF">
          <w:rPr>
            <w:webHidden/>
          </w:rPr>
          <w:tab/>
        </w:r>
        <w:r w:rsidR="00EC79FF">
          <w:rPr>
            <w:webHidden/>
          </w:rPr>
          <w:fldChar w:fldCharType="begin"/>
        </w:r>
        <w:r w:rsidR="00EC79FF">
          <w:rPr>
            <w:webHidden/>
          </w:rPr>
          <w:instrText xml:space="preserve"> PAGEREF _Toc44351114 \h </w:instrText>
        </w:r>
        <w:r w:rsidR="00EC79FF">
          <w:rPr>
            <w:webHidden/>
          </w:rPr>
        </w:r>
        <w:r w:rsidR="00EC79FF">
          <w:rPr>
            <w:webHidden/>
          </w:rPr>
          <w:fldChar w:fldCharType="separate"/>
        </w:r>
        <w:r w:rsidR="003012AE">
          <w:rPr>
            <w:webHidden/>
          </w:rPr>
          <w:t>60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15" w:history="1">
        <w:r w:rsidR="00EC79FF" w:rsidRPr="00035FD1">
          <w:rPr>
            <w:rStyle w:val="af2"/>
            <w:rFonts w:asciiTheme="minorEastAsia" w:hAnsiTheme="minorEastAsia" w:hint="eastAsia"/>
          </w:rPr>
          <w:t>一、估值目的</w:t>
        </w:r>
        <w:r w:rsidR="00EC79FF">
          <w:rPr>
            <w:webHidden/>
          </w:rPr>
          <w:tab/>
        </w:r>
        <w:r w:rsidR="00EC79FF">
          <w:rPr>
            <w:webHidden/>
          </w:rPr>
          <w:fldChar w:fldCharType="begin"/>
        </w:r>
        <w:r w:rsidR="00EC79FF">
          <w:rPr>
            <w:webHidden/>
          </w:rPr>
          <w:instrText xml:space="preserve"> PAGEREF _Toc44351115 \h </w:instrText>
        </w:r>
        <w:r w:rsidR="00EC79FF">
          <w:rPr>
            <w:webHidden/>
          </w:rPr>
        </w:r>
        <w:r w:rsidR="00EC79FF">
          <w:rPr>
            <w:webHidden/>
          </w:rPr>
          <w:fldChar w:fldCharType="separate"/>
        </w:r>
        <w:r w:rsidR="003012AE">
          <w:rPr>
            <w:webHidden/>
          </w:rPr>
          <w:t>60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16" w:history="1">
        <w:r w:rsidR="00EC79FF" w:rsidRPr="00035FD1">
          <w:rPr>
            <w:rStyle w:val="af2"/>
            <w:rFonts w:asciiTheme="minorEastAsia" w:hAnsiTheme="minorEastAsia" w:hint="eastAsia"/>
          </w:rPr>
          <w:t>二、估值日</w:t>
        </w:r>
        <w:r w:rsidR="00EC79FF">
          <w:rPr>
            <w:webHidden/>
          </w:rPr>
          <w:tab/>
        </w:r>
        <w:r w:rsidR="00EC79FF">
          <w:rPr>
            <w:webHidden/>
          </w:rPr>
          <w:fldChar w:fldCharType="begin"/>
        </w:r>
        <w:r w:rsidR="00EC79FF">
          <w:rPr>
            <w:webHidden/>
          </w:rPr>
          <w:instrText xml:space="preserve"> PAGEREF _Toc44351116 \h </w:instrText>
        </w:r>
        <w:r w:rsidR="00EC79FF">
          <w:rPr>
            <w:webHidden/>
          </w:rPr>
        </w:r>
        <w:r w:rsidR="00EC79FF">
          <w:rPr>
            <w:webHidden/>
          </w:rPr>
          <w:fldChar w:fldCharType="separate"/>
        </w:r>
        <w:r w:rsidR="003012AE">
          <w:rPr>
            <w:webHidden/>
          </w:rPr>
          <w:t>60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17" w:history="1">
        <w:r w:rsidR="00EC79FF" w:rsidRPr="00035FD1">
          <w:rPr>
            <w:rStyle w:val="af2"/>
            <w:rFonts w:asciiTheme="minorEastAsia" w:hAnsiTheme="minorEastAsia" w:hint="eastAsia"/>
          </w:rPr>
          <w:t>三、估值对象</w:t>
        </w:r>
        <w:r w:rsidR="00EC79FF">
          <w:rPr>
            <w:webHidden/>
          </w:rPr>
          <w:tab/>
        </w:r>
        <w:r w:rsidR="00EC79FF">
          <w:rPr>
            <w:webHidden/>
          </w:rPr>
          <w:fldChar w:fldCharType="begin"/>
        </w:r>
        <w:r w:rsidR="00EC79FF">
          <w:rPr>
            <w:webHidden/>
          </w:rPr>
          <w:instrText xml:space="preserve"> PAGEREF _Toc44351117 \h </w:instrText>
        </w:r>
        <w:r w:rsidR="00EC79FF">
          <w:rPr>
            <w:webHidden/>
          </w:rPr>
        </w:r>
        <w:r w:rsidR="00EC79FF">
          <w:rPr>
            <w:webHidden/>
          </w:rPr>
          <w:fldChar w:fldCharType="separate"/>
        </w:r>
        <w:r w:rsidR="003012AE">
          <w:rPr>
            <w:webHidden/>
          </w:rPr>
          <w:t>60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18" w:history="1">
        <w:r w:rsidR="00EC79FF" w:rsidRPr="00035FD1">
          <w:rPr>
            <w:rStyle w:val="af2"/>
            <w:rFonts w:asciiTheme="minorEastAsia" w:hAnsiTheme="minorEastAsia" w:hint="eastAsia"/>
          </w:rPr>
          <w:t>四、估值方法</w:t>
        </w:r>
        <w:r w:rsidR="00EC79FF">
          <w:rPr>
            <w:webHidden/>
          </w:rPr>
          <w:tab/>
        </w:r>
        <w:r w:rsidR="00EC79FF">
          <w:rPr>
            <w:webHidden/>
          </w:rPr>
          <w:fldChar w:fldCharType="begin"/>
        </w:r>
        <w:r w:rsidR="00EC79FF">
          <w:rPr>
            <w:webHidden/>
          </w:rPr>
          <w:instrText xml:space="preserve"> PAGEREF _Toc44351118 \h </w:instrText>
        </w:r>
        <w:r w:rsidR="00EC79FF">
          <w:rPr>
            <w:webHidden/>
          </w:rPr>
        </w:r>
        <w:r w:rsidR="00EC79FF">
          <w:rPr>
            <w:webHidden/>
          </w:rPr>
          <w:fldChar w:fldCharType="separate"/>
        </w:r>
        <w:r w:rsidR="003012AE">
          <w:rPr>
            <w:webHidden/>
          </w:rPr>
          <w:t>60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19" w:history="1">
        <w:r w:rsidR="00EC79FF" w:rsidRPr="00035FD1">
          <w:rPr>
            <w:rStyle w:val="af2"/>
            <w:rFonts w:asciiTheme="minorEastAsia" w:hAnsiTheme="minorEastAsia" w:hint="eastAsia"/>
          </w:rPr>
          <w:t>五、估值程序</w:t>
        </w:r>
        <w:r w:rsidR="00EC79FF">
          <w:rPr>
            <w:webHidden/>
          </w:rPr>
          <w:tab/>
        </w:r>
        <w:r w:rsidR="00EC79FF">
          <w:rPr>
            <w:webHidden/>
          </w:rPr>
          <w:fldChar w:fldCharType="begin"/>
        </w:r>
        <w:r w:rsidR="00EC79FF">
          <w:rPr>
            <w:webHidden/>
          </w:rPr>
          <w:instrText xml:space="preserve"> PAGEREF _Toc44351119 \h </w:instrText>
        </w:r>
        <w:r w:rsidR="00EC79FF">
          <w:rPr>
            <w:webHidden/>
          </w:rPr>
        </w:r>
        <w:r w:rsidR="00EC79FF">
          <w:rPr>
            <w:webHidden/>
          </w:rPr>
          <w:fldChar w:fldCharType="separate"/>
        </w:r>
        <w:r w:rsidR="003012AE">
          <w:rPr>
            <w:webHidden/>
          </w:rPr>
          <w:t>61</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20" w:history="1">
        <w:r w:rsidR="00EC79FF" w:rsidRPr="00035FD1">
          <w:rPr>
            <w:rStyle w:val="af2"/>
            <w:rFonts w:asciiTheme="minorEastAsia" w:hAnsiTheme="minorEastAsia" w:hint="eastAsia"/>
          </w:rPr>
          <w:t>六、可暂停估值的情形</w:t>
        </w:r>
        <w:r w:rsidR="00EC79FF">
          <w:rPr>
            <w:webHidden/>
          </w:rPr>
          <w:tab/>
        </w:r>
        <w:r w:rsidR="00EC79FF">
          <w:rPr>
            <w:webHidden/>
          </w:rPr>
          <w:fldChar w:fldCharType="begin"/>
        </w:r>
        <w:r w:rsidR="00EC79FF">
          <w:rPr>
            <w:webHidden/>
          </w:rPr>
          <w:instrText xml:space="preserve"> PAGEREF _Toc44351120 \h </w:instrText>
        </w:r>
        <w:r w:rsidR="00EC79FF">
          <w:rPr>
            <w:webHidden/>
          </w:rPr>
        </w:r>
        <w:r w:rsidR="00EC79FF">
          <w:rPr>
            <w:webHidden/>
          </w:rPr>
          <w:fldChar w:fldCharType="separate"/>
        </w:r>
        <w:r w:rsidR="003012AE">
          <w:rPr>
            <w:webHidden/>
          </w:rPr>
          <w:t>61</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21" w:history="1">
        <w:r w:rsidR="00EC79FF" w:rsidRPr="00035FD1">
          <w:rPr>
            <w:rStyle w:val="af2"/>
            <w:rFonts w:asciiTheme="minorEastAsia" w:hAnsiTheme="minorEastAsia" w:hint="eastAsia"/>
          </w:rPr>
          <w:t>七、基金份额净值的确认和估值错误的处理</w:t>
        </w:r>
        <w:r w:rsidR="00EC79FF">
          <w:rPr>
            <w:webHidden/>
          </w:rPr>
          <w:tab/>
        </w:r>
        <w:r w:rsidR="00EC79FF">
          <w:rPr>
            <w:webHidden/>
          </w:rPr>
          <w:fldChar w:fldCharType="begin"/>
        </w:r>
        <w:r w:rsidR="00EC79FF">
          <w:rPr>
            <w:webHidden/>
          </w:rPr>
          <w:instrText xml:space="preserve"> PAGEREF _Toc44351121 \h </w:instrText>
        </w:r>
        <w:r w:rsidR="00EC79FF">
          <w:rPr>
            <w:webHidden/>
          </w:rPr>
        </w:r>
        <w:r w:rsidR="00EC79FF">
          <w:rPr>
            <w:webHidden/>
          </w:rPr>
          <w:fldChar w:fldCharType="separate"/>
        </w:r>
        <w:r w:rsidR="003012AE">
          <w:rPr>
            <w:webHidden/>
          </w:rPr>
          <w:t>62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22" w:history="1">
        <w:r w:rsidR="00EC79FF" w:rsidRPr="00035FD1">
          <w:rPr>
            <w:rStyle w:val="af2"/>
            <w:rFonts w:asciiTheme="minorEastAsia" w:hAnsiTheme="minorEastAsia" w:hint="eastAsia"/>
          </w:rPr>
          <w:t>八、特殊情形的处理</w:t>
        </w:r>
        <w:r w:rsidR="00EC79FF">
          <w:rPr>
            <w:webHidden/>
          </w:rPr>
          <w:tab/>
        </w:r>
        <w:r w:rsidR="00EC79FF">
          <w:rPr>
            <w:webHidden/>
          </w:rPr>
          <w:fldChar w:fldCharType="begin"/>
        </w:r>
        <w:r w:rsidR="00EC79FF">
          <w:rPr>
            <w:webHidden/>
          </w:rPr>
          <w:instrText xml:space="preserve"> PAGEREF _Toc44351122 \h </w:instrText>
        </w:r>
        <w:r w:rsidR="00EC79FF">
          <w:rPr>
            <w:webHidden/>
          </w:rPr>
        </w:r>
        <w:r w:rsidR="00EC79FF">
          <w:rPr>
            <w:webHidden/>
          </w:rPr>
          <w:fldChar w:fldCharType="separate"/>
        </w:r>
        <w:r w:rsidR="003012AE">
          <w:rPr>
            <w:webHidden/>
          </w:rPr>
          <w:t>64</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23" w:history="1">
        <w:r w:rsidR="00EC79FF" w:rsidRPr="00035FD1">
          <w:rPr>
            <w:rStyle w:val="af2"/>
            <w:rFonts w:asciiTheme="minorEastAsia" w:hAnsiTheme="minorEastAsia" w:hint="eastAsia"/>
          </w:rPr>
          <w:t>第十三节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基金的收益与分配</w:t>
        </w:r>
        <w:r w:rsidR="00EC79FF">
          <w:rPr>
            <w:webHidden/>
          </w:rPr>
          <w:tab/>
        </w:r>
        <w:r w:rsidR="00EC79FF">
          <w:rPr>
            <w:webHidden/>
          </w:rPr>
          <w:fldChar w:fldCharType="begin"/>
        </w:r>
        <w:r w:rsidR="00EC79FF">
          <w:rPr>
            <w:webHidden/>
          </w:rPr>
          <w:instrText xml:space="preserve"> PAGEREF _Toc44351123 \h </w:instrText>
        </w:r>
        <w:r w:rsidR="00EC79FF">
          <w:rPr>
            <w:webHidden/>
          </w:rPr>
        </w:r>
        <w:r w:rsidR="00EC79FF">
          <w:rPr>
            <w:webHidden/>
          </w:rPr>
          <w:fldChar w:fldCharType="separate"/>
        </w:r>
        <w:r w:rsidR="003012AE">
          <w:rPr>
            <w:webHidden/>
          </w:rPr>
          <w:t>65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24" w:history="1">
        <w:r w:rsidR="00EC79FF" w:rsidRPr="00035FD1">
          <w:rPr>
            <w:rStyle w:val="af2"/>
            <w:rFonts w:asciiTheme="minorEastAsia" w:hAnsiTheme="minorEastAsia" w:hint="eastAsia"/>
          </w:rPr>
          <w:t>一、基金利润的构成</w:t>
        </w:r>
        <w:r w:rsidR="00EC79FF">
          <w:rPr>
            <w:webHidden/>
          </w:rPr>
          <w:tab/>
        </w:r>
        <w:r w:rsidR="00EC79FF">
          <w:rPr>
            <w:webHidden/>
          </w:rPr>
          <w:fldChar w:fldCharType="begin"/>
        </w:r>
        <w:r w:rsidR="00EC79FF">
          <w:rPr>
            <w:webHidden/>
          </w:rPr>
          <w:instrText xml:space="preserve"> PAGEREF _Toc44351124 \h </w:instrText>
        </w:r>
        <w:r w:rsidR="00EC79FF">
          <w:rPr>
            <w:webHidden/>
          </w:rPr>
        </w:r>
        <w:r w:rsidR="00EC79FF">
          <w:rPr>
            <w:webHidden/>
          </w:rPr>
          <w:fldChar w:fldCharType="separate"/>
        </w:r>
        <w:r w:rsidR="003012AE">
          <w:rPr>
            <w:webHidden/>
          </w:rPr>
          <w:t>65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25" w:history="1">
        <w:r w:rsidR="00EC79FF" w:rsidRPr="00035FD1">
          <w:rPr>
            <w:rStyle w:val="af2"/>
            <w:rFonts w:asciiTheme="minorEastAsia" w:hAnsiTheme="minorEastAsia" w:hint="eastAsia"/>
          </w:rPr>
          <w:t>二、基金可供分配利润</w:t>
        </w:r>
        <w:r w:rsidR="00EC79FF">
          <w:rPr>
            <w:webHidden/>
          </w:rPr>
          <w:tab/>
        </w:r>
        <w:r w:rsidR="00EC79FF">
          <w:rPr>
            <w:webHidden/>
          </w:rPr>
          <w:fldChar w:fldCharType="begin"/>
        </w:r>
        <w:r w:rsidR="00EC79FF">
          <w:rPr>
            <w:webHidden/>
          </w:rPr>
          <w:instrText xml:space="preserve"> PAGEREF _Toc44351125 \h </w:instrText>
        </w:r>
        <w:r w:rsidR="00EC79FF">
          <w:rPr>
            <w:webHidden/>
          </w:rPr>
        </w:r>
        <w:r w:rsidR="00EC79FF">
          <w:rPr>
            <w:webHidden/>
          </w:rPr>
          <w:fldChar w:fldCharType="separate"/>
        </w:r>
        <w:r w:rsidR="003012AE">
          <w:rPr>
            <w:webHidden/>
          </w:rPr>
          <w:t>65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26" w:history="1">
        <w:r w:rsidR="00EC79FF" w:rsidRPr="00035FD1">
          <w:rPr>
            <w:rStyle w:val="af2"/>
            <w:rFonts w:asciiTheme="minorEastAsia" w:hAnsiTheme="minorEastAsia" w:hint="eastAsia"/>
          </w:rPr>
          <w:t>三、基金收益分配原则</w:t>
        </w:r>
        <w:r w:rsidR="00EC79FF">
          <w:rPr>
            <w:webHidden/>
          </w:rPr>
          <w:tab/>
        </w:r>
        <w:r w:rsidR="00EC79FF">
          <w:rPr>
            <w:webHidden/>
          </w:rPr>
          <w:fldChar w:fldCharType="begin"/>
        </w:r>
        <w:r w:rsidR="00EC79FF">
          <w:rPr>
            <w:webHidden/>
          </w:rPr>
          <w:instrText xml:space="preserve"> PAGEREF _Toc44351126 \h </w:instrText>
        </w:r>
        <w:r w:rsidR="00EC79FF">
          <w:rPr>
            <w:webHidden/>
          </w:rPr>
        </w:r>
        <w:r w:rsidR="00EC79FF">
          <w:rPr>
            <w:webHidden/>
          </w:rPr>
          <w:fldChar w:fldCharType="separate"/>
        </w:r>
        <w:r w:rsidR="003012AE">
          <w:rPr>
            <w:webHidden/>
          </w:rPr>
          <w:t>65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27" w:history="1">
        <w:r w:rsidR="00EC79FF" w:rsidRPr="00035FD1">
          <w:rPr>
            <w:rStyle w:val="af2"/>
            <w:rFonts w:asciiTheme="minorEastAsia" w:hAnsiTheme="minorEastAsia" w:hint="eastAsia"/>
          </w:rPr>
          <w:t>四、收益分配方案</w:t>
        </w:r>
        <w:r w:rsidR="00EC79FF">
          <w:rPr>
            <w:webHidden/>
          </w:rPr>
          <w:tab/>
        </w:r>
        <w:r w:rsidR="00EC79FF">
          <w:rPr>
            <w:webHidden/>
          </w:rPr>
          <w:fldChar w:fldCharType="begin"/>
        </w:r>
        <w:r w:rsidR="00EC79FF">
          <w:rPr>
            <w:webHidden/>
          </w:rPr>
          <w:instrText xml:space="preserve"> PAGEREF _Toc44351127 \h </w:instrText>
        </w:r>
        <w:r w:rsidR="00EC79FF">
          <w:rPr>
            <w:webHidden/>
          </w:rPr>
        </w:r>
        <w:r w:rsidR="00EC79FF">
          <w:rPr>
            <w:webHidden/>
          </w:rPr>
          <w:fldChar w:fldCharType="separate"/>
        </w:r>
        <w:r w:rsidR="003012AE">
          <w:rPr>
            <w:webHidden/>
          </w:rPr>
          <w:t>65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28" w:history="1">
        <w:r w:rsidR="00EC79FF" w:rsidRPr="00035FD1">
          <w:rPr>
            <w:rStyle w:val="af2"/>
            <w:rFonts w:asciiTheme="minorEastAsia" w:hAnsiTheme="minorEastAsia" w:hint="eastAsia"/>
          </w:rPr>
          <w:t>五、收益分配方案的确定、公告与实施</w:t>
        </w:r>
        <w:r w:rsidR="00EC79FF">
          <w:rPr>
            <w:webHidden/>
          </w:rPr>
          <w:tab/>
        </w:r>
        <w:r w:rsidR="00EC79FF">
          <w:rPr>
            <w:webHidden/>
          </w:rPr>
          <w:fldChar w:fldCharType="begin"/>
        </w:r>
        <w:r w:rsidR="00EC79FF">
          <w:rPr>
            <w:webHidden/>
          </w:rPr>
          <w:instrText xml:space="preserve"> PAGEREF _Toc44351128 \h </w:instrText>
        </w:r>
        <w:r w:rsidR="00EC79FF">
          <w:rPr>
            <w:webHidden/>
          </w:rPr>
        </w:r>
        <w:r w:rsidR="00EC79FF">
          <w:rPr>
            <w:webHidden/>
          </w:rPr>
          <w:fldChar w:fldCharType="separate"/>
        </w:r>
        <w:r w:rsidR="003012AE">
          <w:rPr>
            <w:webHidden/>
          </w:rPr>
          <w:t>65</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29" w:history="1">
        <w:r w:rsidR="00EC79FF" w:rsidRPr="00035FD1">
          <w:rPr>
            <w:rStyle w:val="af2"/>
            <w:rFonts w:asciiTheme="minorEastAsia" w:hAnsiTheme="minorEastAsia" w:hint="eastAsia"/>
          </w:rPr>
          <w:t>六、基金收益分配中发生的费用</w:t>
        </w:r>
        <w:r w:rsidR="00EC79FF">
          <w:rPr>
            <w:webHidden/>
          </w:rPr>
          <w:tab/>
        </w:r>
        <w:r w:rsidR="00EC79FF">
          <w:rPr>
            <w:webHidden/>
          </w:rPr>
          <w:fldChar w:fldCharType="begin"/>
        </w:r>
        <w:r w:rsidR="00EC79FF">
          <w:rPr>
            <w:webHidden/>
          </w:rPr>
          <w:instrText xml:space="preserve"> PAGEREF _Toc44351129 \h </w:instrText>
        </w:r>
        <w:r w:rsidR="00EC79FF">
          <w:rPr>
            <w:webHidden/>
          </w:rPr>
        </w:r>
        <w:r w:rsidR="00EC79FF">
          <w:rPr>
            <w:webHidden/>
          </w:rPr>
          <w:fldChar w:fldCharType="separate"/>
        </w:r>
        <w:r w:rsidR="003012AE">
          <w:rPr>
            <w:webHidden/>
          </w:rPr>
          <w:t>65</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30" w:history="1">
        <w:r w:rsidR="00EC79FF" w:rsidRPr="00035FD1">
          <w:rPr>
            <w:rStyle w:val="af2"/>
            <w:rFonts w:asciiTheme="minorEastAsia" w:hAnsiTheme="minorEastAsia" w:hint="eastAsia"/>
          </w:rPr>
          <w:t>第十四节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基金的会计与审计</w:t>
        </w:r>
        <w:r w:rsidR="00EC79FF">
          <w:rPr>
            <w:webHidden/>
          </w:rPr>
          <w:tab/>
        </w:r>
        <w:r w:rsidR="00EC79FF">
          <w:rPr>
            <w:webHidden/>
          </w:rPr>
          <w:fldChar w:fldCharType="begin"/>
        </w:r>
        <w:r w:rsidR="00EC79FF">
          <w:rPr>
            <w:webHidden/>
          </w:rPr>
          <w:instrText xml:space="preserve"> PAGEREF _Toc44351130 \h </w:instrText>
        </w:r>
        <w:r w:rsidR="00EC79FF">
          <w:rPr>
            <w:webHidden/>
          </w:rPr>
        </w:r>
        <w:r w:rsidR="00EC79FF">
          <w:rPr>
            <w:webHidden/>
          </w:rPr>
          <w:fldChar w:fldCharType="separate"/>
        </w:r>
        <w:r w:rsidR="003012AE">
          <w:rPr>
            <w:webHidden/>
          </w:rPr>
          <w:t>66</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31" w:history="1">
        <w:r w:rsidR="00EC79FF" w:rsidRPr="00035FD1">
          <w:rPr>
            <w:rStyle w:val="af2"/>
            <w:rFonts w:asciiTheme="minorEastAsia" w:hAnsiTheme="minorEastAsia" w:hint="eastAsia"/>
          </w:rPr>
          <w:t>一、基金会计政策</w:t>
        </w:r>
        <w:r w:rsidR="00EC79FF">
          <w:rPr>
            <w:webHidden/>
          </w:rPr>
          <w:tab/>
        </w:r>
        <w:r w:rsidR="00EC79FF">
          <w:rPr>
            <w:webHidden/>
          </w:rPr>
          <w:fldChar w:fldCharType="begin"/>
        </w:r>
        <w:r w:rsidR="00EC79FF">
          <w:rPr>
            <w:webHidden/>
          </w:rPr>
          <w:instrText xml:space="preserve"> PAGEREF _Toc44351131 \h </w:instrText>
        </w:r>
        <w:r w:rsidR="00EC79FF">
          <w:rPr>
            <w:webHidden/>
          </w:rPr>
        </w:r>
        <w:r w:rsidR="00EC79FF">
          <w:rPr>
            <w:webHidden/>
          </w:rPr>
          <w:fldChar w:fldCharType="separate"/>
        </w:r>
        <w:r w:rsidR="003012AE">
          <w:rPr>
            <w:webHidden/>
          </w:rPr>
          <w:t>66</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32" w:history="1">
        <w:r w:rsidR="00EC79FF" w:rsidRPr="00035FD1">
          <w:rPr>
            <w:rStyle w:val="af2"/>
            <w:rFonts w:asciiTheme="minorEastAsia" w:hAnsiTheme="minorEastAsia" w:hint="eastAsia"/>
          </w:rPr>
          <w:t>二、基金年度审计</w:t>
        </w:r>
        <w:r w:rsidR="00EC79FF">
          <w:rPr>
            <w:webHidden/>
          </w:rPr>
          <w:tab/>
        </w:r>
        <w:r w:rsidR="00EC79FF">
          <w:rPr>
            <w:webHidden/>
          </w:rPr>
          <w:fldChar w:fldCharType="begin"/>
        </w:r>
        <w:r w:rsidR="00EC79FF">
          <w:rPr>
            <w:webHidden/>
          </w:rPr>
          <w:instrText xml:space="preserve"> PAGEREF _Toc44351132 \h </w:instrText>
        </w:r>
        <w:r w:rsidR="00EC79FF">
          <w:rPr>
            <w:webHidden/>
          </w:rPr>
        </w:r>
        <w:r w:rsidR="00EC79FF">
          <w:rPr>
            <w:webHidden/>
          </w:rPr>
          <w:fldChar w:fldCharType="separate"/>
        </w:r>
        <w:r w:rsidR="003012AE">
          <w:rPr>
            <w:webHidden/>
          </w:rPr>
          <w:t>66</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33" w:history="1">
        <w:r w:rsidR="00EC79FF" w:rsidRPr="00035FD1">
          <w:rPr>
            <w:rStyle w:val="af2"/>
            <w:rFonts w:asciiTheme="minorEastAsia" w:hAnsiTheme="minorEastAsia" w:hint="eastAsia"/>
          </w:rPr>
          <w:t>第十五节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基金的信息披露</w:t>
        </w:r>
        <w:r w:rsidR="00EC79FF">
          <w:rPr>
            <w:webHidden/>
          </w:rPr>
          <w:tab/>
        </w:r>
        <w:r w:rsidR="00EC79FF">
          <w:rPr>
            <w:webHidden/>
          </w:rPr>
          <w:fldChar w:fldCharType="begin"/>
        </w:r>
        <w:r w:rsidR="00EC79FF">
          <w:rPr>
            <w:webHidden/>
          </w:rPr>
          <w:instrText xml:space="preserve"> PAGEREF _Toc44351133 \h </w:instrText>
        </w:r>
        <w:r w:rsidR="00EC79FF">
          <w:rPr>
            <w:webHidden/>
          </w:rPr>
        </w:r>
        <w:r w:rsidR="00EC79FF">
          <w:rPr>
            <w:webHidden/>
          </w:rPr>
          <w:fldChar w:fldCharType="separate"/>
        </w:r>
        <w:r w:rsidR="003012AE">
          <w:rPr>
            <w:webHidden/>
          </w:rPr>
          <w:t>67</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34" w:history="1">
        <w:r w:rsidR="00EC79FF" w:rsidRPr="00035FD1">
          <w:rPr>
            <w:rStyle w:val="af2"/>
            <w:rFonts w:asciiTheme="minorEastAsia" w:hAnsiTheme="minorEastAsia" w:hint="eastAsia"/>
          </w:rPr>
          <w:t>一、本基金的信息披露应符合《基金法》、《运作办法》、《信息披露办法》、《基金合同》及其他有关规定。</w:t>
        </w:r>
        <w:r w:rsidR="00EC79FF">
          <w:rPr>
            <w:webHidden/>
          </w:rPr>
          <w:tab/>
        </w:r>
        <w:r w:rsidR="00EC79FF">
          <w:rPr>
            <w:webHidden/>
          </w:rPr>
          <w:fldChar w:fldCharType="begin"/>
        </w:r>
        <w:r w:rsidR="00EC79FF">
          <w:rPr>
            <w:webHidden/>
          </w:rPr>
          <w:instrText xml:space="preserve"> PAGEREF _Toc44351134 \h </w:instrText>
        </w:r>
        <w:r w:rsidR="00EC79FF">
          <w:rPr>
            <w:webHidden/>
          </w:rPr>
        </w:r>
        <w:r w:rsidR="00EC79FF">
          <w:rPr>
            <w:webHidden/>
          </w:rPr>
          <w:fldChar w:fldCharType="separate"/>
        </w:r>
        <w:r w:rsidR="003012AE">
          <w:rPr>
            <w:webHidden/>
          </w:rPr>
          <w:t>67</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35" w:history="1">
        <w:r w:rsidR="00EC79FF" w:rsidRPr="00035FD1">
          <w:rPr>
            <w:rStyle w:val="af2"/>
            <w:rFonts w:asciiTheme="minorEastAsia" w:hAnsiTheme="minorEastAsia" w:hint="eastAsia"/>
          </w:rPr>
          <w:t>二、信息披露义务人</w:t>
        </w:r>
        <w:r w:rsidR="00EC79FF">
          <w:rPr>
            <w:webHidden/>
          </w:rPr>
          <w:tab/>
        </w:r>
        <w:r w:rsidR="00EC79FF">
          <w:rPr>
            <w:webHidden/>
          </w:rPr>
          <w:fldChar w:fldCharType="begin"/>
        </w:r>
        <w:r w:rsidR="00EC79FF">
          <w:rPr>
            <w:webHidden/>
          </w:rPr>
          <w:instrText xml:space="preserve"> PAGEREF _Toc44351135 \h </w:instrText>
        </w:r>
        <w:r w:rsidR="00EC79FF">
          <w:rPr>
            <w:webHidden/>
          </w:rPr>
        </w:r>
        <w:r w:rsidR="00EC79FF">
          <w:rPr>
            <w:webHidden/>
          </w:rPr>
          <w:fldChar w:fldCharType="separate"/>
        </w:r>
        <w:r w:rsidR="003012AE">
          <w:rPr>
            <w:webHidden/>
          </w:rPr>
          <w:t>67</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36" w:history="1">
        <w:r w:rsidR="00EC79FF" w:rsidRPr="00035FD1">
          <w:rPr>
            <w:rStyle w:val="af2"/>
            <w:rFonts w:asciiTheme="minorEastAsia" w:hAnsiTheme="minorEastAsia" w:hint="eastAsia"/>
          </w:rPr>
          <w:t>三、本基金信息披露义务人承诺公开披露的基金信息，不得有下列行为：</w:t>
        </w:r>
        <w:r w:rsidR="00EC79FF">
          <w:rPr>
            <w:webHidden/>
          </w:rPr>
          <w:tab/>
        </w:r>
        <w:r w:rsidR="00EC79FF">
          <w:rPr>
            <w:webHidden/>
          </w:rPr>
          <w:fldChar w:fldCharType="begin"/>
        </w:r>
        <w:r w:rsidR="00EC79FF">
          <w:rPr>
            <w:webHidden/>
          </w:rPr>
          <w:instrText xml:space="preserve"> PAGEREF _Toc44351136 \h </w:instrText>
        </w:r>
        <w:r w:rsidR="00EC79FF">
          <w:rPr>
            <w:webHidden/>
          </w:rPr>
        </w:r>
        <w:r w:rsidR="00EC79FF">
          <w:rPr>
            <w:webHidden/>
          </w:rPr>
          <w:fldChar w:fldCharType="separate"/>
        </w:r>
        <w:r w:rsidR="003012AE">
          <w:rPr>
            <w:webHidden/>
          </w:rPr>
          <w:t>67</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37" w:history="1">
        <w:r w:rsidR="00EC79FF" w:rsidRPr="00035FD1">
          <w:rPr>
            <w:rStyle w:val="af2"/>
            <w:rFonts w:asciiTheme="minorEastAsia" w:hAnsiTheme="minorEastAsia" w:hint="eastAsia"/>
          </w:rPr>
          <w:t>四、本基金公开披露的信息应采用中文文本。</w:t>
        </w:r>
        <w:r w:rsidR="00EC79FF">
          <w:rPr>
            <w:webHidden/>
          </w:rPr>
          <w:tab/>
        </w:r>
        <w:r w:rsidR="00EC79FF">
          <w:rPr>
            <w:webHidden/>
          </w:rPr>
          <w:fldChar w:fldCharType="begin"/>
        </w:r>
        <w:r w:rsidR="00EC79FF">
          <w:rPr>
            <w:webHidden/>
          </w:rPr>
          <w:instrText xml:space="preserve"> PAGEREF _Toc44351137 \h </w:instrText>
        </w:r>
        <w:r w:rsidR="00EC79FF">
          <w:rPr>
            <w:webHidden/>
          </w:rPr>
        </w:r>
        <w:r w:rsidR="00EC79FF">
          <w:rPr>
            <w:webHidden/>
          </w:rPr>
          <w:fldChar w:fldCharType="separate"/>
        </w:r>
        <w:r w:rsidR="003012AE">
          <w:rPr>
            <w:webHidden/>
          </w:rPr>
          <w:t>67</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38" w:history="1">
        <w:r w:rsidR="00EC79FF" w:rsidRPr="00035FD1">
          <w:rPr>
            <w:rStyle w:val="af2"/>
            <w:rFonts w:asciiTheme="minorEastAsia" w:hAnsiTheme="minorEastAsia" w:hint="eastAsia"/>
          </w:rPr>
          <w:t>五、公开披露的基金信息</w:t>
        </w:r>
        <w:r w:rsidR="00EC79FF">
          <w:rPr>
            <w:webHidden/>
          </w:rPr>
          <w:tab/>
        </w:r>
        <w:r w:rsidR="00EC79FF">
          <w:rPr>
            <w:webHidden/>
          </w:rPr>
          <w:fldChar w:fldCharType="begin"/>
        </w:r>
        <w:r w:rsidR="00EC79FF">
          <w:rPr>
            <w:webHidden/>
          </w:rPr>
          <w:instrText xml:space="preserve"> PAGEREF _Toc44351138 \h </w:instrText>
        </w:r>
        <w:r w:rsidR="00EC79FF">
          <w:rPr>
            <w:webHidden/>
          </w:rPr>
        </w:r>
        <w:r w:rsidR="00EC79FF">
          <w:rPr>
            <w:webHidden/>
          </w:rPr>
          <w:fldChar w:fldCharType="separate"/>
        </w:r>
        <w:r w:rsidR="003012AE">
          <w:rPr>
            <w:webHidden/>
          </w:rPr>
          <w:t>67</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39" w:history="1">
        <w:r w:rsidR="00EC79FF" w:rsidRPr="00035FD1">
          <w:rPr>
            <w:rStyle w:val="af2"/>
            <w:rFonts w:asciiTheme="minorEastAsia" w:hAnsiTheme="minorEastAsia" w:hint="eastAsia"/>
          </w:rPr>
          <w:t>六、信息披露事务管理</w:t>
        </w:r>
        <w:r w:rsidR="00EC79FF">
          <w:rPr>
            <w:webHidden/>
          </w:rPr>
          <w:tab/>
        </w:r>
        <w:r w:rsidR="00EC79FF">
          <w:rPr>
            <w:webHidden/>
          </w:rPr>
          <w:fldChar w:fldCharType="begin"/>
        </w:r>
        <w:r w:rsidR="00EC79FF">
          <w:rPr>
            <w:webHidden/>
          </w:rPr>
          <w:instrText xml:space="preserve"> PAGEREF _Toc44351139 \h </w:instrText>
        </w:r>
        <w:r w:rsidR="00EC79FF">
          <w:rPr>
            <w:webHidden/>
          </w:rPr>
        </w:r>
        <w:r w:rsidR="00EC79FF">
          <w:rPr>
            <w:webHidden/>
          </w:rPr>
          <w:fldChar w:fldCharType="separate"/>
        </w:r>
        <w:r w:rsidR="003012AE">
          <w:rPr>
            <w:webHidden/>
          </w:rPr>
          <w:t>71</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40" w:history="1">
        <w:r w:rsidR="00EC79FF" w:rsidRPr="00035FD1">
          <w:rPr>
            <w:rStyle w:val="af2"/>
            <w:rFonts w:asciiTheme="minorEastAsia" w:hAnsiTheme="minorEastAsia" w:hint="eastAsia"/>
          </w:rPr>
          <w:t>七、信息披露文件的存放与查阅</w:t>
        </w:r>
        <w:r w:rsidR="00EC79FF">
          <w:rPr>
            <w:webHidden/>
          </w:rPr>
          <w:tab/>
        </w:r>
        <w:r w:rsidR="00EC79FF">
          <w:rPr>
            <w:webHidden/>
          </w:rPr>
          <w:fldChar w:fldCharType="begin"/>
        </w:r>
        <w:r w:rsidR="00EC79FF">
          <w:rPr>
            <w:webHidden/>
          </w:rPr>
          <w:instrText xml:space="preserve"> PAGEREF _Toc44351140 \h </w:instrText>
        </w:r>
        <w:r w:rsidR="00EC79FF">
          <w:rPr>
            <w:webHidden/>
          </w:rPr>
        </w:r>
        <w:r w:rsidR="00EC79FF">
          <w:rPr>
            <w:webHidden/>
          </w:rPr>
          <w:fldChar w:fldCharType="separate"/>
        </w:r>
        <w:r w:rsidR="003012AE">
          <w:rPr>
            <w:webHidden/>
          </w:rPr>
          <w:t>71</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41" w:history="1">
        <w:r w:rsidR="00EC79FF" w:rsidRPr="00035FD1">
          <w:rPr>
            <w:rStyle w:val="af2"/>
            <w:rFonts w:asciiTheme="minorEastAsia" w:hAnsiTheme="minorEastAsia" w:hint="eastAsia"/>
          </w:rPr>
          <w:t>第十六节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基金合同的终止与基金财产的清算</w:t>
        </w:r>
        <w:r w:rsidR="00EC79FF">
          <w:rPr>
            <w:webHidden/>
          </w:rPr>
          <w:tab/>
        </w:r>
        <w:r w:rsidR="00EC79FF">
          <w:rPr>
            <w:webHidden/>
          </w:rPr>
          <w:fldChar w:fldCharType="begin"/>
        </w:r>
        <w:r w:rsidR="00EC79FF">
          <w:rPr>
            <w:webHidden/>
          </w:rPr>
          <w:instrText xml:space="preserve"> PAGEREF _Toc44351141 \h </w:instrText>
        </w:r>
        <w:r w:rsidR="00EC79FF">
          <w:rPr>
            <w:webHidden/>
          </w:rPr>
        </w:r>
        <w:r w:rsidR="00EC79FF">
          <w:rPr>
            <w:webHidden/>
          </w:rPr>
          <w:fldChar w:fldCharType="separate"/>
        </w:r>
        <w:r w:rsidR="003012AE">
          <w:rPr>
            <w:webHidden/>
          </w:rPr>
          <w:t>72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42" w:history="1">
        <w:r w:rsidR="00EC79FF" w:rsidRPr="00035FD1">
          <w:rPr>
            <w:rStyle w:val="af2"/>
            <w:rFonts w:asciiTheme="minorEastAsia" w:hAnsiTheme="minorEastAsia" w:hint="eastAsia"/>
          </w:rPr>
          <w:t>一、基金合同的终止</w:t>
        </w:r>
        <w:r w:rsidR="00EC79FF">
          <w:rPr>
            <w:webHidden/>
          </w:rPr>
          <w:tab/>
        </w:r>
        <w:r w:rsidR="00EC79FF">
          <w:rPr>
            <w:webHidden/>
          </w:rPr>
          <w:fldChar w:fldCharType="begin"/>
        </w:r>
        <w:r w:rsidR="00EC79FF">
          <w:rPr>
            <w:webHidden/>
          </w:rPr>
          <w:instrText xml:space="preserve"> PAGEREF _Toc44351142 \h </w:instrText>
        </w:r>
        <w:r w:rsidR="00EC79FF">
          <w:rPr>
            <w:webHidden/>
          </w:rPr>
        </w:r>
        <w:r w:rsidR="00EC79FF">
          <w:rPr>
            <w:webHidden/>
          </w:rPr>
          <w:fldChar w:fldCharType="separate"/>
        </w:r>
        <w:r w:rsidR="003012AE">
          <w:rPr>
            <w:webHidden/>
          </w:rPr>
          <w:t>72</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43" w:history="1">
        <w:r w:rsidR="00EC79FF" w:rsidRPr="00035FD1">
          <w:rPr>
            <w:rStyle w:val="af2"/>
            <w:rFonts w:asciiTheme="minorEastAsia" w:hAnsiTheme="minorEastAsia" w:hint="eastAsia"/>
          </w:rPr>
          <w:t>二、基金财产的清算</w:t>
        </w:r>
        <w:r w:rsidR="00EC79FF">
          <w:rPr>
            <w:webHidden/>
          </w:rPr>
          <w:tab/>
        </w:r>
        <w:r w:rsidR="00EC79FF">
          <w:rPr>
            <w:webHidden/>
          </w:rPr>
          <w:fldChar w:fldCharType="begin"/>
        </w:r>
        <w:r w:rsidR="00EC79FF">
          <w:rPr>
            <w:webHidden/>
          </w:rPr>
          <w:instrText xml:space="preserve"> PAGEREF _Toc44351143 \h </w:instrText>
        </w:r>
        <w:r w:rsidR="00EC79FF">
          <w:rPr>
            <w:webHidden/>
          </w:rPr>
        </w:r>
        <w:r w:rsidR="00EC79FF">
          <w:rPr>
            <w:webHidden/>
          </w:rPr>
          <w:fldChar w:fldCharType="separate"/>
        </w:r>
        <w:r w:rsidR="003012AE">
          <w:rPr>
            <w:webHidden/>
          </w:rPr>
          <w:t>72</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44" w:history="1">
        <w:r w:rsidR="00EC79FF" w:rsidRPr="00035FD1">
          <w:rPr>
            <w:rStyle w:val="af2"/>
            <w:rFonts w:asciiTheme="minorEastAsia" w:hAnsiTheme="minorEastAsia" w:hint="eastAsia"/>
          </w:rPr>
          <w:t>第十七节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基金托管人</w:t>
        </w:r>
        <w:r w:rsidR="00EC79FF">
          <w:rPr>
            <w:webHidden/>
          </w:rPr>
          <w:tab/>
        </w:r>
        <w:r w:rsidR="00EC79FF">
          <w:rPr>
            <w:webHidden/>
          </w:rPr>
          <w:fldChar w:fldCharType="begin"/>
        </w:r>
        <w:r w:rsidR="00EC79FF">
          <w:rPr>
            <w:webHidden/>
          </w:rPr>
          <w:instrText xml:space="preserve"> PAGEREF _Toc44351144 \h </w:instrText>
        </w:r>
        <w:r w:rsidR="00EC79FF">
          <w:rPr>
            <w:webHidden/>
          </w:rPr>
        </w:r>
        <w:r w:rsidR="00EC79FF">
          <w:rPr>
            <w:webHidden/>
          </w:rPr>
          <w:fldChar w:fldCharType="separate"/>
        </w:r>
        <w:r w:rsidR="003012AE">
          <w:rPr>
            <w:webHidden/>
          </w:rPr>
          <w:t>73</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45" w:history="1">
        <w:r w:rsidR="00EC79FF" w:rsidRPr="00035FD1">
          <w:rPr>
            <w:rStyle w:val="af2"/>
            <w:rFonts w:asciiTheme="minorEastAsia" w:hAnsiTheme="minorEastAsia" w:hint="eastAsia"/>
          </w:rPr>
          <w:t>第十八节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境外资产托管人</w:t>
        </w:r>
        <w:r w:rsidR="00EC79FF">
          <w:rPr>
            <w:webHidden/>
          </w:rPr>
          <w:tab/>
        </w:r>
        <w:r w:rsidR="00EC79FF">
          <w:rPr>
            <w:webHidden/>
          </w:rPr>
          <w:fldChar w:fldCharType="begin"/>
        </w:r>
        <w:r w:rsidR="00EC79FF">
          <w:rPr>
            <w:webHidden/>
          </w:rPr>
          <w:instrText xml:space="preserve"> PAGEREF _Toc44351145 \h </w:instrText>
        </w:r>
        <w:r w:rsidR="00EC79FF">
          <w:rPr>
            <w:webHidden/>
          </w:rPr>
        </w:r>
        <w:r w:rsidR="00EC79FF">
          <w:rPr>
            <w:webHidden/>
          </w:rPr>
          <w:fldChar w:fldCharType="separate"/>
        </w:r>
        <w:r w:rsidR="003012AE">
          <w:rPr>
            <w:webHidden/>
          </w:rPr>
          <w:t>77</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46" w:history="1">
        <w:r w:rsidR="00EC79FF" w:rsidRPr="00035FD1">
          <w:rPr>
            <w:rStyle w:val="af2"/>
            <w:rFonts w:asciiTheme="minorEastAsia" w:hAnsiTheme="minorEastAsia" w:hint="eastAsia"/>
          </w:rPr>
          <w:t>第十九节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相关服务机构</w:t>
        </w:r>
        <w:r w:rsidR="00EC79FF">
          <w:rPr>
            <w:webHidden/>
          </w:rPr>
          <w:tab/>
        </w:r>
        <w:r w:rsidR="00EC79FF">
          <w:rPr>
            <w:webHidden/>
          </w:rPr>
          <w:fldChar w:fldCharType="begin"/>
        </w:r>
        <w:r w:rsidR="00EC79FF">
          <w:rPr>
            <w:webHidden/>
          </w:rPr>
          <w:instrText xml:space="preserve"> PAGEREF _Toc44351146 \h </w:instrText>
        </w:r>
        <w:r w:rsidR="00EC79FF">
          <w:rPr>
            <w:webHidden/>
          </w:rPr>
        </w:r>
        <w:r w:rsidR="00EC79FF">
          <w:rPr>
            <w:webHidden/>
          </w:rPr>
          <w:fldChar w:fldCharType="separate"/>
        </w:r>
        <w:r w:rsidR="003012AE">
          <w:rPr>
            <w:webHidden/>
          </w:rPr>
          <w:t>80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47" w:history="1">
        <w:r w:rsidR="00EC79FF" w:rsidRPr="00035FD1">
          <w:rPr>
            <w:rStyle w:val="af2"/>
            <w:rFonts w:asciiTheme="minorEastAsia" w:hAnsiTheme="minorEastAsia" w:hint="eastAsia"/>
          </w:rPr>
          <w:t>一、基金份额销售机构</w:t>
        </w:r>
        <w:r w:rsidR="00EC79FF">
          <w:rPr>
            <w:webHidden/>
          </w:rPr>
          <w:tab/>
        </w:r>
        <w:r w:rsidR="00EC79FF">
          <w:rPr>
            <w:webHidden/>
          </w:rPr>
          <w:fldChar w:fldCharType="begin"/>
        </w:r>
        <w:r w:rsidR="00EC79FF">
          <w:rPr>
            <w:webHidden/>
          </w:rPr>
          <w:instrText xml:space="preserve"> PAGEREF _Toc44351147 \h </w:instrText>
        </w:r>
        <w:r w:rsidR="00EC79FF">
          <w:rPr>
            <w:webHidden/>
          </w:rPr>
        </w:r>
        <w:r w:rsidR="00EC79FF">
          <w:rPr>
            <w:webHidden/>
          </w:rPr>
          <w:fldChar w:fldCharType="separate"/>
        </w:r>
        <w:r w:rsidR="003012AE">
          <w:rPr>
            <w:webHidden/>
          </w:rPr>
          <w:t>80</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48" w:history="1">
        <w:r w:rsidR="00EC79FF" w:rsidRPr="00035FD1">
          <w:rPr>
            <w:rStyle w:val="af2"/>
            <w:rFonts w:asciiTheme="minorEastAsia" w:hAnsiTheme="minorEastAsia" w:hint="eastAsia"/>
          </w:rPr>
          <w:t>二、基金注册登记机构</w:t>
        </w:r>
        <w:r w:rsidR="00EC79FF">
          <w:rPr>
            <w:webHidden/>
          </w:rPr>
          <w:tab/>
        </w:r>
        <w:r w:rsidR="00EC79FF">
          <w:rPr>
            <w:webHidden/>
          </w:rPr>
          <w:fldChar w:fldCharType="begin"/>
        </w:r>
        <w:r w:rsidR="00EC79FF">
          <w:rPr>
            <w:webHidden/>
          </w:rPr>
          <w:instrText xml:space="preserve"> PAGEREF _Toc44351148 \h </w:instrText>
        </w:r>
        <w:r w:rsidR="00EC79FF">
          <w:rPr>
            <w:webHidden/>
          </w:rPr>
        </w:r>
        <w:r w:rsidR="00EC79FF">
          <w:rPr>
            <w:webHidden/>
          </w:rPr>
          <w:fldChar w:fldCharType="separate"/>
        </w:r>
        <w:r w:rsidR="003012AE">
          <w:rPr>
            <w:webHidden/>
          </w:rPr>
          <w:t>134</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49" w:history="1">
        <w:r w:rsidR="00EC79FF" w:rsidRPr="00035FD1">
          <w:rPr>
            <w:rStyle w:val="af2"/>
            <w:rFonts w:asciiTheme="minorEastAsia" w:hAnsiTheme="minorEastAsia" w:hint="eastAsia"/>
          </w:rPr>
          <w:t>三、律师事务所和经办律师</w:t>
        </w:r>
        <w:r w:rsidR="00EC79FF">
          <w:rPr>
            <w:webHidden/>
          </w:rPr>
          <w:tab/>
        </w:r>
        <w:r w:rsidR="00EC79FF">
          <w:rPr>
            <w:webHidden/>
          </w:rPr>
          <w:fldChar w:fldCharType="begin"/>
        </w:r>
        <w:r w:rsidR="00EC79FF">
          <w:rPr>
            <w:webHidden/>
          </w:rPr>
          <w:instrText xml:space="preserve"> PAGEREF _Toc44351149 \h </w:instrText>
        </w:r>
        <w:r w:rsidR="00EC79FF">
          <w:rPr>
            <w:webHidden/>
          </w:rPr>
        </w:r>
        <w:r w:rsidR="00EC79FF">
          <w:rPr>
            <w:webHidden/>
          </w:rPr>
          <w:fldChar w:fldCharType="separate"/>
        </w:r>
        <w:r w:rsidR="003012AE">
          <w:rPr>
            <w:webHidden/>
          </w:rPr>
          <w:t>134</w:t>
        </w:r>
        <w:r w:rsidR="00EC79FF">
          <w:rPr>
            <w:webHidden/>
          </w:rPr>
          <w:fldChar w:fldCharType="end"/>
        </w:r>
      </w:hyperlink>
    </w:p>
    <w:p w:rsidR="00EC79FF" w:rsidRDefault="00BE0AE2">
      <w:pPr>
        <w:pStyle w:val="20"/>
        <w:rPr>
          <w:rFonts w:asciiTheme="minorHAnsi" w:eastAsiaTheme="minorEastAsia" w:hAnsiTheme="minorHAnsi" w:cstheme="minorBidi"/>
          <w:smallCaps w:val="0"/>
          <w:szCs w:val="22"/>
        </w:rPr>
      </w:pPr>
      <w:hyperlink w:anchor="_Toc44351150" w:history="1">
        <w:r w:rsidR="00EC79FF" w:rsidRPr="00035FD1">
          <w:rPr>
            <w:rStyle w:val="af2"/>
            <w:rFonts w:asciiTheme="minorEastAsia" w:hAnsiTheme="minorEastAsia" w:hint="eastAsia"/>
          </w:rPr>
          <w:t>四、会计师事务所和经办注册会计师</w:t>
        </w:r>
        <w:r w:rsidR="00EC79FF">
          <w:rPr>
            <w:webHidden/>
          </w:rPr>
          <w:tab/>
        </w:r>
        <w:r w:rsidR="00EC79FF">
          <w:rPr>
            <w:webHidden/>
          </w:rPr>
          <w:fldChar w:fldCharType="begin"/>
        </w:r>
        <w:r w:rsidR="00EC79FF">
          <w:rPr>
            <w:webHidden/>
          </w:rPr>
          <w:instrText xml:space="preserve"> PAGEREF _Toc44351150 \h </w:instrText>
        </w:r>
        <w:r w:rsidR="00EC79FF">
          <w:rPr>
            <w:webHidden/>
          </w:rPr>
        </w:r>
        <w:r w:rsidR="00EC79FF">
          <w:rPr>
            <w:webHidden/>
          </w:rPr>
          <w:fldChar w:fldCharType="separate"/>
        </w:r>
        <w:r w:rsidR="003012AE">
          <w:rPr>
            <w:webHidden/>
          </w:rPr>
          <w:t>134</w:t>
        </w:r>
        <w:r w:rsidR="00EC79FF">
          <w:rPr>
            <w:webHidden/>
          </w:rPr>
          <w:fldChar w:fldCharType="end"/>
        </w:r>
      </w:hyperlink>
    </w:p>
    <w:p w:rsidR="00EC79FF" w:rsidRDefault="00BE0AE2">
      <w:pPr>
        <w:pStyle w:val="10"/>
        <w:tabs>
          <w:tab w:val="left" w:pos="1260"/>
        </w:tabs>
        <w:rPr>
          <w:rFonts w:asciiTheme="minorHAnsi" w:eastAsiaTheme="minorEastAsia" w:hAnsiTheme="minorHAnsi" w:cstheme="minorBidi"/>
          <w:caps w:val="0"/>
          <w:sz w:val="21"/>
          <w:szCs w:val="22"/>
        </w:rPr>
      </w:pPr>
      <w:hyperlink w:anchor="_Toc44351151" w:history="1">
        <w:r w:rsidR="00EC79FF" w:rsidRPr="00035FD1">
          <w:rPr>
            <w:rStyle w:val="af2"/>
            <w:rFonts w:asciiTheme="minorEastAsia" w:hAnsiTheme="minorEastAsia" w:hint="eastAsia"/>
          </w:rPr>
          <w:t>第二十节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基金合同内容摘要</w:t>
        </w:r>
        <w:r w:rsidR="00EC79FF">
          <w:rPr>
            <w:webHidden/>
          </w:rPr>
          <w:tab/>
        </w:r>
        <w:r w:rsidR="00EC79FF">
          <w:rPr>
            <w:webHidden/>
          </w:rPr>
          <w:fldChar w:fldCharType="begin"/>
        </w:r>
        <w:r w:rsidR="00EC79FF">
          <w:rPr>
            <w:webHidden/>
          </w:rPr>
          <w:instrText xml:space="preserve"> PAGEREF _Toc44351151 \h </w:instrText>
        </w:r>
        <w:r w:rsidR="00EC79FF">
          <w:rPr>
            <w:webHidden/>
          </w:rPr>
        </w:r>
        <w:r w:rsidR="00EC79FF">
          <w:rPr>
            <w:webHidden/>
          </w:rPr>
          <w:fldChar w:fldCharType="separate"/>
        </w:r>
        <w:r w:rsidR="003012AE">
          <w:rPr>
            <w:webHidden/>
          </w:rPr>
          <w:t>135</w:t>
        </w:r>
        <w:r w:rsidR="00EC79FF">
          <w:rPr>
            <w:webHidden/>
          </w:rPr>
          <w:fldChar w:fldCharType="end"/>
        </w:r>
      </w:hyperlink>
    </w:p>
    <w:p w:rsidR="00EC79FF" w:rsidRDefault="00BE0AE2">
      <w:pPr>
        <w:pStyle w:val="10"/>
        <w:tabs>
          <w:tab w:val="left" w:pos="1680"/>
        </w:tabs>
        <w:rPr>
          <w:rFonts w:asciiTheme="minorHAnsi" w:eastAsiaTheme="minorEastAsia" w:hAnsiTheme="minorHAnsi" w:cstheme="minorBidi"/>
          <w:caps w:val="0"/>
          <w:sz w:val="21"/>
          <w:szCs w:val="22"/>
        </w:rPr>
      </w:pPr>
      <w:hyperlink w:anchor="_Toc44351152" w:history="1">
        <w:r w:rsidR="00EC79FF" w:rsidRPr="00035FD1">
          <w:rPr>
            <w:rStyle w:val="af2"/>
            <w:rFonts w:asciiTheme="minorEastAsia" w:hAnsiTheme="minorEastAsia" w:hint="eastAsia"/>
          </w:rPr>
          <w:t>第二十一节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基金托管协议的内容摘要</w:t>
        </w:r>
        <w:r w:rsidR="00EC79FF">
          <w:rPr>
            <w:webHidden/>
          </w:rPr>
          <w:tab/>
        </w:r>
        <w:r w:rsidR="00EC79FF">
          <w:rPr>
            <w:webHidden/>
          </w:rPr>
          <w:fldChar w:fldCharType="begin"/>
        </w:r>
        <w:r w:rsidR="00EC79FF">
          <w:rPr>
            <w:webHidden/>
          </w:rPr>
          <w:instrText xml:space="preserve"> PAGEREF _Toc44351152 \h </w:instrText>
        </w:r>
        <w:r w:rsidR="00EC79FF">
          <w:rPr>
            <w:webHidden/>
          </w:rPr>
        </w:r>
        <w:r w:rsidR="00EC79FF">
          <w:rPr>
            <w:webHidden/>
          </w:rPr>
          <w:fldChar w:fldCharType="separate"/>
        </w:r>
        <w:r w:rsidR="003012AE">
          <w:rPr>
            <w:webHidden/>
          </w:rPr>
          <w:t>148</w:t>
        </w:r>
        <w:r w:rsidR="00EC79FF">
          <w:rPr>
            <w:webHidden/>
          </w:rPr>
          <w:fldChar w:fldCharType="end"/>
        </w:r>
      </w:hyperlink>
    </w:p>
    <w:p w:rsidR="00EC79FF" w:rsidRDefault="00BE0AE2">
      <w:pPr>
        <w:pStyle w:val="10"/>
        <w:tabs>
          <w:tab w:val="left" w:pos="1680"/>
        </w:tabs>
        <w:rPr>
          <w:rFonts w:asciiTheme="minorHAnsi" w:eastAsiaTheme="minorEastAsia" w:hAnsiTheme="minorHAnsi" w:cstheme="minorBidi"/>
          <w:caps w:val="0"/>
          <w:sz w:val="21"/>
          <w:szCs w:val="22"/>
        </w:rPr>
      </w:pPr>
      <w:hyperlink w:anchor="_Toc44351153" w:history="1">
        <w:r w:rsidR="00EC79FF" w:rsidRPr="00035FD1">
          <w:rPr>
            <w:rStyle w:val="af2"/>
            <w:rFonts w:asciiTheme="minorEastAsia" w:hAnsiTheme="minorEastAsia" w:hint="eastAsia"/>
          </w:rPr>
          <w:t>第二十二节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对基金份额持有人的服务</w:t>
        </w:r>
        <w:r w:rsidR="00EC79FF">
          <w:rPr>
            <w:webHidden/>
          </w:rPr>
          <w:tab/>
        </w:r>
        <w:r w:rsidR="00EC79FF">
          <w:rPr>
            <w:webHidden/>
          </w:rPr>
          <w:fldChar w:fldCharType="begin"/>
        </w:r>
        <w:r w:rsidR="00EC79FF">
          <w:rPr>
            <w:webHidden/>
          </w:rPr>
          <w:instrText xml:space="preserve"> PAGEREF _Toc44351153 \h </w:instrText>
        </w:r>
        <w:r w:rsidR="00EC79FF">
          <w:rPr>
            <w:webHidden/>
          </w:rPr>
        </w:r>
        <w:r w:rsidR="00EC79FF">
          <w:rPr>
            <w:webHidden/>
          </w:rPr>
          <w:fldChar w:fldCharType="separate"/>
        </w:r>
        <w:r w:rsidR="003012AE">
          <w:rPr>
            <w:webHidden/>
          </w:rPr>
          <w:t>164</w:t>
        </w:r>
        <w:r w:rsidR="00EC79FF">
          <w:rPr>
            <w:webHidden/>
          </w:rPr>
          <w:fldChar w:fldCharType="end"/>
        </w:r>
      </w:hyperlink>
    </w:p>
    <w:p w:rsidR="00EC79FF" w:rsidRDefault="00BE0AE2">
      <w:pPr>
        <w:pStyle w:val="10"/>
        <w:tabs>
          <w:tab w:val="left" w:pos="1680"/>
        </w:tabs>
        <w:rPr>
          <w:rFonts w:asciiTheme="minorHAnsi" w:eastAsiaTheme="minorEastAsia" w:hAnsiTheme="minorHAnsi" w:cstheme="minorBidi"/>
          <w:caps w:val="0"/>
          <w:sz w:val="21"/>
          <w:szCs w:val="22"/>
        </w:rPr>
      </w:pPr>
      <w:hyperlink w:anchor="_Toc44351154" w:history="1">
        <w:r w:rsidR="00EC79FF" w:rsidRPr="00035FD1">
          <w:rPr>
            <w:rStyle w:val="af2"/>
            <w:rFonts w:asciiTheme="minorEastAsia" w:hAnsiTheme="minorEastAsia" w:hint="eastAsia"/>
          </w:rPr>
          <w:t>第二十三节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其他应披露事项</w:t>
        </w:r>
        <w:r w:rsidR="00EC79FF">
          <w:rPr>
            <w:webHidden/>
          </w:rPr>
          <w:tab/>
        </w:r>
        <w:r w:rsidR="00EC79FF">
          <w:rPr>
            <w:webHidden/>
          </w:rPr>
          <w:fldChar w:fldCharType="begin"/>
        </w:r>
        <w:r w:rsidR="00EC79FF">
          <w:rPr>
            <w:webHidden/>
          </w:rPr>
          <w:instrText xml:space="preserve"> PAGEREF _Toc44351154 \h </w:instrText>
        </w:r>
        <w:r w:rsidR="00EC79FF">
          <w:rPr>
            <w:webHidden/>
          </w:rPr>
        </w:r>
        <w:r w:rsidR="00EC79FF">
          <w:rPr>
            <w:webHidden/>
          </w:rPr>
          <w:fldChar w:fldCharType="separate"/>
        </w:r>
        <w:r w:rsidR="003012AE">
          <w:rPr>
            <w:webHidden/>
          </w:rPr>
          <w:t>165</w:t>
        </w:r>
        <w:r w:rsidR="00EC79FF">
          <w:rPr>
            <w:webHidden/>
          </w:rPr>
          <w:fldChar w:fldCharType="end"/>
        </w:r>
      </w:hyperlink>
    </w:p>
    <w:p w:rsidR="00EC79FF" w:rsidRDefault="00BE0AE2">
      <w:pPr>
        <w:pStyle w:val="10"/>
        <w:tabs>
          <w:tab w:val="left" w:pos="1680"/>
        </w:tabs>
        <w:rPr>
          <w:rFonts w:asciiTheme="minorHAnsi" w:eastAsiaTheme="minorEastAsia" w:hAnsiTheme="minorHAnsi" w:cstheme="minorBidi"/>
          <w:caps w:val="0"/>
          <w:sz w:val="21"/>
          <w:szCs w:val="22"/>
        </w:rPr>
      </w:pPr>
      <w:hyperlink w:anchor="_Toc44351155" w:history="1">
        <w:r w:rsidR="00EC79FF" w:rsidRPr="00035FD1">
          <w:rPr>
            <w:rStyle w:val="af2"/>
            <w:rFonts w:asciiTheme="minorEastAsia" w:hAnsiTheme="minorEastAsia" w:hint="eastAsia"/>
          </w:rPr>
          <w:t>第二十四节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招募说明书存放及查阅方式</w:t>
        </w:r>
        <w:r w:rsidR="00EC79FF">
          <w:rPr>
            <w:webHidden/>
          </w:rPr>
          <w:tab/>
        </w:r>
        <w:r w:rsidR="00EC79FF">
          <w:rPr>
            <w:webHidden/>
          </w:rPr>
          <w:fldChar w:fldCharType="begin"/>
        </w:r>
        <w:r w:rsidR="00EC79FF">
          <w:rPr>
            <w:webHidden/>
          </w:rPr>
          <w:instrText xml:space="preserve"> PAGEREF _Toc44351155 \h </w:instrText>
        </w:r>
        <w:r w:rsidR="00EC79FF">
          <w:rPr>
            <w:webHidden/>
          </w:rPr>
        </w:r>
        <w:r w:rsidR="00EC79FF">
          <w:rPr>
            <w:webHidden/>
          </w:rPr>
          <w:fldChar w:fldCharType="separate"/>
        </w:r>
        <w:r w:rsidR="003012AE">
          <w:rPr>
            <w:webHidden/>
          </w:rPr>
          <w:t>168</w:t>
        </w:r>
        <w:r w:rsidR="00EC79FF">
          <w:rPr>
            <w:webHidden/>
          </w:rPr>
          <w:fldChar w:fldCharType="end"/>
        </w:r>
      </w:hyperlink>
    </w:p>
    <w:p w:rsidR="00EC79FF" w:rsidRDefault="00BE0AE2">
      <w:pPr>
        <w:pStyle w:val="10"/>
        <w:tabs>
          <w:tab w:val="left" w:pos="1680"/>
        </w:tabs>
        <w:rPr>
          <w:rFonts w:asciiTheme="minorHAnsi" w:eastAsiaTheme="minorEastAsia" w:hAnsiTheme="minorHAnsi" w:cstheme="minorBidi"/>
          <w:caps w:val="0"/>
          <w:sz w:val="21"/>
          <w:szCs w:val="22"/>
        </w:rPr>
      </w:pPr>
      <w:hyperlink w:anchor="_Toc44351156" w:history="1">
        <w:r w:rsidR="00EC79FF" w:rsidRPr="00035FD1">
          <w:rPr>
            <w:rStyle w:val="af2"/>
            <w:rFonts w:asciiTheme="minorEastAsia" w:hAnsiTheme="minorEastAsia" w:hint="eastAsia"/>
          </w:rPr>
          <w:t>第二十五节</w:t>
        </w:r>
        <w:r w:rsidR="00EC79FF">
          <w:rPr>
            <w:rFonts w:asciiTheme="minorHAnsi" w:eastAsiaTheme="minorEastAsia" w:hAnsiTheme="minorHAnsi" w:cstheme="minorBidi"/>
            <w:caps w:val="0"/>
            <w:sz w:val="21"/>
            <w:szCs w:val="22"/>
          </w:rPr>
          <w:tab/>
        </w:r>
        <w:r w:rsidR="00EC79FF" w:rsidRPr="00035FD1">
          <w:rPr>
            <w:rStyle w:val="af2"/>
            <w:rFonts w:asciiTheme="minorEastAsia" w:hAnsiTheme="minorEastAsia" w:hint="eastAsia"/>
          </w:rPr>
          <w:t>备查文</w:t>
        </w:r>
        <w:r w:rsidR="00EC79FF" w:rsidRPr="00035FD1">
          <w:rPr>
            <w:rStyle w:val="af2"/>
            <w:rFonts w:asciiTheme="minorEastAsia" w:hAnsiTheme="minorEastAsia" w:hint="eastAsia"/>
          </w:rPr>
          <w:t>件</w:t>
        </w:r>
        <w:r w:rsidR="00EC79FF">
          <w:rPr>
            <w:webHidden/>
          </w:rPr>
          <w:tab/>
        </w:r>
        <w:r w:rsidR="00EC79FF">
          <w:rPr>
            <w:webHidden/>
          </w:rPr>
          <w:fldChar w:fldCharType="begin"/>
        </w:r>
        <w:r w:rsidR="00EC79FF">
          <w:rPr>
            <w:webHidden/>
          </w:rPr>
          <w:instrText xml:space="preserve"> PAGEREF _Toc44351156 \h </w:instrText>
        </w:r>
        <w:r w:rsidR="00EC79FF">
          <w:rPr>
            <w:webHidden/>
          </w:rPr>
        </w:r>
        <w:r w:rsidR="00EC79FF">
          <w:rPr>
            <w:webHidden/>
          </w:rPr>
          <w:fldChar w:fldCharType="separate"/>
        </w:r>
        <w:r w:rsidR="003012AE">
          <w:rPr>
            <w:webHidden/>
          </w:rPr>
          <w:t>169</w:t>
        </w:r>
        <w:r w:rsidR="00EC79FF">
          <w:rPr>
            <w:webHidden/>
          </w:rPr>
          <w:fldChar w:fldCharType="end"/>
        </w:r>
      </w:hyperlink>
    </w:p>
    <w:p w:rsidR="0064594E" w:rsidRPr="00721084" w:rsidRDefault="000E5F6B" w:rsidP="00CE3F81">
      <w:pPr>
        <w:snapToGrid w:val="0"/>
        <w:spacing w:line="360" w:lineRule="auto"/>
        <w:ind w:firstLineChars="200" w:firstLine="482"/>
        <w:jc w:val="center"/>
        <w:rPr>
          <w:rFonts w:asciiTheme="minorEastAsia" w:eastAsiaTheme="minorEastAsia" w:hAnsiTheme="minorEastAsia"/>
          <w:szCs w:val="21"/>
        </w:rPr>
        <w:sectPr w:rsidR="0064594E" w:rsidRPr="00721084" w:rsidSect="00DA31A9">
          <w:footerReference w:type="default" r:id="rId15"/>
          <w:pgSz w:w="11906" w:h="16838" w:code="9"/>
          <w:pgMar w:top="1701" w:right="1814" w:bottom="1701" w:left="1814" w:header="1134" w:footer="1247" w:gutter="0"/>
          <w:pgNumType w:fmt="upperRoman" w:start="1"/>
          <w:cols w:space="425"/>
          <w:docGrid w:type="lines" w:linePitch="447"/>
        </w:sectPr>
      </w:pPr>
      <w:r w:rsidRPr="00721084">
        <w:rPr>
          <w:rFonts w:asciiTheme="minorEastAsia" w:eastAsiaTheme="minorEastAsia" w:hAnsiTheme="minorEastAsia"/>
          <w:b/>
          <w:caps/>
          <w:noProof/>
          <w:sz w:val="24"/>
          <w:szCs w:val="21"/>
        </w:rPr>
        <w:fldChar w:fldCharType="end"/>
      </w:r>
    </w:p>
    <w:p w:rsidR="0064594E"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0" w:name="_Toc38432421"/>
      <w:bookmarkStart w:id="1" w:name="_Toc44351058"/>
      <w:r w:rsidRPr="00721084">
        <w:rPr>
          <w:rFonts w:asciiTheme="minorEastAsia" w:eastAsiaTheme="minorEastAsia" w:hAnsiTheme="minorEastAsia" w:hint="eastAsia"/>
        </w:rPr>
        <w:lastRenderedPageBreak/>
        <w:t>绪言</w:t>
      </w:r>
      <w:bookmarkEnd w:id="0"/>
      <w:bookmarkEnd w:id="1"/>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本《招募说明书》依据《中华人民共和国证券投资基金法》（以下简称《基金法》）、《证券投资基金运作管理办法》（以下简称《运作办法》）、《证券投资基金销售管理办法》（以下简称《销售办法》）、《</w:t>
      </w:r>
      <w:r w:rsidR="006638C9" w:rsidRPr="00721084">
        <w:rPr>
          <w:rFonts w:asciiTheme="minorEastAsia" w:eastAsiaTheme="minorEastAsia" w:hAnsiTheme="minorEastAsia" w:hint="eastAsia"/>
          <w:szCs w:val="21"/>
        </w:rPr>
        <w:t>公开募集</w:t>
      </w:r>
      <w:r w:rsidRPr="00721084">
        <w:rPr>
          <w:rFonts w:asciiTheme="minorEastAsia" w:eastAsiaTheme="minorEastAsia" w:hAnsiTheme="minorEastAsia" w:hint="eastAsia"/>
          <w:szCs w:val="21"/>
        </w:rPr>
        <w:t>证券投资基金信息披露管理办法》（以下简称《信息披露办法》）、</w:t>
      </w:r>
      <w:r w:rsidRPr="00721084">
        <w:rPr>
          <w:rFonts w:asciiTheme="minorEastAsia" w:eastAsiaTheme="minorEastAsia" w:hAnsiTheme="minorEastAsia" w:hint="eastAsia"/>
        </w:rPr>
        <w:t>《证券投资基金信息披露内容与格式准则第</w:t>
      </w:r>
      <w:r w:rsidRPr="00721084">
        <w:rPr>
          <w:rFonts w:asciiTheme="minorEastAsia" w:eastAsiaTheme="minorEastAsia" w:hAnsiTheme="minorEastAsia"/>
        </w:rPr>
        <w:t>5</w:t>
      </w:r>
      <w:r w:rsidRPr="00721084">
        <w:rPr>
          <w:rFonts w:asciiTheme="minorEastAsia" w:eastAsiaTheme="minorEastAsia" w:hAnsiTheme="minorEastAsia" w:hint="eastAsia"/>
        </w:rPr>
        <w:t>号</w:t>
      </w:r>
      <w:r w:rsidRPr="00721084">
        <w:rPr>
          <w:rFonts w:asciiTheme="minorEastAsia" w:eastAsiaTheme="minorEastAsia" w:hAnsiTheme="minorEastAsia"/>
        </w:rPr>
        <w:t>&lt;</w:t>
      </w:r>
      <w:r w:rsidRPr="00721084">
        <w:rPr>
          <w:rFonts w:asciiTheme="minorEastAsia" w:eastAsiaTheme="minorEastAsia" w:hAnsiTheme="minorEastAsia" w:hint="eastAsia"/>
        </w:rPr>
        <w:t>招募说明书的内容与格式</w:t>
      </w:r>
      <w:r w:rsidRPr="00721084">
        <w:rPr>
          <w:rFonts w:asciiTheme="minorEastAsia" w:eastAsiaTheme="minorEastAsia" w:hAnsiTheme="minorEastAsia"/>
        </w:rPr>
        <w:t>&gt;</w:t>
      </w:r>
      <w:r w:rsidRPr="00721084">
        <w:rPr>
          <w:rFonts w:asciiTheme="minorEastAsia" w:eastAsiaTheme="minorEastAsia" w:hAnsiTheme="minorEastAsia" w:hint="eastAsia"/>
        </w:rPr>
        <w:t>》、《合格境内机构投资者境外证券投资管理试行办法》（以下简称“《试行办法》”）</w:t>
      </w:r>
      <w:r w:rsidR="00CA5178" w:rsidRPr="00721084">
        <w:rPr>
          <w:rFonts w:asciiTheme="minorEastAsia" w:eastAsiaTheme="minorEastAsia" w:hAnsiTheme="minorEastAsia" w:hint="eastAsia"/>
        </w:rPr>
        <w:t>、《</w:t>
      </w:r>
      <w:r w:rsidR="00CA5178" w:rsidRPr="00721084">
        <w:rPr>
          <w:rFonts w:asciiTheme="minorEastAsia" w:eastAsiaTheme="minorEastAsia" w:hAnsiTheme="minorEastAsia" w:cs="Arial"/>
          <w:bCs/>
          <w:szCs w:val="21"/>
        </w:rPr>
        <w:t>关于实施</w:t>
      </w:r>
      <w:r w:rsidR="00CA5178" w:rsidRPr="00721084">
        <w:rPr>
          <w:rFonts w:asciiTheme="minorEastAsia" w:eastAsiaTheme="minorEastAsia" w:hAnsiTheme="minorEastAsia" w:cs="Arial" w:hint="eastAsia"/>
          <w:bCs/>
          <w:szCs w:val="21"/>
        </w:rPr>
        <w:t>&lt;</w:t>
      </w:r>
      <w:r w:rsidR="00CA5178" w:rsidRPr="00721084">
        <w:rPr>
          <w:rFonts w:asciiTheme="minorEastAsia" w:eastAsiaTheme="minorEastAsia" w:hAnsiTheme="minorEastAsia" w:cs="Arial"/>
          <w:bCs/>
          <w:szCs w:val="21"/>
        </w:rPr>
        <w:t>合格境内机构投资者境外证券投资管理试行办法</w:t>
      </w:r>
      <w:r w:rsidR="00CA5178" w:rsidRPr="00721084">
        <w:rPr>
          <w:rFonts w:asciiTheme="minorEastAsia" w:eastAsiaTheme="minorEastAsia" w:hAnsiTheme="minorEastAsia" w:cs="Arial" w:hint="eastAsia"/>
          <w:bCs/>
          <w:szCs w:val="21"/>
        </w:rPr>
        <w:t>&gt;</w:t>
      </w:r>
      <w:r w:rsidR="00CA5178" w:rsidRPr="00721084">
        <w:rPr>
          <w:rFonts w:asciiTheme="minorEastAsia" w:eastAsiaTheme="minorEastAsia" w:hAnsiTheme="minorEastAsia" w:cs="Arial"/>
          <w:bCs/>
          <w:szCs w:val="21"/>
        </w:rPr>
        <w:t>有关问题的通知</w:t>
      </w:r>
      <w:r w:rsidR="00CA5178" w:rsidRPr="00721084">
        <w:rPr>
          <w:rFonts w:asciiTheme="minorEastAsia" w:eastAsiaTheme="minorEastAsia" w:hAnsiTheme="minorEastAsia" w:cs="Arial" w:hint="eastAsia"/>
          <w:bCs/>
          <w:szCs w:val="21"/>
        </w:rPr>
        <w:t>》（以下简称《通知》</w:t>
      </w:r>
      <w:r w:rsidR="00175D5A" w:rsidRPr="00721084">
        <w:rPr>
          <w:rFonts w:asciiTheme="minorEastAsia" w:eastAsiaTheme="minorEastAsia" w:hAnsiTheme="minorEastAsia" w:cs="Arial" w:hint="eastAsia"/>
          <w:bCs/>
          <w:szCs w:val="21"/>
        </w:rPr>
        <w:t>、</w:t>
      </w:r>
      <w:r w:rsidR="00175D5A" w:rsidRPr="00721084">
        <w:rPr>
          <w:rFonts w:asciiTheme="minorEastAsia" w:eastAsiaTheme="minorEastAsia" w:hAnsiTheme="minorEastAsia" w:cs="Arial"/>
          <w:bCs/>
          <w:szCs w:val="21"/>
        </w:rPr>
        <w:t>《</w:t>
      </w:r>
      <w:r w:rsidR="00175D5A" w:rsidRPr="00721084">
        <w:rPr>
          <w:rFonts w:asciiTheme="minorEastAsia" w:eastAsiaTheme="minorEastAsia" w:hAnsiTheme="minorEastAsia" w:cs="Arial" w:hint="eastAsia"/>
          <w:bCs/>
          <w:szCs w:val="21"/>
        </w:rPr>
        <w:t>公开募集开放式证券投资基金流动性风险管理规定</w:t>
      </w:r>
      <w:r w:rsidR="00175D5A" w:rsidRPr="00721084">
        <w:rPr>
          <w:rFonts w:asciiTheme="minorEastAsia" w:eastAsiaTheme="minorEastAsia" w:hAnsiTheme="minorEastAsia" w:cs="Arial"/>
          <w:bCs/>
          <w:szCs w:val="21"/>
        </w:rPr>
        <w:t>》</w:t>
      </w:r>
      <w:r w:rsidR="00175D5A" w:rsidRPr="00721084">
        <w:rPr>
          <w:rFonts w:asciiTheme="minorEastAsia" w:eastAsiaTheme="minorEastAsia" w:hAnsiTheme="minorEastAsia" w:cs="Arial" w:hint="eastAsia"/>
          <w:bCs/>
          <w:szCs w:val="21"/>
        </w:rPr>
        <w:t>（</w:t>
      </w:r>
      <w:r w:rsidR="00175D5A" w:rsidRPr="00721084">
        <w:rPr>
          <w:rFonts w:asciiTheme="minorEastAsia" w:eastAsiaTheme="minorEastAsia" w:hAnsiTheme="minorEastAsia" w:cs="Arial"/>
          <w:bCs/>
          <w:szCs w:val="21"/>
        </w:rPr>
        <w:t>以下简称</w:t>
      </w:r>
      <w:r w:rsidR="00175D5A" w:rsidRPr="00721084">
        <w:rPr>
          <w:rFonts w:asciiTheme="minorEastAsia" w:eastAsiaTheme="minorEastAsia" w:hAnsiTheme="minorEastAsia" w:cs="Arial" w:hint="eastAsia"/>
          <w:bCs/>
          <w:szCs w:val="21"/>
        </w:rPr>
        <w:t>《管理</w:t>
      </w:r>
      <w:r w:rsidR="00175D5A" w:rsidRPr="00721084">
        <w:rPr>
          <w:rFonts w:asciiTheme="minorEastAsia" w:eastAsiaTheme="minorEastAsia" w:hAnsiTheme="minorEastAsia" w:cs="Arial"/>
          <w:bCs/>
          <w:szCs w:val="21"/>
        </w:rPr>
        <w:t>规定》</w:t>
      </w:r>
      <w:r w:rsidR="00175D5A" w:rsidRPr="00721084">
        <w:rPr>
          <w:rFonts w:asciiTheme="minorEastAsia" w:eastAsiaTheme="minorEastAsia" w:hAnsiTheme="minorEastAsia" w:cs="Arial" w:hint="eastAsia"/>
          <w:bCs/>
          <w:szCs w:val="21"/>
        </w:rPr>
        <w:t>）</w:t>
      </w:r>
      <w:r w:rsidRPr="00721084">
        <w:rPr>
          <w:rFonts w:asciiTheme="minorEastAsia" w:eastAsiaTheme="minorEastAsia" w:hAnsiTheme="minorEastAsia" w:hint="eastAsia"/>
          <w:szCs w:val="21"/>
        </w:rPr>
        <w:t>等有关法律法规以及《易方达</w:t>
      </w:r>
      <w:r w:rsidR="00416014" w:rsidRPr="00721084">
        <w:rPr>
          <w:rFonts w:asciiTheme="minorEastAsia" w:eastAsiaTheme="minorEastAsia" w:hAnsiTheme="minorEastAsia" w:hint="eastAsia"/>
          <w:szCs w:val="21"/>
        </w:rPr>
        <w:t>亚洲精选</w:t>
      </w:r>
      <w:r w:rsidRPr="00721084">
        <w:rPr>
          <w:rFonts w:asciiTheme="minorEastAsia" w:eastAsiaTheme="minorEastAsia" w:hAnsiTheme="minorEastAsia" w:hint="eastAsia"/>
          <w:szCs w:val="21"/>
        </w:rPr>
        <w:t>股票型证券投资基金基金合同》编写。</w:t>
      </w:r>
    </w:p>
    <w:p w:rsidR="0064594E" w:rsidRPr="00721084" w:rsidRDefault="0064594E" w:rsidP="00CE3F81">
      <w:pPr>
        <w:snapToGrid w:val="0"/>
        <w:spacing w:line="360" w:lineRule="auto"/>
        <w:ind w:firstLineChars="200" w:firstLine="420"/>
        <w:rPr>
          <w:rStyle w:val="da"/>
          <w:rFonts w:asciiTheme="minorEastAsia" w:eastAsiaTheme="minorEastAsia" w:hAnsiTheme="minorEastAsia"/>
        </w:rPr>
      </w:pPr>
      <w:r w:rsidRPr="00721084">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721084">
        <w:rPr>
          <w:rStyle w:val="da"/>
          <w:rFonts w:asciiTheme="minorEastAsia" w:eastAsiaTheme="minorEastAsia" w:hAnsiTheme="minorEastAsia" w:hint="eastAsia"/>
        </w:rPr>
        <w:t>，</w:t>
      </w:r>
      <w:r w:rsidRPr="00721084">
        <w:rPr>
          <w:rStyle w:val="da"/>
          <w:rFonts w:asciiTheme="minorEastAsia" w:eastAsiaTheme="minorEastAsia" w:hAnsiTheme="minorEastAsia"/>
        </w:rPr>
        <w:t>或对本招募说明书作任何解释或者说明。</w:t>
      </w:r>
    </w:p>
    <w:p w:rsidR="0064594E" w:rsidRPr="00721084" w:rsidRDefault="0064594E" w:rsidP="00CE3F81">
      <w:pPr>
        <w:snapToGrid w:val="0"/>
        <w:spacing w:line="360" w:lineRule="auto"/>
        <w:ind w:firstLineChars="200" w:firstLine="420"/>
        <w:rPr>
          <w:rStyle w:val="da"/>
          <w:rFonts w:asciiTheme="minorEastAsia" w:eastAsiaTheme="minorEastAsia" w:hAnsiTheme="minorEastAsia"/>
        </w:rPr>
      </w:pPr>
      <w:r w:rsidRPr="00721084">
        <w:rPr>
          <w:rStyle w:val="da"/>
          <w:rFonts w:asciiTheme="minorEastAsia" w:eastAsiaTheme="minorEastAsia" w:hAnsiTheme="minorEastAsia"/>
        </w:rPr>
        <w:t>本招募说明书根据本基金的基金合同编写</w:t>
      </w:r>
      <w:r w:rsidRPr="00721084">
        <w:rPr>
          <w:rStyle w:val="da"/>
          <w:rFonts w:asciiTheme="minorEastAsia" w:eastAsiaTheme="minorEastAsia" w:hAnsiTheme="minorEastAsia" w:hint="eastAsia"/>
        </w:rPr>
        <w:t>，</w:t>
      </w:r>
      <w:r w:rsidRPr="00721084">
        <w:rPr>
          <w:rStyle w:val="da"/>
          <w:rFonts w:asciiTheme="minorEastAsia" w:eastAsiaTheme="minorEastAsia" w:hAnsiTheme="minorEastAsia"/>
        </w:rPr>
        <w:t>并经中国证监会核准。基金合同是约定基金当事人之间权利、义务的法律文件。基金投资者自依基金合同取得基金份额</w:t>
      </w:r>
      <w:r w:rsidRPr="00721084">
        <w:rPr>
          <w:rStyle w:val="da"/>
          <w:rFonts w:asciiTheme="minorEastAsia" w:eastAsiaTheme="minorEastAsia" w:hAnsiTheme="minorEastAsia" w:hint="eastAsia"/>
        </w:rPr>
        <w:t>，</w:t>
      </w:r>
      <w:r w:rsidRPr="00721084">
        <w:rPr>
          <w:rStyle w:val="da"/>
          <w:rFonts w:asciiTheme="minorEastAsia" w:eastAsiaTheme="minorEastAsia" w:hAnsiTheme="minorEastAsia"/>
        </w:rPr>
        <w:t>即成为基金份额持有人和本基金合同的当事人</w:t>
      </w:r>
      <w:r w:rsidRPr="00721084">
        <w:rPr>
          <w:rStyle w:val="da"/>
          <w:rFonts w:asciiTheme="minorEastAsia" w:eastAsiaTheme="minorEastAsia" w:hAnsiTheme="minorEastAsia" w:hint="eastAsia"/>
        </w:rPr>
        <w:t>，</w:t>
      </w:r>
      <w:r w:rsidRPr="00721084">
        <w:rPr>
          <w:rStyle w:val="da"/>
          <w:rFonts w:asciiTheme="minorEastAsia" w:eastAsiaTheme="minorEastAsia" w:hAnsiTheme="minorEastAsia"/>
        </w:rPr>
        <w:t>其持有基金份额的行为本身即表明其对基金合同的承认和接受</w:t>
      </w:r>
      <w:r w:rsidRPr="00721084">
        <w:rPr>
          <w:rStyle w:val="da"/>
          <w:rFonts w:asciiTheme="minorEastAsia" w:eastAsiaTheme="minorEastAsia" w:hAnsiTheme="minorEastAsia" w:hint="eastAsia"/>
        </w:rPr>
        <w:t>，</w:t>
      </w:r>
      <w:r w:rsidRPr="00721084">
        <w:rPr>
          <w:rStyle w:val="da"/>
          <w:rFonts w:asciiTheme="minorEastAsia" w:eastAsiaTheme="minorEastAsia" w:hAnsiTheme="minorEastAsia"/>
        </w:rPr>
        <w:t>并按照《基金法》、基金合同及其他有关规定享有权利、承担义务。基金投资者欲了解基金份额持有人的权利和义务</w:t>
      </w:r>
      <w:r w:rsidRPr="00721084">
        <w:rPr>
          <w:rStyle w:val="da"/>
          <w:rFonts w:asciiTheme="minorEastAsia" w:eastAsiaTheme="minorEastAsia" w:hAnsiTheme="minorEastAsia" w:hint="eastAsia"/>
        </w:rPr>
        <w:t>，</w:t>
      </w:r>
      <w:r w:rsidRPr="00721084">
        <w:rPr>
          <w:rStyle w:val="da"/>
          <w:rFonts w:asciiTheme="minorEastAsia" w:eastAsiaTheme="minorEastAsia" w:hAnsiTheme="minorEastAsia"/>
        </w:rPr>
        <w:t>应详细查阅基金合同</w:t>
      </w:r>
      <w:r w:rsidRPr="00721084">
        <w:rPr>
          <w:rStyle w:val="da"/>
          <w:rFonts w:asciiTheme="minorEastAsia" w:eastAsiaTheme="minorEastAsia" w:hAnsiTheme="minorEastAsia" w:hint="eastAsia"/>
        </w:rPr>
        <w:t>。</w:t>
      </w:r>
    </w:p>
    <w:p w:rsidR="0064594E" w:rsidRPr="00721084" w:rsidRDefault="0064594E" w:rsidP="00CE3F81">
      <w:pPr>
        <w:snapToGrid w:val="0"/>
        <w:spacing w:line="360" w:lineRule="auto"/>
        <w:ind w:firstLineChars="200" w:firstLine="422"/>
        <w:rPr>
          <w:rFonts w:asciiTheme="minorEastAsia" w:eastAsiaTheme="minorEastAsia" w:hAnsiTheme="minorEastAsia"/>
          <w:b/>
          <w:szCs w:val="21"/>
        </w:rPr>
      </w:pPr>
    </w:p>
    <w:p w:rsidR="0064594E" w:rsidRPr="00721084" w:rsidRDefault="0064594E" w:rsidP="00CE3F81">
      <w:pPr>
        <w:snapToGrid w:val="0"/>
        <w:spacing w:line="360" w:lineRule="auto"/>
        <w:ind w:firstLineChars="200" w:firstLine="422"/>
        <w:rPr>
          <w:rFonts w:asciiTheme="minorEastAsia" w:eastAsiaTheme="minorEastAsia" w:hAnsiTheme="minorEastAsia"/>
          <w:b/>
          <w:szCs w:val="21"/>
        </w:rPr>
      </w:pPr>
    </w:p>
    <w:p w:rsidR="000B0139" w:rsidRPr="00721084" w:rsidRDefault="000B0139"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0B0139" w:rsidRPr="00721084">
          <w:footerReference w:type="default" r:id="rId16"/>
          <w:pgSz w:w="11906" w:h="16838" w:code="9"/>
          <w:pgMar w:top="1440" w:right="1800" w:bottom="1440" w:left="1800" w:header="851" w:footer="992" w:gutter="0"/>
          <w:pgNumType w:start="1"/>
          <w:cols w:space="425"/>
          <w:docGrid w:type="lines" w:linePitch="312"/>
        </w:sectPr>
      </w:pPr>
      <w:bookmarkStart w:id="2" w:name="_Toc38432422"/>
    </w:p>
    <w:p w:rsidR="0064594E"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3" w:name="_Toc44351059"/>
      <w:r w:rsidRPr="00721084">
        <w:rPr>
          <w:rFonts w:asciiTheme="minorEastAsia" w:eastAsiaTheme="minorEastAsia" w:hAnsiTheme="minorEastAsia" w:hint="eastAsia"/>
        </w:rPr>
        <w:lastRenderedPageBreak/>
        <w:t>释义</w:t>
      </w:r>
      <w:bookmarkEnd w:id="2"/>
      <w:bookmarkEnd w:id="3"/>
    </w:p>
    <w:p w:rsidR="00BD70FA" w:rsidRPr="00721084" w:rsidRDefault="00BD70FA" w:rsidP="00CE3F81">
      <w:pPr>
        <w:snapToGrid w:val="0"/>
        <w:spacing w:line="360" w:lineRule="auto"/>
        <w:ind w:firstLine="480"/>
        <w:rPr>
          <w:rFonts w:asciiTheme="minorEastAsia" w:eastAsiaTheme="minorEastAsia" w:hAnsiTheme="minorEastAsia"/>
          <w:szCs w:val="21"/>
        </w:rPr>
      </w:pPr>
      <w:r w:rsidRPr="00721084">
        <w:rPr>
          <w:rFonts w:asciiTheme="minorEastAsia" w:eastAsiaTheme="minorEastAsia" w:hAnsiTheme="minorEastAsia" w:hint="eastAsia"/>
          <w:szCs w:val="21"/>
        </w:rPr>
        <w:t>本《招募说明书》中除非文意另有所指</w:t>
      </w:r>
      <w:r w:rsidRPr="00721084">
        <w:rPr>
          <w:rFonts w:asciiTheme="minorEastAsia" w:eastAsiaTheme="minorEastAsia" w:hAnsiTheme="minorEastAsia"/>
          <w:szCs w:val="21"/>
        </w:rPr>
        <w:t>，</w:t>
      </w:r>
      <w:r w:rsidRPr="00721084">
        <w:rPr>
          <w:rFonts w:asciiTheme="minorEastAsia" w:eastAsiaTheme="minorEastAsia" w:hAnsiTheme="minorEastAsia" w:hint="eastAsia"/>
          <w:szCs w:val="21"/>
        </w:rPr>
        <w:t>下列词语有如下含义：</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《基金合同》</w:t>
      </w:r>
      <w:r w:rsidRPr="00721084">
        <w:rPr>
          <w:rFonts w:asciiTheme="minorEastAsia" w:eastAsiaTheme="minorEastAsia" w:hAnsiTheme="minorEastAsia" w:hint="eastAsia"/>
        </w:rPr>
        <w:tab/>
        <w:t>指《易方达亚洲精选股票型证券投资基金基金合同》及对合同的任何有效的修订和补充</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中国</w:t>
      </w:r>
      <w:r w:rsidRPr="00721084">
        <w:rPr>
          <w:rFonts w:asciiTheme="minorEastAsia" w:eastAsiaTheme="minorEastAsia" w:hAnsiTheme="minorEastAsia" w:hint="eastAsia"/>
        </w:rPr>
        <w:tab/>
        <w:t>指中华人民共和国</w:t>
      </w:r>
      <w:r w:rsidRPr="00721084">
        <w:rPr>
          <w:rFonts w:asciiTheme="minorEastAsia" w:eastAsiaTheme="minorEastAsia" w:hAnsiTheme="minorEastAsia"/>
        </w:rPr>
        <w:t>(</w:t>
      </w:r>
      <w:r w:rsidRPr="00721084">
        <w:rPr>
          <w:rFonts w:asciiTheme="minorEastAsia" w:eastAsiaTheme="minorEastAsia" w:hAnsiTheme="minorEastAsia" w:hint="eastAsia"/>
        </w:rPr>
        <w:t>仅为《基金合同》目的不包括香港特别行政区、澳门特别行政区及台湾地区</w:t>
      </w:r>
      <w:r w:rsidRPr="00721084">
        <w:rPr>
          <w:rFonts w:asciiTheme="minorEastAsia" w:eastAsiaTheme="minorEastAsia" w:hAnsiTheme="minorEastAsia"/>
        </w:rPr>
        <w:t>)</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kern w:val="0"/>
          <w:szCs w:val="21"/>
        </w:rPr>
      </w:pPr>
      <w:r w:rsidRPr="00721084">
        <w:rPr>
          <w:rFonts w:asciiTheme="minorEastAsia" w:eastAsiaTheme="minorEastAsia" w:hAnsiTheme="minorEastAsia" w:hint="eastAsia"/>
        </w:rPr>
        <w:t>法律法规</w:t>
      </w:r>
      <w:r w:rsidRPr="00721084">
        <w:rPr>
          <w:rFonts w:asciiTheme="minorEastAsia" w:eastAsiaTheme="minorEastAsia" w:hAnsiTheme="minorEastAsia" w:hint="eastAsia"/>
        </w:rPr>
        <w:tab/>
        <w:t>指中国现时有效并公布实施的法律、行政法规、部门规章及规范性文件</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《基金法》</w:t>
      </w:r>
      <w:r w:rsidRPr="00721084">
        <w:rPr>
          <w:rFonts w:asciiTheme="minorEastAsia" w:eastAsiaTheme="minorEastAsia" w:hAnsiTheme="minorEastAsia" w:hint="eastAsia"/>
        </w:rPr>
        <w:tab/>
        <w:t>指《中华人民共和国证券投资基金法》</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《销售办法》</w:t>
      </w:r>
      <w:r w:rsidRPr="00721084">
        <w:rPr>
          <w:rFonts w:asciiTheme="minorEastAsia" w:eastAsiaTheme="minorEastAsia" w:hAnsiTheme="minorEastAsia" w:hint="eastAsia"/>
        </w:rPr>
        <w:tab/>
        <w:t>指《证券投资基金销售管理办法》</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《运作办法》</w:t>
      </w:r>
      <w:r w:rsidRPr="00721084">
        <w:rPr>
          <w:rFonts w:asciiTheme="minorEastAsia" w:eastAsiaTheme="minorEastAsia" w:hAnsiTheme="minorEastAsia" w:hint="eastAsia"/>
        </w:rPr>
        <w:tab/>
        <w:t>指《证券投资基金运作管理办法》</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《信息披露办法》</w:t>
      </w:r>
      <w:r w:rsidRPr="00721084">
        <w:rPr>
          <w:rFonts w:asciiTheme="minorEastAsia" w:eastAsiaTheme="minorEastAsia" w:hAnsiTheme="minorEastAsia" w:hint="eastAsia"/>
        </w:rPr>
        <w:tab/>
        <w:t>指《</w:t>
      </w:r>
      <w:r w:rsidR="00394A08" w:rsidRPr="00721084">
        <w:rPr>
          <w:rFonts w:asciiTheme="minorEastAsia" w:eastAsiaTheme="minorEastAsia" w:hAnsiTheme="minorEastAsia" w:hint="eastAsia"/>
        </w:rPr>
        <w:t>公开募集</w:t>
      </w:r>
      <w:r w:rsidRPr="00721084">
        <w:rPr>
          <w:rFonts w:asciiTheme="minorEastAsia" w:eastAsiaTheme="minorEastAsia" w:hAnsiTheme="minorEastAsia" w:hint="eastAsia"/>
        </w:rPr>
        <w:t>证券投资基金信息披露管理办法》</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《试行办法》</w:t>
      </w:r>
      <w:r w:rsidRPr="00721084">
        <w:rPr>
          <w:rFonts w:asciiTheme="minorEastAsia" w:eastAsiaTheme="minorEastAsia" w:hAnsiTheme="minorEastAsia" w:hint="eastAsia"/>
        </w:rPr>
        <w:tab/>
        <w:t>指《合格境内机构投资者境外证券投资管理试行办法》</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cs="Arial" w:hint="eastAsia"/>
          <w:bCs/>
          <w:szCs w:val="21"/>
        </w:rPr>
        <w:t>《通知》</w:t>
      </w:r>
      <w:r w:rsidRPr="00721084">
        <w:rPr>
          <w:rFonts w:asciiTheme="minorEastAsia" w:eastAsiaTheme="minorEastAsia" w:hAnsiTheme="minorEastAsia" w:cs="Arial" w:hint="eastAsia"/>
          <w:bCs/>
          <w:szCs w:val="21"/>
        </w:rPr>
        <w:tab/>
        <w:t>指</w:t>
      </w:r>
      <w:r w:rsidRPr="00721084">
        <w:rPr>
          <w:rFonts w:asciiTheme="minorEastAsia" w:eastAsiaTheme="minorEastAsia" w:hAnsiTheme="minorEastAsia" w:hint="eastAsia"/>
        </w:rPr>
        <w:t>《</w:t>
      </w:r>
      <w:r w:rsidRPr="00721084">
        <w:rPr>
          <w:rFonts w:asciiTheme="minorEastAsia" w:eastAsiaTheme="minorEastAsia" w:hAnsiTheme="minorEastAsia" w:cs="Arial"/>
          <w:bCs/>
          <w:szCs w:val="21"/>
        </w:rPr>
        <w:t>关于实施</w:t>
      </w:r>
      <w:r w:rsidRPr="00721084">
        <w:rPr>
          <w:rFonts w:asciiTheme="minorEastAsia" w:eastAsiaTheme="minorEastAsia" w:hAnsiTheme="minorEastAsia" w:cs="Arial" w:hint="eastAsia"/>
          <w:bCs/>
          <w:szCs w:val="21"/>
        </w:rPr>
        <w:t>&lt;</w:t>
      </w:r>
      <w:r w:rsidRPr="00721084">
        <w:rPr>
          <w:rFonts w:asciiTheme="minorEastAsia" w:eastAsiaTheme="minorEastAsia" w:hAnsiTheme="minorEastAsia" w:cs="Arial"/>
          <w:bCs/>
          <w:szCs w:val="21"/>
        </w:rPr>
        <w:t>合格境内机构投资者境外证券投资管理试行办法</w:t>
      </w:r>
      <w:r w:rsidRPr="00721084">
        <w:rPr>
          <w:rFonts w:asciiTheme="minorEastAsia" w:eastAsiaTheme="minorEastAsia" w:hAnsiTheme="minorEastAsia" w:cs="Arial" w:hint="eastAsia"/>
          <w:bCs/>
          <w:szCs w:val="21"/>
        </w:rPr>
        <w:t>&gt;</w:t>
      </w:r>
      <w:r w:rsidRPr="00721084">
        <w:rPr>
          <w:rFonts w:asciiTheme="minorEastAsia" w:eastAsiaTheme="minorEastAsia" w:hAnsiTheme="minorEastAsia" w:cs="Arial"/>
          <w:bCs/>
          <w:szCs w:val="21"/>
        </w:rPr>
        <w:t>有关问题的通知</w:t>
      </w:r>
      <w:r w:rsidRPr="00721084">
        <w:rPr>
          <w:rFonts w:asciiTheme="minorEastAsia" w:eastAsiaTheme="minorEastAsia" w:hAnsiTheme="minorEastAsia" w:cs="Arial" w:hint="eastAsia"/>
          <w:bCs/>
          <w:szCs w:val="21"/>
        </w:rPr>
        <w:t>》</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元</w:t>
      </w:r>
      <w:r w:rsidRPr="00721084">
        <w:rPr>
          <w:rFonts w:asciiTheme="minorEastAsia" w:eastAsiaTheme="minorEastAsia" w:hAnsiTheme="minorEastAsia" w:hint="eastAsia"/>
        </w:rPr>
        <w:tab/>
        <w:t>指中国法定货币人民币元</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基金或本基金</w:t>
      </w:r>
      <w:r w:rsidRPr="00721084">
        <w:rPr>
          <w:rFonts w:asciiTheme="minorEastAsia" w:eastAsiaTheme="minorEastAsia" w:hAnsiTheme="minorEastAsia" w:hint="eastAsia"/>
        </w:rPr>
        <w:tab/>
        <w:t>指依据《基金合同》所募集的易方达亚洲精选股票型证券投资基金</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《招募说明书》指《易方达亚洲精选股票型证券投资基金招募说明书》，即供基金投资者选择并决定是否提出基金认购或申购申请的要约邀请文件，及其更新</w:t>
      </w:r>
    </w:p>
    <w:p w:rsidR="00102893" w:rsidRPr="00721084" w:rsidRDefault="00102893" w:rsidP="00102893">
      <w:pPr>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基金产品资料概要</w:t>
      </w:r>
      <w:r w:rsidR="008307FE" w:rsidRPr="00721084">
        <w:rPr>
          <w:rFonts w:asciiTheme="minorEastAsia" w:eastAsiaTheme="minorEastAsia" w:hAnsiTheme="minorEastAsia" w:hint="eastAsia"/>
        </w:rPr>
        <w:t>指</w:t>
      </w:r>
      <w:r w:rsidRPr="00721084">
        <w:rPr>
          <w:rFonts w:asciiTheme="minorEastAsia" w:eastAsiaTheme="minorEastAsia" w:hAnsiTheme="minorEastAsia" w:hint="eastAsia"/>
        </w:rPr>
        <w:t>《易方达亚洲精选股票型证券投资基金基金产品资料概要》及其更新</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托管协议</w:t>
      </w:r>
      <w:r w:rsidRPr="00721084">
        <w:rPr>
          <w:rFonts w:asciiTheme="minorEastAsia" w:eastAsiaTheme="minorEastAsia" w:hAnsiTheme="minorEastAsia" w:hint="eastAsia"/>
        </w:rPr>
        <w:tab/>
        <w:t>指基金管理人与基金托管人签订的《易方达亚洲精选股票型证券投资基金托管协议》及其任何有效修订和补充</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《发售公告》</w:t>
      </w:r>
      <w:r w:rsidRPr="00721084">
        <w:rPr>
          <w:rFonts w:asciiTheme="minorEastAsia" w:eastAsiaTheme="minorEastAsia" w:hAnsiTheme="minorEastAsia" w:hint="eastAsia"/>
        </w:rPr>
        <w:tab/>
        <w:t>指《易方达亚洲精选股票型证券投资基金基金份额发售公告》</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《业务规则》</w:t>
      </w:r>
      <w:r w:rsidRPr="00721084">
        <w:rPr>
          <w:rFonts w:asciiTheme="minorEastAsia" w:eastAsiaTheme="minorEastAsia" w:hAnsiTheme="minorEastAsia" w:hint="eastAsia"/>
        </w:rPr>
        <w:tab/>
        <w:t>指</w:t>
      </w:r>
      <w:r w:rsidRPr="00721084">
        <w:rPr>
          <w:rFonts w:asciiTheme="minorEastAsia" w:eastAsiaTheme="minorEastAsia" w:hAnsiTheme="minorEastAsia"/>
        </w:rPr>
        <w:t>《</w:t>
      </w:r>
      <w:r w:rsidRPr="00721084">
        <w:rPr>
          <w:rFonts w:asciiTheme="minorEastAsia" w:eastAsiaTheme="minorEastAsia" w:hAnsiTheme="minorEastAsia" w:hint="eastAsia"/>
        </w:rPr>
        <w:t>易方达基金管理有限公司开放式基金业务规则</w:t>
      </w:r>
      <w:r w:rsidRPr="00721084">
        <w:rPr>
          <w:rFonts w:asciiTheme="minorEastAsia" w:eastAsiaTheme="minorEastAsia" w:hAnsiTheme="minorEastAsia"/>
        </w:rPr>
        <w:t>》</w:t>
      </w:r>
    </w:p>
    <w:p w:rsidR="00D97F4C" w:rsidRPr="00721084" w:rsidRDefault="00D97F4C"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《管理</w:t>
      </w:r>
      <w:r w:rsidRPr="00721084">
        <w:rPr>
          <w:rFonts w:asciiTheme="minorEastAsia" w:eastAsiaTheme="minorEastAsia" w:hAnsiTheme="minorEastAsia"/>
        </w:rPr>
        <w:t>规定》指中国证监会2017年8月31日颁布</w:t>
      </w:r>
      <w:r w:rsidRPr="00721084">
        <w:rPr>
          <w:rFonts w:asciiTheme="minorEastAsia" w:eastAsiaTheme="minorEastAsia" w:hAnsiTheme="minorEastAsia" w:hint="eastAsia"/>
        </w:rPr>
        <w:t>、</w:t>
      </w:r>
      <w:r w:rsidRPr="00721084">
        <w:rPr>
          <w:rFonts w:asciiTheme="minorEastAsia" w:eastAsiaTheme="minorEastAsia" w:hAnsiTheme="minorEastAsia"/>
        </w:rPr>
        <w:t>同年10月1日实施的《公开募集开放式证券投资基金流动性风险管理规定》</w:t>
      </w:r>
      <w:r w:rsidRPr="00721084">
        <w:rPr>
          <w:rFonts w:asciiTheme="minorEastAsia" w:eastAsiaTheme="minorEastAsia" w:hAnsiTheme="minorEastAsia" w:hint="eastAsia"/>
        </w:rPr>
        <w:t>及颁布机关对其不时做出的修订</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中国证监会</w:t>
      </w:r>
      <w:r w:rsidRPr="00721084">
        <w:rPr>
          <w:rFonts w:asciiTheme="minorEastAsia" w:eastAsiaTheme="minorEastAsia" w:hAnsiTheme="minorEastAsia" w:hint="eastAsia"/>
        </w:rPr>
        <w:tab/>
        <w:t>指中国证券监督管理委员会</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银行监管机构</w:t>
      </w:r>
      <w:r w:rsidRPr="00721084">
        <w:rPr>
          <w:rFonts w:asciiTheme="minorEastAsia" w:eastAsiaTheme="minorEastAsia" w:hAnsiTheme="minorEastAsia" w:hint="eastAsia"/>
        </w:rPr>
        <w:tab/>
        <w:t>指</w:t>
      </w:r>
      <w:r w:rsidR="00A63323" w:rsidRPr="00721084">
        <w:rPr>
          <w:rFonts w:asciiTheme="minorEastAsia" w:eastAsiaTheme="minorEastAsia" w:hAnsiTheme="minorEastAsia" w:hint="eastAsia"/>
        </w:rPr>
        <w:t>中国银行保险监督管理委员会</w:t>
      </w:r>
      <w:r w:rsidRPr="00721084">
        <w:rPr>
          <w:rFonts w:asciiTheme="minorEastAsia" w:eastAsiaTheme="minorEastAsia" w:hAnsiTheme="minorEastAsia" w:hint="eastAsia"/>
        </w:rPr>
        <w:t>或其他经国务院授权的机构</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lastRenderedPageBreak/>
        <w:t>外管局</w:t>
      </w:r>
      <w:r w:rsidRPr="00721084">
        <w:rPr>
          <w:rFonts w:asciiTheme="minorEastAsia" w:eastAsiaTheme="minorEastAsia" w:hAnsiTheme="minorEastAsia" w:hint="eastAsia"/>
        </w:rPr>
        <w:tab/>
      </w:r>
      <w:r w:rsidRPr="00721084">
        <w:rPr>
          <w:rFonts w:asciiTheme="minorEastAsia" w:eastAsiaTheme="minorEastAsia" w:hAnsiTheme="minorEastAsia"/>
        </w:rPr>
        <w:t>指国家外汇管理局</w:t>
      </w:r>
      <w:r w:rsidRPr="00721084">
        <w:rPr>
          <w:rFonts w:asciiTheme="minorEastAsia" w:eastAsiaTheme="minorEastAsia" w:hAnsiTheme="minorEastAsia" w:hint="eastAsia"/>
        </w:rPr>
        <w:t>或其授权的代表机构</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基金管理人</w:t>
      </w:r>
      <w:r w:rsidRPr="00721084">
        <w:rPr>
          <w:rFonts w:asciiTheme="minorEastAsia" w:eastAsiaTheme="minorEastAsia" w:hAnsiTheme="minorEastAsia" w:hint="eastAsia"/>
        </w:rPr>
        <w:tab/>
        <w:t>指易方达基金管理有限公司</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基金托管人</w:t>
      </w:r>
      <w:r w:rsidRPr="00721084">
        <w:rPr>
          <w:rFonts w:asciiTheme="minorEastAsia" w:eastAsiaTheme="minorEastAsia" w:hAnsiTheme="minorEastAsia" w:hint="eastAsia"/>
        </w:rPr>
        <w:tab/>
        <w:t>指中国工商银行股份有限公司</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境外托管人</w:t>
      </w:r>
      <w:r w:rsidRPr="00721084">
        <w:rPr>
          <w:rFonts w:asciiTheme="minorEastAsia" w:eastAsiaTheme="minorEastAsia" w:hAnsiTheme="minorEastAsia" w:hint="eastAsia"/>
        </w:rPr>
        <w:tab/>
        <w:t>指符合法律法规规定的条件，根据基金托管人与其签订的合同，为本基金提供境外资产托管服务的境外金融机构</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境外投资顾问</w:t>
      </w:r>
      <w:r w:rsidRPr="00721084">
        <w:rPr>
          <w:rFonts w:asciiTheme="minorEastAsia" w:eastAsiaTheme="minorEastAsia" w:hAnsiTheme="minorEastAsia" w:hint="eastAsia"/>
        </w:rPr>
        <w:tab/>
        <w:t>指符合法律法规规定的条件，根据基金管理人与其签订的合同，为本基金境外证券投资提供证券买卖建议或投资组合管理等服务的境外金融机构</w:t>
      </w:r>
      <w:r w:rsidRPr="00721084">
        <w:rPr>
          <w:rFonts w:asciiTheme="minorEastAsia" w:eastAsiaTheme="minorEastAsia" w:hAnsiTheme="minorEastAsia" w:hint="eastAsia"/>
          <w:szCs w:val="21"/>
        </w:rPr>
        <w:t>。基金管理人有权根据基金运作情况</w:t>
      </w:r>
      <w:r w:rsidRPr="00721084">
        <w:rPr>
          <w:rFonts w:asciiTheme="minorEastAsia" w:eastAsiaTheme="minorEastAsia" w:hAnsiTheme="minorEastAsia"/>
          <w:szCs w:val="21"/>
        </w:rPr>
        <w:t>选择</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更换</w:t>
      </w:r>
      <w:r w:rsidRPr="00721084">
        <w:rPr>
          <w:rFonts w:asciiTheme="minorEastAsia" w:eastAsiaTheme="minorEastAsia" w:hAnsiTheme="minorEastAsia" w:hint="eastAsia"/>
          <w:szCs w:val="21"/>
        </w:rPr>
        <w:t>或撤销</w:t>
      </w:r>
      <w:r w:rsidRPr="00721084">
        <w:rPr>
          <w:rFonts w:asciiTheme="minorEastAsia" w:eastAsiaTheme="minorEastAsia" w:hAnsiTheme="minorEastAsia"/>
          <w:szCs w:val="21"/>
        </w:rPr>
        <w:t>境外投资顾问</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基金份额持有人</w:t>
      </w:r>
      <w:r w:rsidRPr="00721084">
        <w:rPr>
          <w:rFonts w:asciiTheme="minorEastAsia" w:eastAsiaTheme="minorEastAsia" w:hAnsiTheme="minorEastAsia" w:hint="eastAsia"/>
        </w:rPr>
        <w:tab/>
        <w:t>指根据《招募说明书》和《基金合同》及相关文件合法取得本基金基金份额的投资者</w:t>
      </w:r>
    </w:p>
    <w:p w:rsidR="0035376D" w:rsidRPr="00721084" w:rsidRDefault="0035376D" w:rsidP="00CE3F81">
      <w:pPr>
        <w:snapToGrid w:val="0"/>
        <w:spacing w:line="360" w:lineRule="auto"/>
        <w:ind w:leftChars="200" w:left="2730" w:hangingChars="1100" w:hanging="2310"/>
        <w:rPr>
          <w:rStyle w:val="da"/>
          <w:rFonts w:asciiTheme="minorEastAsia" w:eastAsiaTheme="minorEastAsia" w:hAnsiTheme="minorEastAsia"/>
        </w:rPr>
      </w:pPr>
      <w:r w:rsidRPr="00721084">
        <w:rPr>
          <w:rFonts w:asciiTheme="minorEastAsia" w:eastAsiaTheme="minorEastAsia" w:hAnsiTheme="minorEastAsia" w:hint="eastAsia"/>
          <w:bCs/>
          <w:kern w:val="0"/>
          <w:szCs w:val="21"/>
        </w:rPr>
        <w:t>非直销销售机构：</w:t>
      </w:r>
      <w:r w:rsidR="00BD70FA" w:rsidRPr="00721084">
        <w:rPr>
          <w:rFonts w:asciiTheme="minorEastAsia" w:eastAsiaTheme="minorEastAsia" w:hAnsiTheme="minorEastAsia" w:hint="eastAsia"/>
        </w:rPr>
        <w:tab/>
      </w:r>
      <w:r w:rsidRPr="00721084">
        <w:rPr>
          <w:rStyle w:val="da"/>
          <w:rFonts w:asciiTheme="minorEastAsia" w:eastAsiaTheme="minorEastAsia" w:hAnsiTheme="minorEastAsia" w:hint="eastAsia"/>
        </w:rPr>
        <w:t>指符合《销售办法》和中国证监会规定的其他条件，取得基金销售业务资格并</w:t>
      </w:r>
      <w:r w:rsidR="002758F6" w:rsidRPr="00721084">
        <w:rPr>
          <w:rStyle w:val="da"/>
          <w:rFonts w:asciiTheme="minorEastAsia" w:eastAsiaTheme="minorEastAsia" w:hAnsiTheme="minorEastAsia" w:hint="eastAsia"/>
        </w:rPr>
        <w:t>与基金管理人签订了基金销售服务协议</w:t>
      </w:r>
      <w:r w:rsidRPr="00721084">
        <w:rPr>
          <w:rStyle w:val="da"/>
          <w:rFonts w:asciiTheme="minorEastAsia" w:eastAsiaTheme="minorEastAsia" w:hAnsiTheme="minorEastAsia" w:hint="eastAsia"/>
        </w:rPr>
        <w:t>，办理基金销售业务的机构</w:t>
      </w:r>
    </w:p>
    <w:p w:rsidR="00BD70FA" w:rsidRPr="00721084" w:rsidRDefault="0035376D"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直销机构：</w:t>
      </w:r>
      <w:r w:rsidRPr="00721084">
        <w:rPr>
          <w:rFonts w:asciiTheme="minorEastAsia" w:eastAsiaTheme="minorEastAsia" w:hAnsiTheme="minorEastAsia" w:hint="eastAsia"/>
        </w:rPr>
        <w:tab/>
        <w:t>指易方达基金管理有限公司</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销售机构</w:t>
      </w:r>
      <w:r w:rsidRPr="00721084">
        <w:rPr>
          <w:rFonts w:asciiTheme="minorEastAsia" w:eastAsiaTheme="minorEastAsia" w:hAnsiTheme="minorEastAsia" w:hint="eastAsia"/>
        </w:rPr>
        <w:tab/>
      </w:r>
      <w:r w:rsidR="0035376D" w:rsidRPr="00721084">
        <w:rPr>
          <w:rFonts w:asciiTheme="minorEastAsia" w:eastAsiaTheme="minorEastAsia" w:hAnsiTheme="minorEastAsia" w:hint="eastAsia"/>
          <w:kern w:val="0"/>
          <w:szCs w:val="21"/>
        </w:rPr>
        <w:t>指直销机构和非直销销售机构</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基金销售网点</w:t>
      </w:r>
      <w:r w:rsidRPr="00721084">
        <w:rPr>
          <w:rFonts w:asciiTheme="minorEastAsia" w:eastAsiaTheme="minorEastAsia" w:hAnsiTheme="minorEastAsia" w:hint="eastAsia"/>
        </w:rPr>
        <w:tab/>
        <w:t>指基金管理人的直销网点及</w:t>
      </w:r>
      <w:r w:rsidR="0035376D" w:rsidRPr="00721084">
        <w:rPr>
          <w:rStyle w:val="da"/>
          <w:rFonts w:asciiTheme="minorEastAsia" w:eastAsiaTheme="minorEastAsia" w:hAnsiTheme="minorEastAsia" w:hint="eastAsia"/>
        </w:rPr>
        <w:t>非直销销售机构</w:t>
      </w:r>
      <w:r w:rsidR="0035376D" w:rsidRPr="00721084">
        <w:rPr>
          <w:rFonts w:asciiTheme="minorEastAsia" w:eastAsiaTheme="minorEastAsia" w:hAnsiTheme="minorEastAsia" w:hint="eastAsia"/>
          <w:szCs w:val="21"/>
        </w:rPr>
        <w:t>的销售网点</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注册登记业务</w:t>
      </w:r>
      <w:r w:rsidRPr="00721084">
        <w:rPr>
          <w:rFonts w:asciiTheme="minorEastAsia" w:eastAsiaTheme="minorEastAsia" w:hAnsiTheme="minorEastAsia" w:hint="eastAsia"/>
        </w:rPr>
        <w:tab/>
        <w:t>指基金登记、存管、清算和交收业务，具体内容包括投资者基金账户管理、基金份额注册登记、清算及基金交易确认、发放红利、建立并保管基金份额持有人名册等</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基金注册登记机构</w:t>
      </w:r>
      <w:r w:rsidRPr="00721084">
        <w:rPr>
          <w:rFonts w:asciiTheme="minorEastAsia" w:eastAsiaTheme="minorEastAsia" w:hAnsiTheme="minorEastAsia" w:hint="eastAsia"/>
        </w:rPr>
        <w:tab/>
        <w:t>指易方达基金管理有限公司或其委托的其他符合条件的办理基金注册登记业务的机构</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《基金合同》当事人</w:t>
      </w:r>
      <w:r w:rsidRPr="00721084">
        <w:rPr>
          <w:rFonts w:asciiTheme="minorEastAsia" w:eastAsiaTheme="minorEastAsia" w:hAnsiTheme="minorEastAsia" w:hint="eastAsia"/>
        </w:rPr>
        <w:tab/>
        <w:t>指受《基金合同》约束，根据《基金合同》享受权利并承担义务的法律主体，包括基金管理人、基金托管人和基金份额持有人</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个人投资者</w:t>
      </w:r>
      <w:r w:rsidRPr="00721084">
        <w:rPr>
          <w:rFonts w:asciiTheme="minorEastAsia" w:eastAsiaTheme="minorEastAsia" w:hAnsiTheme="minorEastAsia" w:hint="eastAsia"/>
        </w:rPr>
        <w:tab/>
        <w:t>指符合法律法规规定的条件可以投资开放式证券投资基金的自然人</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机构投资者</w:t>
      </w:r>
      <w:r w:rsidRPr="00721084">
        <w:rPr>
          <w:rFonts w:asciiTheme="minorEastAsia" w:eastAsiaTheme="minorEastAsia" w:hAnsiTheme="minorEastAsia" w:hint="eastAsia"/>
        </w:rPr>
        <w:tab/>
        <w:t>指符合法律法规规定可以投资开放式证券投资基金的在中国合法注册登记并存续或经政府有关部门批准设立并存续的企业法人、事业法人、社会团体和其他组织</w:t>
      </w:r>
    </w:p>
    <w:p w:rsidR="00BD70FA" w:rsidRPr="00721084" w:rsidRDefault="00BD70FA" w:rsidP="00CE3F81">
      <w:pPr>
        <w:snapToGrid w:val="0"/>
        <w:spacing w:line="360" w:lineRule="auto"/>
        <w:ind w:leftChars="172" w:left="2671" w:hangingChars="1100" w:hanging="2310"/>
        <w:rPr>
          <w:rFonts w:asciiTheme="minorEastAsia" w:eastAsiaTheme="minorEastAsia" w:hAnsiTheme="minorEastAsia"/>
        </w:rPr>
      </w:pPr>
      <w:r w:rsidRPr="00721084">
        <w:rPr>
          <w:rFonts w:asciiTheme="minorEastAsia" w:eastAsiaTheme="minorEastAsia" w:hAnsiTheme="minorEastAsia" w:hint="eastAsia"/>
        </w:rPr>
        <w:t>投资者</w:t>
      </w:r>
      <w:r w:rsidRPr="00721084">
        <w:rPr>
          <w:rFonts w:asciiTheme="minorEastAsia" w:eastAsiaTheme="minorEastAsia" w:hAnsiTheme="minorEastAsia" w:hint="eastAsia"/>
        </w:rPr>
        <w:tab/>
        <w:t>指个人投资者、机构投资者和法律法规或中国证监会允许购买开放式证券投资基金的其他投资者的总称</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基金合同生效日</w:t>
      </w:r>
      <w:r w:rsidRPr="00721084">
        <w:rPr>
          <w:rFonts w:asciiTheme="minorEastAsia" w:eastAsiaTheme="minorEastAsia" w:hAnsiTheme="minorEastAsia" w:hint="eastAsia"/>
        </w:rPr>
        <w:tab/>
        <w:t>指</w:t>
      </w:r>
      <w:r w:rsidRPr="00721084">
        <w:rPr>
          <w:rFonts w:asciiTheme="minorEastAsia" w:eastAsiaTheme="minorEastAsia" w:hAnsiTheme="minorEastAsia"/>
        </w:rPr>
        <w:t>基金</w:t>
      </w:r>
      <w:r w:rsidRPr="00721084">
        <w:rPr>
          <w:rFonts w:asciiTheme="minorEastAsia" w:eastAsiaTheme="minorEastAsia" w:hAnsiTheme="minorEastAsia" w:hint="eastAsia"/>
        </w:rPr>
        <w:t>募集</w:t>
      </w:r>
      <w:r w:rsidRPr="00721084">
        <w:rPr>
          <w:rFonts w:asciiTheme="minorEastAsia" w:eastAsiaTheme="minorEastAsia" w:hAnsiTheme="minorEastAsia"/>
        </w:rPr>
        <w:t>达到法律规定及</w:t>
      </w:r>
      <w:r w:rsidRPr="00721084">
        <w:rPr>
          <w:rFonts w:asciiTheme="minorEastAsia" w:eastAsiaTheme="minorEastAsia" w:hAnsiTheme="minorEastAsia" w:hint="eastAsia"/>
        </w:rPr>
        <w:t>《</w:t>
      </w:r>
      <w:r w:rsidRPr="00721084">
        <w:rPr>
          <w:rFonts w:asciiTheme="minorEastAsia" w:eastAsiaTheme="minorEastAsia" w:hAnsiTheme="minorEastAsia"/>
        </w:rPr>
        <w:t>基金合同</w:t>
      </w:r>
      <w:r w:rsidRPr="00721084">
        <w:rPr>
          <w:rFonts w:asciiTheme="minorEastAsia" w:eastAsiaTheme="minorEastAsia" w:hAnsiTheme="minorEastAsia" w:hint="eastAsia"/>
        </w:rPr>
        <w:t>》约定</w:t>
      </w:r>
      <w:r w:rsidRPr="00721084">
        <w:rPr>
          <w:rFonts w:asciiTheme="minorEastAsia" w:eastAsiaTheme="minorEastAsia" w:hAnsiTheme="minorEastAsia"/>
        </w:rPr>
        <w:t>的条件，</w:t>
      </w:r>
      <w:r w:rsidRPr="00721084">
        <w:rPr>
          <w:rFonts w:asciiTheme="minorEastAsia" w:eastAsiaTheme="minorEastAsia" w:hAnsiTheme="minorEastAsia" w:hint="eastAsia"/>
        </w:rPr>
        <w:t>基金管理人聘请法定机构验资并办理完毕基金备案手续，获得中国证</w:t>
      </w:r>
      <w:r w:rsidRPr="00721084">
        <w:rPr>
          <w:rFonts w:asciiTheme="minorEastAsia" w:eastAsiaTheme="minorEastAsia" w:hAnsiTheme="minorEastAsia" w:hint="eastAsia"/>
        </w:rPr>
        <w:lastRenderedPageBreak/>
        <w:t>监会书面确认之日</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募集期</w:t>
      </w:r>
      <w:r w:rsidRPr="00721084">
        <w:rPr>
          <w:rFonts w:asciiTheme="minorEastAsia" w:eastAsiaTheme="minorEastAsia" w:hAnsiTheme="minorEastAsia" w:hint="eastAsia"/>
        </w:rPr>
        <w:tab/>
        <w:t>指自基金份额发售之日起不超过3个月的期限</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基金存续期</w:t>
      </w:r>
      <w:r w:rsidRPr="00721084">
        <w:rPr>
          <w:rFonts w:asciiTheme="minorEastAsia" w:eastAsiaTheme="minorEastAsia" w:hAnsiTheme="minorEastAsia" w:hint="eastAsia"/>
        </w:rPr>
        <w:tab/>
        <w:t>指《基金合同》生效后合法存续的不定期之期间</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日/天</w:t>
      </w:r>
      <w:r w:rsidRPr="00721084">
        <w:rPr>
          <w:rFonts w:asciiTheme="minorEastAsia" w:eastAsiaTheme="minorEastAsia" w:hAnsiTheme="minorEastAsia" w:hint="eastAsia"/>
        </w:rPr>
        <w:tab/>
        <w:t>指公历日</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月</w:t>
      </w:r>
      <w:r w:rsidRPr="00721084">
        <w:rPr>
          <w:rFonts w:asciiTheme="minorEastAsia" w:eastAsiaTheme="minorEastAsia" w:hAnsiTheme="minorEastAsia" w:hint="eastAsia"/>
        </w:rPr>
        <w:tab/>
        <w:t>指公历月</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工作日</w:t>
      </w:r>
      <w:r w:rsidRPr="00721084">
        <w:rPr>
          <w:rFonts w:asciiTheme="minorEastAsia" w:eastAsiaTheme="minorEastAsia" w:hAnsiTheme="minorEastAsia" w:hint="eastAsia"/>
        </w:rPr>
        <w:tab/>
        <w:t>指上海证券交易所和深圳证券交易所的正常交易日</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开放日</w:t>
      </w:r>
      <w:r w:rsidRPr="00721084">
        <w:rPr>
          <w:rFonts w:asciiTheme="minorEastAsia" w:eastAsiaTheme="minorEastAsia" w:hAnsiTheme="minorEastAsia" w:hint="eastAsia"/>
        </w:rPr>
        <w:tab/>
        <w:t>指销售机构办理本基金份额申购、赎回等业务的工作日</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T日</w:t>
      </w:r>
      <w:r w:rsidRPr="00721084">
        <w:rPr>
          <w:rFonts w:asciiTheme="minorEastAsia" w:eastAsiaTheme="minorEastAsia" w:hAnsiTheme="minorEastAsia" w:hint="eastAsia"/>
        </w:rPr>
        <w:tab/>
        <w:t>指申购、赎回或办理其他基金业务的申请日</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T+</w:t>
      </w:r>
      <w:r w:rsidRPr="00721084">
        <w:rPr>
          <w:rFonts w:asciiTheme="minorEastAsia" w:eastAsiaTheme="minorEastAsia" w:hAnsiTheme="minorEastAsia"/>
        </w:rPr>
        <w:t>n</w:t>
      </w:r>
      <w:r w:rsidRPr="00721084">
        <w:rPr>
          <w:rFonts w:asciiTheme="minorEastAsia" w:eastAsiaTheme="minorEastAsia" w:hAnsiTheme="minorEastAsia" w:hint="eastAsia"/>
        </w:rPr>
        <w:t>日</w:t>
      </w:r>
      <w:r w:rsidRPr="00721084">
        <w:rPr>
          <w:rFonts w:asciiTheme="minorEastAsia" w:eastAsiaTheme="minorEastAsia" w:hAnsiTheme="minorEastAsia" w:hint="eastAsia"/>
        </w:rPr>
        <w:tab/>
        <w:t>指自T日起第</w:t>
      </w:r>
      <w:r w:rsidRPr="00721084">
        <w:rPr>
          <w:rFonts w:asciiTheme="minorEastAsia" w:eastAsiaTheme="minorEastAsia" w:hAnsiTheme="minorEastAsia"/>
        </w:rPr>
        <w:t>n</w:t>
      </w:r>
      <w:r w:rsidRPr="00721084">
        <w:rPr>
          <w:rFonts w:asciiTheme="minorEastAsia" w:eastAsiaTheme="minorEastAsia" w:hAnsiTheme="minorEastAsia" w:hint="eastAsia"/>
        </w:rPr>
        <w:t>个工作日（不包含T日）</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认购</w:t>
      </w:r>
      <w:r w:rsidRPr="00721084">
        <w:rPr>
          <w:rFonts w:asciiTheme="minorEastAsia" w:eastAsiaTheme="minorEastAsia" w:hAnsiTheme="minorEastAsia" w:hint="eastAsia"/>
        </w:rPr>
        <w:tab/>
        <w:t>指在本基金募集期内投资者购买本基金基金份额的行为</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发售</w:t>
      </w:r>
      <w:r w:rsidRPr="00721084">
        <w:rPr>
          <w:rFonts w:asciiTheme="minorEastAsia" w:eastAsiaTheme="minorEastAsia" w:hAnsiTheme="minorEastAsia" w:hint="eastAsia"/>
        </w:rPr>
        <w:tab/>
        <w:t>指在本基金募集期内，销售机构向投资者销售本基金份额的行为</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申购</w:t>
      </w:r>
      <w:r w:rsidRPr="00721084">
        <w:rPr>
          <w:rFonts w:asciiTheme="minorEastAsia" w:eastAsiaTheme="minorEastAsia" w:hAnsiTheme="minorEastAsia" w:hint="eastAsia"/>
        </w:rPr>
        <w:tab/>
        <w:t>指《基金合同》生效后，投资者根据基金销售网点规定的手续，向基金管理人购买基金份额的行为。本基金的日常申购自《基金合同》生效后不超过3个月的时间开始办理</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赎回</w:t>
      </w:r>
      <w:r w:rsidRPr="00721084">
        <w:rPr>
          <w:rFonts w:asciiTheme="minorEastAsia" w:eastAsiaTheme="minorEastAsia" w:hAnsiTheme="minorEastAsia" w:hint="eastAsia"/>
        </w:rPr>
        <w:tab/>
        <w:t>指《基金合同》生效后，基金份额持有人根据基金销售网点规定的手续，向基金管理人卖出基金份额的行为。本基金的日常赎回自《基金合同》生效后不超过3个月的时间开始办理</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szCs w:val="21"/>
        </w:rPr>
        <w:t>巨额赎回</w:t>
      </w:r>
      <w:r w:rsidRPr="00721084">
        <w:rPr>
          <w:rFonts w:asciiTheme="minorEastAsia" w:eastAsiaTheme="minorEastAsia" w:hAnsiTheme="minorEastAsia" w:hint="eastAsia"/>
          <w:szCs w:val="21"/>
        </w:rPr>
        <w:tab/>
        <w:t>指在单个开放日，本基金的基金份额净赎回申请（赎回申请总数加上基金转换中转出申请份额总数后扣除申购申请总数及基金转换中转入申请份额总数后的余额）超过上一日本基金总份额的</w:t>
      </w:r>
      <w:r w:rsidRPr="00721084">
        <w:rPr>
          <w:rFonts w:asciiTheme="minorEastAsia" w:eastAsiaTheme="minorEastAsia" w:hAnsiTheme="minorEastAsia"/>
          <w:szCs w:val="21"/>
        </w:rPr>
        <w:t>10%</w:t>
      </w:r>
      <w:r w:rsidRPr="00721084">
        <w:rPr>
          <w:rFonts w:asciiTheme="minorEastAsia" w:eastAsiaTheme="minorEastAsia" w:hAnsiTheme="minorEastAsia" w:hint="eastAsia"/>
          <w:szCs w:val="21"/>
        </w:rPr>
        <w:t>时的情形</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基金账户</w:t>
      </w:r>
      <w:r w:rsidRPr="00721084">
        <w:rPr>
          <w:rFonts w:asciiTheme="minorEastAsia" w:eastAsiaTheme="minorEastAsia" w:hAnsiTheme="minorEastAsia" w:hint="eastAsia"/>
        </w:rPr>
        <w:tab/>
        <w:t>指基金注册登记机构给投资者开立的用于记录投资者持有基金管理人管理的开放式基金份额情况的账户</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交易账户</w:t>
      </w:r>
      <w:r w:rsidRPr="00721084">
        <w:rPr>
          <w:rFonts w:asciiTheme="minorEastAsia" w:eastAsiaTheme="minorEastAsia" w:hAnsiTheme="minorEastAsia" w:hint="eastAsia"/>
        </w:rPr>
        <w:tab/>
        <w:t>指各销售机构为投资者开立的记录投资者通过该销售机构办理</w:t>
      </w:r>
      <w:r w:rsidRPr="00721084">
        <w:rPr>
          <w:rFonts w:asciiTheme="minorEastAsia" w:eastAsiaTheme="minorEastAsia" w:hAnsiTheme="minorEastAsia" w:hint="eastAsia"/>
          <w:kern w:val="0"/>
        </w:rPr>
        <w:t>认购、申购、赎回、转换及转托管等业务而</w:t>
      </w:r>
      <w:r w:rsidRPr="00721084">
        <w:rPr>
          <w:rFonts w:asciiTheme="minorEastAsia" w:eastAsiaTheme="minorEastAsia" w:hAnsiTheme="minorEastAsia" w:hint="eastAsia"/>
        </w:rPr>
        <w:t>引起的基金份额的变动及结余情况的账户</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rPr>
        <w:t>转托管</w:t>
      </w:r>
      <w:r w:rsidRPr="00721084">
        <w:rPr>
          <w:rFonts w:asciiTheme="minorEastAsia" w:eastAsiaTheme="minorEastAsia" w:hAnsiTheme="minorEastAsia" w:hint="eastAsia"/>
        </w:rPr>
        <w:tab/>
      </w:r>
      <w:r w:rsidRPr="00721084">
        <w:rPr>
          <w:rFonts w:asciiTheme="minorEastAsia" w:eastAsiaTheme="minorEastAsia" w:hAnsiTheme="minorEastAsia"/>
        </w:rPr>
        <w:t>指投资者将其持有的同一基金账户下的基金份额从某一交易账户转入另一交易账户的业务</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基金转换</w:t>
      </w:r>
      <w:r w:rsidRPr="00721084">
        <w:rPr>
          <w:rFonts w:asciiTheme="minorEastAsia" w:eastAsiaTheme="minorEastAsia" w:hAnsiTheme="minorEastAsia" w:hint="eastAsia"/>
        </w:rPr>
        <w:tab/>
        <w:t>指投资者向基金管理人提出申请将其所持有的基金管理人管理的任一开放式基金（转出基金）的全部或部分基金份额转换为基金管理人管理的任何其他开放式基金（转入基金）的基金份额的行为</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cs="宋体"/>
          <w:kern w:val="0"/>
        </w:rPr>
      </w:pPr>
      <w:r w:rsidRPr="00721084">
        <w:rPr>
          <w:rFonts w:asciiTheme="minorEastAsia" w:eastAsiaTheme="minorEastAsia" w:hAnsiTheme="minorEastAsia" w:hint="eastAsia"/>
        </w:rPr>
        <w:t>定期定额投资计划</w:t>
      </w:r>
      <w:r w:rsidRPr="00721084">
        <w:rPr>
          <w:rFonts w:asciiTheme="minorEastAsia" w:eastAsiaTheme="minorEastAsia" w:hAnsiTheme="minorEastAsia" w:hint="eastAsia"/>
        </w:rPr>
        <w:tab/>
        <w:t>指投资者通过有关销售机构提出申请，约定每期扣款日、扣款</w:t>
      </w:r>
      <w:r w:rsidRPr="00721084">
        <w:rPr>
          <w:rFonts w:asciiTheme="minorEastAsia" w:eastAsiaTheme="minorEastAsia" w:hAnsiTheme="minorEastAsia" w:hint="eastAsia"/>
        </w:rPr>
        <w:lastRenderedPageBreak/>
        <w:t>金额及扣款方式，由销售机构于每期约定扣款日在投资者指定银行账户内自动完成扣款及基金申购申请的一种投资方式</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基金利润</w:t>
      </w:r>
      <w:r w:rsidRPr="00721084">
        <w:rPr>
          <w:rFonts w:asciiTheme="minorEastAsia" w:eastAsiaTheme="minorEastAsia" w:hAnsiTheme="minorEastAsia" w:hint="eastAsia"/>
        </w:rPr>
        <w:tab/>
        <w:t>指基金利息收入、投资收益、公允价值变动收益和其他收入扣除相关费用后的余额</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基金资产总值</w:t>
      </w:r>
      <w:r w:rsidRPr="00721084">
        <w:rPr>
          <w:rFonts w:asciiTheme="minorEastAsia" w:eastAsiaTheme="minorEastAsia" w:hAnsiTheme="minorEastAsia" w:hint="eastAsia"/>
        </w:rPr>
        <w:tab/>
        <w:t>指基金所拥有的各类证券及票据价值、银行存款本息和本基金应收的申购基金款以及其他投资所形成的价值总和</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基金资产净值</w:t>
      </w:r>
      <w:r w:rsidRPr="00721084">
        <w:rPr>
          <w:rFonts w:asciiTheme="minorEastAsia" w:eastAsiaTheme="minorEastAsia" w:hAnsiTheme="minorEastAsia" w:hint="eastAsia"/>
        </w:rPr>
        <w:tab/>
        <w:t>指基金资产总值扣除负债后的净资产值</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基金资产估值</w:t>
      </w:r>
      <w:r w:rsidRPr="00721084">
        <w:rPr>
          <w:rFonts w:asciiTheme="minorEastAsia" w:eastAsiaTheme="minorEastAsia" w:hAnsiTheme="minorEastAsia" w:hint="eastAsia"/>
        </w:rPr>
        <w:tab/>
        <w:t>指计算评估基金资产和负债的价值，以确定基金资产净值的过程</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货币市场工具</w:t>
      </w:r>
      <w:r w:rsidRPr="00721084">
        <w:rPr>
          <w:rFonts w:asciiTheme="minorEastAsia" w:eastAsiaTheme="minorEastAsia" w:hAnsiTheme="minorEastAsia" w:hint="eastAsia"/>
        </w:rPr>
        <w:tab/>
        <w:t>指银行存款、可转让存单、银行承兑汇票、银行票据、商业票据、回购协</w:t>
      </w:r>
      <w:r w:rsidRPr="00721084">
        <w:rPr>
          <w:rFonts w:asciiTheme="minorEastAsia" w:eastAsiaTheme="minorEastAsia" w:hAnsiTheme="minorEastAsia"/>
        </w:rPr>
        <w:t>议、短期政府债券等中国证监会、中国人民银行认可的具有良好流动性</w:t>
      </w:r>
      <w:r w:rsidRPr="00721084">
        <w:rPr>
          <w:rFonts w:asciiTheme="minorEastAsia" w:eastAsiaTheme="minorEastAsia" w:hAnsiTheme="minorEastAsia" w:hint="eastAsia"/>
        </w:rPr>
        <w:t>的金融</w:t>
      </w:r>
      <w:r w:rsidRPr="00721084">
        <w:rPr>
          <w:rFonts w:asciiTheme="minorEastAsia" w:eastAsiaTheme="minorEastAsia" w:hAnsiTheme="minorEastAsia"/>
        </w:rPr>
        <w:t>工具</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公司行为信息</w:t>
      </w:r>
      <w:r w:rsidRPr="00721084">
        <w:rPr>
          <w:rFonts w:asciiTheme="minorEastAsia" w:eastAsiaTheme="minorEastAsia" w:hAnsiTheme="minorEastAsia" w:hint="eastAsia"/>
        </w:rPr>
        <w:tab/>
        <w:t>指证券发行人所公告的会或将会影响到基金资产的价值及权益的任何未完成或已完成的行动，及其他与本基金所投资的证券发行公司有关的重大信息，包括但不限于权益派发、配股、提前赎回等信息</w:t>
      </w:r>
    </w:p>
    <w:p w:rsidR="004552B6" w:rsidRPr="00721084" w:rsidRDefault="00BD70FA" w:rsidP="004552B6">
      <w:pPr>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指定媒</w:t>
      </w:r>
      <w:r w:rsidR="004552B6" w:rsidRPr="00721084">
        <w:rPr>
          <w:rFonts w:asciiTheme="minorEastAsia" w:eastAsiaTheme="minorEastAsia" w:hAnsiTheme="minorEastAsia" w:hint="eastAsia"/>
        </w:rPr>
        <w:t>介</w:t>
      </w:r>
      <w:r w:rsidRPr="00721084">
        <w:rPr>
          <w:rFonts w:asciiTheme="minorEastAsia" w:eastAsiaTheme="minorEastAsia" w:hAnsiTheme="minorEastAsia" w:hint="eastAsia"/>
        </w:rPr>
        <w:tab/>
      </w:r>
      <w:r w:rsidR="004552B6" w:rsidRPr="00721084">
        <w:rPr>
          <w:rFonts w:asciiTheme="minorEastAsia" w:eastAsiaTheme="minorEastAsia" w:hAnsiTheme="minorEastAsia" w:hint="eastAsia"/>
        </w:rPr>
        <w:t>指中国证监会指定的用以进行信息披露的全国性报刊及指定互联网网站（包括基金管理人网站、基金托管人网站、中国证监会基金电子披露网站）等媒介</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szCs w:val="21"/>
        </w:rPr>
        <w:t>基金份额持有人服务</w:t>
      </w:r>
      <w:r w:rsidRPr="00721084">
        <w:rPr>
          <w:rFonts w:asciiTheme="minorEastAsia" w:eastAsiaTheme="minorEastAsia" w:hAnsiTheme="minorEastAsia" w:hint="eastAsia"/>
          <w:szCs w:val="21"/>
        </w:rPr>
        <w:tab/>
        <w:t>指基金管理人承诺为基金份额持有人提供的一系列服务</w:t>
      </w:r>
    </w:p>
    <w:p w:rsidR="00BD70FA" w:rsidRPr="00721084" w:rsidRDefault="00BD70FA"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不可抗力指基金合同当事人不能预见、不能避免且不能克服的客观事件或因素，包括但不限于洪水、地震及其他自然灾害、战争、疫情、骚乱、火灾、政府征用、没收、恐怖袭击、传染病传播、法律法规变化、突发停电或其他突发事件、证券交易场所非正常暂停或停止交易等</w:t>
      </w:r>
    </w:p>
    <w:p w:rsidR="00CE3F81" w:rsidRPr="00721084" w:rsidRDefault="00FE2C8B" w:rsidP="00CE3F81">
      <w:pPr>
        <w:snapToGrid w:val="0"/>
        <w:spacing w:line="360" w:lineRule="auto"/>
        <w:ind w:leftChars="200" w:left="2730" w:hangingChars="1100" w:hanging="2310"/>
        <w:rPr>
          <w:rFonts w:asciiTheme="minorEastAsia" w:eastAsiaTheme="minorEastAsia" w:hAnsiTheme="minorEastAsia"/>
        </w:rPr>
      </w:pPr>
      <w:r w:rsidRPr="00721084">
        <w:rPr>
          <w:rFonts w:asciiTheme="minorEastAsia" w:eastAsiaTheme="minorEastAsia" w:hAnsiTheme="minorEastAsia"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CE3F81" w:rsidRPr="00721084" w:rsidRDefault="00CE3F81" w:rsidP="00CE3F81">
      <w:pPr>
        <w:snapToGrid w:val="0"/>
        <w:spacing w:line="360" w:lineRule="auto"/>
        <w:ind w:leftChars="200" w:left="2730" w:hangingChars="1100" w:hanging="2310"/>
        <w:rPr>
          <w:rFonts w:asciiTheme="minorEastAsia" w:eastAsiaTheme="minorEastAsia" w:hAnsiTheme="minorEastAsia"/>
        </w:rPr>
      </w:pPr>
    </w:p>
    <w:p w:rsidR="00D668E6" w:rsidRPr="00721084" w:rsidRDefault="00D668E6" w:rsidP="000D1356">
      <w:pPr>
        <w:snapToGrid w:val="0"/>
        <w:spacing w:line="360" w:lineRule="auto"/>
        <w:rPr>
          <w:rFonts w:asciiTheme="minorEastAsia" w:eastAsiaTheme="minorEastAsia" w:hAnsiTheme="minorEastAsia"/>
        </w:rPr>
        <w:sectPr w:rsidR="00D668E6" w:rsidRPr="00721084">
          <w:pgSz w:w="11906" w:h="16838" w:code="9"/>
          <w:pgMar w:top="1440" w:right="1800" w:bottom="1440" w:left="1800" w:header="851" w:footer="992" w:gutter="0"/>
          <w:cols w:space="425"/>
          <w:docGrid w:type="lines" w:linePitch="312"/>
        </w:sectPr>
      </w:pPr>
    </w:p>
    <w:p w:rsidR="0064594E"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4" w:name="_Toc44351060"/>
      <w:r w:rsidRPr="00721084">
        <w:rPr>
          <w:rFonts w:asciiTheme="minorEastAsia" w:eastAsiaTheme="minorEastAsia" w:hAnsiTheme="minorEastAsia" w:hint="eastAsia"/>
        </w:rPr>
        <w:lastRenderedPageBreak/>
        <w:t>风险揭示</w:t>
      </w:r>
      <w:bookmarkEnd w:id="4"/>
    </w:p>
    <w:p w:rsidR="0064594E" w:rsidRPr="00721084" w:rsidRDefault="00FA0A50" w:rsidP="002843F6">
      <w:pPr>
        <w:spacing w:line="360" w:lineRule="auto"/>
        <w:ind w:firstLineChars="200" w:firstLine="420"/>
        <w:rPr>
          <w:rFonts w:asciiTheme="minorEastAsia" w:eastAsiaTheme="minorEastAsia" w:hAnsiTheme="minorEastAsia" w:cs="Arial"/>
          <w:szCs w:val="21"/>
        </w:rPr>
      </w:pPr>
      <w:bookmarkStart w:id="5" w:name="_Toc296440057"/>
      <w:bookmarkStart w:id="6" w:name="_Toc296526871"/>
      <w:bookmarkStart w:id="7" w:name="_Toc306614138"/>
      <w:r w:rsidRPr="00721084">
        <w:rPr>
          <w:rFonts w:asciiTheme="minorEastAsia" w:eastAsiaTheme="minorEastAsia" w:hAnsiTheme="minorEastAsia"/>
          <w:szCs w:val="21"/>
        </w:rPr>
        <w:t>本基金的投资运作中可能出现的风险包括</w:t>
      </w:r>
      <w:r w:rsidRPr="00721084">
        <w:rPr>
          <w:rFonts w:asciiTheme="minorEastAsia" w:eastAsiaTheme="minorEastAsia" w:hAnsiTheme="minorEastAsia" w:hint="eastAsia"/>
          <w:szCs w:val="21"/>
        </w:rPr>
        <w:t>本</w:t>
      </w:r>
      <w:r w:rsidRPr="00721084">
        <w:rPr>
          <w:rFonts w:asciiTheme="minorEastAsia" w:eastAsiaTheme="minorEastAsia" w:hAnsiTheme="minorEastAsia"/>
          <w:szCs w:val="21"/>
        </w:rPr>
        <w:t>基金特有</w:t>
      </w:r>
      <w:r w:rsidRPr="00721084">
        <w:rPr>
          <w:rFonts w:asciiTheme="minorEastAsia" w:eastAsiaTheme="minorEastAsia" w:hAnsiTheme="minorEastAsia" w:hint="eastAsia"/>
          <w:szCs w:val="21"/>
        </w:rPr>
        <w:t>的</w:t>
      </w:r>
      <w:r w:rsidRPr="00721084">
        <w:rPr>
          <w:rFonts w:asciiTheme="minorEastAsia" w:eastAsiaTheme="minorEastAsia" w:hAnsiTheme="minorEastAsia"/>
          <w:szCs w:val="21"/>
        </w:rPr>
        <w:t>风险、投资风险、运作风险</w:t>
      </w:r>
      <w:r w:rsidR="00B03607" w:rsidRPr="00721084">
        <w:rPr>
          <w:rFonts w:asciiTheme="minorEastAsia" w:eastAsiaTheme="minorEastAsia" w:hAnsiTheme="minorEastAsia" w:hint="eastAsia"/>
          <w:szCs w:val="21"/>
        </w:rPr>
        <w:t>、本基金法律文件中涉及基金风险特征的表述与销售机构对基金的风险评级可能不一致的风险、</w:t>
      </w:r>
      <w:r w:rsidRPr="00721084">
        <w:rPr>
          <w:rFonts w:asciiTheme="minorEastAsia" w:eastAsiaTheme="minorEastAsia" w:hAnsiTheme="minorEastAsia" w:hint="eastAsia"/>
          <w:szCs w:val="21"/>
        </w:rPr>
        <w:t>其他风险</w:t>
      </w:r>
      <w:r w:rsidR="005250FF" w:rsidRPr="00721084">
        <w:rPr>
          <w:rFonts w:asciiTheme="minorEastAsia" w:eastAsiaTheme="minorEastAsia" w:hAnsiTheme="minorEastAsia" w:hint="eastAsia"/>
          <w:szCs w:val="21"/>
        </w:rPr>
        <w:t>五</w:t>
      </w:r>
      <w:r w:rsidRPr="00721084">
        <w:rPr>
          <w:rFonts w:asciiTheme="minorEastAsia" w:eastAsiaTheme="minorEastAsia" w:hAnsiTheme="minorEastAsia"/>
          <w:szCs w:val="21"/>
        </w:rPr>
        <w:t>类</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其中</w:t>
      </w:r>
      <w:r w:rsidRPr="00721084">
        <w:rPr>
          <w:rFonts w:asciiTheme="minorEastAsia" w:eastAsiaTheme="minorEastAsia" w:hAnsiTheme="minorEastAsia" w:hint="eastAsia"/>
          <w:szCs w:val="21"/>
        </w:rPr>
        <w:t>，本</w:t>
      </w:r>
      <w:r w:rsidRPr="00721084">
        <w:rPr>
          <w:rFonts w:asciiTheme="minorEastAsia" w:eastAsiaTheme="minorEastAsia" w:hAnsiTheme="minorEastAsia"/>
          <w:szCs w:val="21"/>
        </w:rPr>
        <w:t>基金特</w:t>
      </w:r>
      <w:r w:rsidRPr="00721084">
        <w:rPr>
          <w:rFonts w:asciiTheme="minorEastAsia" w:eastAsiaTheme="minorEastAsia" w:hAnsiTheme="minorEastAsia" w:hint="eastAsia"/>
          <w:szCs w:val="21"/>
        </w:rPr>
        <w:t>有的风险包括境外市场风险、投资</w:t>
      </w:r>
      <w:r w:rsidRPr="00721084">
        <w:rPr>
          <w:rFonts w:asciiTheme="minorEastAsia" w:eastAsiaTheme="minorEastAsia" w:hAnsiTheme="minorEastAsia"/>
          <w:szCs w:val="21"/>
        </w:rPr>
        <w:t>策略的实施风险、</w:t>
      </w:r>
      <w:r w:rsidRPr="00721084">
        <w:rPr>
          <w:rFonts w:asciiTheme="minorEastAsia" w:eastAsiaTheme="minorEastAsia" w:hAnsiTheme="minorEastAsia" w:hint="eastAsia"/>
          <w:szCs w:val="21"/>
        </w:rPr>
        <w:t>第三方机构服务的风险、管理风险、关于引入境外托管人的相关风险等</w:t>
      </w:r>
      <w:r w:rsidRPr="00721084">
        <w:rPr>
          <w:rFonts w:asciiTheme="minorEastAsia" w:eastAsiaTheme="minorEastAsia" w:hAnsiTheme="minorEastAsia"/>
          <w:szCs w:val="21"/>
        </w:rPr>
        <w:t>；投资风险主要包括</w:t>
      </w:r>
      <w:r w:rsidRPr="00721084">
        <w:rPr>
          <w:rFonts w:asciiTheme="minorEastAsia" w:eastAsiaTheme="minorEastAsia" w:hAnsiTheme="minorEastAsia" w:hint="eastAsia"/>
          <w:szCs w:val="21"/>
        </w:rPr>
        <w:t>市场风险</w:t>
      </w:r>
      <w:r w:rsidRPr="00721084">
        <w:rPr>
          <w:rFonts w:asciiTheme="minorEastAsia" w:eastAsiaTheme="minorEastAsia" w:hAnsiTheme="minorEastAsia"/>
          <w:szCs w:val="21"/>
        </w:rPr>
        <w:t>、政府管制风险、监管风险、政治风险、流动性风险、汇率风险、利率风险、衍生品风险、金融模型风险、信用风险等；运作风险主要包括操作风险、会计核算风险、</w:t>
      </w:r>
      <w:r w:rsidRPr="00721084">
        <w:rPr>
          <w:rFonts w:asciiTheme="minorEastAsia" w:eastAsiaTheme="minorEastAsia" w:hAnsiTheme="minorEastAsia" w:hint="eastAsia"/>
          <w:szCs w:val="21"/>
        </w:rPr>
        <w:t>法律</w:t>
      </w:r>
      <w:r w:rsidRPr="00721084">
        <w:rPr>
          <w:rFonts w:asciiTheme="minorEastAsia" w:eastAsiaTheme="minorEastAsia" w:hAnsiTheme="minorEastAsia"/>
          <w:szCs w:val="21"/>
        </w:rPr>
        <w:t>及税务风险、交易结算风险、证券借贷/正回购/逆回购风险等。</w:t>
      </w:r>
      <w:bookmarkEnd w:id="5"/>
      <w:bookmarkEnd w:id="6"/>
      <w:bookmarkEnd w:id="7"/>
    </w:p>
    <w:p w:rsidR="00BF65A5" w:rsidRPr="00721084" w:rsidRDefault="00BF65A5" w:rsidP="002843F6">
      <w:pPr>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一</w:t>
      </w:r>
      <w:r w:rsidRPr="00721084">
        <w:rPr>
          <w:rFonts w:asciiTheme="minorEastAsia" w:eastAsiaTheme="minorEastAsia" w:hAnsiTheme="minorEastAsia" w:cs="Arial"/>
          <w:szCs w:val="21"/>
        </w:rPr>
        <w:t>、本基金特有风险</w:t>
      </w:r>
    </w:p>
    <w:p w:rsidR="00FA0A50" w:rsidRPr="00721084" w:rsidRDefault="00FA0A50" w:rsidP="00FA0A50">
      <w:pPr>
        <w:spacing w:line="360" w:lineRule="auto"/>
        <w:ind w:firstLineChars="225" w:firstLine="473"/>
        <w:rPr>
          <w:rFonts w:asciiTheme="minorEastAsia" w:eastAsiaTheme="minorEastAsia" w:hAnsiTheme="minorEastAsia"/>
          <w:szCs w:val="21"/>
        </w:rPr>
      </w:pPr>
      <w:bookmarkStart w:id="8" w:name="_Toc296440060"/>
      <w:bookmarkStart w:id="9" w:name="_Toc296526874"/>
      <w:bookmarkStart w:id="10" w:name="_Toc306614141"/>
      <w:bookmarkStart w:id="11" w:name="_Toc308079776"/>
      <w:bookmarkStart w:id="12" w:name="_Toc308190018"/>
      <w:bookmarkStart w:id="13" w:name="_Toc309285748"/>
      <w:bookmarkStart w:id="14" w:name="_Toc310510726"/>
      <w:r w:rsidRPr="00721084">
        <w:rPr>
          <w:rFonts w:asciiTheme="minorEastAsia" w:eastAsiaTheme="minorEastAsia" w:hAnsiTheme="minorEastAsia" w:hint="eastAsia"/>
          <w:szCs w:val="21"/>
        </w:rPr>
        <w:t>1、</w:t>
      </w:r>
      <w:bookmarkEnd w:id="8"/>
      <w:bookmarkEnd w:id="9"/>
      <w:bookmarkEnd w:id="10"/>
      <w:bookmarkEnd w:id="11"/>
      <w:bookmarkEnd w:id="12"/>
      <w:bookmarkEnd w:id="13"/>
      <w:bookmarkEnd w:id="14"/>
      <w:r w:rsidRPr="00721084">
        <w:rPr>
          <w:rFonts w:asciiTheme="minorEastAsia" w:eastAsiaTheme="minorEastAsia" w:hAnsiTheme="minorEastAsia" w:hint="eastAsia"/>
          <w:szCs w:val="21"/>
        </w:rPr>
        <w:t>境外市场风险</w:t>
      </w:r>
    </w:p>
    <w:p w:rsidR="00FA0A50" w:rsidRPr="00721084" w:rsidRDefault="00FA0A50" w:rsidP="00147F41">
      <w:pPr>
        <w:spacing w:line="360" w:lineRule="auto"/>
        <w:ind w:firstLineChars="225" w:firstLine="473"/>
        <w:rPr>
          <w:rFonts w:asciiTheme="minorEastAsia" w:eastAsiaTheme="minorEastAsia" w:hAnsiTheme="minorEastAsia"/>
          <w:szCs w:val="21"/>
        </w:rPr>
      </w:pPr>
      <w:r w:rsidRPr="00721084">
        <w:rPr>
          <w:rFonts w:asciiTheme="minorEastAsia" w:eastAsiaTheme="minorEastAsia" w:hAnsiTheme="minorEastAsia" w:hint="eastAsia"/>
          <w:szCs w:val="21"/>
        </w:rPr>
        <w:t>由于本基金主要投资于境外证券</w:t>
      </w:r>
      <w:r w:rsidRPr="00721084">
        <w:rPr>
          <w:rFonts w:asciiTheme="minorEastAsia" w:eastAsiaTheme="minorEastAsia" w:hAnsiTheme="minorEastAsia"/>
          <w:szCs w:val="21"/>
        </w:rPr>
        <w:t>市场</w:t>
      </w:r>
      <w:r w:rsidRPr="00721084">
        <w:rPr>
          <w:rFonts w:asciiTheme="minorEastAsia" w:eastAsiaTheme="minorEastAsia" w:hAnsiTheme="minorEastAsia" w:hint="eastAsia"/>
          <w:szCs w:val="21"/>
        </w:rPr>
        <w:t>，境外证券市场可能对于负面的特定事件、该国或地区特有的政治因素、法律法规、市场状况、经济发展趋势的反映较境内证券市场有诸多不同。此外，由于亚洲</w:t>
      </w:r>
      <w:r w:rsidRPr="00721084">
        <w:rPr>
          <w:rFonts w:asciiTheme="minorEastAsia" w:eastAsiaTheme="minorEastAsia" w:hAnsiTheme="minorEastAsia"/>
          <w:szCs w:val="21"/>
        </w:rPr>
        <w:t>各个国家或地区之间宏观经济与证券市场等发展水平的不均衡程度较高，本基金在区域配置上可能会较大比例地投资于</w:t>
      </w:r>
      <w:r w:rsidRPr="00721084">
        <w:rPr>
          <w:rFonts w:asciiTheme="minorEastAsia" w:eastAsiaTheme="minorEastAsia" w:hAnsiTheme="minorEastAsia" w:hint="eastAsia"/>
          <w:szCs w:val="21"/>
        </w:rPr>
        <w:t>少数</w:t>
      </w:r>
      <w:r w:rsidRPr="00721084">
        <w:rPr>
          <w:rFonts w:asciiTheme="minorEastAsia" w:eastAsiaTheme="minorEastAsia" w:hAnsiTheme="minorEastAsia"/>
          <w:szCs w:val="21"/>
        </w:rPr>
        <w:t>几个国家或地区，从而</w:t>
      </w:r>
      <w:r w:rsidRPr="00721084">
        <w:rPr>
          <w:rFonts w:asciiTheme="minorEastAsia" w:eastAsiaTheme="minorEastAsia" w:hAnsiTheme="minorEastAsia" w:hint="eastAsia"/>
          <w:szCs w:val="21"/>
        </w:rPr>
        <w:t>这些</w:t>
      </w:r>
      <w:r w:rsidRPr="00721084">
        <w:rPr>
          <w:rFonts w:asciiTheme="minorEastAsia" w:eastAsiaTheme="minorEastAsia" w:hAnsiTheme="minorEastAsia"/>
          <w:szCs w:val="21"/>
        </w:rPr>
        <w:t>国家或地区的证券市场的投资风险将对本基金的投资业绩产生重要影响。由于</w:t>
      </w:r>
      <w:r w:rsidRPr="00721084">
        <w:rPr>
          <w:rFonts w:asciiTheme="minorEastAsia" w:eastAsiaTheme="minorEastAsia" w:hAnsiTheme="minorEastAsia" w:hint="eastAsia"/>
          <w:szCs w:val="21"/>
        </w:rPr>
        <w:t>部分国家</w:t>
      </w:r>
      <w:r w:rsidRPr="00721084">
        <w:rPr>
          <w:rFonts w:asciiTheme="minorEastAsia" w:eastAsiaTheme="minorEastAsia" w:hAnsiTheme="minorEastAsia"/>
          <w:szCs w:val="21"/>
        </w:rPr>
        <w:t>或者地区具有特殊的产业结构，偏重于某些特定行业的发展，因此可能会导致本基金在</w:t>
      </w:r>
      <w:r w:rsidRPr="00721084">
        <w:rPr>
          <w:rFonts w:asciiTheme="minorEastAsia" w:eastAsiaTheme="minorEastAsia" w:hAnsiTheme="minorEastAsia" w:hint="eastAsia"/>
          <w:szCs w:val="21"/>
        </w:rPr>
        <w:t>行业</w:t>
      </w:r>
      <w:r w:rsidRPr="00721084">
        <w:rPr>
          <w:rFonts w:asciiTheme="minorEastAsia" w:eastAsiaTheme="minorEastAsia" w:hAnsiTheme="minorEastAsia"/>
          <w:szCs w:val="21"/>
        </w:rPr>
        <w:t>配置上的不均衡，这些特定行业所处的</w:t>
      </w:r>
      <w:r w:rsidRPr="00721084">
        <w:rPr>
          <w:rFonts w:asciiTheme="minorEastAsia" w:eastAsiaTheme="minorEastAsia" w:hAnsiTheme="minorEastAsia" w:hint="eastAsia"/>
          <w:szCs w:val="21"/>
        </w:rPr>
        <w:t>景气</w:t>
      </w:r>
      <w:r w:rsidRPr="00721084">
        <w:rPr>
          <w:rFonts w:asciiTheme="minorEastAsia" w:eastAsiaTheme="minorEastAsia" w:hAnsiTheme="minorEastAsia"/>
          <w:szCs w:val="21"/>
        </w:rPr>
        <w:t>周期将对本基金的投资业绩产生一定的影响。</w:t>
      </w:r>
    </w:p>
    <w:p w:rsidR="00394FBC" w:rsidRPr="00721084" w:rsidRDefault="00394FBC" w:rsidP="00394FBC">
      <w:pPr>
        <w:spacing w:line="360" w:lineRule="auto"/>
        <w:ind w:firstLineChars="225" w:firstLine="473"/>
        <w:rPr>
          <w:rFonts w:asciiTheme="minorEastAsia" w:eastAsiaTheme="minorEastAsia" w:hAnsiTheme="minorEastAsia"/>
        </w:rPr>
      </w:pPr>
      <w:r w:rsidRPr="00721084">
        <w:rPr>
          <w:rFonts w:asciiTheme="minorEastAsia" w:eastAsiaTheme="minorEastAsia" w:hAnsiTheme="minorEastAsia" w:hint="eastAsia"/>
          <w:szCs w:val="21"/>
        </w:rPr>
        <w:t>2、</w:t>
      </w:r>
      <w:r w:rsidRPr="00721084">
        <w:rPr>
          <w:rFonts w:asciiTheme="minorEastAsia" w:eastAsiaTheme="minorEastAsia" w:hAnsiTheme="minorEastAsia" w:hint="eastAsia"/>
        </w:rPr>
        <w:t>通过内地与香港股票市场交易互联互通机制投资于香港市场股票的风险</w:t>
      </w:r>
    </w:p>
    <w:p w:rsidR="00394FBC" w:rsidRPr="00721084" w:rsidRDefault="00394FBC" w:rsidP="00394FBC">
      <w:pPr>
        <w:spacing w:line="360" w:lineRule="auto"/>
        <w:ind w:firstLineChars="225" w:firstLine="473"/>
        <w:rPr>
          <w:rFonts w:asciiTheme="minorEastAsia" w:eastAsiaTheme="minorEastAsia" w:hAnsiTheme="minorEastAsia"/>
        </w:rPr>
      </w:pPr>
      <w:r w:rsidRPr="00721084">
        <w:rPr>
          <w:rFonts w:asciiTheme="minorEastAsia" w:eastAsiaTheme="minorEastAsia" w:hAnsiTheme="minorEastAsia" w:hint="eastAsia"/>
        </w:rPr>
        <w:t>若本基金通过内地与香港股票市场交易互联互通机制投资于香港市场股票，本基金还将面临以下特有风险，包括但不限于：</w:t>
      </w:r>
    </w:p>
    <w:p w:rsidR="00394FBC" w:rsidRPr="00721084" w:rsidRDefault="00394FBC" w:rsidP="00394FBC">
      <w:pPr>
        <w:spacing w:line="336" w:lineRule="auto"/>
        <w:ind w:firstLine="420"/>
        <w:jc w:val="left"/>
        <w:rPr>
          <w:rFonts w:asciiTheme="minorEastAsia" w:eastAsiaTheme="minorEastAsia" w:hAnsiTheme="minorEastAsia"/>
          <w:kern w:val="0"/>
          <w:szCs w:val="21"/>
        </w:rPr>
      </w:pPr>
      <w:r w:rsidRPr="00721084">
        <w:rPr>
          <w:rFonts w:asciiTheme="minorEastAsia" w:eastAsiaTheme="minorEastAsia" w:hAnsiTheme="minorEastAsia" w:hint="eastAsia"/>
        </w:rPr>
        <w:t>（1）港股通制度下对公司行为的处理规则带来的风险。本基金因所持香港证券市场股票权益分派、转换、上市公司被收购等情形或者异常情况，所取得的港股通股票以外的香港联交所上市证券，只能通过港股通卖出，但不得买入；因港股通股票权益分派或者转换等情形取得的香港联交所上市股票的认购权利在联交所上市的，可以通过港股通卖出，但不得行权；因港股通股票权益分派、转换或者上市公司被收购等所取得的非联交所上市证券，可以享有相关权益，但不得通过港股通买入或卖出。本基金存在因上述规则，利益得不到最大化甚至受损的风险。</w:t>
      </w:r>
    </w:p>
    <w:p w:rsidR="00394FBC" w:rsidRPr="00721084" w:rsidRDefault="00394FBC" w:rsidP="00394FBC">
      <w:pPr>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（2）交易失败及交易中断的风险。在内地与香港股票市场交易互联互通机制下，港股通交易存在每日额度限制，本基金可能面临每日额度不足而交易失败的风险。若香港联交所</w:t>
      </w:r>
      <w:r w:rsidRPr="00721084">
        <w:rPr>
          <w:rFonts w:asciiTheme="minorEastAsia" w:eastAsiaTheme="minorEastAsia" w:hAnsiTheme="minorEastAsia" w:hint="eastAsia"/>
        </w:rPr>
        <w:lastRenderedPageBreak/>
        <w:t>与内地交易所的证券交易服务公司之间的报盘系统或者通信链路出现故障，可能导致15分钟以上不能申报和撤销申报的交易中断风险。</w:t>
      </w:r>
    </w:p>
    <w:p w:rsidR="00394FBC" w:rsidRPr="00721084" w:rsidRDefault="00394FBC" w:rsidP="00394FBC">
      <w:pPr>
        <w:spacing w:line="360" w:lineRule="auto"/>
        <w:ind w:firstLineChars="225" w:firstLine="473"/>
        <w:rPr>
          <w:rFonts w:asciiTheme="minorEastAsia" w:eastAsiaTheme="minorEastAsia" w:hAnsiTheme="minorEastAsia"/>
          <w:szCs w:val="21"/>
        </w:rPr>
      </w:pPr>
      <w:r w:rsidRPr="00721084">
        <w:rPr>
          <w:rFonts w:asciiTheme="minorEastAsia" w:eastAsiaTheme="minorEastAsia" w:hAnsiTheme="minorEastAsia" w:hint="eastAsia"/>
        </w:rPr>
        <w:t>（3）结算风险。香港结算机构可能因极端情况存在无法交付证券和资金的结算风险；另外港股通境内结算实施分级结算原则，本基金可能面临以下风险：因结算参与人未完成与中国结算的集中交收，导致本基金应收资金或证券被暂不交付或处置；结算参与人对本基金出现交收违约导致本基金未能取得应收证券或资金；结算参与人向中国结算发送的有关本基金的证券划付指令有误的导致本基金权益受损；其他因结算参与人未遵守相关业务规则导致本基金利益受到损害的情况。</w:t>
      </w:r>
    </w:p>
    <w:p w:rsidR="00FA0A50" w:rsidRPr="00721084" w:rsidRDefault="00394FBC" w:rsidP="0054364B">
      <w:pPr>
        <w:spacing w:line="360" w:lineRule="auto"/>
        <w:ind w:firstLineChars="225" w:firstLine="473"/>
        <w:rPr>
          <w:rFonts w:asciiTheme="minorEastAsia" w:eastAsiaTheme="minorEastAsia" w:hAnsiTheme="minorEastAsia"/>
          <w:szCs w:val="21"/>
        </w:rPr>
      </w:pPr>
      <w:r w:rsidRPr="00721084">
        <w:rPr>
          <w:rFonts w:asciiTheme="minorEastAsia" w:eastAsiaTheme="minorEastAsia" w:hAnsiTheme="minorEastAsia"/>
          <w:szCs w:val="21"/>
        </w:rPr>
        <w:t>3</w:t>
      </w:r>
      <w:r w:rsidR="00FA0A50" w:rsidRPr="00721084">
        <w:rPr>
          <w:rFonts w:asciiTheme="minorEastAsia" w:eastAsiaTheme="minorEastAsia" w:hAnsiTheme="minorEastAsia"/>
          <w:szCs w:val="21"/>
        </w:rPr>
        <w:t>、投资策略</w:t>
      </w:r>
      <w:r w:rsidR="00FA0A50" w:rsidRPr="00721084">
        <w:rPr>
          <w:rFonts w:asciiTheme="minorEastAsia" w:eastAsiaTheme="minorEastAsia" w:hAnsiTheme="minorEastAsia" w:hint="eastAsia"/>
          <w:szCs w:val="21"/>
        </w:rPr>
        <w:t>的</w:t>
      </w:r>
      <w:r w:rsidR="00FA0A50" w:rsidRPr="00721084">
        <w:rPr>
          <w:rFonts w:asciiTheme="minorEastAsia" w:eastAsiaTheme="minorEastAsia" w:hAnsiTheme="minorEastAsia"/>
          <w:szCs w:val="21"/>
        </w:rPr>
        <w:t>实施风险</w:t>
      </w:r>
    </w:p>
    <w:p w:rsidR="00FA0A50" w:rsidRPr="00721084" w:rsidRDefault="00FA0A50" w:rsidP="0054364B">
      <w:pPr>
        <w:spacing w:line="360" w:lineRule="auto"/>
        <w:ind w:firstLineChars="225" w:firstLine="473"/>
        <w:rPr>
          <w:rFonts w:asciiTheme="minorEastAsia" w:eastAsiaTheme="minorEastAsia" w:hAnsiTheme="minorEastAsia"/>
          <w:szCs w:val="21"/>
        </w:rPr>
      </w:pPr>
      <w:r w:rsidRPr="00721084">
        <w:rPr>
          <w:rFonts w:asciiTheme="minorEastAsia" w:eastAsiaTheme="minorEastAsia" w:hAnsiTheme="minorEastAsia" w:hint="eastAsia"/>
          <w:szCs w:val="21"/>
        </w:rPr>
        <w:t>本</w:t>
      </w:r>
      <w:r w:rsidRPr="00721084">
        <w:rPr>
          <w:rFonts w:asciiTheme="minorEastAsia" w:eastAsiaTheme="minorEastAsia" w:hAnsiTheme="minorEastAsia"/>
          <w:szCs w:val="21"/>
        </w:rPr>
        <w:t>基金的投资策略中包含</w:t>
      </w:r>
      <w:r w:rsidRPr="00721084">
        <w:rPr>
          <w:rFonts w:asciiTheme="minorEastAsia" w:eastAsiaTheme="minorEastAsia" w:hAnsiTheme="minorEastAsia" w:hint="eastAsia"/>
          <w:szCs w:val="21"/>
        </w:rPr>
        <w:t>了</w:t>
      </w:r>
      <w:r w:rsidRPr="00721084">
        <w:rPr>
          <w:rFonts w:asciiTheme="minorEastAsia" w:eastAsiaTheme="minorEastAsia" w:hAnsiTheme="minorEastAsia"/>
          <w:szCs w:val="21"/>
        </w:rPr>
        <w:t>投资境外市场股票、债券、货币市场工具、证券投资基金、全球存托凭证、美国存托凭证、</w:t>
      </w:r>
      <w:r w:rsidRPr="00721084">
        <w:rPr>
          <w:rFonts w:asciiTheme="minorEastAsia" w:eastAsiaTheme="minorEastAsia" w:hAnsiTheme="minorEastAsia" w:hint="eastAsia"/>
          <w:szCs w:val="21"/>
        </w:rPr>
        <w:t>金融衍生</w:t>
      </w:r>
      <w:r w:rsidRPr="00721084">
        <w:rPr>
          <w:rFonts w:asciiTheme="minorEastAsia" w:eastAsiaTheme="minorEastAsia" w:hAnsiTheme="minorEastAsia"/>
          <w:szCs w:val="21"/>
        </w:rPr>
        <w:t>品的策略，相比于</w:t>
      </w:r>
      <w:r w:rsidRPr="00721084">
        <w:rPr>
          <w:rFonts w:asciiTheme="minorEastAsia" w:eastAsiaTheme="minorEastAsia" w:hAnsiTheme="minorEastAsia" w:hint="eastAsia"/>
          <w:szCs w:val="21"/>
        </w:rPr>
        <w:t>投资</w:t>
      </w:r>
      <w:r w:rsidRPr="00721084">
        <w:rPr>
          <w:rFonts w:asciiTheme="minorEastAsia" w:eastAsiaTheme="minorEastAsia" w:hAnsiTheme="minorEastAsia"/>
          <w:szCs w:val="21"/>
        </w:rPr>
        <w:t>境内的</w:t>
      </w:r>
      <w:r w:rsidRPr="00721084">
        <w:rPr>
          <w:rFonts w:asciiTheme="minorEastAsia" w:eastAsiaTheme="minorEastAsia" w:hAnsiTheme="minorEastAsia" w:hint="eastAsia"/>
          <w:szCs w:val="21"/>
        </w:rPr>
        <w:t>金融</w:t>
      </w:r>
      <w:r w:rsidRPr="00721084">
        <w:rPr>
          <w:rFonts w:asciiTheme="minorEastAsia" w:eastAsiaTheme="minorEastAsia" w:hAnsiTheme="minorEastAsia"/>
          <w:szCs w:val="21"/>
        </w:rPr>
        <w:t>工具，投资以上境外</w:t>
      </w:r>
      <w:r w:rsidRPr="00721084">
        <w:rPr>
          <w:rFonts w:asciiTheme="minorEastAsia" w:eastAsiaTheme="minorEastAsia" w:hAnsiTheme="minorEastAsia" w:hint="eastAsia"/>
          <w:szCs w:val="21"/>
        </w:rPr>
        <w:t>金融</w:t>
      </w:r>
      <w:r w:rsidRPr="00721084">
        <w:rPr>
          <w:rFonts w:asciiTheme="minorEastAsia" w:eastAsiaTheme="minorEastAsia" w:hAnsiTheme="minorEastAsia"/>
          <w:szCs w:val="21"/>
        </w:rPr>
        <w:t>工具</w:t>
      </w:r>
      <w:r w:rsidRPr="00721084">
        <w:rPr>
          <w:rFonts w:asciiTheme="minorEastAsia" w:eastAsiaTheme="minorEastAsia" w:hAnsiTheme="minorEastAsia" w:hint="eastAsia"/>
          <w:szCs w:val="21"/>
        </w:rPr>
        <w:t>涉及</w:t>
      </w:r>
      <w:r w:rsidRPr="00721084">
        <w:rPr>
          <w:rFonts w:asciiTheme="minorEastAsia" w:eastAsiaTheme="minorEastAsia" w:hAnsiTheme="minorEastAsia"/>
          <w:szCs w:val="21"/>
        </w:rPr>
        <w:t>更为复杂的交易流程</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对交易参与各方的技术系统、</w:t>
      </w:r>
      <w:r w:rsidRPr="00721084">
        <w:rPr>
          <w:rFonts w:asciiTheme="minorEastAsia" w:eastAsiaTheme="minorEastAsia" w:hAnsiTheme="minorEastAsia" w:hint="eastAsia"/>
          <w:szCs w:val="21"/>
        </w:rPr>
        <w:t>人员</w:t>
      </w:r>
      <w:r w:rsidRPr="00721084">
        <w:rPr>
          <w:rFonts w:asciiTheme="minorEastAsia" w:eastAsiaTheme="minorEastAsia" w:hAnsiTheme="minorEastAsia"/>
          <w:szCs w:val="21"/>
        </w:rPr>
        <w:t>支持、</w:t>
      </w:r>
      <w:r w:rsidRPr="00721084">
        <w:rPr>
          <w:rFonts w:asciiTheme="minorEastAsia" w:eastAsiaTheme="minorEastAsia" w:hAnsiTheme="minorEastAsia" w:hint="eastAsia"/>
          <w:szCs w:val="21"/>
        </w:rPr>
        <w:t>操作</w:t>
      </w:r>
      <w:r w:rsidRPr="00721084">
        <w:rPr>
          <w:rFonts w:asciiTheme="minorEastAsia" w:eastAsiaTheme="minorEastAsia" w:hAnsiTheme="minorEastAsia"/>
          <w:szCs w:val="21"/>
        </w:rPr>
        <w:t>效率等具有更高的要求，基金管理人在执行以上投资品种的投资策略</w:t>
      </w:r>
      <w:r w:rsidRPr="00721084">
        <w:rPr>
          <w:rFonts w:asciiTheme="minorEastAsia" w:eastAsiaTheme="minorEastAsia" w:hAnsiTheme="minorEastAsia" w:hint="eastAsia"/>
          <w:szCs w:val="21"/>
        </w:rPr>
        <w:t>时</w:t>
      </w:r>
      <w:r w:rsidRPr="00721084">
        <w:rPr>
          <w:rFonts w:asciiTheme="minorEastAsia" w:eastAsiaTheme="minorEastAsia" w:hAnsiTheme="minorEastAsia"/>
          <w:szCs w:val="21"/>
        </w:rPr>
        <w:t>，有可能面临因</w:t>
      </w:r>
      <w:r w:rsidRPr="00721084">
        <w:rPr>
          <w:rFonts w:asciiTheme="minorEastAsia" w:eastAsiaTheme="minorEastAsia" w:hAnsiTheme="minorEastAsia" w:hint="eastAsia"/>
          <w:szCs w:val="21"/>
        </w:rPr>
        <w:t>境内</w:t>
      </w:r>
      <w:r w:rsidRPr="00721084">
        <w:rPr>
          <w:rFonts w:asciiTheme="minorEastAsia" w:eastAsiaTheme="minorEastAsia" w:hAnsiTheme="minorEastAsia"/>
          <w:szCs w:val="21"/>
        </w:rPr>
        <w:t>基金托管人、</w:t>
      </w:r>
      <w:r w:rsidRPr="00721084">
        <w:rPr>
          <w:rFonts w:asciiTheme="minorEastAsia" w:eastAsiaTheme="minorEastAsia" w:hAnsiTheme="minorEastAsia" w:hint="eastAsia"/>
          <w:szCs w:val="21"/>
        </w:rPr>
        <w:t>境外</w:t>
      </w:r>
      <w:r w:rsidRPr="00721084">
        <w:rPr>
          <w:rFonts w:asciiTheme="minorEastAsia" w:eastAsiaTheme="minorEastAsia" w:hAnsiTheme="minorEastAsia"/>
          <w:szCs w:val="21"/>
        </w:rPr>
        <w:t>基金托管人、境外证券交易所、境外期货交易所、境外证券与期货登记结算机构</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第三方服务机构的</w:t>
      </w:r>
      <w:r w:rsidRPr="00721084">
        <w:rPr>
          <w:rFonts w:asciiTheme="minorEastAsia" w:eastAsiaTheme="minorEastAsia" w:hAnsiTheme="minorEastAsia" w:hint="eastAsia"/>
          <w:szCs w:val="21"/>
        </w:rPr>
        <w:t>技术</w:t>
      </w:r>
      <w:r w:rsidRPr="00721084">
        <w:rPr>
          <w:rFonts w:asciiTheme="minorEastAsia" w:eastAsiaTheme="minorEastAsia" w:hAnsiTheme="minorEastAsia"/>
          <w:szCs w:val="21"/>
        </w:rPr>
        <w:t>系统问题、</w:t>
      </w:r>
      <w:r w:rsidRPr="00721084">
        <w:rPr>
          <w:rFonts w:asciiTheme="minorEastAsia" w:eastAsiaTheme="minorEastAsia" w:hAnsiTheme="minorEastAsia" w:hint="eastAsia"/>
          <w:szCs w:val="21"/>
        </w:rPr>
        <w:t>指令</w:t>
      </w:r>
      <w:r w:rsidRPr="00721084">
        <w:rPr>
          <w:rFonts w:asciiTheme="minorEastAsia" w:eastAsiaTheme="minorEastAsia" w:hAnsiTheme="minorEastAsia"/>
          <w:szCs w:val="21"/>
        </w:rPr>
        <w:t>执行流程正确性、</w:t>
      </w:r>
      <w:r w:rsidRPr="00721084">
        <w:rPr>
          <w:rFonts w:asciiTheme="minorEastAsia" w:eastAsiaTheme="minorEastAsia" w:hAnsiTheme="minorEastAsia" w:hint="eastAsia"/>
          <w:szCs w:val="21"/>
        </w:rPr>
        <w:t>指令</w:t>
      </w:r>
      <w:r w:rsidRPr="00721084">
        <w:rPr>
          <w:rFonts w:asciiTheme="minorEastAsia" w:eastAsiaTheme="minorEastAsia" w:hAnsiTheme="minorEastAsia"/>
          <w:szCs w:val="21"/>
        </w:rPr>
        <w:t>执行效率</w:t>
      </w:r>
      <w:r w:rsidRPr="00721084">
        <w:rPr>
          <w:rFonts w:asciiTheme="minorEastAsia" w:eastAsiaTheme="minorEastAsia" w:hAnsiTheme="minorEastAsia" w:hint="eastAsia"/>
          <w:szCs w:val="21"/>
        </w:rPr>
        <w:t>等问题</w:t>
      </w:r>
      <w:r w:rsidRPr="00721084">
        <w:rPr>
          <w:rFonts w:asciiTheme="minorEastAsia" w:eastAsiaTheme="minorEastAsia" w:hAnsiTheme="minorEastAsia"/>
          <w:szCs w:val="21"/>
        </w:rPr>
        <w:t>而导致的不能够及时、有效地实施或实现基金管理人投资策略的风险。</w:t>
      </w:r>
    </w:p>
    <w:p w:rsidR="00FA0A50" w:rsidRPr="00721084" w:rsidRDefault="00394FBC" w:rsidP="0054364B">
      <w:pPr>
        <w:spacing w:line="360" w:lineRule="auto"/>
        <w:ind w:firstLineChars="225" w:firstLine="473"/>
        <w:rPr>
          <w:rFonts w:asciiTheme="minorEastAsia" w:eastAsiaTheme="minorEastAsia" w:hAnsiTheme="minorEastAsia"/>
          <w:szCs w:val="21"/>
        </w:rPr>
      </w:pPr>
      <w:r w:rsidRPr="00721084">
        <w:rPr>
          <w:rFonts w:asciiTheme="minorEastAsia" w:eastAsiaTheme="minorEastAsia" w:hAnsiTheme="minorEastAsia"/>
          <w:szCs w:val="21"/>
        </w:rPr>
        <w:t>4</w:t>
      </w:r>
      <w:r w:rsidR="00FA0A50" w:rsidRPr="00721084">
        <w:rPr>
          <w:rFonts w:asciiTheme="minorEastAsia" w:eastAsiaTheme="minorEastAsia" w:hAnsiTheme="minorEastAsia"/>
          <w:szCs w:val="21"/>
        </w:rPr>
        <w:t>、</w:t>
      </w:r>
      <w:bookmarkStart w:id="15" w:name="_Toc299547541"/>
      <w:bookmarkStart w:id="16" w:name="_Toc299616127"/>
      <w:bookmarkStart w:id="17" w:name="_Toc308079789"/>
      <w:bookmarkStart w:id="18" w:name="_Toc308190032"/>
      <w:bookmarkStart w:id="19" w:name="_Toc309285761"/>
      <w:bookmarkStart w:id="20" w:name="_Toc310510736"/>
      <w:r w:rsidR="00FA0A50" w:rsidRPr="00721084">
        <w:rPr>
          <w:rFonts w:asciiTheme="minorEastAsia" w:eastAsiaTheme="minorEastAsia" w:hAnsiTheme="minorEastAsia" w:hint="eastAsia"/>
          <w:szCs w:val="21"/>
        </w:rPr>
        <w:t>第三方机构服务的风险</w:t>
      </w:r>
      <w:bookmarkEnd w:id="15"/>
      <w:bookmarkEnd w:id="16"/>
      <w:bookmarkEnd w:id="17"/>
      <w:bookmarkEnd w:id="18"/>
      <w:bookmarkEnd w:id="19"/>
      <w:bookmarkEnd w:id="20"/>
    </w:p>
    <w:p w:rsidR="00FA0A50" w:rsidRPr="00721084" w:rsidRDefault="00FA0A50" w:rsidP="0054364B">
      <w:pPr>
        <w:widowControl/>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本基金的部分服务委托第三方机构办理，存在以下风险：</w:t>
      </w:r>
    </w:p>
    <w:p w:rsidR="00FA0A50" w:rsidRPr="00721084" w:rsidRDefault="00FA0A50" w:rsidP="0054364B">
      <w:pPr>
        <w:spacing w:line="360" w:lineRule="auto"/>
        <w:ind w:firstLineChars="225" w:firstLine="473"/>
        <w:rPr>
          <w:rFonts w:asciiTheme="minorEastAsia" w:eastAsiaTheme="minorEastAsia" w:hAnsiTheme="minorEastAsia"/>
          <w:szCs w:val="21"/>
        </w:rPr>
      </w:pPr>
      <w:r w:rsidRPr="00721084">
        <w:rPr>
          <w:rFonts w:asciiTheme="minorEastAsia" w:eastAsiaTheme="minorEastAsia" w:hAnsiTheme="minorEastAsia" w:hint="eastAsia"/>
          <w:szCs w:val="21"/>
        </w:rPr>
        <w:t>证券交易所、期货交易所、证券与期货登记结算机构、基金托管人及其他代理机构可能违约，导致基金或投资者利益受损的风险。</w:t>
      </w:r>
    </w:p>
    <w:p w:rsidR="00FA0A50" w:rsidRPr="00721084" w:rsidRDefault="00394FBC" w:rsidP="0054364B">
      <w:pPr>
        <w:spacing w:line="360" w:lineRule="auto"/>
        <w:ind w:firstLineChars="225" w:firstLine="473"/>
        <w:rPr>
          <w:rFonts w:asciiTheme="minorEastAsia" w:eastAsiaTheme="minorEastAsia" w:hAnsiTheme="minorEastAsia"/>
          <w:szCs w:val="21"/>
        </w:rPr>
      </w:pPr>
      <w:r w:rsidRPr="00721084">
        <w:rPr>
          <w:rFonts w:asciiTheme="minorEastAsia" w:eastAsiaTheme="minorEastAsia" w:hAnsiTheme="minorEastAsia"/>
          <w:szCs w:val="21"/>
        </w:rPr>
        <w:t>5</w:t>
      </w:r>
      <w:r w:rsidR="00FA0A50" w:rsidRPr="00721084">
        <w:rPr>
          <w:rFonts w:asciiTheme="minorEastAsia" w:eastAsiaTheme="minorEastAsia" w:hAnsiTheme="minorEastAsia"/>
          <w:szCs w:val="21"/>
        </w:rPr>
        <w:t>、</w:t>
      </w:r>
      <w:bookmarkStart w:id="21" w:name="_Toc299616128"/>
      <w:bookmarkStart w:id="22" w:name="_Toc308079790"/>
      <w:bookmarkStart w:id="23" w:name="_Toc308190033"/>
      <w:bookmarkStart w:id="24" w:name="_Toc309285762"/>
      <w:bookmarkStart w:id="25" w:name="_Toc310510737"/>
      <w:r w:rsidR="00FA0A50" w:rsidRPr="00721084">
        <w:rPr>
          <w:rFonts w:asciiTheme="minorEastAsia" w:eastAsiaTheme="minorEastAsia" w:hAnsiTheme="minorEastAsia" w:hint="eastAsia"/>
          <w:szCs w:val="21"/>
        </w:rPr>
        <w:t>管理风险</w:t>
      </w:r>
      <w:bookmarkEnd w:id="21"/>
      <w:bookmarkEnd w:id="22"/>
      <w:bookmarkEnd w:id="23"/>
      <w:bookmarkEnd w:id="24"/>
      <w:bookmarkEnd w:id="25"/>
    </w:p>
    <w:p w:rsidR="00FA0A50" w:rsidRPr="00721084" w:rsidRDefault="00FA0A50" w:rsidP="008C40A3">
      <w:pPr>
        <w:widowControl/>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FA0A50" w:rsidRPr="00721084" w:rsidRDefault="00FA0A50" w:rsidP="00FA0A50">
      <w:pPr>
        <w:widowControl/>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相关当事人在业务各环节操作过程中，可能因内部控制存在缺陷或者人为因素造成操作失误或违反操作规程等引致风险，例如，越权违规交易、欺诈行为及交易错误等风险。</w:t>
      </w:r>
    </w:p>
    <w:p w:rsidR="00FA0A50" w:rsidRPr="00721084" w:rsidRDefault="00394FBC" w:rsidP="00FA0A50">
      <w:pPr>
        <w:widowControl/>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szCs w:val="21"/>
        </w:rPr>
        <w:t>6</w:t>
      </w:r>
      <w:r w:rsidR="00FA0A50" w:rsidRPr="00721084">
        <w:rPr>
          <w:rFonts w:asciiTheme="minorEastAsia" w:eastAsiaTheme="minorEastAsia" w:hAnsiTheme="minorEastAsia"/>
          <w:szCs w:val="21"/>
        </w:rPr>
        <w:t>、</w:t>
      </w:r>
      <w:r w:rsidR="00FA0A50" w:rsidRPr="00721084">
        <w:rPr>
          <w:rFonts w:asciiTheme="minorEastAsia" w:eastAsiaTheme="minorEastAsia" w:hAnsiTheme="minorEastAsia" w:hint="eastAsia"/>
          <w:szCs w:val="21"/>
        </w:rPr>
        <w:t>关于引入</w:t>
      </w:r>
      <w:r w:rsidR="00FA0A50" w:rsidRPr="00721084">
        <w:rPr>
          <w:rFonts w:asciiTheme="minorEastAsia" w:eastAsiaTheme="minorEastAsia" w:hAnsiTheme="minorEastAsia"/>
          <w:szCs w:val="21"/>
        </w:rPr>
        <w:t>境外托管人的相关风险</w:t>
      </w:r>
    </w:p>
    <w:p w:rsidR="00FA0A50" w:rsidRPr="00721084" w:rsidRDefault="00FA0A50" w:rsidP="00FA0A50">
      <w:pPr>
        <w:widowControl/>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1）</w:t>
      </w:r>
      <w:r w:rsidRPr="00721084">
        <w:rPr>
          <w:rFonts w:asciiTheme="minorEastAsia" w:eastAsiaTheme="minorEastAsia" w:hAnsiTheme="minorEastAsia" w:hint="eastAsia"/>
          <w:szCs w:val="21"/>
        </w:rPr>
        <w:t>境外第三方机构</w:t>
      </w:r>
      <w:r w:rsidRPr="00721084">
        <w:rPr>
          <w:rFonts w:asciiTheme="minorEastAsia" w:eastAsiaTheme="minorEastAsia" w:hAnsiTheme="minorEastAsia"/>
          <w:szCs w:val="21"/>
        </w:rPr>
        <w:t>服务的风险</w:t>
      </w:r>
    </w:p>
    <w:p w:rsidR="00FA0A50" w:rsidRPr="00721084" w:rsidRDefault="00FA0A50" w:rsidP="00FA0A50">
      <w:pPr>
        <w:widowControl/>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本</w:t>
      </w:r>
      <w:r w:rsidRPr="00721084">
        <w:rPr>
          <w:rFonts w:asciiTheme="minorEastAsia" w:eastAsiaTheme="minorEastAsia" w:hAnsiTheme="minorEastAsia"/>
          <w:szCs w:val="21"/>
        </w:rPr>
        <w:t>基金投资</w:t>
      </w:r>
      <w:r w:rsidRPr="00721084">
        <w:rPr>
          <w:rFonts w:asciiTheme="minorEastAsia" w:eastAsiaTheme="minorEastAsia" w:hAnsiTheme="minorEastAsia" w:hint="eastAsia"/>
          <w:szCs w:val="21"/>
        </w:rPr>
        <w:t>于境外市场，部分</w:t>
      </w:r>
      <w:r w:rsidRPr="00721084">
        <w:rPr>
          <w:rFonts w:asciiTheme="minorEastAsia" w:eastAsiaTheme="minorEastAsia" w:hAnsiTheme="minorEastAsia"/>
          <w:szCs w:val="21"/>
        </w:rPr>
        <w:t>服务需委托投资所在国家或地区的证券登记、清算机构、第三方数据和信息来源机构</w:t>
      </w:r>
      <w:r w:rsidRPr="00721084">
        <w:rPr>
          <w:rFonts w:asciiTheme="minorEastAsia" w:eastAsiaTheme="minorEastAsia" w:hAnsiTheme="minorEastAsia" w:hint="eastAsia"/>
          <w:szCs w:val="21"/>
        </w:rPr>
        <w:t>等</w:t>
      </w:r>
      <w:r w:rsidRPr="00721084">
        <w:rPr>
          <w:rFonts w:asciiTheme="minorEastAsia" w:eastAsiaTheme="minorEastAsia" w:hAnsiTheme="minorEastAsia"/>
          <w:szCs w:val="21"/>
        </w:rPr>
        <w:t>其他机构</w:t>
      </w:r>
      <w:r w:rsidRPr="00721084">
        <w:rPr>
          <w:rFonts w:asciiTheme="minorEastAsia" w:eastAsiaTheme="minorEastAsia" w:hAnsiTheme="minorEastAsia" w:hint="eastAsia"/>
          <w:szCs w:val="21"/>
        </w:rPr>
        <w:t>来办理，</w:t>
      </w:r>
      <w:r w:rsidRPr="00721084">
        <w:rPr>
          <w:rFonts w:asciiTheme="minorEastAsia" w:eastAsiaTheme="minorEastAsia" w:hAnsiTheme="minorEastAsia"/>
          <w:szCs w:val="21"/>
        </w:rPr>
        <w:t>这些机构</w:t>
      </w:r>
      <w:r w:rsidRPr="00721084">
        <w:rPr>
          <w:rFonts w:asciiTheme="minorEastAsia" w:eastAsiaTheme="minorEastAsia" w:hAnsiTheme="minorEastAsia" w:hint="eastAsia"/>
          <w:szCs w:val="21"/>
        </w:rPr>
        <w:t>根据</w:t>
      </w:r>
      <w:r w:rsidRPr="00721084">
        <w:rPr>
          <w:rFonts w:asciiTheme="minorEastAsia" w:eastAsiaTheme="minorEastAsia" w:hAnsiTheme="minorEastAsia"/>
          <w:szCs w:val="21"/>
        </w:rPr>
        <w:t>基金托管人与境外托管人所</w:t>
      </w:r>
      <w:r w:rsidRPr="00721084">
        <w:rPr>
          <w:rFonts w:asciiTheme="minorEastAsia" w:eastAsiaTheme="minorEastAsia" w:hAnsiTheme="minorEastAsia" w:hint="eastAsia"/>
          <w:szCs w:val="21"/>
        </w:rPr>
        <w:t>签</w:t>
      </w:r>
      <w:r w:rsidRPr="00721084">
        <w:rPr>
          <w:rFonts w:asciiTheme="minorEastAsia" w:eastAsiaTheme="minorEastAsia" w:hAnsiTheme="minorEastAsia" w:hint="eastAsia"/>
          <w:szCs w:val="21"/>
        </w:rPr>
        <w:lastRenderedPageBreak/>
        <w:t>署</w:t>
      </w:r>
      <w:r w:rsidRPr="00721084">
        <w:rPr>
          <w:rFonts w:asciiTheme="minorEastAsia" w:eastAsiaTheme="minorEastAsia" w:hAnsiTheme="minorEastAsia"/>
          <w:szCs w:val="21"/>
        </w:rPr>
        <w:t>的次托管协议</w:t>
      </w:r>
      <w:r w:rsidRPr="00721084">
        <w:rPr>
          <w:rFonts w:asciiTheme="minorEastAsia" w:eastAsiaTheme="minorEastAsia" w:hAnsiTheme="minorEastAsia" w:hint="eastAsia"/>
          <w:szCs w:val="21"/>
        </w:rPr>
        <w:t>由</w:t>
      </w:r>
      <w:r w:rsidRPr="00721084">
        <w:rPr>
          <w:rFonts w:asciiTheme="minorEastAsia" w:eastAsiaTheme="minorEastAsia" w:hAnsiTheme="minorEastAsia"/>
          <w:szCs w:val="21"/>
        </w:rPr>
        <w:t>境外托管人委任</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但</w:t>
      </w:r>
      <w:r w:rsidRPr="00721084">
        <w:rPr>
          <w:rFonts w:asciiTheme="minorEastAsia" w:eastAsiaTheme="minorEastAsia" w:hAnsiTheme="minorEastAsia" w:hint="eastAsia"/>
          <w:szCs w:val="21"/>
        </w:rPr>
        <w:t>基金</w:t>
      </w:r>
      <w:r w:rsidRPr="00721084">
        <w:rPr>
          <w:rFonts w:asciiTheme="minorEastAsia" w:eastAsiaTheme="minorEastAsia" w:hAnsiTheme="minorEastAsia"/>
          <w:szCs w:val="21"/>
        </w:rPr>
        <w:t>托管人对相关司法管辖区域内的证券登记、清算机构、第三方数据和信息来源机构、根据当地法律法规及市场惯例无法向该服务提供方追偿的其他机构所引起的损失不负责任。</w:t>
      </w:r>
      <w:r w:rsidRPr="00721084">
        <w:rPr>
          <w:rFonts w:asciiTheme="minorEastAsia" w:eastAsiaTheme="minorEastAsia" w:hAnsiTheme="minorEastAsia" w:hint="eastAsia"/>
          <w:szCs w:val="21"/>
        </w:rPr>
        <w:t>因此</w:t>
      </w:r>
      <w:r w:rsidRPr="00721084">
        <w:rPr>
          <w:rFonts w:asciiTheme="minorEastAsia" w:eastAsiaTheme="minorEastAsia" w:hAnsiTheme="minorEastAsia"/>
          <w:szCs w:val="21"/>
        </w:rPr>
        <w:t>，</w:t>
      </w:r>
      <w:r w:rsidRPr="00721084">
        <w:rPr>
          <w:rFonts w:asciiTheme="minorEastAsia" w:eastAsiaTheme="minorEastAsia" w:hAnsiTheme="minorEastAsia" w:hint="eastAsia"/>
          <w:szCs w:val="21"/>
        </w:rPr>
        <w:t>当出现上述</w:t>
      </w:r>
      <w:r w:rsidRPr="00721084">
        <w:rPr>
          <w:rFonts w:asciiTheme="minorEastAsia" w:eastAsiaTheme="minorEastAsia" w:hAnsiTheme="minorEastAsia"/>
          <w:szCs w:val="21"/>
        </w:rPr>
        <w:t>第三方机构</w:t>
      </w:r>
      <w:r w:rsidRPr="00721084">
        <w:rPr>
          <w:rFonts w:asciiTheme="minorEastAsia" w:eastAsiaTheme="minorEastAsia" w:hAnsiTheme="minorEastAsia" w:hint="eastAsia"/>
          <w:szCs w:val="21"/>
        </w:rPr>
        <w:t>提供</w:t>
      </w:r>
      <w:r w:rsidRPr="00721084">
        <w:rPr>
          <w:rFonts w:asciiTheme="minorEastAsia" w:eastAsiaTheme="minorEastAsia" w:hAnsiTheme="minorEastAsia"/>
          <w:szCs w:val="21"/>
        </w:rPr>
        <w:t>服务</w:t>
      </w:r>
      <w:r w:rsidRPr="00721084">
        <w:rPr>
          <w:rFonts w:asciiTheme="minorEastAsia" w:eastAsiaTheme="minorEastAsia" w:hAnsiTheme="minorEastAsia" w:hint="eastAsia"/>
          <w:szCs w:val="21"/>
        </w:rPr>
        <w:t>出现</w:t>
      </w:r>
      <w:r w:rsidRPr="00721084">
        <w:rPr>
          <w:rFonts w:asciiTheme="minorEastAsia" w:eastAsiaTheme="minorEastAsia" w:hAnsiTheme="minorEastAsia"/>
          <w:szCs w:val="21"/>
        </w:rPr>
        <w:t>差错时，将造成基金资产损失的风险。</w:t>
      </w:r>
    </w:p>
    <w:p w:rsidR="00FA0A50" w:rsidRPr="00721084" w:rsidRDefault="00FA0A50" w:rsidP="00FA0A50">
      <w:pPr>
        <w:widowControl/>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2）</w:t>
      </w:r>
      <w:r w:rsidRPr="00721084">
        <w:rPr>
          <w:rFonts w:asciiTheme="minorEastAsia" w:eastAsiaTheme="minorEastAsia" w:hAnsiTheme="minorEastAsia" w:hint="eastAsia"/>
          <w:szCs w:val="21"/>
        </w:rPr>
        <w:t>法律</w:t>
      </w:r>
      <w:r w:rsidRPr="00721084">
        <w:rPr>
          <w:rFonts w:asciiTheme="minorEastAsia" w:eastAsiaTheme="minorEastAsia" w:hAnsiTheme="minorEastAsia"/>
          <w:szCs w:val="21"/>
        </w:rPr>
        <w:t>风险</w:t>
      </w:r>
    </w:p>
    <w:p w:rsidR="00FA0A50" w:rsidRPr="00721084" w:rsidRDefault="00FA0A50" w:rsidP="002843F6">
      <w:pPr>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hint="eastAsia"/>
          <w:szCs w:val="21"/>
        </w:rPr>
        <w:t>由于境外所适用法律法规与中国法律法规有所不同的原因，可能导致本基金的某些投资及运作行为在境外受到限制或合同不能正常执行，从而使得基金资产面临损失风险。包括但不限于：本基金涉及境外托管人，托管资产中的现金可能依据境外托管人注册地的法律法规，归入其清算财产，由此可能造成基金资产的损失。</w:t>
      </w:r>
    </w:p>
    <w:p w:rsidR="0064594E" w:rsidRPr="00721084" w:rsidRDefault="00BF65A5"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二</w:t>
      </w:r>
      <w:r w:rsidRPr="00721084">
        <w:rPr>
          <w:rFonts w:asciiTheme="minorEastAsia" w:eastAsiaTheme="minorEastAsia" w:hAnsiTheme="minorEastAsia" w:cs="Arial"/>
          <w:szCs w:val="21"/>
        </w:rPr>
        <w:t>、</w:t>
      </w:r>
      <w:r w:rsidR="0064594E" w:rsidRPr="00721084">
        <w:rPr>
          <w:rFonts w:asciiTheme="minorEastAsia" w:eastAsiaTheme="minorEastAsia" w:hAnsiTheme="minorEastAsia" w:cs="Arial" w:hint="eastAsia"/>
          <w:szCs w:val="21"/>
        </w:rPr>
        <w:t>投资风险</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1、</w:t>
      </w:r>
      <w:r w:rsidR="0064594E" w:rsidRPr="00721084">
        <w:rPr>
          <w:rFonts w:asciiTheme="minorEastAsia" w:eastAsiaTheme="minorEastAsia" w:hAnsiTheme="minorEastAsia" w:cs="Arial"/>
          <w:szCs w:val="21"/>
        </w:rPr>
        <w:t>市场风险</w:t>
      </w:r>
      <w:r w:rsidR="0064594E" w:rsidRPr="00721084">
        <w:rPr>
          <w:rFonts w:asciiTheme="minorEastAsia" w:eastAsiaTheme="minorEastAsia" w:hAnsiTheme="minorEastAsia" w:cs="Arial" w:hint="eastAsia"/>
          <w:szCs w:val="21"/>
        </w:rPr>
        <w:t>：本基金投资于海外市场，面临市场波动带来的风险。影响金融市场波动的因素比较复杂，包括经济发展、政策变化、资金供求、公司盈利的变化、利率汇率波动等，都将影响基金净值的升跌。</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2、</w:t>
      </w:r>
      <w:r w:rsidR="0064594E" w:rsidRPr="00721084">
        <w:rPr>
          <w:rFonts w:asciiTheme="minorEastAsia" w:eastAsiaTheme="minorEastAsia" w:hAnsiTheme="minorEastAsia" w:cs="Arial" w:hint="eastAsia"/>
          <w:szCs w:val="21"/>
        </w:rPr>
        <w:t>政府管制风险：在特殊情况下，部分发展中国家有可能采取政府管制措施，包括没收公司财产、对货币兑换进行限制、限制资本外流、征收高额税收、取消经营资格等，会对基金投资造成影响。</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3、</w:t>
      </w:r>
      <w:r w:rsidR="0064594E" w:rsidRPr="00721084">
        <w:rPr>
          <w:rFonts w:asciiTheme="minorEastAsia" w:eastAsiaTheme="minorEastAsia" w:hAnsiTheme="minorEastAsia" w:cs="Arial" w:hint="eastAsia"/>
          <w:szCs w:val="21"/>
        </w:rPr>
        <w:t>政治风险：基金投资的国家</w:t>
      </w:r>
      <w:r w:rsidR="008467E3" w:rsidRPr="00721084">
        <w:rPr>
          <w:rFonts w:asciiTheme="minorEastAsia" w:eastAsiaTheme="minorEastAsia" w:hAnsiTheme="minorEastAsia" w:cs="Arial" w:hint="eastAsia"/>
          <w:szCs w:val="21"/>
        </w:rPr>
        <w:t>/地区</w:t>
      </w:r>
      <w:r w:rsidR="0064594E" w:rsidRPr="00721084">
        <w:rPr>
          <w:rFonts w:asciiTheme="minorEastAsia" w:eastAsiaTheme="minorEastAsia" w:hAnsiTheme="minorEastAsia" w:cs="Arial" w:hint="eastAsia"/>
          <w:szCs w:val="21"/>
        </w:rPr>
        <w:t>政治、经济、社会结构不稳定，可能发生政府的快速更替、政策变化、地区冲突、发生恐怖袭击、战争、暴动等，从而影响经济增长、行业发展，导致证券和货币市场大幅波动，最终对基金净值产生不利影响。</w:t>
      </w:r>
    </w:p>
    <w:p w:rsidR="003D1651"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4、</w:t>
      </w:r>
      <w:r w:rsidR="0064594E" w:rsidRPr="00721084">
        <w:rPr>
          <w:rFonts w:asciiTheme="minorEastAsia" w:eastAsiaTheme="minorEastAsia" w:hAnsiTheme="minorEastAsia" w:cs="Arial" w:hint="eastAsia"/>
          <w:szCs w:val="21"/>
        </w:rPr>
        <w:t>流动性风险：</w:t>
      </w:r>
    </w:p>
    <w:p w:rsidR="00CD3B3A" w:rsidRPr="00721084" w:rsidRDefault="000E5F6B" w:rsidP="001223DA">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1）流动性风险评估</w:t>
      </w:r>
    </w:p>
    <w:p w:rsidR="0064594E" w:rsidRPr="00721084" w:rsidRDefault="0064594E"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流动性风险指基金在短时间内购买以及售出金融工具，成交价格较远地偏离了真实价值。</w:t>
      </w:r>
      <w:r w:rsidR="003D1651" w:rsidRPr="00721084">
        <w:rPr>
          <w:rFonts w:asciiTheme="minorEastAsia" w:eastAsiaTheme="minorEastAsia" w:hAnsiTheme="minorEastAsia" w:hint="eastAsia"/>
          <w:szCs w:val="21"/>
        </w:rPr>
        <w:t>本基金可</w:t>
      </w:r>
      <w:r w:rsidR="003D1651" w:rsidRPr="00721084">
        <w:rPr>
          <w:rFonts w:asciiTheme="minorEastAsia" w:eastAsiaTheme="minorEastAsia" w:hAnsiTheme="minorEastAsia"/>
          <w:szCs w:val="21"/>
        </w:rPr>
        <w:t>投资</w:t>
      </w:r>
      <w:r w:rsidR="005938E7" w:rsidRPr="00721084">
        <w:rPr>
          <w:rFonts w:asciiTheme="minorEastAsia" w:eastAsiaTheme="minorEastAsia" w:hAnsiTheme="minorEastAsia" w:cs="Arial" w:hint="eastAsia"/>
          <w:szCs w:val="21"/>
        </w:rPr>
        <w:t>权益类品种</w:t>
      </w:r>
      <w:r w:rsidR="003D1651" w:rsidRPr="00721084">
        <w:rPr>
          <w:rFonts w:asciiTheme="minorEastAsia" w:eastAsiaTheme="minorEastAsia" w:hAnsiTheme="minorEastAsia" w:hint="eastAsia"/>
          <w:szCs w:val="21"/>
        </w:rPr>
        <w:t>、</w:t>
      </w:r>
      <w:r w:rsidR="005938E7" w:rsidRPr="00721084">
        <w:rPr>
          <w:rFonts w:asciiTheme="minorEastAsia" w:eastAsiaTheme="minorEastAsia" w:hAnsiTheme="minorEastAsia" w:cs="Arial" w:hint="eastAsia"/>
          <w:szCs w:val="21"/>
        </w:rPr>
        <w:t>固定收益类品种</w:t>
      </w:r>
      <w:r w:rsidR="003D1651" w:rsidRPr="00721084">
        <w:rPr>
          <w:rFonts w:asciiTheme="minorEastAsia" w:eastAsiaTheme="minorEastAsia" w:hAnsiTheme="minorEastAsia" w:hint="eastAsia"/>
          <w:szCs w:val="21"/>
        </w:rPr>
        <w:t>、货币市场工具等，一般情况下，这些资产市场流动性较好。</w:t>
      </w:r>
      <w:r w:rsidR="003D1651" w:rsidRPr="00721084">
        <w:rPr>
          <w:rFonts w:asciiTheme="minorEastAsia" w:eastAsiaTheme="minorEastAsia" w:hAnsiTheme="minorEastAsia" w:hint="eastAsia"/>
        </w:rPr>
        <w:t>但本基金投资于上述资产时，仍存在以下流动性风险</w:t>
      </w:r>
      <w:r w:rsidR="003D1651" w:rsidRPr="00721084">
        <w:rPr>
          <w:rFonts w:asciiTheme="minorEastAsia" w:eastAsiaTheme="minorEastAsia" w:hAnsiTheme="minorEastAsia"/>
        </w:rPr>
        <w:t>：</w:t>
      </w:r>
      <w:r w:rsidRPr="00721084">
        <w:rPr>
          <w:rFonts w:asciiTheme="minorEastAsia" w:eastAsiaTheme="minorEastAsia" w:hAnsiTheme="minorEastAsia" w:cs="Arial" w:hint="eastAsia"/>
          <w:szCs w:val="21"/>
        </w:rPr>
        <w:t>当某国</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cs="Arial" w:hint="eastAsia"/>
          <w:szCs w:val="21"/>
        </w:rPr>
        <w:t>的资本市场规模较小，金融市场不发达，某金融品种流通市值较低，参与机构数量较少，成交不活跃，以及基金需要在短时间内进行大量交易时，有可能发生流动性风险，导致基金难以快速建仓，或在出现大额赎回时，被迫在不利价格大量抛售证券，使基金净值遭受不利影响。</w:t>
      </w:r>
    </w:p>
    <w:p w:rsidR="003D1651" w:rsidRPr="00721084" w:rsidRDefault="003D1651" w:rsidP="003D1651">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（2）巨额赎回情形下的流动性风险管理措施</w:t>
      </w:r>
    </w:p>
    <w:p w:rsidR="003D1651" w:rsidRPr="00721084" w:rsidRDefault="003D1651" w:rsidP="003D1651">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对该单个基金份额持有人超出该比例</w:t>
      </w:r>
      <w:r w:rsidRPr="00721084">
        <w:rPr>
          <w:rFonts w:asciiTheme="minorEastAsia" w:eastAsiaTheme="minorEastAsia" w:hAnsiTheme="minorEastAsia" w:hint="eastAsia"/>
        </w:rPr>
        <w:lastRenderedPageBreak/>
        <w:t>的赎回申请实施延期办理。具体情形、程序见招募说明书“第</w:t>
      </w:r>
      <w:r w:rsidR="004E5A69" w:rsidRPr="00721084">
        <w:rPr>
          <w:rFonts w:asciiTheme="minorEastAsia" w:eastAsiaTheme="minorEastAsia" w:hAnsiTheme="minorEastAsia" w:hint="eastAsia"/>
        </w:rPr>
        <w:t>九</w:t>
      </w:r>
      <w:r w:rsidRPr="00721084">
        <w:rPr>
          <w:rFonts w:asciiTheme="minorEastAsia" w:eastAsiaTheme="minorEastAsia" w:hAnsiTheme="minorEastAsia" w:hint="eastAsia"/>
        </w:rPr>
        <w:t>节基金份额的申购、赎回”之“十</w:t>
      </w:r>
      <w:r w:rsidR="004E5A69" w:rsidRPr="00721084">
        <w:rPr>
          <w:rFonts w:asciiTheme="minorEastAsia" w:eastAsiaTheme="minorEastAsia" w:hAnsiTheme="minorEastAsia" w:hint="eastAsia"/>
        </w:rPr>
        <w:t>四</w:t>
      </w:r>
      <w:r w:rsidRPr="00721084">
        <w:rPr>
          <w:rFonts w:asciiTheme="minorEastAsia" w:eastAsiaTheme="minorEastAsia" w:hAnsiTheme="minorEastAsia"/>
        </w:rPr>
        <w:t>、</w:t>
      </w:r>
      <w:r w:rsidRPr="00721084">
        <w:rPr>
          <w:rFonts w:asciiTheme="minorEastAsia" w:eastAsiaTheme="minorEastAsia" w:hAnsiTheme="minorEastAsia" w:hint="eastAsia"/>
        </w:rPr>
        <w:t>巨额赎回的认定及处理方式”。</w:t>
      </w:r>
    </w:p>
    <w:p w:rsidR="003D1651" w:rsidRPr="00721084" w:rsidRDefault="003D1651" w:rsidP="003D1651">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3D1651" w:rsidRPr="00721084" w:rsidRDefault="003D1651" w:rsidP="003D1651">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（3）除巨额赎回情形外实施备用的流动性风险管理工具的情形、程序及对投资者的潜在影响</w:t>
      </w:r>
    </w:p>
    <w:p w:rsidR="003D1651" w:rsidRPr="00721084" w:rsidRDefault="003D1651" w:rsidP="003D1651">
      <w:pPr>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除巨额赎回情形外，本基金备用流动性风险管理工具包括但不限于暂停接受赎回申请、延缓支付赎回款项、收取短期赎回费、暂停基金估值以及证监会认定的其他措施。</w:t>
      </w:r>
    </w:p>
    <w:p w:rsidR="003D1651" w:rsidRPr="00721084" w:rsidRDefault="003D1651" w:rsidP="003D1651">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szCs w:val="21"/>
        </w:rPr>
        <w:t>暂停接受赎回申请、延缓支付赎回款项等工具的情形、程序见招募说明书“</w:t>
      </w:r>
      <w:r w:rsidRPr="00721084">
        <w:rPr>
          <w:rFonts w:asciiTheme="minorEastAsia" w:eastAsiaTheme="minorEastAsia" w:hAnsiTheme="minorEastAsia" w:hint="eastAsia"/>
        </w:rPr>
        <w:t>第</w:t>
      </w:r>
      <w:r w:rsidR="0044387D" w:rsidRPr="00721084">
        <w:rPr>
          <w:rFonts w:asciiTheme="minorEastAsia" w:eastAsiaTheme="minorEastAsia" w:hAnsiTheme="minorEastAsia" w:hint="eastAsia"/>
        </w:rPr>
        <w:t>九</w:t>
      </w:r>
      <w:r w:rsidRPr="00721084">
        <w:rPr>
          <w:rFonts w:asciiTheme="minorEastAsia" w:eastAsiaTheme="minorEastAsia" w:hAnsiTheme="minorEastAsia" w:hint="eastAsia"/>
        </w:rPr>
        <w:t>节</w:t>
      </w:r>
      <w:r w:rsidRPr="00721084">
        <w:rPr>
          <w:rFonts w:asciiTheme="minorEastAsia" w:eastAsiaTheme="minorEastAsia" w:hAnsiTheme="minorEastAsia" w:hint="eastAsia"/>
          <w:szCs w:val="21"/>
        </w:rPr>
        <w:t>基金份额的申购、赎回”之“</w:t>
      </w:r>
      <w:r w:rsidR="0044387D" w:rsidRPr="00721084">
        <w:rPr>
          <w:rFonts w:asciiTheme="minorEastAsia" w:eastAsiaTheme="minorEastAsia" w:hAnsiTheme="minorEastAsia" w:hint="eastAsia"/>
          <w:szCs w:val="21"/>
        </w:rPr>
        <w:t>十一</w:t>
      </w:r>
      <w:r w:rsidRPr="00721084">
        <w:rPr>
          <w:rFonts w:asciiTheme="minorEastAsia" w:eastAsiaTheme="minorEastAsia" w:hAnsiTheme="minorEastAsia" w:hint="eastAsia"/>
          <w:szCs w:val="21"/>
        </w:rPr>
        <w:t>、暂停赎回或者延缓支付赎回款项的情形及处理方式”的相关规定。若本基金暂停赎回申请，投</w:t>
      </w:r>
      <w:r w:rsidRPr="00721084">
        <w:rPr>
          <w:rFonts w:asciiTheme="minorEastAsia" w:eastAsiaTheme="minorEastAsia" w:hAnsiTheme="minorEastAsia" w:hint="eastAsia"/>
        </w:rPr>
        <w:t>资者在暂停赎回期间将无法赎回其持有的基金份额。若</w:t>
      </w:r>
      <w:r w:rsidRPr="00721084">
        <w:rPr>
          <w:rFonts w:asciiTheme="minorEastAsia" w:eastAsiaTheme="minorEastAsia" w:hAnsiTheme="minorEastAsia" w:hint="eastAsia"/>
          <w:szCs w:val="21"/>
        </w:rPr>
        <w:t>本基金延缓支付赎回款项，赎回款支付时间将后延，可能对投资者的资金安排带来不利影响。</w:t>
      </w:r>
    </w:p>
    <w:p w:rsidR="003D1651" w:rsidRPr="00721084" w:rsidRDefault="003D1651" w:rsidP="003D1651">
      <w:pPr>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3D1651" w:rsidRPr="00721084" w:rsidRDefault="003D1651" w:rsidP="003D1651">
      <w:pPr>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暂停基金估值的情形、程序见招募说明书“</w:t>
      </w:r>
      <w:r w:rsidR="00D11E29" w:rsidRPr="00721084">
        <w:rPr>
          <w:rFonts w:asciiTheme="minorEastAsia" w:eastAsiaTheme="minorEastAsia" w:hAnsiTheme="minorEastAsia" w:hint="eastAsia"/>
          <w:szCs w:val="21"/>
        </w:rPr>
        <w:t>第十二</w:t>
      </w:r>
      <w:r w:rsidRPr="00721084">
        <w:rPr>
          <w:rFonts w:asciiTheme="minorEastAsia" w:eastAsiaTheme="minorEastAsia" w:hAnsiTheme="minorEastAsia" w:hint="eastAsia"/>
          <w:szCs w:val="21"/>
        </w:rPr>
        <w:t>节基金资产估值”之“</w:t>
      </w:r>
      <w:r w:rsidR="00D11E29" w:rsidRPr="00721084">
        <w:rPr>
          <w:rFonts w:asciiTheme="minorEastAsia" w:eastAsiaTheme="minorEastAsia" w:hAnsiTheme="minorEastAsia" w:hint="eastAsia"/>
          <w:szCs w:val="21"/>
        </w:rPr>
        <w:t>六</w:t>
      </w:r>
      <w:r w:rsidRPr="00721084">
        <w:rPr>
          <w:rFonts w:asciiTheme="minorEastAsia" w:eastAsiaTheme="minorEastAsia" w:hAnsiTheme="minorEastAsia" w:hint="eastAsia"/>
          <w:szCs w:val="21"/>
        </w:rPr>
        <w:t>、</w:t>
      </w:r>
      <w:r w:rsidR="00D11E29" w:rsidRPr="00721084">
        <w:rPr>
          <w:rFonts w:asciiTheme="minorEastAsia" w:eastAsiaTheme="minorEastAsia" w:hAnsiTheme="minorEastAsia" w:hint="eastAsia"/>
          <w:szCs w:val="21"/>
        </w:rPr>
        <w:t>可</w:t>
      </w:r>
      <w:r w:rsidRPr="00721084">
        <w:rPr>
          <w:rFonts w:asciiTheme="minorEastAsia" w:eastAsiaTheme="minorEastAsia" w:hAnsiTheme="minorEastAsia" w:hint="eastAsia"/>
          <w:szCs w:val="21"/>
        </w:rPr>
        <w:t>暂停估值的情形”的相关规定。若本基金暂停基金估值，一方面投资者将无法知晓本基金的基金份额净值，</w:t>
      </w:r>
      <w:r w:rsidR="00371105" w:rsidRPr="00721084">
        <w:rPr>
          <w:rFonts w:asciiTheme="minorEastAsia" w:eastAsiaTheme="minorEastAsia" w:hAnsiTheme="minorEastAsia" w:hint="eastAsia"/>
          <w:szCs w:val="21"/>
        </w:rPr>
        <w:t>另一方面基金将</w:t>
      </w:r>
      <w:r w:rsidR="00371105" w:rsidRPr="00721084">
        <w:rPr>
          <w:rFonts w:asciiTheme="minorEastAsia" w:eastAsiaTheme="minorEastAsia" w:hAnsiTheme="minorEastAsia" w:hint="eastAsia"/>
        </w:rPr>
        <w:t>延缓支付赎回款项或</w:t>
      </w:r>
      <w:r w:rsidR="00371105" w:rsidRPr="00721084">
        <w:rPr>
          <w:rFonts w:asciiTheme="minorEastAsia" w:eastAsiaTheme="minorEastAsia" w:hAnsiTheme="minorEastAsia" w:hint="eastAsia"/>
          <w:szCs w:val="21"/>
        </w:rPr>
        <w:t>暂停接受申购赎回申请，</w:t>
      </w:r>
      <w:r w:rsidR="00371105" w:rsidRPr="00721084">
        <w:rPr>
          <w:rFonts w:asciiTheme="minorEastAsia" w:eastAsiaTheme="minorEastAsia" w:hAnsiTheme="minorEastAsia" w:hint="eastAsia"/>
        </w:rPr>
        <w:t>延缓支付赎回款项可能影响投资者的资金安排，</w:t>
      </w:r>
      <w:r w:rsidR="00371105" w:rsidRPr="00721084">
        <w:rPr>
          <w:rFonts w:asciiTheme="minorEastAsia" w:eastAsiaTheme="minorEastAsia" w:hAnsiTheme="minorEastAsia" w:hint="eastAsia"/>
          <w:szCs w:val="21"/>
        </w:rPr>
        <w:t>暂停接受申购赎回申请将导致投资者无法申购或赎回本基金</w:t>
      </w:r>
      <w:r w:rsidRPr="00721084">
        <w:rPr>
          <w:rFonts w:asciiTheme="minorEastAsia" w:eastAsiaTheme="minorEastAsia" w:hAnsiTheme="minorEastAsia" w:hint="eastAsia"/>
          <w:szCs w:val="21"/>
        </w:rPr>
        <w:t>。</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5、</w:t>
      </w:r>
      <w:r w:rsidR="0064594E" w:rsidRPr="00721084">
        <w:rPr>
          <w:rFonts w:asciiTheme="minorEastAsia" w:eastAsiaTheme="minorEastAsia" w:hAnsiTheme="minorEastAsia" w:cs="Arial" w:hint="eastAsia"/>
          <w:szCs w:val="21"/>
        </w:rPr>
        <w:t>汇率风险：本基金投资于海外市场，海外市场金融品种以外币计价，如果所投资市场的货币相对于人民币贬值，将对基金收益产生不利影响；外币对人民币的汇率大幅波动也将加大基金净值波动的幅度。</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6、</w:t>
      </w:r>
      <w:r w:rsidR="0064594E" w:rsidRPr="00721084">
        <w:rPr>
          <w:rFonts w:asciiTheme="minorEastAsia" w:eastAsiaTheme="minorEastAsia" w:hAnsiTheme="minorEastAsia" w:cs="Arial" w:hint="eastAsia"/>
          <w:szCs w:val="21"/>
        </w:rPr>
        <w:t>利率风险：</w:t>
      </w:r>
      <w:r w:rsidR="0064594E" w:rsidRPr="00721084">
        <w:rPr>
          <w:rFonts w:asciiTheme="minorEastAsia" w:eastAsiaTheme="minorEastAsia" w:hAnsiTheme="minorEastAsia" w:cs="Arial"/>
          <w:szCs w:val="21"/>
        </w:rPr>
        <w:t>金融市场利率的波动会导致证券市场价格和收益率的变动。利率直接影响着债券的价格和收益率，影响着企业的融资成本和利润。基金投资于债券和股票，其收益水平可能会受到利率变化的影响。</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7、</w:t>
      </w:r>
      <w:r w:rsidR="0064594E" w:rsidRPr="00721084">
        <w:rPr>
          <w:rFonts w:asciiTheme="minorEastAsia" w:eastAsiaTheme="minorEastAsia" w:hAnsiTheme="minorEastAsia" w:cs="Arial" w:hint="eastAsia"/>
          <w:szCs w:val="21"/>
        </w:rPr>
        <w:t>衍生品风险：尽管本基金将谨慎地使用衍生品进行投资，衍生品仍可能给基金带来额外风险，包括交易对手的信用风险、衍生品价格与其基础品种的相关度降低带来的风险、基金净值的波动幅度加大等。在本基金中，衍生品将仅用于避险和进行组合的有效管理。</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8、</w:t>
      </w:r>
      <w:r w:rsidR="0064594E" w:rsidRPr="00721084">
        <w:rPr>
          <w:rFonts w:asciiTheme="minorEastAsia" w:eastAsiaTheme="minorEastAsia" w:hAnsiTheme="minorEastAsia" w:cs="Arial" w:hint="eastAsia"/>
          <w:szCs w:val="21"/>
        </w:rPr>
        <w:t>新兴市场风险：本基金有可能投资于新兴市场。新兴市场国家</w:t>
      </w:r>
      <w:r w:rsidR="008467E3" w:rsidRPr="00721084">
        <w:rPr>
          <w:rFonts w:asciiTheme="minorEastAsia" w:eastAsiaTheme="minorEastAsia" w:hAnsiTheme="minorEastAsia" w:cs="Arial" w:hint="eastAsia"/>
          <w:szCs w:val="21"/>
        </w:rPr>
        <w:t>/地区</w:t>
      </w:r>
      <w:r w:rsidR="0064594E" w:rsidRPr="00721084">
        <w:rPr>
          <w:rFonts w:asciiTheme="minorEastAsia" w:eastAsiaTheme="minorEastAsia" w:hAnsiTheme="minorEastAsia" w:cs="Arial" w:hint="eastAsia"/>
          <w:szCs w:val="21"/>
        </w:rPr>
        <w:t>仍处于现代化发展的初</w:t>
      </w:r>
      <w:r w:rsidR="009B0E2F" w:rsidRPr="00721084">
        <w:rPr>
          <w:rFonts w:asciiTheme="minorEastAsia" w:eastAsiaTheme="minorEastAsia" w:hAnsiTheme="minorEastAsia" w:cs="Arial" w:hint="eastAsia"/>
          <w:szCs w:val="21"/>
        </w:rPr>
        <w:t>级</w:t>
      </w:r>
      <w:r w:rsidR="0064594E" w:rsidRPr="00721084">
        <w:rPr>
          <w:rFonts w:asciiTheme="minorEastAsia" w:eastAsiaTheme="minorEastAsia" w:hAnsiTheme="minorEastAsia" w:cs="Arial" w:hint="eastAsia"/>
          <w:szCs w:val="21"/>
        </w:rPr>
        <w:t>阶段，难以预计的改变有可能影响基金净值。新兴市场政府会维持高度而直接的经</w:t>
      </w:r>
      <w:r w:rsidR="0064594E" w:rsidRPr="00721084">
        <w:rPr>
          <w:rFonts w:asciiTheme="minorEastAsia" w:eastAsiaTheme="minorEastAsia" w:hAnsiTheme="minorEastAsia" w:cs="Arial" w:hint="eastAsia"/>
          <w:szCs w:val="21"/>
        </w:rPr>
        <w:lastRenderedPageBreak/>
        <w:t>济控制权，可能采取一些突然而且影响深远的行动。国有化、征用私人财产、提高税收、外汇管制、政治变动、政府规定</w:t>
      </w:r>
      <w:r w:rsidR="009B0E2F" w:rsidRPr="00721084">
        <w:rPr>
          <w:rFonts w:asciiTheme="minorEastAsia" w:eastAsiaTheme="minorEastAsia" w:hAnsiTheme="minorEastAsia" w:cs="Arial" w:hint="eastAsia"/>
          <w:szCs w:val="21"/>
        </w:rPr>
        <w:t>的变化</w:t>
      </w:r>
      <w:r w:rsidR="0064594E" w:rsidRPr="00721084">
        <w:rPr>
          <w:rFonts w:asciiTheme="minorEastAsia" w:eastAsiaTheme="minorEastAsia" w:hAnsiTheme="minorEastAsia" w:cs="Arial" w:hint="eastAsia"/>
          <w:szCs w:val="21"/>
        </w:rPr>
        <w:t>、社会不稳定或外交事件，均有可能对新兴市场经济以及基金所投资的金融工具构成不良影响。此外，投资新兴市场还面临市场流动性不足、价格波动大、对外国投资及本金汇出有管制、高通胀、高利率的风险。</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9、</w:t>
      </w:r>
      <w:r w:rsidR="0064594E" w:rsidRPr="00721084">
        <w:rPr>
          <w:rFonts w:asciiTheme="minorEastAsia" w:eastAsiaTheme="minorEastAsia" w:hAnsiTheme="minorEastAsia" w:cs="Arial" w:hint="eastAsia"/>
          <w:szCs w:val="21"/>
        </w:rPr>
        <w:t>金融模型风险：</w:t>
      </w:r>
      <w:r w:rsidR="009B0E2F" w:rsidRPr="00721084">
        <w:rPr>
          <w:rFonts w:asciiTheme="minorEastAsia" w:eastAsiaTheme="minorEastAsia" w:hAnsiTheme="minorEastAsia" w:cs="Arial" w:hint="eastAsia"/>
          <w:szCs w:val="21"/>
        </w:rPr>
        <w:t>基金</w:t>
      </w:r>
      <w:r w:rsidR="0064594E" w:rsidRPr="00721084">
        <w:rPr>
          <w:rFonts w:asciiTheme="minorEastAsia" w:eastAsiaTheme="minorEastAsia" w:hAnsiTheme="minorEastAsia" w:cs="Arial" w:hint="eastAsia"/>
          <w:szCs w:val="21"/>
        </w:rPr>
        <w:t>管理人有时会使用金融模型来进行资产定价、趋势判断、风险评估等，辅助其做出投资决策。但是金融模型通常是建立在一系列的学术假设之上的，投资实践和学术假设之间存在一定的差距；而且金融模型结论的准确性往往受制于模型使用的数据的精确性。因此，</w:t>
      </w:r>
      <w:r w:rsidR="009B0E2F" w:rsidRPr="00721084">
        <w:rPr>
          <w:rFonts w:asciiTheme="minorEastAsia" w:eastAsiaTheme="minorEastAsia" w:hAnsiTheme="minorEastAsia" w:cs="Arial" w:hint="eastAsia"/>
          <w:szCs w:val="21"/>
        </w:rPr>
        <w:t>基金管理人</w:t>
      </w:r>
      <w:r w:rsidR="0064594E" w:rsidRPr="00721084">
        <w:rPr>
          <w:rFonts w:asciiTheme="minorEastAsia" w:eastAsiaTheme="minorEastAsia" w:hAnsiTheme="minorEastAsia" w:cs="Arial" w:hint="eastAsia"/>
          <w:szCs w:val="21"/>
        </w:rPr>
        <w:t>在使用金融模型时，面临出现错误结论的可能性，</w:t>
      </w:r>
      <w:r w:rsidR="009B0E2F" w:rsidRPr="00721084">
        <w:rPr>
          <w:rFonts w:asciiTheme="minorEastAsia" w:eastAsiaTheme="minorEastAsia" w:hAnsiTheme="minorEastAsia" w:cs="Arial" w:hint="eastAsia"/>
          <w:szCs w:val="21"/>
        </w:rPr>
        <w:t>形成投资</w:t>
      </w:r>
      <w:r w:rsidR="0064594E" w:rsidRPr="00721084">
        <w:rPr>
          <w:rFonts w:asciiTheme="minorEastAsia" w:eastAsiaTheme="minorEastAsia" w:hAnsiTheme="minorEastAsia" w:cs="Arial" w:hint="eastAsia"/>
          <w:szCs w:val="21"/>
        </w:rPr>
        <w:t>风险。</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10、</w:t>
      </w:r>
      <w:r w:rsidR="0064594E" w:rsidRPr="00721084">
        <w:rPr>
          <w:rFonts w:asciiTheme="minorEastAsia" w:eastAsiaTheme="minorEastAsia" w:hAnsiTheme="minorEastAsia" w:cs="Arial" w:hint="eastAsia"/>
          <w:szCs w:val="21"/>
        </w:rPr>
        <w:t>信用风险：信用风险是指基金在交易过程发生交收违约，或者基金所投资债券之发行人出现违约、拒绝支付到期本息，都可能导致基金资产损失和收益变化。</w:t>
      </w:r>
    </w:p>
    <w:p w:rsidR="0064594E" w:rsidRPr="00721084" w:rsidRDefault="00BF65A5"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三</w:t>
      </w:r>
      <w:r w:rsidRPr="00721084">
        <w:rPr>
          <w:rFonts w:asciiTheme="minorEastAsia" w:eastAsiaTheme="minorEastAsia" w:hAnsiTheme="minorEastAsia" w:cs="Arial"/>
          <w:szCs w:val="21"/>
        </w:rPr>
        <w:t>、</w:t>
      </w:r>
      <w:r w:rsidR="0064594E" w:rsidRPr="00721084">
        <w:rPr>
          <w:rFonts w:asciiTheme="minorEastAsia" w:eastAsiaTheme="minorEastAsia" w:hAnsiTheme="minorEastAsia" w:cs="Arial" w:hint="eastAsia"/>
          <w:szCs w:val="21"/>
        </w:rPr>
        <w:t>基金运作风险</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1、</w:t>
      </w:r>
      <w:r w:rsidR="0064594E" w:rsidRPr="00721084">
        <w:rPr>
          <w:rFonts w:asciiTheme="minorEastAsia" w:eastAsiaTheme="minorEastAsia" w:hAnsiTheme="minorEastAsia" w:cs="Arial" w:hint="eastAsia"/>
          <w:szCs w:val="21"/>
        </w:rPr>
        <w:t>操作风险：在开放式基金的各种交易行为或者后台运作中，可能因为技术系统的故障或者差错而影响交易的正常进行或者导致投资者的利益受到影响。这种操作风险可能来自基金管理公司、注册登记机构、销售机构、交易对手、托管行、证券交易所、证券登记结算机构等。</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2、</w:t>
      </w:r>
      <w:r w:rsidR="0064594E" w:rsidRPr="00721084">
        <w:rPr>
          <w:rFonts w:asciiTheme="minorEastAsia" w:eastAsiaTheme="minorEastAsia" w:hAnsiTheme="minorEastAsia" w:cs="Arial" w:hint="eastAsia"/>
          <w:szCs w:val="21"/>
        </w:rPr>
        <w:t>会计核算风险：会计核算风险主要是指由于会计核算及会计管理上违规操作形成的风险或错误,通常是指基金管理人在计算、整理、制证、填单、登账、编表、保管及其相关业务处理中,由于客观原因与非主观故意所造成的行为过失，从而对基金收益造成影响的风险。</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3、</w:t>
      </w:r>
      <w:r w:rsidR="0064594E" w:rsidRPr="00721084">
        <w:rPr>
          <w:rFonts w:asciiTheme="minorEastAsia" w:eastAsiaTheme="minorEastAsia" w:hAnsiTheme="minorEastAsia" w:cs="Arial" w:hint="eastAsia"/>
          <w:szCs w:val="21"/>
        </w:rPr>
        <w:t>法律及税务风险：基金所投资的国家</w:t>
      </w:r>
      <w:r w:rsidR="008467E3" w:rsidRPr="00721084">
        <w:rPr>
          <w:rFonts w:asciiTheme="minorEastAsia" w:eastAsiaTheme="minorEastAsia" w:hAnsiTheme="minorEastAsia" w:cs="Arial" w:hint="eastAsia"/>
          <w:szCs w:val="21"/>
        </w:rPr>
        <w:t>/地区</w:t>
      </w:r>
      <w:r w:rsidR="0064594E" w:rsidRPr="00721084">
        <w:rPr>
          <w:rFonts w:asciiTheme="minorEastAsia" w:eastAsiaTheme="minorEastAsia" w:hAnsiTheme="minorEastAsia" w:cs="Arial" w:hint="eastAsia"/>
          <w:szCs w:val="21"/>
        </w:rPr>
        <w:t>在法律法规、税务政策可能与国内不同，海外市场可能要求基金就股息、利息、资本利得等收益向当地税务机构缴纳税金，使基金收益受到一定影响。此外，各国</w:t>
      </w:r>
      <w:r w:rsidR="008467E3" w:rsidRPr="00721084">
        <w:rPr>
          <w:rFonts w:asciiTheme="minorEastAsia" w:eastAsiaTheme="minorEastAsia" w:hAnsiTheme="minorEastAsia" w:cs="Arial" w:hint="eastAsia"/>
          <w:szCs w:val="21"/>
        </w:rPr>
        <w:t>/地区</w:t>
      </w:r>
      <w:r w:rsidR="0064594E" w:rsidRPr="00721084">
        <w:rPr>
          <w:rFonts w:asciiTheme="minorEastAsia" w:eastAsiaTheme="minorEastAsia" w:hAnsiTheme="minorEastAsia" w:cs="Arial" w:hint="eastAsia"/>
          <w:szCs w:val="21"/>
        </w:rPr>
        <w:t>的法律及税收规定可能发生变化，有可能对基金造成不利影响</w:t>
      </w:r>
      <w:r w:rsidR="001B3D1F" w:rsidRPr="00721084">
        <w:rPr>
          <w:rFonts w:asciiTheme="minorEastAsia" w:eastAsiaTheme="minorEastAsia" w:hAnsiTheme="minorEastAsia" w:cs="Arial" w:hint="eastAsia"/>
          <w:szCs w:val="21"/>
        </w:rPr>
        <w:t>。</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4、</w:t>
      </w:r>
      <w:r w:rsidR="0064594E" w:rsidRPr="00721084">
        <w:rPr>
          <w:rFonts w:asciiTheme="minorEastAsia" w:eastAsiaTheme="minorEastAsia" w:hAnsiTheme="minorEastAsia" w:cs="Arial" w:hint="eastAsia"/>
          <w:szCs w:val="21"/>
        </w:rPr>
        <w:t>交易结算风险：海外的证券交易佣金可能比国内高。海外股票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p>
    <w:p w:rsidR="0064594E"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5、</w:t>
      </w:r>
      <w:r w:rsidR="0064594E" w:rsidRPr="00721084">
        <w:rPr>
          <w:rFonts w:asciiTheme="minorEastAsia" w:eastAsiaTheme="minorEastAsia" w:hAnsiTheme="minorEastAsia" w:cs="Arial" w:hint="eastAsia"/>
          <w:szCs w:val="21"/>
        </w:rPr>
        <w:t>证券借贷/正回购/逆回购风险：证券借贷的风险表现为，作为证券借出方，如果交易对手方（即证券借入方）违约，则基金可能面临到期无法获得证券借贷收入甚至借出证券无法归还的风险，从而导致基金资产发生损失。证券回购中的风险体现为，在回购交易中，交易对手方可能因财务状况或其它原因不能履行付款或结算的义务，从而对基金资产价值造成不利影响。</w:t>
      </w:r>
    </w:p>
    <w:p w:rsidR="00286242" w:rsidRPr="00721084" w:rsidRDefault="00286242" w:rsidP="006D35EC">
      <w:pPr>
        <w:snapToGrid w:val="0"/>
        <w:spacing w:line="360" w:lineRule="auto"/>
        <w:ind w:firstLineChars="200" w:firstLine="420"/>
        <w:rPr>
          <w:rFonts w:asciiTheme="minorEastAsia" w:eastAsiaTheme="minorEastAsia" w:hAnsiTheme="minorEastAsia" w:cs="Arial"/>
          <w:szCs w:val="21"/>
        </w:rPr>
      </w:pPr>
      <w:bookmarkStart w:id="26" w:name="_Toc323050962"/>
      <w:r w:rsidRPr="00721084">
        <w:rPr>
          <w:rFonts w:asciiTheme="minorEastAsia" w:eastAsiaTheme="minorEastAsia" w:hAnsiTheme="minorEastAsia" w:cs="Arial" w:hint="eastAsia"/>
          <w:szCs w:val="21"/>
        </w:rPr>
        <w:t>四</w:t>
      </w:r>
      <w:r w:rsidRPr="00721084">
        <w:rPr>
          <w:rFonts w:asciiTheme="minorEastAsia" w:eastAsiaTheme="minorEastAsia" w:hAnsiTheme="minorEastAsia" w:cs="Arial"/>
          <w:szCs w:val="21"/>
        </w:rPr>
        <w:t>、</w:t>
      </w:r>
      <w:r w:rsidRPr="00721084">
        <w:rPr>
          <w:rFonts w:asciiTheme="minorEastAsia" w:eastAsiaTheme="minorEastAsia" w:hAnsiTheme="minorEastAsia" w:cs="Arial" w:hint="eastAsia"/>
          <w:szCs w:val="21"/>
        </w:rPr>
        <w:t>本基金法律文件中涉及基金风险特征的表述与销售机构对基金的风险评级可能不一</w:t>
      </w:r>
      <w:r w:rsidRPr="00721084">
        <w:rPr>
          <w:rFonts w:asciiTheme="minorEastAsia" w:eastAsiaTheme="minorEastAsia" w:hAnsiTheme="minorEastAsia" w:cs="Arial" w:hint="eastAsia"/>
          <w:szCs w:val="21"/>
        </w:rPr>
        <w:lastRenderedPageBreak/>
        <w:t>致的风险</w:t>
      </w:r>
    </w:p>
    <w:p w:rsidR="00286242" w:rsidRPr="00721084" w:rsidRDefault="00286242" w:rsidP="00286242">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001E34" w:rsidRPr="00721084" w:rsidRDefault="00286242"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五</w:t>
      </w:r>
      <w:r w:rsidR="00001E34" w:rsidRPr="00721084">
        <w:rPr>
          <w:rFonts w:asciiTheme="minorEastAsia" w:eastAsiaTheme="minorEastAsia" w:hAnsiTheme="minorEastAsia" w:cs="Arial" w:hint="eastAsia"/>
          <w:szCs w:val="21"/>
        </w:rPr>
        <w:t>、</w:t>
      </w:r>
      <w:r w:rsidR="00BF65A5" w:rsidRPr="00721084">
        <w:rPr>
          <w:rFonts w:asciiTheme="minorEastAsia" w:eastAsiaTheme="minorEastAsia" w:hAnsiTheme="minorEastAsia" w:cs="Arial" w:hint="eastAsia"/>
          <w:szCs w:val="21"/>
        </w:rPr>
        <w:t>其他风险</w:t>
      </w:r>
      <w:bookmarkEnd w:id="26"/>
    </w:p>
    <w:p w:rsidR="00001E34" w:rsidRPr="00721084" w:rsidRDefault="00BF65A5"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rPr>
        <w:t>、不可抗力风险：</w:t>
      </w:r>
      <w:r w:rsidR="00001E34" w:rsidRPr="00721084">
        <w:rPr>
          <w:rFonts w:asciiTheme="minorEastAsia" w:eastAsiaTheme="minorEastAsia" w:hAnsiTheme="minorEastAsia" w:hint="eastAsia"/>
        </w:rPr>
        <w:t>战争、自然灾害等不可抗力可能导致基金资产遭受损失。基金管理人、基金托管人、证券交易所、登记结算机构和</w:t>
      </w:r>
      <w:r w:rsidR="0035376D" w:rsidRPr="00721084">
        <w:rPr>
          <w:rFonts w:asciiTheme="minorEastAsia" w:eastAsiaTheme="minorEastAsia" w:hAnsiTheme="minorEastAsia" w:hint="eastAsia"/>
        </w:rPr>
        <w:t>销售</w:t>
      </w:r>
      <w:r w:rsidR="00001E34" w:rsidRPr="00721084">
        <w:rPr>
          <w:rFonts w:asciiTheme="minorEastAsia" w:eastAsiaTheme="minorEastAsia" w:hAnsiTheme="minorEastAsia" w:hint="eastAsia"/>
        </w:rPr>
        <w:t>机构等可能因不可抗力无法正常工作,从而影响基金的各项业务按正常时限完成、使投资者和持有人无法及时查询权益、进行日常交易以致利益受损。</w:t>
      </w:r>
    </w:p>
    <w:p w:rsidR="00BF65A5" w:rsidRPr="00721084" w:rsidRDefault="00BF65A5" w:rsidP="00CE3F81">
      <w:pPr>
        <w:snapToGrid w:val="0"/>
        <w:spacing w:line="360" w:lineRule="auto"/>
        <w:ind w:firstLineChars="200" w:firstLine="420"/>
        <w:rPr>
          <w:rFonts w:asciiTheme="minorEastAsia" w:eastAsiaTheme="minorEastAsia" w:hAnsiTheme="minorEastAsia"/>
          <w:sz w:val="24"/>
        </w:rPr>
      </w:pPr>
      <w:r w:rsidRPr="00721084">
        <w:rPr>
          <w:rFonts w:asciiTheme="minorEastAsia" w:eastAsiaTheme="minorEastAsia" w:hAnsiTheme="minorEastAsia" w:hint="eastAsia"/>
        </w:rPr>
        <w:t>2</w:t>
      </w:r>
      <w:r w:rsidRPr="00721084">
        <w:rPr>
          <w:rFonts w:asciiTheme="minorEastAsia" w:eastAsiaTheme="minorEastAsia" w:hAnsiTheme="minorEastAsia"/>
        </w:rPr>
        <w:t>、</w:t>
      </w:r>
      <w:r w:rsidRPr="00721084">
        <w:rPr>
          <w:rFonts w:asciiTheme="minorEastAsia" w:eastAsiaTheme="minorEastAsia" w:hAnsiTheme="minorEastAsia"/>
          <w:szCs w:val="21"/>
        </w:rPr>
        <w:t>第三方风险：本基金运作的当事人，如：管理人、境内/境外托管行和券商等，在合作中自身没有过错，但是当事人委托的或无任何关系的第三方的作为可能影响到当事人，并且进一步影响到基金的收益。</w:t>
      </w:r>
    </w:p>
    <w:p w:rsidR="0064594E" w:rsidRPr="00721084" w:rsidRDefault="0064594E" w:rsidP="00CE3F81">
      <w:pPr>
        <w:snapToGrid w:val="0"/>
        <w:spacing w:line="360" w:lineRule="auto"/>
        <w:ind w:firstLineChars="200" w:firstLine="422"/>
        <w:rPr>
          <w:rFonts w:asciiTheme="minorEastAsia" w:eastAsiaTheme="minorEastAsia" w:hAnsiTheme="minorEastAsia"/>
          <w:b/>
        </w:rPr>
      </w:pPr>
    </w:p>
    <w:p w:rsidR="0064594E" w:rsidRPr="00721084" w:rsidRDefault="0064594E" w:rsidP="00CE3F81">
      <w:pPr>
        <w:pStyle w:val="CharCharCharCharCharCharChar"/>
        <w:tabs>
          <w:tab w:val="clear" w:pos="780"/>
        </w:tabs>
        <w:snapToGrid w:val="0"/>
        <w:spacing w:after="0" w:line="360" w:lineRule="auto"/>
        <w:ind w:left="0" w:firstLineChars="200" w:firstLine="422"/>
        <w:textAlignment w:val="baseline"/>
        <w:rPr>
          <w:rFonts w:asciiTheme="minorEastAsia" w:eastAsiaTheme="minorEastAsia" w:hAnsiTheme="minorEastAsia"/>
          <w:b/>
          <w:sz w:val="21"/>
        </w:rPr>
      </w:pPr>
    </w:p>
    <w:p w:rsidR="00885D50" w:rsidRPr="00721084" w:rsidRDefault="00885D50" w:rsidP="00885D50">
      <w:pPr>
        <w:pStyle w:val="30"/>
        <w:rPr>
          <w:rFonts w:asciiTheme="minorEastAsia" w:eastAsiaTheme="minorEastAsia" w:hAnsiTheme="minorEastAsia"/>
        </w:rPr>
      </w:pPr>
    </w:p>
    <w:p w:rsidR="00885D50" w:rsidRPr="00721084" w:rsidRDefault="00885D50" w:rsidP="00885D50">
      <w:pPr>
        <w:pStyle w:val="30"/>
        <w:rPr>
          <w:rFonts w:asciiTheme="minorEastAsia" w:eastAsiaTheme="minorEastAsia" w:hAnsiTheme="minorEastAsia"/>
        </w:rPr>
      </w:pPr>
    </w:p>
    <w:p w:rsidR="00885D50" w:rsidRPr="00721084" w:rsidRDefault="00885D50" w:rsidP="00885D50">
      <w:pPr>
        <w:pStyle w:val="30"/>
        <w:rPr>
          <w:rFonts w:asciiTheme="minorEastAsia" w:eastAsiaTheme="minorEastAsia" w:hAnsiTheme="minorEastAsia"/>
        </w:rPr>
      </w:pPr>
    </w:p>
    <w:p w:rsidR="00885D50" w:rsidRPr="00721084" w:rsidRDefault="00885D50" w:rsidP="00885D50">
      <w:pPr>
        <w:pStyle w:val="30"/>
        <w:rPr>
          <w:rFonts w:asciiTheme="minorEastAsia" w:eastAsiaTheme="minorEastAsia" w:hAnsiTheme="minorEastAsia"/>
        </w:rPr>
      </w:pPr>
    </w:p>
    <w:p w:rsidR="00885D50" w:rsidRPr="00721084" w:rsidRDefault="00885D50" w:rsidP="00885D50">
      <w:pPr>
        <w:pStyle w:val="30"/>
        <w:rPr>
          <w:rFonts w:asciiTheme="minorEastAsia" w:eastAsiaTheme="minorEastAsia" w:hAnsiTheme="minorEastAsia"/>
        </w:rPr>
      </w:pPr>
    </w:p>
    <w:p w:rsidR="00885D50" w:rsidRPr="00721084" w:rsidRDefault="00885D50" w:rsidP="00885D50">
      <w:pPr>
        <w:pStyle w:val="30"/>
        <w:rPr>
          <w:rFonts w:asciiTheme="minorEastAsia" w:eastAsiaTheme="minorEastAsia" w:hAnsiTheme="minorEastAsia"/>
        </w:rPr>
      </w:pPr>
    </w:p>
    <w:p w:rsidR="00885D50" w:rsidRPr="00721084" w:rsidRDefault="00885D50" w:rsidP="00885D50">
      <w:pPr>
        <w:pStyle w:val="30"/>
        <w:rPr>
          <w:rFonts w:asciiTheme="minorEastAsia" w:eastAsiaTheme="minorEastAsia" w:hAnsiTheme="minorEastAsia"/>
        </w:rPr>
      </w:pPr>
    </w:p>
    <w:p w:rsidR="00885D50" w:rsidRPr="00721084" w:rsidRDefault="00885D50" w:rsidP="00885D50">
      <w:pPr>
        <w:pStyle w:val="30"/>
        <w:rPr>
          <w:rFonts w:asciiTheme="minorEastAsia" w:eastAsiaTheme="minorEastAsia" w:hAnsiTheme="minorEastAsia"/>
        </w:rPr>
      </w:pPr>
    </w:p>
    <w:p w:rsidR="00BD0B00" w:rsidRPr="00721084" w:rsidRDefault="00BD0B00" w:rsidP="00885D50">
      <w:pPr>
        <w:pStyle w:val="30"/>
        <w:rPr>
          <w:rFonts w:asciiTheme="minorEastAsia" w:eastAsiaTheme="minorEastAsia" w:hAnsiTheme="minorEastAsia"/>
        </w:rPr>
        <w:sectPr w:rsidR="00BD0B00" w:rsidRPr="00721084">
          <w:pgSz w:w="11906" w:h="16838" w:code="9"/>
          <w:pgMar w:top="1440" w:right="1800" w:bottom="1440" w:left="1800" w:header="851" w:footer="992" w:gutter="0"/>
          <w:cols w:space="425"/>
          <w:docGrid w:type="lines" w:linePitch="312"/>
        </w:sectPr>
      </w:pPr>
    </w:p>
    <w:p w:rsidR="0064594E"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27" w:name="_Toc44351061"/>
      <w:r w:rsidRPr="00721084">
        <w:rPr>
          <w:rFonts w:asciiTheme="minorEastAsia" w:eastAsiaTheme="minorEastAsia" w:hAnsiTheme="minorEastAsia" w:hint="eastAsia"/>
        </w:rPr>
        <w:lastRenderedPageBreak/>
        <w:t>基金的投资</w:t>
      </w:r>
      <w:bookmarkEnd w:id="27"/>
    </w:p>
    <w:p w:rsidR="0064594E" w:rsidRPr="00721084" w:rsidRDefault="00EF128F" w:rsidP="00CE3F81">
      <w:pPr>
        <w:pStyle w:val="2"/>
        <w:snapToGrid w:val="0"/>
        <w:spacing w:beforeLines="0" w:afterLines="0" w:line="360" w:lineRule="auto"/>
        <w:ind w:firstLine="560"/>
        <w:rPr>
          <w:rFonts w:asciiTheme="minorEastAsia" w:eastAsiaTheme="minorEastAsia" w:hAnsiTheme="minorEastAsia"/>
          <w:b w:val="0"/>
        </w:rPr>
      </w:pPr>
      <w:bookmarkStart w:id="28" w:name="_Toc52310848"/>
      <w:bookmarkStart w:id="29" w:name="_Toc64861723"/>
      <w:bookmarkStart w:id="30" w:name="_Toc44351062"/>
      <w:r w:rsidRPr="00721084">
        <w:rPr>
          <w:rFonts w:asciiTheme="minorEastAsia" w:eastAsiaTheme="minorEastAsia" w:hAnsiTheme="minorEastAsia" w:hint="eastAsia"/>
          <w:b w:val="0"/>
        </w:rPr>
        <w:t>一、</w:t>
      </w:r>
      <w:r w:rsidR="0064594E" w:rsidRPr="00721084">
        <w:rPr>
          <w:rFonts w:asciiTheme="minorEastAsia" w:eastAsiaTheme="minorEastAsia" w:hAnsiTheme="minorEastAsia" w:hint="eastAsia"/>
          <w:b w:val="0"/>
        </w:rPr>
        <w:t>投资目标</w:t>
      </w:r>
      <w:bookmarkEnd w:id="28"/>
      <w:bookmarkEnd w:id="29"/>
      <w:bookmarkEnd w:id="30"/>
    </w:p>
    <w:p w:rsidR="0064594E" w:rsidRPr="00721084" w:rsidRDefault="0064594E" w:rsidP="00CE3F81">
      <w:pPr>
        <w:snapToGrid w:val="0"/>
        <w:spacing w:line="360" w:lineRule="auto"/>
        <w:ind w:firstLineChars="200" w:firstLine="420"/>
        <w:rPr>
          <w:rFonts w:asciiTheme="minorEastAsia" w:eastAsiaTheme="minorEastAsia" w:hAnsiTheme="minorEastAsia" w:cs="Arial"/>
          <w:szCs w:val="21"/>
        </w:rPr>
      </w:pPr>
      <w:bookmarkStart w:id="31" w:name="_Toc52310849"/>
      <w:bookmarkStart w:id="32" w:name="_Toc64861724"/>
      <w:r w:rsidRPr="00721084">
        <w:rPr>
          <w:rFonts w:asciiTheme="minorEastAsia" w:eastAsiaTheme="minorEastAsia" w:hAnsiTheme="minorEastAsia" w:cs="Arial" w:hint="eastAsia"/>
          <w:szCs w:val="21"/>
        </w:rPr>
        <w:t>本基金主要投资于亚洲</w:t>
      </w:r>
      <w:r w:rsidR="00A22382" w:rsidRPr="00721084">
        <w:rPr>
          <w:rFonts w:asciiTheme="minorEastAsia" w:eastAsiaTheme="minorEastAsia" w:hAnsiTheme="minorEastAsia" w:cs="Arial" w:hint="eastAsia"/>
          <w:szCs w:val="21"/>
        </w:rPr>
        <w:t>企业</w:t>
      </w:r>
      <w:r w:rsidRPr="00721084">
        <w:rPr>
          <w:rFonts w:asciiTheme="minorEastAsia" w:eastAsiaTheme="minorEastAsia" w:hAnsiTheme="minorEastAsia" w:cs="Arial" w:hint="eastAsia"/>
          <w:szCs w:val="21"/>
        </w:rPr>
        <w:t>，追求在有效控制风险的前提下，实现基金资产的持续、稳健增值。</w:t>
      </w:r>
    </w:p>
    <w:p w:rsidR="0064594E" w:rsidRPr="00721084"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33" w:name="_Toc44351063"/>
      <w:r w:rsidRPr="00721084">
        <w:rPr>
          <w:rFonts w:asciiTheme="minorEastAsia" w:eastAsiaTheme="minorEastAsia" w:hAnsiTheme="minorEastAsia" w:hint="eastAsia"/>
          <w:b w:val="0"/>
        </w:rPr>
        <w:t>二、</w:t>
      </w:r>
      <w:r w:rsidR="0064594E" w:rsidRPr="00721084">
        <w:rPr>
          <w:rFonts w:asciiTheme="minorEastAsia" w:eastAsiaTheme="minorEastAsia" w:hAnsiTheme="minorEastAsia" w:hint="eastAsia"/>
          <w:b w:val="0"/>
          <w:bCs/>
        </w:rPr>
        <w:t>投资范围</w:t>
      </w:r>
      <w:bookmarkEnd w:id="31"/>
      <w:bookmarkEnd w:id="32"/>
      <w:bookmarkEnd w:id="33"/>
    </w:p>
    <w:p w:rsidR="0027469F" w:rsidRPr="00721084" w:rsidRDefault="0027469F" w:rsidP="00CE3F81">
      <w:pPr>
        <w:snapToGrid w:val="0"/>
        <w:spacing w:line="360" w:lineRule="auto"/>
        <w:ind w:firstLineChars="200" w:firstLine="420"/>
        <w:rPr>
          <w:rFonts w:asciiTheme="minorEastAsia" w:eastAsiaTheme="minorEastAsia" w:hAnsiTheme="minorEastAsia" w:cs="Arial"/>
          <w:szCs w:val="21"/>
        </w:rPr>
      </w:pPr>
      <w:bookmarkStart w:id="34" w:name="_Toc52310850"/>
      <w:bookmarkStart w:id="35" w:name="_Toc64861725"/>
      <w:r w:rsidRPr="00721084">
        <w:rPr>
          <w:rFonts w:asciiTheme="minorEastAsia" w:eastAsiaTheme="minorEastAsia" w:hAnsiTheme="minorEastAsia" w:cs="Arial" w:hint="eastAsia"/>
          <w:szCs w:val="21"/>
        </w:rPr>
        <w:t>本基金可投资于下列金融产品或工具：权益类品种，包括</w:t>
      </w:r>
      <w:r w:rsidRPr="00721084">
        <w:rPr>
          <w:rFonts w:asciiTheme="minorEastAsia" w:eastAsiaTheme="minorEastAsia" w:hAnsiTheme="minorEastAsia" w:cs="Arial"/>
          <w:szCs w:val="21"/>
        </w:rPr>
        <w:t>普通股、</w:t>
      </w:r>
      <w:r w:rsidRPr="00721084">
        <w:rPr>
          <w:rFonts w:asciiTheme="minorEastAsia" w:eastAsiaTheme="minorEastAsia" w:hAnsiTheme="minorEastAsia" w:cs="Arial" w:hint="eastAsia"/>
          <w:szCs w:val="21"/>
        </w:rPr>
        <w:t>优先股、</w:t>
      </w:r>
      <w:r w:rsidRPr="00721084">
        <w:rPr>
          <w:rFonts w:asciiTheme="minorEastAsia" w:eastAsiaTheme="minorEastAsia" w:hAnsiTheme="minorEastAsia" w:cs="Arial"/>
          <w:szCs w:val="21"/>
        </w:rPr>
        <w:t>全球</w:t>
      </w:r>
      <w:r w:rsidRPr="00721084">
        <w:rPr>
          <w:rFonts w:asciiTheme="minorEastAsia" w:eastAsiaTheme="minorEastAsia" w:hAnsiTheme="minorEastAsia" w:cs="Arial" w:hint="eastAsia"/>
          <w:szCs w:val="21"/>
        </w:rPr>
        <w:t>及美国</w:t>
      </w:r>
      <w:r w:rsidRPr="00721084">
        <w:rPr>
          <w:rFonts w:asciiTheme="minorEastAsia" w:eastAsiaTheme="minorEastAsia" w:hAnsiTheme="minorEastAsia" w:cs="Arial"/>
          <w:szCs w:val="21"/>
        </w:rPr>
        <w:t>存托凭证</w:t>
      </w:r>
      <w:r w:rsidRPr="00721084">
        <w:rPr>
          <w:rFonts w:asciiTheme="minorEastAsia" w:eastAsiaTheme="minorEastAsia" w:hAnsiTheme="minorEastAsia" w:cs="Arial" w:hint="eastAsia"/>
          <w:szCs w:val="21"/>
        </w:rPr>
        <w:t>、股票型基金等；固定收益类品种，包括</w:t>
      </w:r>
      <w:r w:rsidRPr="00721084">
        <w:rPr>
          <w:rFonts w:asciiTheme="minorEastAsia" w:eastAsiaTheme="minorEastAsia" w:hAnsiTheme="minorEastAsia" w:cs="Arial"/>
          <w:szCs w:val="21"/>
        </w:rPr>
        <w:t>政府债券、公司债券、可转换债券及经中国证监会认可的国际金融组织发行的</w:t>
      </w:r>
      <w:r w:rsidRPr="00721084">
        <w:rPr>
          <w:rFonts w:asciiTheme="minorEastAsia" w:eastAsiaTheme="minorEastAsia" w:hAnsiTheme="minorEastAsia" w:cs="Arial" w:hint="eastAsia"/>
          <w:szCs w:val="21"/>
        </w:rPr>
        <w:t>固定收益类</w:t>
      </w:r>
      <w:r w:rsidRPr="00721084">
        <w:rPr>
          <w:rFonts w:asciiTheme="minorEastAsia" w:eastAsiaTheme="minorEastAsia" w:hAnsiTheme="minorEastAsia" w:cs="Arial"/>
          <w:szCs w:val="21"/>
        </w:rPr>
        <w:t>证券；</w:t>
      </w:r>
      <w:r w:rsidR="00126382" w:rsidRPr="00721084">
        <w:rPr>
          <w:rFonts w:asciiTheme="minorEastAsia" w:eastAsiaTheme="minorEastAsia" w:hAnsiTheme="minorEastAsia" w:cs="Arial" w:hint="eastAsia"/>
          <w:szCs w:val="21"/>
        </w:rPr>
        <w:t>银行存款</w:t>
      </w:r>
      <w:r w:rsidRPr="00721084">
        <w:rPr>
          <w:rFonts w:asciiTheme="minorEastAsia" w:eastAsiaTheme="minorEastAsia" w:hAnsiTheme="minorEastAsia" w:cs="Arial" w:hint="eastAsia"/>
          <w:szCs w:val="21"/>
        </w:rPr>
        <w:t>、回购、短期政府债券与货币市场基金等</w:t>
      </w:r>
      <w:r w:rsidRPr="00721084">
        <w:rPr>
          <w:rFonts w:asciiTheme="minorEastAsia" w:eastAsiaTheme="minorEastAsia" w:hAnsiTheme="minorEastAsia" w:cs="Arial"/>
          <w:szCs w:val="21"/>
        </w:rPr>
        <w:t>货币市场工具</w:t>
      </w:r>
      <w:r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经中国证监会认可的境外交易所上市交易的金融衍生产品</w:t>
      </w:r>
      <w:r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以及法律、法规或中国证监会允许基金投资的其</w:t>
      </w:r>
      <w:r w:rsidR="00126382" w:rsidRPr="00721084">
        <w:rPr>
          <w:rFonts w:asciiTheme="minorEastAsia" w:eastAsiaTheme="minorEastAsia" w:hAnsiTheme="minorEastAsia" w:cs="Arial" w:hint="eastAsia"/>
          <w:szCs w:val="21"/>
        </w:rPr>
        <w:t>他</w:t>
      </w:r>
      <w:r w:rsidRPr="00721084">
        <w:rPr>
          <w:rFonts w:asciiTheme="minorEastAsia" w:eastAsiaTheme="minorEastAsia" w:hAnsiTheme="minorEastAsia" w:cs="Arial"/>
          <w:szCs w:val="21"/>
        </w:rPr>
        <w:t>金融工具。</w:t>
      </w:r>
    </w:p>
    <w:p w:rsidR="00503B1D" w:rsidRPr="00721084" w:rsidRDefault="00A22382"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本基金主要投资于在亚洲地区（日本除外）证券市场交易的企业以及在其他证券市场交易的亚洲企业（日本除外），对以上两类企业的投资合计不低于股票资产的80%</w:t>
      </w:r>
      <w:r w:rsidR="00ED7534" w:rsidRPr="00721084">
        <w:rPr>
          <w:rFonts w:asciiTheme="minorEastAsia" w:eastAsiaTheme="minorEastAsia" w:hAnsiTheme="minorEastAsia" w:cs="Arial" w:hint="eastAsia"/>
          <w:szCs w:val="21"/>
        </w:rPr>
        <w:t>；其他不高于20%的股票资产可以根据投资策略投资于超出前述投资范围的其他市场的企业</w:t>
      </w:r>
      <w:r w:rsidRPr="00721084">
        <w:rPr>
          <w:rFonts w:asciiTheme="minorEastAsia" w:eastAsiaTheme="minorEastAsia" w:hAnsiTheme="minorEastAsia" w:cs="Arial" w:hint="eastAsia"/>
          <w:szCs w:val="21"/>
        </w:rPr>
        <w:t>。上述亚洲企业指注册登记或者总部在亚洲的企业。</w:t>
      </w:r>
    </w:p>
    <w:p w:rsidR="0027469F" w:rsidRPr="00721084" w:rsidRDefault="00A22382"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cs="Arial" w:hint="eastAsia"/>
          <w:szCs w:val="21"/>
        </w:rPr>
        <w:t>本基金投资于股票及其他权益类证券占基金资产的比例不低于60%，</w:t>
      </w:r>
      <w:r w:rsidR="003E0224" w:rsidRPr="00721084">
        <w:rPr>
          <w:rFonts w:asciiTheme="minorEastAsia" w:eastAsiaTheme="minorEastAsia" w:hAnsiTheme="minorEastAsia" w:cs="Arial" w:hint="eastAsia"/>
          <w:szCs w:val="21"/>
        </w:rPr>
        <w:t>现金、债券及中国证监会允许投资的其它金融工具市值占基金资产的比例不高于</w:t>
      </w:r>
      <w:r w:rsidR="003E0224" w:rsidRPr="00721084">
        <w:rPr>
          <w:rFonts w:asciiTheme="minorEastAsia" w:eastAsiaTheme="minorEastAsia" w:hAnsiTheme="minorEastAsia" w:cs="Arial"/>
          <w:szCs w:val="21"/>
        </w:rPr>
        <w:t>40%</w:t>
      </w:r>
      <w:r w:rsidR="0027469F" w:rsidRPr="00721084">
        <w:rPr>
          <w:rFonts w:asciiTheme="minorEastAsia" w:eastAsiaTheme="minorEastAsia" w:hAnsiTheme="minorEastAsia" w:cs="Arial" w:hint="eastAsia"/>
          <w:szCs w:val="21"/>
        </w:rPr>
        <w:t>。</w:t>
      </w:r>
    </w:p>
    <w:p w:rsidR="00BD717F" w:rsidRPr="00721084" w:rsidRDefault="0027469F" w:rsidP="00CE3F81">
      <w:pPr>
        <w:widowControl/>
        <w:snapToGrid w:val="0"/>
        <w:spacing w:line="360" w:lineRule="auto"/>
        <w:ind w:firstLineChars="200" w:firstLine="420"/>
        <w:jc w:val="left"/>
        <w:rPr>
          <w:rFonts w:asciiTheme="minorEastAsia" w:eastAsiaTheme="minorEastAsia" w:hAnsiTheme="minorEastAsia"/>
        </w:rPr>
      </w:pPr>
      <w:r w:rsidRPr="00721084">
        <w:rPr>
          <w:rFonts w:asciiTheme="minorEastAsia" w:eastAsiaTheme="minorEastAsia" w:hAnsiTheme="minorEastAsia" w:hint="eastAsia"/>
        </w:rPr>
        <w:t>如与中国证监会签订</w:t>
      </w:r>
      <w:r w:rsidRPr="00721084">
        <w:rPr>
          <w:rFonts w:asciiTheme="minorEastAsia" w:eastAsiaTheme="minorEastAsia" w:hAnsiTheme="minorEastAsia"/>
        </w:rPr>
        <w:t>双边监管合作谅解备忘录</w:t>
      </w:r>
      <w:r w:rsidRPr="00721084">
        <w:rPr>
          <w:rFonts w:asciiTheme="minorEastAsia" w:eastAsiaTheme="minorEastAsia" w:hAnsiTheme="minorEastAsia" w:hint="eastAsia"/>
        </w:rPr>
        <w:t>的国家</w:t>
      </w:r>
      <w:r w:rsidR="0041348F" w:rsidRPr="00721084">
        <w:rPr>
          <w:rFonts w:asciiTheme="minorEastAsia" w:eastAsiaTheme="minorEastAsia" w:hAnsiTheme="minorEastAsia" w:hint="eastAsia"/>
        </w:rPr>
        <w:t>/地区</w:t>
      </w:r>
      <w:r w:rsidRPr="00721084">
        <w:rPr>
          <w:rFonts w:asciiTheme="minorEastAsia" w:eastAsiaTheme="minorEastAsia" w:hAnsiTheme="minorEastAsia" w:hint="eastAsia"/>
        </w:rPr>
        <w:t>增加、减少或变更，本基金投资的主要证券市场将相应调整。</w:t>
      </w:r>
    </w:p>
    <w:p w:rsidR="0064594E" w:rsidRPr="00721084" w:rsidRDefault="0027469F" w:rsidP="00CE3F81">
      <w:pPr>
        <w:widowControl/>
        <w:snapToGrid w:val="0"/>
        <w:spacing w:line="360" w:lineRule="auto"/>
        <w:ind w:firstLineChars="200" w:firstLine="420"/>
        <w:jc w:val="left"/>
        <w:rPr>
          <w:rFonts w:asciiTheme="minorEastAsia" w:eastAsiaTheme="minorEastAsia" w:hAnsiTheme="minorEastAsia"/>
        </w:rPr>
      </w:pPr>
      <w:r w:rsidRPr="00721084">
        <w:rPr>
          <w:rFonts w:asciiTheme="minorEastAsia" w:eastAsiaTheme="minorEastAsia" w:hAnsiTheme="minorEastAsia" w:hint="eastAsia"/>
        </w:rPr>
        <w:t>如法律法规或监管机构以后允许本基金投资其他品种，基金管理人在履行适当程序后，可以将其纳入投资范围。</w:t>
      </w:r>
    </w:p>
    <w:p w:rsidR="0064594E" w:rsidRPr="00721084"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36" w:name="_Toc44351064"/>
      <w:r w:rsidRPr="00721084">
        <w:rPr>
          <w:rFonts w:asciiTheme="minorEastAsia" w:eastAsiaTheme="minorEastAsia" w:hAnsiTheme="minorEastAsia" w:hint="eastAsia"/>
          <w:b w:val="0"/>
          <w:bCs/>
        </w:rPr>
        <w:t>三、</w:t>
      </w:r>
      <w:r w:rsidR="0064594E" w:rsidRPr="00721084">
        <w:rPr>
          <w:rFonts w:asciiTheme="minorEastAsia" w:eastAsiaTheme="minorEastAsia" w:hAnsiTheme="minorEastAsia" w:hint="eastAsia"/>
          <w:b w:val="0"/>
          <w:bCs/>
        </w:rPr>
        <w:t>投资理念</w:t>
      </w:r>
      <w:bookmarkEnd w:id="34"/>
      <w:bookmarkEnd w:id="35"/>
      <w:bookmarkEnd w:id="36"/>
    </w:p>
    <w:p w:rsidR="0064594E" w:rsidRPr="00721084" w:rsidRDefault="0064594E" w:rsidP="00CE3F81">
      <w:pPr>
        <w:snapToGrid w:val="0"/>
        <w:spacing w:line="360" w:lineRule="auto"/>
        <w:ind w:firstLineChars="200" w:firstLine="420"/>
        <w:rPr>
          <w:rFonts w:asciiTheme="minorEastAsia" w:eastAsiaTheme="minorEastAsia" w:hAnsiTheme="minorEastAsia" w:cs="Arial"/>
          <w:szCs w:val="21"/>
        </w:rPr>
      </w:pPr>
      <w:bookmarkStart w:id="37" w:name="_Toc52310851"/>
      <w:bookmarkStart w:id="38" w:name="_Toc64861726"/>
      <w:r w:rsidRPr="00721084">
        <w:rPr>
          <w:rFonts w:asciiTheme="minorEastAsia" w:eastAsiaTheme="minorEastAsia" w:hAnsiTheme="minorEastAsia" w:cs="Arial" w:hint="eastAsia"/>
          <w:szCs w:val="21"/>
        </w:rPr>
        <w:t>对亚洲市场进行分散投资，既可分享区域经济高速增长带来的收益，又可更好地分散单一国家风险，为持有人带来稳健回报；以全球视野、基于公司基本面进行选股，坚持价值投资，争取超额回报。</w:t>
      </w:r>
    </w:p>
    <w:p w:rsidR="0064594E" w:rsidRPr="00721084"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39" w:name="_Toc44351065"/>
      <w:r w:rsidRPr="00721084">
        <w:rPr>
          <w:rFonts w:asciiTheme="minorEastAsia" w:eastAsiaTheme="minorEastAsia" w:hAnsiTheme="minorEastAsia" w:hint="eastAsia"/>
          <w:b w:val="0"/>
          <w:bCs/>
        </w:rPr>
        <w:t>四、</w:t>
      </w:r>
      <w:r w:rsidR="0064594E" w:rsidRPr="00721084">
        <w:rPr>
          <w:rFonts w:asciiTheme="minorEastAsia" w:eastAsiaTheme="minorEastAsia" w:hAnsiTheme="minorEastAsia" w:hint="eastAsia"/>
          <w:b w:val="0"/>
          <w:bCs/>
        </w:rPr>
        <w:t>投资策略</w:t>
      </w:r>
      <w:bookmarkEnd w:id="39"/>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bookmarkStart w:id="40" w:name="_Toc44900772"/>
      <w:bookmarkStart w:id="41" w:name="_Toc52616499"/>
      <w:r w:rsidRPr="00721084">
        <w:rPr>
          <w:rFonts w:asciiTheme="minorEastAsia" w:eastAsiaTheme="minorEastAsia" w:hAnsiTheme="minorEastAsia" w:cs="Arial" w:hint="eastAsia"/>
          <w:szCs w:val="21"/>
        </w:rPr>
        <w:t>1、</w:t>
      </w:r>
      <w:r w:rsidR="0027469F" w:rsidRPr="00721084">
        <w:rPr>
          <w:rFonts w:asciiTheme="minorEastAsia" w:eastAsiaTheme="minorEastAsia" w:hAnsiTheme="minorEastAsia" w:cs="Arial" w:hint="eastAsia"/>
          <w:szCs w:val="21"/>
        </w:rPr>
        <w:t>资产配置策略</w:t>
      </w:r>
    </w:p>
    <w:p w:rsidR="0027469F" w:rsidRPr="00721084" w:rsidRDefault="0027469F"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本基金将基于对以下因素的分析与判断，进行权益类资产、固定收益类资产和货币市场工具的配置：</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（1）</w:t>
      </w:r>
      <w:r w:rsidR="0027469F" w:rsidRPr="00721084">
        <w:rPr>
          <w:rFonts w:asciiTheme="minorEastAsia" w:eastAsiaTheme="minorEastAsia" w:hAnsiTheme="minorEastAsia" w:cs="Arial" w:hint="eastAsia"/>
          <w:szCs w:val="21"/>
        </w:rPr>
        <w:t>宏观经济因素：包括</w:t>
      </w:r>
      <w:r w:rsidR="004A1A1D" w:rsidRPr="00721084">
        <w:rPr>
          <w:rFonts w:asciiTheme="minorEastAsia" w:eastAsiaTheme="minorEastAsia" w:hAnsiTheme="minorEastAsia" w:cs="Arial" w:hint="eastAsia"/>
          <w:szCs w:val="21"/>
        </w:rPr>
        <w:t>亚洲</w:t>
      </w:r>
      <w:r w:rsidR="0027469F" w:rsidRPr="00721084">
        <w:rPr>
          <w:rFonts w:asciiTheme="minorEastAsia" w:eastAsiaTheme="minorEastAsia" w:hAnsiTheme="minorEastAsia" w:cs="Arial" w:hint="eastAsia"/>
          <w:szCs w:val="21"/>
        </w:rPr>
        <w:t>各国</w:t>
      </w:r>
      <w:r w:rsidR="008467E3" w:rsidRPr="00721084">
        <w:rPr>
          <w:rFonts w:asciiTheme="minorEastAsia" w:eastAsiaTheme="minorEastAsia" w:hAnsiTheme="minorEastAsia" w:cs="Arial" w:hint="eastAsia"/>
          <w:szCs w:val="21"/>
        </w:rPr>
        <w:t>/地区</w:t>
      </w:r>
      <w:r w:rsidR="0027469F" w:rsidRPr="00721084">
        <w:rPr>
          <w:rFonts w:asciiTheme="minorEastAsia" w:eastAsiaTheme="minorEastAsia" w:hAnsiTheme="minorEastAsia" w:cs="Arial" w:hint="eastAsia"/>
          <w:szCs w:val="21"/>
        </w:rPr>
        <w:t>经济金融政策、各国</w:t>
      </w:r>
      <w:r w:rsidR="008467E3" w:rsidRPr="00721084">
        <w:rPr>
          <w:rFonts w:asciiTheme="minorEastAsia" w:eastAsiaTheme="minorEastAsia" w:hAnsiTheme="minorEastAsia" w:cs="Arial" w:hint="eastAsia"/>
          <w:szCs w:val="21"/>
        </w:rPr>
        <w:t>/地区</w:t>
      </w:r>
      <w:r w:rsidR="0027469F" w:rsidRPr="00721084">
        <w:rPr>
          <w:rFonts w:asciiTheme="minorEastAsia" w:eastAsiaTheme="minorEastAsia" w:hAnsiTheme="minorEastAsia" w:cs="Arial" w:hint="eastAsia"/>
          <w:szCs w:val="21"/>
        </w:rPr>
        <w:t>的经济增长趋势、物价水平变化、利率走势、各国</w:t>
      </w:r>
      <w:r w:rsidR="008467E3" w:rsidRPr="00721084">
        <w:rPr>
          <w:rFonts w:asciiTheme="minorEastAsia" w:eastAsiaTheme="minorEastAsia" w:hAnsiTheme="minorEastAsia" w:cs="Arial" w:hint="eastAsia"/>
          <w:szCs w:val="21"/>
        </w:rPr>
        <w:t>/地区</w:t>
      </w:r>
      <w:r w:rsidR="0027469F" w:rsidRPr="00721084">
        <w:rPr>
          <w:rFonts w:asciiTheme="minorEastAsia" w:eastAsiaTheme="minorEastAsia" w:hAnsiTheme="minorEastAsia" w:cs="Arial" w:hint="eastAsia"/>
          <w:szCs w:val="21"/>
        </w:rPr>
        <w:t>汇率走势等；</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（2）</w:t>
      </w:r>
      <w:r w:rsidR="0027469F" w:rsidRPr="00721084">
        <w:rPr>
          <w:rFonts w:asciiTheme="minorEastAsia" w:eastAsiaTheme="minorEastAsia" w:hAnsiTheme="minorEastAsia" w:cs="Arial" w:hint="eastAsia"/>
          <w:szCs w:val="21"/>
        </w:rPr>
        <w:t>权益类资产的风险与收益水平：亚洲区股票市场的预期收益率与风险情况、</w:t>
      </w:r>
      <w:r w:rsidR="004A1A1D" w:rsidRPr="00721084">
        <w:rPr>
          <w:rFonts w:asciiTheme="minorEastAsia" w:eastAsiaTheme="minorEastAsia" w:hAnsiTheme="minorEastAsia" w:cs="Arial" w:hint="eastAsia"/>
          <w:szCs w:val="21"/>
        </w:rPr>
        <w:t>亚洲地区</w:t>
      </w:r>
      <w:r w:rsidR="0027469F" w:rsidRPr="00721084">
        <w:rPr>
          <w:rFonts w:asciiTheme="minorEastAsia" w:eastAsiaTheme="minorEastAsia" w:hAnsiTheme="minorEastAsia" w:cs="Arial" w:hint="eastAsia"/>
          <w:szCs w:val="21"/>
        </w:rPr>
        <w:t>股票市场的整体估值水平、</w:t>
      </w:r>
      <w:r w:rsidR="004A1A1D" w:rsidRPr="00721084">
        <w:rPr>
          <w:rFonts w:asciiTheme="minorEastAsia" w:eastAsiaTheme="minorEastAsia" w:hAnsiTheme="minorEastAsia" w:cs="Arial" w:hint="eastAsia"/>
          <w:szCs w:val="21"/>
        </w:rPr>
        <w:t>亚洲地区</w:t>
      </w:r>
      <w:r w:rsidR="0027469F" w:rsidRPr="00721084">
        <w:rPr>
          <w:rFonts w:asciiTheme="minorEastAsia" w:eastAsiaTheme="minorEastAsia" w:hAnsiTheme="minorEastAsia" w:cs="Arial" w:hint="eastAsia"/>
          <w:szCs w:val="21"/>
        </w:rPr>
        <w:t>股票市场的走势等；</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lastRenderedPageBreak/>
        <w:t>（3）</w:t>
      </w:r>
      <w:r w:rsidR="0027469F" w:rsidRPr="00721084">
        <w:rPr>
          <w:rFonts w:asciiTheme="minorEastAsia" w:eastAsiaTheme="minorEastAsia" w:hAnsiTheme="minorEastAsia" w:cs="Arial" w:hint="eastAsia"/>
          <w:szCs w:val="21"/>
        </w:rPr>
        <w:t>固定收益类资产的风险与收益水平：</w:t>
      </w:r>
      <w:r w:rsidR="004A1A1D" w:rsidRPr="00721084">
        <w:rPr>
          <w:rFonts w:asciiTheme="minorEastAsia" w:eastAsiaTheme="minorEastAsia" w:hAnsiTheme="minorEastAsia" w:cs="Arial" w:hint="eastAsia"/>
          <w:szCs w:val="21"/>
        </w:rPr>
        <w:t>亚洲地区</w:t>
      </w:r>
      <w:r w:rsidR="0027469F" w:rsidRPr="00721084">
        <w:rPr>
          <w:rFonts w:asciiTheme="minorEastAsia" w:eastAsiaTheme="minorEastAsia" w:hAnsiTheme="minorEastAsia" w:cs="Arial" w:hint="eastAsia"/>
          <w:szCs w:val="21"/>
        </w:rPr>
        <w:t>市场固定收益类资产的利率期限结构以及汇率对其实际收益率的影响、</w:t>
      </w:r>
      <w:r w:rsidR="004A1A1D" w:rsidRPr="00721084">
        <w:rPr>
          <w:rFonts w:asciiTheme="minorEastAsia" w:eastAsiaTheme="minorEastAsia" w:hAnsiTheme="minorEastAsia" w:cs="Arial" w:hint="eastAsia"/>
          <w:szCs w:val="21"/>
        </w:rPr>
        <w:t>亚洲地区</w:t>
      </w:r>
      <w:r w:rsidR="0027469F" w:rsidRPr="00721084">
        <w:rPr>
          <w:rFonts w:asciiTheme="minorEastAsia" w:eastAsiaTheme="minorEastAsia" w:hAnsiTheme="minorEastAsia" w:cs="Arial" w:hint="eastAsia"/>
          <w:szCs w:val="21"/>
        </w:rPr>
        <w:t>利率的走势等；</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（4）</w:t>
      </w:r>
      <w:r w:rsidR="0027469F" w:rsidRPr="00721084">
        <w:rPr>
          <w:rFonts w:asciiTheme="minorEastAsia" w:eastAsiaTheme="minorEastAsia" w:hAnsiTheme="minorEastAsia" w:cs="Arial" w:hint="eastAsia"/>
          <w:szCs w:val="21"/>
        </w:rPr>
        <w:t>货币市场工具的风险与收益水平：货币市场工具的收益率以及汇率对其实际收益率的影响。</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2、</w:t>
      </w:r>
      <w:r w:rsidR="000735A5" w:rsidRPr="00721084">
        <w:rPr>
          <w:rFonts w:asciiTheme="minorEastAsia" w:eastAsiaTheme="minorEastAsia" w:hAnsiTheme="minorEastAsia" w:cs="Arial" w:hint="eastAsia"/>
          <w:szCs w:val="21"/>
        </w:rPr>
        <w:t>股票</w:t>
      </w:r>
      <w:r w:rsidR="0027469F" w:rsidRPr="00721084">
        <w:rPr>
          <w:rFonts w:asciiTheme="minorEastAsia" w:eastAsiaTheme="minorEastAsia" w:hAnsiTheme="minorEastAsia" w:cs="Arial" w:hint="eastAsia"/>
          <w:szCs w:val="21"/>
        </w:rPr>
        <w:t>投资策略</w:t>
      </w:r>
    </w:p>
    <w:p w:rsidR="0027469F"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本基金坚持价值投资的理念，以自下而上的基本面分析、深入的公司研究、对股票价值的评估作为股票投资的根本依据，辅以自上而下的宏观经济分析、国别</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因素分析、行业分析，争取获得超越比较基准的回报。</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（1）</w:t>
      </w:r>
      <w:r w:rsidR="0027469F" w:rsidRPr="00721084">
        <w:rPr>
          <w:rFonts w:asciiTheme="minorEastAsia" w:eastAsiaTheme="minorEastAsia" w:hAnsiTheme="minorEastAsia" w:cs="Arial" w:hint="eastAsia"/>
          <w:szCs w:val="21"/>
        </w:rPr>
        <w:t>股票初选范围的确定</w:t>
      </w:r>
    </w:p>
    <w:p w:rsidR="0062403A" w:rsidRPr="00721084" w:rsidRDefault="0027469F"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在可投资的股票中，本基金将采取定性与定量相结合的方法，主要根据下列因素，排除不满足基本投资要求的公司，</w:t>
      </w:r>
      <w:r w:rsidR="0062403A" w:rsidRPr="00721084">
        <w:rPr>
          <w:rFonts w:asciiTheme="minorEastAsia" w:eastAsiaTheme="minorEastAsia" w:hAnsiTheme="minorEastAsia" w:cs="Arial" w:hint="eastAsia"/>
          <w:szCs w:val="21"/>
        </w:rPr>
        <w:t>衡量标准包括公司治理结构是否健全、是否有明显的财务风险</w:t>
      </w:r>
      <w:r w:rsidR="003F5DAB" w:rsidRPr="00721084">
        <w:rPr>
          <w:rFonts w:asciiTheme="minorEastAsia" w:eastAsiaTheme="minorEastAsia" w:hAnsiTheme="minorEastAsia" w:cs="Arial" w:hint="eastAsia"/>
          <w:szCs w:val="21"/>
        </w:rPr>
        <w:t>、股票流动性是否足够</w:t>
      </w:r>
      <w:r w:rsidR="0062403A" w:rsidRPr="00721084">
        <w:rPr>
          <w:rFonts w:asciiTheme="minorEastAsia" w:eastAsiaTheme="minorEastAsia" w:hAnsiTheme="minorEastAsia" w:cs="Arial" w:hint="eastAsia"/>
          <w:szCs w:val="21"/>
        </w:rPr>
        <w:t>等，确定出股票的初选范围。</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（2）</w:t>
      </w:r>
      <w:r w:rsidR="0027469F" w:rsidRPr="00721084">
        <w:rPr>
          <w:rFonts w:asciiTheme="minorEastAsia" w:eastAsiaTheme="minorEastAsia" w:hAnsiTheme="minorEastAsia" w:cs="Arial" w:hint="eastAsia"/>
          <w:szCs w:val="21"/>
        </w:rPr>
        <w:t>股票的选择标准</w:t>
      </w:r>
    </w:p>
    <w:p w:rsidR="0027469F" w:rsidRPr="00721084" w:rsidRDefault="0027469F"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在初选股票范围内，本基金将在参考</w:t>
      </w:r>
      <w:r w:rsidR="003F5DAB" w:rsidRPr="00721084">
        <w:rPr>
          <w:rFonts w:asciiTheme="minorEastAsia" w:eastAsiaTheme="minorEastAsia" w:hAnsiTheme="minorEastAsia" w:cs="Arial" w:hint="eastAsia"/>
          <w:szCs w:val="21"/>
        </w:rPr>
        <w:t>内外部</w:t>
      </w:r>
      <w:r w:rsidRPr="00721084">
        <w:rPr>
          <w:rFonts w:asciiTheme="minorEastAsia" w:eastAsiaTheme="minorEastAsia" w:hAnsiTheme="minorEastAsia" w:cs="Arial" w:hint="eastAsia"/>
          <w:szCs w:val="21"/>
        </w:rPr>
        <w:t>研究报告的基础上，对上市公司的盈利模式、公司所在行业的发展前景、行业竞争优势、盈利能力、成长性、公司管理水平、股票估值水平等因素进行深入分析，对上市公司的投资价值进行综合评估。具体而言，选择股票的标准主要包括：</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1）</w:t>
      </w:r>
      <w:r w:rsidR="0027469F" w:rsidRPr="00721084">
        <w:rPr>
          <w:rFonts w:asciiTheme="minorEastAsia" w:eastAsiaTheme="minorEastAsia" w:hAnsiTheme="minorEastAsia" w:cs="Arial" w:hint="eastAsia"/>
          <w:szCs w:val="21"/>
        </w:rPr>
        <w:t>良好的盈利模式：通过综合分析公司所在行业的进入壁垒、行业内竞争状况、上下游企业的议价能力、替代品及进口产品对企业产品与服务的竞争等，判断企业从事的业务是否具有相对稳定或不断提高的盈利水平，是否有良好的盈利模式；</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2）</w:t>
      </w:r>
      <w:r w:rsidR="0027469F" w:rsidRPr="00721084">
        <w:rPr>
          <w:rFonts w:asciiTheme="minorEastAsia" w:eastAsiaTheme="minorEastAsia" w:hAnsiTheme="minorEastAsia" w:cs="Arial" w:hint="eastAsia"/>
          <w:szCs w:val="21"/>
        </w:rPr>
        <w:t>所在行业具有较好的发展前景：行业处于成长期或正从低谷中恢复，行业具有较大的发展空间，行业利润率保持稳定或处于增长期；</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3）</w:t>
      </w:r>
      <w:r w:rsidR="0027469F" w:rsidRPr="00721084">
        <w:rPr>
          <w:rFonts w:asciiTheme="minorEastAsia" w:eastAsiaTheme="minorEastAsia" w:hAnsiTheme="minorEastAsia" w:cs="Arial" w:hint="eastAsia"/>
          <w:szCs w:val="21"/>
        </w:rPr>
        <w:t>具有较强的行业竞争优势：企业的行业竞争优势最终体现为具有相对较高的营业利润率和资产利润率、较高的或不断增长的市场占有率、较强的抗行业周期风险的能力。企业可通过保持较低的生产成本、差异化产品策略、创新与技术的改进、高效的管理等，维持并不断强化行业竞争优势；</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4）</w:t>
      </w:r>
      <w:r w:rsidR="0027469F" w:rsidRPr="00721084">
        <w:rPr>
          <w:rFonts w:asciiTheme="minorEastAsia" w:eastAsiaTheme="minorEastAsia" w:hAnsiTheme="minorEastAsia" w:cs="Arial" w:hint="eastAsia"/>
          <w:szCs w:val="21"/>
        </w:rPr>
        <w:t>较强的盈利能力：主要体现为营业利润率、资产利润率以及净资产利润率高于行业平均水平；</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5）</w:t>
      </w:r>
      <w:r w:rsidR="0027469F" w:rsidRPr="00721084">
        <w:rPr>
          <w:rFonts w:asciiTheme="minorEastAsia" w:eastAsiaTheme="minorEastAsia" w:hAnsiTheme="minorEastAsia" w:cs="Arial" w:hint="eastAsia"/>
          <w:szCs w:val="21"/>
        </w:rPr>
        <w:t>较高的成长性：预期企业中长期净利润增长率高于行业平均水平；</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6）</w:t>
      </w:r>
      <w:r w:rsidR="0027469F" w:rsidRPr="00721084">
        <w:rPr>
          <w:rFonts w:asciiTheme="minorEastAsia" w:eastAsiaTheme="minorEastAsia" w:hAnsiTheme="minorEastAsia" w:cs="Arial" w:hint="eastAsia"/>
          <w:szCs w:val="21"/>
        </w:rPr>
        <w:t>管理水平较高并重视股东利益：公司的管理层能有效地控制成本、开发新产品或新业务，不断提升股东价值；而且管理层的收入与公司效益紧密挂钩，员工激励体系完善，公司管理层关心股东利益；</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7）</w:t>
      </w:r>
      <w:r w:rsidR="0027469F" w:rsidRPr="00721084">
        <w:rPr>
          <w:rFonts w:asciiTheme="minorEastAsia" w:eastAsiaTheme="minorEastAsia" w:hAnsiTheme="minorEastAsia" w:cs="Arial" w:hint="eastAsia"/>
          <w:szCs w:val="21"/>
        </w:rPr>
        <w:t>股票估值水平合理或被市场低估：根据企业的行业特点、预期中长期净利润的成长性、所在国家</w:t>
      </w:r>
      <w:r w:rsidR="008467E3" w:rsidRPr="00721084">
        <w:rPr>
          <w:rFonts w:asciiTheme="minorEastAsia" w:eastAsiaTheme="minorEastAsia" w:hAnsiTheme="minorEastAsia" w:cs="Arial" w:hint="eastAsia"/>
          <w:szCs w:val="21"/>
        </w:rPr>
        <w:t>/地区</w:t>
      </w:r>
      <w:r w:rsidR="0027469F" w:rsidRPr="00721084">
        <w:rPr>
          <w:rFonts w:asciiTheme="minorEastAsia" w:eastAsiaTheme="minorEastAsia" w:hAnsiTheme="minorEastAsia" w:cs="Arial" w:hint="eastAsia"/>
          <w:szCs w:val="21"/>
        </w:rPr>
        <w:t>与行业的平均股票估值水平，采取市盈率、市净率、现金流贴现法等估</w:t>
      </w:r>
      <w:r w:rsidR="0027469F" w:rsidRPr="00721084">
        <w:rPr>
          <w:rFonts w:asciiTheme="minorEastAsia" w:eastAsiaTheme="minorEastAsia" w:hAnsiTheme="minorEastAsia" w:cs="Arial" w:hint="eastAsia"/>
          <w:szCs w:val="21"/>
        </w:rPr>
        <w:lastRenderedPageBreak/>
        <w:t>值方法，对股票价值进行评估，选择股票估值水平合理或被市场低估的股票。</w:t>
      </w:r>
    </w:p>
    <w:p w:rsidR="0027469F"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在对股票进行以上综合评估的基础上，本基金可初步构造股票组合。</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（3）</w:t>
      </w:r>
      <w:r w:rsidR="0027469F" w:rsidRPr="00721084">
        <w:rPr>
          <w:rFonts w:asciiTheme="minorEastAsia" w:eastAsiaTheme="minorEastAsia" w:hAnsiTheme="minorEastAsia" w:cs="Arial" w:hint="eastAsia"/>
          <w:szCs w:val="21"/>
        </w:rPr>
        <w:t>国别</w:t>
      </w:r>
      <w:r w:rsidR="008467E3" w:rsidRPr="00721084">
        <w:rPr>
          <w:rFonts w:asciiTheme="minorEastAsia" w:eastAsiaTheme="minorEastAsia" w:hAnsiTheme="minorEastAsia" w:cs="Arial" w:hint="eastAsia"/>
          <w:szCs w:val="21"/>
        </w:rPr>
        <w:t>/地区</w:t>
      </w:r>
      <w:r w:rsidR="0027469F" w:rsidRPr="00721084">
        <w:rPr>
          <w:rFonts w:asciiTheme="minorEastAsia" w:eastAsiaTheme="minorEastAsia" w:hAnsiTheme="minorEastAsia" w:cs="Arial" w:hint="eastAsia"/>
          <w:szCs w:val="21"/>
        </w:rPr>
        <w:t>与行业配置的调整</w:t>
      </w:r>
    </w:p>
    <w:p w:rsidR="0027469F"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本基金将对</w:t>
      </w:r>
      <w:r w:rsidR="004A1A1D" w:rsidRPr="00721084">
        <w:rPr>
          <w:rFonts w:asciiTheme="minorEastAsia" w:eastAsiaTheme="minorEastAsia" w:hAnsiTheme="minorEastAsia" w:hint="eastAsia"/>
          <w:szCs w:val="21"/>
        </w:rPr>
        <w:t>亚洲地区</w:t>
      </w:r>
      <w:r w:rsidRPr="00721084">
        <w:rPr>
          <w:rFonts w:asciiTheme="minorEastAsia" w:eastAsiaTheme="minorEastAsia" w:hAnsiTheme="minorEastAsia" w:hint="eastAsia"/>
          <w:szCs w:val="21"/>
        </w:rPr>
        <w:t>可投资国家</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进行自上而下的研究，主要通过对政治局势、财政金融政策、GDP增长率、贸易与资本项下的盈余状况、物价水平、利率走势、所在国家</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汇率的走势、证券市场相对估值水平、市场成熟度等方面的分析，对</w:t>
      </w:r>
      <w:r w:rsidR="004A1A1D" w:rsidRPr="00721084">
        <w:rPr>
          <w:rFonts w:asciiTheme="minorEastAsia" w:eastAsiaTheme="minorEastAsia" w:hAnsiTheme="minorEastAsia" w:hint="eastAsia"/>
          <w:szCs w:val="21"/>
        </w:rPr>
        <w:t>亚洲地区</w:t>
      </w:r>
      <w:r w:rsidRPr="00721084">
        <w:rPr>
          <w:rFonts w:asciiTheme="minorEastAsia" w:eastAsiaTheme="minorEastAsia" w:hAnsiTheme="minorEastAsia" w:hint="eastAsia"/>
          <w:szCs w:val="21"/>
        </w:rPr>
        <w:t>各国</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的投资潜力进行综合评价，作为进行国别</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配置的依据。</w:t>
      </w:r>
    </w:p>
    <w:p w:rsidR="0027469F"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本基金还将根据对各行业发展空间、所处的行业周期及景气度的高低等因素的分析，对各行业的投资潜力进行综合评价，作为行业配置的依据。</w:t>
      </w:r>
    </w:p>
    <w:p w:rsidR="0027469F"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在初步构造的股票组合中，本基金将国别</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配置、行业配置比例与业绩比较基准的标准配置比例进行比较，结合国别</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评价和行业评价，进行股票组合配置的相应调整，以避免国别</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和行业配置与基准相差过大带来的风险，提高组合的收益。</w:t>
      </w:r>
    </w:p>
    <w:p w:rsidR="0027469F" w:rsidRPr="00721084" w:rsidRDefault="00885D50" w:rsidP="00885D50">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（4）</w:t>
      </w:r>
      <w:r w:rsidR="0027469F" w:rsidRPr="00721084">
        <w:rPr>
          <w:rFonts w:asciiTheme="minorEastAsia" w:eastAsiaTheme="minorEastAsia" w:hAnsiTheme="minorEastAsia" w:cs="Arial" w:hint="eastAsia"/>
          <w:szCs w:val="21"/>
        </w:rPr>
        <w:t>股票投资组合的构造</w:t>
      </w:r>
    </w:p>
    <w:p w:rsidR="0027469F"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在个股选择、国别</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与行业配置调整的基础上，本基金将构造股票组合，并持续地进行跟踪研究。当国家</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、行业及公司的基本面发生实质性变化、公司股价已达到预期水平、公司的业绩前景已为市场充分预期、有更好的投资机会时，本基金将相应进行组合的调整。</w:t>
      </w:r>
    </w:p>
    <w:p w:rsidR="0027469F" w:rsidRPr="00721084" w:rsidRDefault="00885D50" w:rsidP="00885D50">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27469F" w:rsidRPr="00721084">
        <w:rPr>
          <w:rFonts w:asciiTheme="minorEastAsia" w:eastAsiaTheme="minorEastAsia" w:hAnsiTheme="minorEastAsia" w:hint="eastAsia"/>
          <w:szCs w:val="21"/>
        </w:rPr>
        <w:t>固定收益品种与货币市场工具的投资策略</w:t>
      </w:r>
    </w:p>
    <w:p w:rsidR="0027469F"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本基金投资固定收益品种与货币市场工具的主要目的在于：在权益类品种存在较高风险时，作为回避投资风险、取得稳定回报的手段，以及保持必要的灵活性，及时把握重大的投资机会。</w:t>
      </w:r>
    </w:p>
    <w:p w:rsidR="0027469F"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在构造固定收益和货币市场工具投资组合的过程中，本基金主要考虑：基金的申购赎回需求；基金的国别</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资产配置要求；所在国家</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的通胀率、财政及金融政策、利率水平与走势、贸易及经常项目下余额等；各国</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固定收益品种的期限、收益率、信用风险、利率走势、相对人民币的汇率走势等，以追求稳健的回报。</w:t>
      </w:r>
    </w:p>
    <w:p w:rsidR="0027469F" w:rsidRPr="00721084" w:rsidRDefault="00885D50" w:rsidP="00885D50">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27469F" w:rsidRPr="00721084">
        <w:rPr>
          <w:rFonts w:asciiTheme="minorEastAsia" w:eastAsiaTheme="minorEastAsia" w:hAnsiTheme="minorEastAsia" w:hint="eastAsia"/>
          <w:szCs w:val="21"/>
        </w:rPr>
        <w:t>衍生品的投资</w:t>
      </w:r>
    </w:p>
    <w:p w:rsidR="0027469F"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本基金将本着谨慎的原则，在风险可控的前提下，以避险和有效地进行组合管理为主要目的，适度参与衍生品的投资。衍生品投资的主要策略包括:</w:t>
      </w:r>
    </w:p>
    <w:p w:rsidR="0027469F"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27469F" w:rsidRPr="00721084">
        <w:rPr>
          <w:rFonts w:asciiTheme="minorEastAsia" w:eastAsiaTheme="minorEastAsia" w:hAnsiTheme="minorEastAsia" w:hint="eastAsia"/>
          <w:szCs w:val="21"/>
        </w:rPr>
        <w:t>避险。本基金可利用货币远期、期货、期权或掉期等衍生品种，以规避外币资产对人民币的汇率风险，避免汇率剧烈波动对基金的业绩产生不良影响；可利用股票市场指数相关的衍生产品，以规避市场的系统性风险；可利用证券相关的衍生产品，以规避单个证券在短时期内剧烈波动的风险等。</w:t>
      </w:r>
    </w:p>
    <w:p w:rsidR="0027469F"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27469F" w:rsidRPr="00721084">
        <w:rPr>
          <w:rFonts w:asciiTheme="minorEastAsia" w:eastAsiaTheme="minorEastAsia" w:hAnsiTheme="minorEastAsia" w:hint="eastAsia"/>
          <w:szCs w:val="21"/>
        </w:rPr>
        <w:t>有效管理。主要包括对现金流量的有效管理、降低冲击成本等。在短期的申购规模较大时，基金净值会因仓位的大幅摊薄而受到影响，利用金融衍生品可有效管理现金仓位，</w:t>
      </w:r>
      <w:r w:rsidR="0027469F" w:rsidRPr="00721084">
        <w:rPr>
          <w:rFonts w:asciiTheme="minorEastAsia" w:eastAsiaTheme="minorEastAsia" w:hAnsiTheme="minorEastAsia" w:hint="eastAsia"/>
          <w:szCs w:val="21"/>
        </w:rPr>
        <w:lastRenderedPageBreak/>
        <w:t>减少不利影响。在基金对某个组合进行建仓时，大量买入会造成股价的短期波动，抬高建仓成本，可考虑利用金融衍生品的杠杆和流动性进行阶段性替代，以降低冲击成本等。</w:t>
      </w:r>
    </w:p>
    <w:p w:rsidR="0027469F" w:rsidRPr="00721084" w:rsidRDefault="0027469F"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未来，随着全球证券市场投资工具的发展和丰富，基金可相应调整和更新相关投资策略，并在招募说明书更新中公告。</w:t>
      </w:r>
    </w:p>
    <w:p w:rsidR="0064594E" w:rsidRPr="00721084" w:rsidRDefault="0027469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此外，在符合有关法律法规的前提下，本基金还可进行证券借贷交易、回购交易等投资，以提高收益。</w:t>
      </w:r>
    </w:p>
    <w:p w:rsidR="0064594E" w:rsidRPr="00721084"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42" w:name="_Toc44351066"/>
      <w:bookmarkEnd w:id="40"/>
      <w:bookmarkEnd w:id="41"/>
      <w:r w:rsidRPr="00721084">
        <w:rPr>
          <w:rFonts w:asciiTheme="minorEastAsia" w:eastAsiaTheme="minorEastAsia" w:hAnsiTheme="minorEastAsia" w:hint="eastAsia"/>
          <w:b w:val="0"/>
          <w:bCs/>
        </w:rPr>
        <w:t>五、</w:t>
      </w:r>
      <w:r w:rsidR="0064594E" w:rsidRPr="00721084">
        <w:rPr>
          <w:rFonts w:asciiTheme="minorEastAsia" w:eastAsiaTheme="minorEastAsia" w:hAnsiTheme="minorEastAsia" w:hint="eastAsia"/>
          <w:b w:val="0"/>
          <w:bCs/>
        </w:rPr>
        <w:t>业绩</w:t>
      </w:r>
      <w:r w:rsidR="0064594E" w:rsidRPr="00721084">
        <w:rPr>
          <w:rFonts w:asciiTheme="minorEastAsia" w:eastAsiaTheme="minorEastAsia" w:hAnsiTheme="minorEastAsia"/>
          <w:b w:val="0"/>
          <w:bCs/>
        </w:rPr>
        <w:t>比较基准</w:t>
      </w:r>
      <w:bookmarkEnd w:id="37"/>
      <w:bookmarkEnd w:id="38"/>
      <w:bookmarkEnd w:id="42"/>
    </w:p>
    <w:p w:rsidR="00E40655" w:rsidRPr="00721084" w:rsidRDefault="00E40655"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MSCIAC亚洲除日本指数</w:t>
      </w:r>
    </w:p>
    <w:p w:rsidR="00543023" w:rsidRPr="00721084" w:rsidRDefault="00F67470"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本基金主要投资于在亚洲地区（日本除外）证券市场交易的企业以及在其他证券市场交易的亚洲企业（日本除外）。</w:t>
      </w:r>
      <w:r w:rsidR="00520DEC" w:rsidRPr="00721084">
        <w:rPr>
          <w:rFonts w:asciiTheme="minorEastAsia" w:eastAsiaTheme="minorEastAsia" w:hAnsiTheme="minorEastAsia" w:cs="Arial" w:hint="eastAsia"/>
          <w:szCs w:val="21"/>
        </w:rPr>
        <w:t>MSCIAC亚洲除日本指数是可代表亚洲地区</w:t>
      </w:r>
      <w:r w:rsidR="009002FF" w:rsidRPr="00721084">
        <w:rPr>
          <w:rFonts w:asciiTheme="minorEastAsia" w:eastAsiaTheme="minorEastAsia" w:hAnsiTheme="minorEastAsia" w:cs="Arial" w:hint="eastAsia"/>
          <w:szCs w:val="21"/>
        </w:rPr>
        <w:t>（日本除外）</w:t>
      </w:r>
      <w:r w:rsidR="00520DEC" w:rsidRPr="00721084">
        <w:rPr>
          <w:rFonts w:asciiTheme="minorEastAsia" w:eastAsiaTheme="minorEastAsia" w:hAnsiTheme="minorEastAsia" w:cs="Arial" w:hint="eastAsia"/>
          <w:szCs w:val="21"/>
        </w:rPr>
        <w:t>海外股票市场而且受到全球机构投资者广泛认可的指数</w:t>
      </w:r>
      <w:r w:rsidR="00543023" w:rsidRPr="00721084">
        <w:rPr>
          <w:rFonts w:asciiTheme="minorEastAsia" w:eastAsiaTheme="minorEastAsia" w:hAnsiTheme="minorEastAsia" w:cs="Arial" w:hint="eastAsia"/>
          <w:szCs w:val="21"/>
        </w:rPr>
        <w:t>。</w:t>
      </w:r>
    </w:p>
    <w:p w:rsidR="00E40655" w:rsidRPr="00721084" w:rsidRDefault="00E40655" w:rsidP="006D35EC">
      <w:pPr>
        <w:spacing w:line="360" w:lineRule="auto"/>
        <w:ind w:firstLine="540"/>
        <w:rPr>
          <w:rFonts w:asciiTheme="minorEastAsia" w:eastAsiaTheme="minorEastAsia" w:hAnsiTheme="minorEastAsia" w:cs="Arial"/>
          <w:szCs w:val="21"/>
        </w:rPr>
      </w:pPr>
      <w:r w:rsidRPr="00721084">
        <w:rPr>
          <w:rFonts w:asciiTheme="minorEastAsia" w:eastAsiaTheme="minorEastAsia" w:hAnsiTheme="minorEastAsia" w:cs="Arial" w:hint="eastAsia"/>
          <w:szCs w:val="21"/>
        </w:rPr>
        <w:t>未来，如基金变更投资范围、或市场中出现其它代表性更强、投资者认同度更高的指数、或原指数供应商变更或停止原指数的编制及发布，本基金管理人可依据维护基金份额持有人合法权益的原则，对业绩比较基准进行相应调整。</w:t>
      </w:r>
      <w:r w:rsidRPr="00721084">
        <w:rPr>
          <w:rFonts w:asciiTheme="minorEastAsia" w:eastAsiaTheme="minorEastAsia" w:hAnsiTheme="minorEastAsia" w:cs="Arial"/>
          <w:szCs w:val="21"/>
        </w:rPr>
        <w:t>业绩比较基准的变更需经基金管理人与基金托管人协商一致</w:t>
      </w:r>
      <w:r w:rsidRPr="00721084">
        <w:rPr>
          <w:rFonts w:asciiTheme="minorEastAsia" w:eastAsiaTheme="minorEastAsia" w:hAnsiTheme="minorEastAsia" w:cs="Arial" w:hint="eastAsia"/>
          <w:szCs w:val="21"/>
        </w:rPr>
        <w:t>。基金管理人最迟应于新的业绩比较基准实施前2日</w:t>
      </w:r>
      <w:r w:rsidR="008C48AA" w:rsidRPr="00721084">
        <w:rPr>
          <w:rFonts w:asciiTheme="minorEastAsia" w:eastAsiaTheme="minorEastAsia" w:hAnsiTheme="minorEastAsia" w:cs="Arial" w:hint="eastAsia"/>
          <w:szCs w:val="21"/>
        </w:rPr>
        <w:t>在</w:t>
      </w:r>
      <w:r w:rsidR="008C48AA" w:rsidRPr="00721084">
        <w:rPr>
          <w:rFonts w:asciiTheme="minorEastAsia" w:eastAsiaTheme="minorEastAsia" w:hAnsiTheme="minorEastAsia" w:hint="eastAsia"/>
        </w:rPr>
        <w:t>指定媒介</w:t>
      </w:r>
      <w:r w:rsidR="008C48AA" w:rsidRPr="00721084">
        <w:rPr>
          <w:rFonts w:asciiTheme="minorEastAsia" w:eastAsiaTheme="minorEastAsia" w:hAnsiTheme="minorEastAsia" w:cs="Arial" w:hint="eastAsia"/>
          <w:szCs w:val="21"/>
        </w:rPr>
        <w:t>上进行公告，并按</w:t>
      </w:r>
      <w:r w:rsidR="008C48AA" w:rsidRPr="00721084">
        <w:rPr>
          <w:rFonts w:asciiTheme="minorEastAsia" w:eastAsiaTheme="minorEastAsia" w:hAnsiTheme="minorEastAsia" w:cs="Arial"/>
          <w:szCs w:val="21"/>
        </w:rPr>
        <w:t>规定</w:t>
      </w:r>
      <w:r w:rsidR="008C48AA" w:rsidRPr="00721084">
        <w:rPr>
          <w:rFonts w:asciiTheme="minorEastAsia" w:eastAsiaTheme="minorEastAsia" w:hAnsiTheme="minorEastAsia" w:cs="Arial" w:hint="eastAsia"/>
          <w:szCs w:val="21"/>
        </w:rPr>
        <w:t>报中国证监会备案。</w:t>
      </w:r>
    </w:p>
    <w:p w:rsidR="0064594E" w:rsidRPr="00721084"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43" w:name="_Toc87269125"/>
      <w:bookmarkStart w:id="44" w:name="_Toc44351067"/>
      <w:bookmarkStart w:id="45" w:name="_Toc84149642"/>
      <w:r w:rsidRPr="00721084">
        <w:rPr>
          <w:rFonts w:asciiTheme="minorEastAsia" w:eastAsiaTheme="minorEastAsia" w:hAnsiTheme="minorEastAsia" w:hint="eastAsia"/>
          <w:b w:val="0"/>
          <w:bCs/>
        </w:rPr>
        <w:t>六、</w:t>
      </w:r>
      <w:r w:rsidR="0064594E" w:rsidRPr="00721084">
        <w:rPr>
          <w:rFonts w:asciiTheme="minorEastAsia" w:eastAsiaTheme="minorEastAsia" w:hAnsiTheme="minorEastAsia" w:hint="eastAsia"/>
          <w:b w:val="0"/>
          <w:bCs/>
        </w:rPr>
        <w:t>风险收益特征</w:t>
      </w:r>
      <w:bookmarkEnd w:id="43"/>
      <w:bookmarkEnd w:id="44"/>
    </w:p>
    <w:bookmarkEnd w:id="45"/>
    <w:p w:rsidR="00E40655" w:rsidRPr="00721084" w:rsidRDefault="00E40655"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为股票型基金，理论上其风险和收益高于货币市场基金、债券基金和混合型基金。一方面，本基金投资于境外市场，承担了汇率风险、国家风险、新兴市场风险等境外投资面临的特殊风险；另一方面，本基金对亚洲主要国家</w:t>
      </w:r>
      <w:r w:rsidR="008467E3" w:rsidRPr="00721084">
        <w:rPr>
          <w:rFonts w:asciiTheme="minorEastAsia" w:eastAsiaTheme="minorEastAsia" w:hAnsiTheme="minorEastAsia" w:cs="Arial" w:hint="eastAsia"/>
          <w:szCs w:val="21"/>
        </w:rPr>
        <w:t>/地区</w:t>
      </w:r>
      <w:r w:rsidRPr="00721084">
        <w:rPr>
          <w:rFonts w:asciiTheme="minorEastAsia" w:eastAsiaTheme="minorEastAsia" w:hAnsiTheme="minorEastAsia" w:hint="eastAsia"/>
          <w:szCs w:val="21"/>
        </w:rPr>
        <w:t>进行分散投资，基金整体风险低于对单一国家</w:t>
      </w:r>
      <w:r w:rsidR="005223A6"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地区投资的风险。</w:t>
      </w:r>
    </w:p>
    <w:p w:rsidR="0064594E" w:rsidRPr="00721084" w:rsidRDefault="00EF128F" w:rsidP="00CE3F81">
      <w:pPr>
        <w:pStyle w:val="2"/>
        <w:snapToGrid w:val="0"/>
        <w:spacing w:beforeLines="0" w:afterLines="0" w:line="360" w:lineRule="auto"/>
        <w:ind w:firstLine="560"/>
        <w:rPr>
          <w:rFonts w:asciiTheme="minorEastAsia" w:eastAsiaTheme="minorEastAsia" w:hAnsiTheme="minorEastAsia"/>
        </w:rPr>
      </w:pPr>
      <w:bookmarkStart w:id="46" w:name="_Toc52310852"/>
      <w:bookmarkStart w:id="47" w:name="_Toc64861727"/>
      <w:bookmarkStart w:id="48" w:name="_Toc44351068"/>
      <w:r w:rsidRPr="00721084">
        <w:rPr>
          <w:rFonts w:asciiTheme="minorEastAsia" w:eastAsiaTheme="minorEastAsia" w:hAnsiTheme="minorEastAsia" w:hint="eastAsia"/>
          <w:b w:val="0"/>
          <w:bCs/>
        </w:rPr>
        <w:t>七、</w:t>
      </w:r>
      <w:r w:rsidR="0064594E" w:rsidRPr="00721084">
        <w:rPr>
          <w:rFonts w:asciiTheme="minorEastAsia" w:eastAsiaTheme="minorEastAsia" w:hAnsiTheme="minorEastAsia" w:hint="eastAsia"/>
          <w:b w:val="0"/>
          <w:bCs/>
        </w:rPr>
        <w:t>投资决策</w:t>
      </w:r>
      <w:bookmarkEnd w:id="46"/>
      <w:bookmarkEnd w:id="47"/>
      <w:r w:rsidR="0064594E" w:rsidRPr="00721084">
        <w:rPr>
          <w:rFonts w:asciiTheme="minorEastAsia" w:eastAsiaTheme="minorEastAsia" w:hAnsiTheme="minorEastAsia" w:hint="eastAsia"/>
          <w:b w:val="0"/>
          <w:bCs/>
        </w:rPr>
        <w:t>依据与决策程序</w:t>
      </w:r>
      <w:bookmarkEnd w:id="48"/>
    </w:p>
    <w:p w:rsidR="0064594E" w:rsidRPr="00721084" w:rsidRDefault="00885D50" w:rsidP="00CE3F81">
      <w:pPr>
        <w:widowControl/>
        <w:snapToGrid w:val="0"/>
        <w:spacing w:line="360" w:lineRule="auto"/>
        <w:ind w:firstLineChars="200" w:firstLine="422"/>
        <w:jc w:val="left"/>
        <w:rPr>
          <w:rFonts w:asciiTheme="minorEastAsia" w:eastAsiaTheme="minorEastAsia" w:hAnsiTheme="minorEastAsia"/>
          <w:b/>
        </w:rPr>
      </w:pPr>
      <w:r w:rsidRPr="00721084">
        <w:rPr>
          <w:rFonts w:asciiTheme="minorEastAsia" w:eastAsiaTheme="minorEastAsia" w:hAnsiTheme="minorEastAsia" w:hint="eastAsia"/>
          <w:b/>
        </w:rPr>
        <w:t>1、</w:t>
      </w:r>
      <w:r w:rsidR="0064594E" w:rsidRPr="00721084">
        <w:rPr>
          <w:rFonts w:asciiTheme="minorEastAsia" w:eastAsiaTheme="minorEastAsia" w:hAnsiTheme="minorEastAsia" w:hint="eastAsia"/>
          <w:b/>
        </w:rPr>
        <w:t>决策依据</w:t>
      </w:r>
    </w:p>
    <w:p w:rsidR="0064594E" w:rsidRPr="00721084" w:rsidRDefault="0064594E" w:rsidP="00CE3F81">
      <w:pPr>
        <w:widowControl/>
        <w:numPr>
          <w:ilvl w:val="0"/>
          <w:numId w:val="10"/>
        </w:numPr>
        <w:snapToGrid w:val="0"/>
        <w:spacing w:line="360" w:lineRule="auto"/>
        <w:ind w:firstLineChars="200" w:firstLine="420"/>
        <w:jc w:val="left"/>
        <w:rPr>
          <w:rFonts w:asciiTheme="minorEastAsia" w:eastAsiaTheme="minorEastAsia" w:hAnsiTheme="minorEastAsia"/>
        </w:rPr>
      </w:pPr>
      <w:r w:rsidRPr="00721084">
        <w:rPr>
          <w:rFonts w:asciiTheme="minorEastAsia" w:eastAsiaTheme="minorEastAsia" w:hAnsiTheme="minorEastAsia" w:hint="eastAsia"/>
        </w:rPr>
        <w:t>国家有关法律法规和基金合同的有关规定。</w:t>
      </w:r>
    </w:p>
    <w:p w:rsidR="0064594E" w:rsidRPr="00721084" w:rsidRDefault="0064594E" w:rsidP="00CE3F81">
      <w:pPr>
        <w:widowControl/>
        <w:numPr>
          <w:ilvl w:val="0"/>
          <w:numId w:val="10"/>
        </w:numPr>
        <w:snapToGrid w:val="0"/>
        <w:spacing w:line="360" w:lineRule="auto"/>
        <w:ind w:firstLineChars="200" w:firstLine="420"/>
        <w:jc w:val="left"/>
        <w:rPr>
          <w:rFonts w:asciiTheme="minorEastAsia" w:eastAsiaTheme="minorEastAsia" w:hAnsiTheme="minorEastAsia"/>
        </w:rPr>
      </w:pPr>
      <w:r w:rsidRPr="00721084">
        <w:rPr>
          <w:rFonts w:asciiTheme="minorEastAsia" w:eastAsiaTheme="minorEastAsia" w:hAnsiTheme="minorEastAsia" w:hint="eastAsia"/>
        </w:rPr>
        <w:t>宏观研究、行业研究、公司研究、固定收益研究、衍生品研究、投资策略研究等方面的报告。</w:t>
      </w:r>
    </w:p>
    <w:p w:rsidR="00825DDA" w:rsidRPr="00721084" w:rsidRDefault="00825DDA" w:rsidP="00CE3F81">
      <w:pPr>
        <w:widowControl/>
        <w:numPr>
          <w:ilvl w:val="0"/>
          <w:numId w:val="10"/>
        </w:numPr>
        <w:snapToGrid w:val="0"/>
        <w:spacing w:line="360" w:lineRule="auto"/>
        <w:ind w:firstLineChars="200" w:firstLine="420"/>
        <w:jc w:val="left"/>
        <w:rPr>
          <w:rFonts w:asciiTheme="minorEastAsia" w:eastAsiaTheme="minorEastAsia" w:hAnsiTheme="minorEastAsia"/>
        </w:rPr>
      </w:pPr>
      <w:r w:rsidRPr="00721084">
        <w:rPr>
          <w:rFonts w:asciiTheme="minorEastAsia" w:eastAsiaTheme="minorEastAsia" w:hAnsiTheme="minorEastAsia" w:hint="eastAsia"/>
        </w:rPr>
        <w:t>按照</w:t>
      </w:r>
      <w:r w:rsidRPr="00721084">
        <w:rPr>
          <w:rFonts w:asciiTheme="minorEastAsia" w:eastAsiaTheme="minorEastAsia" w:hAnsiTheme="minorEastAsia"/>
        </w:rPr>
        <w:t>公司制度规定的投资决策流程进行决策。</w:t>
      </w:r>
    </w:p>
    <w:p w:rsidR="0064594E" w:rsidRPr="00721084" w:rsidRDefault="0064594E" w:rsidP="00CE3F81">
      <w:pPr>
        <w:widowControl/>
        <w:snapToGrid w:val="0"/>
        <w:spacing w:line="360" w:lineRule="auto"/>
        <w:ind w:firstLineChars="200" w:firstLine="422"/>
        <w:jc w:val="left"/>
        <w:rPr>
          <w:rFonts w:asciiTheme="minorEastAsia" w:eastAsiaTheme="minorEastAsia" w:hAnsiTheme="minorEastAsia"/>
          <w:b/>
        </w:rPr>
      </w:pPr>
      <w:r w:rsidRPr="00721084">
        <w:rPr>
          <w:rFonts w:asciiTheme="minorEastAsia" w:eastAsiaTheme="minorEastAsia" w:hAnsiTheme="minorEastAsia" w:hint="eastAsia"/>
          <w:b/>
        </w:rPr>
        <w:t>2</w:t>
      </w:r>
      <w:r w:rsidR="00885D50" w:rsidRPr="00721084">
        <w:rPr>
          <w:rFonts w:asciiTheme="minorEastAsia" w:eastAsiaTheme="minorEastAsia" w:hAnsiTheme="minorEastAsia" w:hint="eastAsia"/>
          <w:b/>
        </w:rPr>
        <w:t>、</w:t>
      </w:r>
      <w:r w:rsidRPr="00721084">
        <w:rPr>
          <w:rFonts w:asciiTheme="minorEastAsia" w:eastAsiaTheme="minorEastAsia" w:hAnsiTheme="minorEastAsia" w:hint="eastAsia"/>
          <w:b/>
        </w:rPr>
        <w:t>决策程序</w:t>
      </w:r>
    </w:p>
    <w:p w:rsidR="0064594E"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64594E" w:rsidRPr="00721084">
        <w:rPr>
          <w:rFonts w:asciiTheme="minorEastAsia" w:eastAsiaTheme="minorEastAsia" w:hAnsiTheme="minorEastAsia" w:hint="eastAsia"/>
          <w:szCs w:val="21"/>
        </w:rPr>
        <w:t>投资研究</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研究员充分利用外部研究成果、市场信息和公司资源展开宏观研究、策略研究、行业研究、公司基本面研究、固定收益证券研究和金融衍生品研究，强调自上而下和自下而上相结合的研究过程，注重研究的前瞻性和准确性，为各层次的投资决策提供支持。</w:t>
      </w:r>
    </w:p>
    <w:p w:rsidR="0064594E"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（2）</w:t>
      </w:r>
      <w:r w:rsidR="0064594E" w:rsidRPr="00721084">
        <w:rPr>
          <w:rFonts w:asciiTheme="minorEastAsia" w:eastAsiaTheme="minorEastAsia" w:hAnsiTheme="minorEastAsia" w:hint="eastAsia"/>
          <w:szCs w:val="21"/>
        </w:rPr>
        <w:t>资产配置</w:t>
      </w:r>
    </w:p>
    <w:p w:rsidR="0064594E" w:rsidRPr="00721084" w:rsidRDefault="009A4551"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在内外部研究支持下，基金经理对市场中长期宏观经济政策形势和市场趋势以及行业发展趋势进行研判，</w:t>
      </w:r>
      <w:r w:rsidR="00CF504A" w:rsidRPr="00721084">
        <w:rPr>
          <w:rFonts w:asciiTheme="minorEastAsia" w:eastAsiaTheme="minorEastAsia" w:hAnsiTheme="minorEastAsia" w:hint="eastAsia"/>
          <w:szCs w:val="21"/>
        </w:rPr>
        <w:t>制定资产配置计划，按照公司制度提交审议并实施</w:t>
      </w:r>
      <w:r w:rsidRPr="00721084">
        <w:rPr>
          <w:rFonts w:asciiTheme="minorEastAsia" w:eastAsiaTheme="minorEastAsia" w:hAnsiTheme="minorEastAsia" w:hint="eastAsia"/>
          <w:szCs w:val="21"/>
        </w:rPr>
        <w:t>。</w:t>
      </w:r>
    </w:p>
    <w:p w:rsidR="0064594E"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64594E" w:rsidRPr="00721084">
        <w:rPr>
          <w:rFonts w:asciiTheme="minorEastAsia" w:eastAsiaTheme="minorEastAsia" w:hAnsiTheme="minorEastAsia" w:hint="eastAsia"/>
          <w:szCs w:val="21"/>
        </w:rPr>
        <w:t>国家/地区配置</w:t>
      </w:r>
    </w:p>
    <w:p w:rsidR="0064594E" w:rsidRPr="00721084" w:rsidRDefault="009A4551"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基金经理在资产配置</w:t>
      </w:r>
      <w:r w:rsidR="00CF504A" w:rsidRPr="00721084">
        <w:rPr>
          <w:rFonts w:asciiTheme="minorEastAsia" w:eastAsiaTheme="minorEastAsia" w:hAnsiTheme="minorEastAsia" w:hint="eastAsia"/>
          <w:szCs w:val="21"/>
        </w:rPr>
        <w:t>计划</w:t>
      </w:r>
      <w:r w:rsidRPr="00721084">
        <w:rPr>
          <w:rFonts w:asciiTheme="minorEastAsia" w:eastAsiaTheme="minorEastAsia" w:hAnsiTheme="minorEastAsia" w:hint="eastAsia"/>
          <w:szCs w:val="21"/>
        </w:rPr>
        <w:t>中，</w:t>
      </w:r>
      <w:r w:rsidR="00CF504A" w:rsidRPr="00721084">
        <w:rPr>
          <w:rFonts w:asciiTheme="minorEastAsia" w:eastAsiaTheme="minorEastAsia" w:hAnsiTheme="minorEastAsia" w:hint="eastAsia"/>
          <w:szCs w:val="21"/>
        </w:rPr>
        <w:t>确定</w:t>
      </w:r>
      <w:r w:rsidRPr="00721084">
        <w:rPr>
          <w:rFonts w:asciiTheme="minorEastAsia" w:eastAsiaTheme="minorEastAsia" w:hAnsiTheme="minorEastAsia" w:hint="eastAsia"/>
          <w:szCs w:val="21"/>
        </w:rPr>
        <w:t>基金投资组合在各国家/地区间的配置比例，</w:t>
      </w:r>
      <w:r w:rsidR="00CF504A" w:rsidRPr="00721084">
        <w:rPr>
          <w:rFonts w:asciiTheme="minorEastAsia" w:eastAsiaTheme="minorEastAsia" w:hAnsiTheme="minorEastAsia" w:hint="eastAsia"/>
          <w:szCs w:val="21"/>
        </w:rPr>
        <w:t>按照公司制度提交审议并实施</w:t>
      </w:r>
      <w:r w:rsidRPr="00721084">
        <w:rPr>
          <w:rFonts w:asciiTheme="minorEastAsia" w:eastAsiaTheme="minorEastAsia" w:hAnsiTheme="minorEastAsia" w:hint="eastAsia"/>
          <w:szCs w:val="21"/>
        </w:rPr>
        <w:t>。</w:t>
      </w:r>
    </w:p>
    <w:p w:rsidR="0064594E"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64594E" w:rsidRPr="00721084">
        <w:rPr>
          <w:rFonts w:asciiTheme="minorEastAsia" w:eastAsiaTheme="minorEastAsia" w:hAnsiTheme="minorEastAsia" w:hint="eastAsia"/>
          <w:szCs w:val="21"/>
        </w:rPr>
        <w:t>股票投资组合的构建</w:t>
      </w:r>
    </w:p>
    <w:p w:rsidR="0064594E" w:rsidRPr="00721084" w:rsidRDefault="009A4551"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基金经理在参考内外部研究报告的基础上，</w:t>
      </w:r>
      <w:r w:rsidR="00CF504A" w:rsidRPr="00721084">
        <w:rPr>
          <w:rFonts w:asciiTheme="minorEastAsia" w:eastAsiaTheme="minorEastAsia" w:hAnsiTheme="minorEastAsia" w:hint="eastAsia"/>
          <w:szCs w:val="21"/>
        </w:rPr>
        <w:t>参考研究员的投资建议，</w:t>
      </w:r>
      <w:r w:rsidRPr="00721084">
        <w:rPr>
          <w:rFonts w:asciiTheme="minorEastAsia" w:eastAsiaTheme="minorEastAsia" w:hAnsiTheme="minorEastAsia" w:hint="eastAsia"/>
          <w:szCs w:val="21"/>
        </w:rPr>
        <w:t>形成行业配置比例的决策，构建股票组合。</w:t>
      </w:r>
    </w:p>
    <w:p w:rsidR="0064594E"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64594E" w:rsidRPr="00721084">
        <w:rPr>
          <w:rFonts w:asciiTheme="minorEastAsia" w:eastAsiaTheme="minorEastAsia" w:hAnsiTheme="minorEastAsia" w:hint="eastAsia"/>
          <w:szCs w:val="21"/>
        </w:rPr>
        <w:t>债券投资组合的构建</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基金经理基于投资需求及对各国</w:t>
      </w:r>
      <w:r w:rsidR="008467E3" w:rsidRPr="00721084">
        <w:rPr>
          <w:rFonts w:asciiTheme="minorEastAsia" w:eastAsiaTheme="minorEastAsia" w:hAnsiTheme="minorEastAsia" w:hint="eastAsia"/>
          <w:szCs w:val="21"/>
        </w:rPr>
        <w:t>/地区</w:t>
      </w:r>
      <w:r w:rsidRPr="00721084">
        <w:rPr>
          <w:rFonts w:asciiTheme="minorEastAsia" w:eastAsiaTheme="minorEastAsia" w:hAnsiTheme="minorEastAsia" w:hint="eastAsia"/>
          <w:szCs w:val="21"/>
        </w:rPr>
        <w:t>债券市场的研究，决定债券组合的期限结构、债券类别配置并选择具体债券，构建债券组合。</w:t>
      </w:r>
    </w:p>
    <w:p w:rsidR="0064594E"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（6）</w:t>
      </w:r>
      <w:r w:rsidR="0064594E" w:rsidRPr="00721084">
        <w:rPr>
          <w:rFonts w:asciiTheme="minorEastAsia" w:eastAsiaTheme="minorEastAsia" w:hAnsiTheme="minorEastAsia" w:hint="eastAsia"/>
          <w:szCs w:val="21"/>
        </w:rPr>
        <w:t>交易执行</w:t>
      </w:r>
    </w:p>
    <w:p w:rsidR="0064594E" w:rsidRPr="00721084" w:rsidRDefault="00CF504A"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管理人设置独立的集中交易室，基金经理下达的投资指令通过集中交易室实施。集中交易室接到基金经理的投资指令后，根据有关规定对投资指令的合规性、合理性和有效性进行检查，确保投资指令在合法、合规的前提下得到高效的执行。</w:t>
      </w:r>
    </w:p>
    <w:p w:rsidR="0064594E"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（7）</w:t>
      </w:r>
      <w:r w:rsidR="00CF504A" w:rsidRPr="00721084">
        <w:rPr>
          <w:rFonts w:asciiTheme="minorEastAsia" w:eastAsiaTheme="minorEastAsia" w:hAnsiTheme="minorEastAsia" w:hint="eastAsia"/>
          <w:szCs w:val="21"/>
        </w:rPr>
        <w:t>投资风险的监控和管理</w:t>
      </w:r>
    </w:p>
    <w:p w:rsidR="00CF504A"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CF504A" w:rsidRPr="00721084">
        <w:rPr>
          <w:rFonts w:asciiTheme="minorEastAsia" w:eastAsiaTheme="minorEastAsia" w:hAnsiTheme="minorEastAsia" w:hint="eastAsia"/>
          <w:szCs w:val="21"/>
        </w:rPr>
        <w:t>投资风险管理部定期出具基金绩效评估和风险管理报告，供基金经理调整投资组合时参考；</w:t>
      </w:r>
    </w:p>
    <w:p w:rsidR="00BB3736" w:rsidRPr="00721084" w:rsidRDefault="00885D50" w:rsidP="00885D50">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5E2802" w:rsidRPr="00721084">
        <w:rPr>
          <w:rFonts w:asciiTheme="minorEastAsia" w:eastAsiaTheme="minorEastAsia" w:hAnsiTheme="minorEastAsia" w:hint="eastAsia"/>
          <w:szCs w:val="21"/>
        </w:rPr>
        <w:t>监察合规管理部门</w:t>
      </w:r>
      <w:r w:rsidR="00CF504A" w:rsidRPr="00721084">
        <w:rPr>
          <w:rFonts w:asciiTheme="minorEastAsia" w:eastAsiaTheme="minorEastAsia" w:hAnsiTheme="minorEastAsia" w:hint="eastAsia"/>
          <w:szCs w:val="21"/>
        </w:rPr>
        <w:t>对基金的日常投资和交易是否遵守法律法规、基金合同进行独立监督检查。</w:t>
      </w:r>
    </w:p>
    <w:p w:rsidR="00BA046C" w:rsidRPr="00721084" w:rsidRDefault="00EF128F" w:rsidP="00CE3F81">
      <w:pPr>
        <w:pStyle w:val="2"/>
        <w:snapToGrid w:val="0"/>
        <w:spacing w:beforeLines="0" w:afterLines="0" w:line="360" w:lineRule="auto"/>
        <w:ind w:firstLine="560"/>
        <w:rPr>
          <w:rFonts w:asciiTheme="minorEastAsia" w:eastAsiaTheme="minorEastAsia" w:hAnsiTheme="minorEastAsia"/>
          <w:b w:val="0"/>
          <w:bCs/>
        </w:rPr>
      </w:pPr>
      <w:bookmarkStart w:id="49" w:name="_Toc44351069"/>
      <w:r w:rsidRPr="00721084">
        <w:rPr>
          <w:rFonts w:asciiTheme="minorEastAsia" w:eastAsiaTheme="minorEastAsia" w:hAnsiTheme="minorEastAsia" w:hint="eastAsia"/>
          <w:b w:val="0"/>
          <w:bCs/>
        </w:rPr>
        <w:t>八、投资</w:t>
      </w:r>
      <w:r w:rsidR="00BA046C" w:rsidRPr="00721084">
        <w:rPr>
          <w:rFonts w:asciiTheme="minorEastAsia" w:eastAsiaTheme="minorEastAsia" w:hAnsiTheme="minorEastAsia" w:hint="eastAsia"/>
          <w:b w:val="0"/>
          <w:bCs/>
        </w:rPr>
        <w:t>禁止</w:t>
      </w:r>
      <w:r w:rsidRPr="00721084">
        <w:rPr>
          <w:rFonts w:asciiTheme="minorEastAsia" w:eastAsiaTheme="minorEastAsia" w:hAnsiTheme="minorEastAsia" w:hint="eastAsia"/>
          <w:b w:val="0"/>
          <w:bCs/>
        </w:rPr>
        <w:t>与限制</w:t>
      </w:r>
      <w:bookmarkEnd w:id="49"/>
    </w:p>
    <w:p w:rsidR="00EF128F" w:rsidRPr="00721084" w:rsidRDefault="001B53FB"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（一）</w:t>
      </w:r>
      <w:r w:rsidR="00EF128F" w:rsidRPr="00721084">
        <w:rPr>
          <w:rFonts w:asciiTheme="minorEastAsia" w:eastAsiaTheme="minorEastAsia" w:hAnsiTheme="minorEastAsia" w:hint="eastAsia"/>
          <w:szCs w:val="21"/>
        </w:rPr>
        <w:t>投资禁止</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为维护基金份额持有人的合法权益，</w:t>
      </w:r>
      <w:r w:rsidR="00EC7A4E" w:rsidRPr="00721084">
        <w:rPr>
          <w:rFonts w:asciiTheme="minorEastAsia" w:eastAsiaTheme="minorEastAsia" w:hAnsiTheme="minorEastAsia" w:hint="eastAsia"/>
          <w:szCs w:val="21"/>
        </w:rPr>
        <w:t>除中国证监会另有规定外，</w:t>
      </w:r>
      <w:r w:rsidRPr="00721084">
        <w:rPr>
          <w:rFonts w:asciiTheme="minorEastAsia" w:eastAsiaTheme="minorEastAsia" w:hAnsiTheme="minorEastAsia" w:hint="eastAsia"/>
          <w:szCs w:val="21"/>
        </w:rPr>
        <w:t>本基金禁止从事下列行为：</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承销证券；</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向他人贷款或提供担保；</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从事承担无限责任的投资；</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购买不动产</w:t>
      </w:r>
      <w:r w:rsidRPr="00721084">
        <w:rPr>
          <w:rFonts w:asciiTheme="minorEastAsia" w:eastAsiaTheme="minorEastAsia" w:hAnsiTheme="minorEastAsia" w:hint="eastAsia"/>
          <w:szCs w:val="21"/>
        </w:rPr>
        <w:t>；</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购买房地产抵押按揭</w:t>
      </w:r>
      <w:r w:rsidRPr="00721084">
        <w:rPr>
          <w:rFonts w:asciiTheme="minorEastAsia" w:eastAsiaTheme="minorEastAsia" w:hAnsiTheme="minorEastAsia" w:hint="eastAsia"/>
          <w:szCs w:val="21"/>
        </w:rPr>
        <w:t>；</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6</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购买贵重金属或代表贵重金属的凭证</w:t>
      </w:r>
      <w:r w:rsidRPr="00721084">
        <w:rPr>
          <w:rFonts w:asciiTheme="minorEastAsia" w:eastAsiaTheme="minorEastAsia" w:hAnsiTheme="minorEastAsia" w:hint="eastAsia"/>
          <w:szCs w:val="21"/>
        </w:rPr>
        <w:t>；</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7</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购买实物商品</w:t>
      </w:r>
      <w:r w:rsidRPr="00721084">
        <w:rPr>
          <w:rFonts w:asciiTheme="minorEastAsia" w:eastAsiaTheme="minorEastAsia" w:hAnsiTheme="minorEastAsia" w:hint="eastAsia"/>
          <w:szCs w:val="21"/>
        </w:rPr>
        <w:t>；</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8</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除应付赎回、交易清算等临时用途以外，借入现金</w:t>
      </w:r>
      <w:r w:rsidRPr="00721084">
        <w:rPr>
          <w:rFonts w:asciiTheme="minorEastAsia" w:eastAsiaTheme="minorEastAsia" w:hAnsiTheme="minorEastAsia" w:hint="eastAsia"/>
          <w:szCs w:val="21"/>
        </w:rPr>
        <w:t>；该临时用途借入现金的比例不得超过基金资产净值的10%；</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9</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利用融资购买证券，但投资金融衍生品除外</w:t>
      </w:r>
      <w:r w:rsidRPr="00721084">
        <w:rPr>
          <w:rFonts w:asciiTheme="minorEastAsia" w:eastAsiaTheme="minorEastAsia" w:hAnsiTheme="minorEastAsia" w:hint="eastAsia"/>
          <w:szCs w:val="21"/>
        </w:rPr>
        <w:t>；</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10</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参与未持有基础资产的卖空交易</w:t>
      </w:r>
      <w:r w:rsidRPr="00721084">
        <w:rPr>
          <w:rFonts w:asciiTheme="minorEastAsia" w:eastAsiaTheme="minorEastAsia" w:hAnsiTheme="minorEastAsia" w:hint="eastAsia"/>
          <w:szCs w:val="21"/>
        </w:rPr>
        <w:t>；</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11</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购买证券用于控制或影响发行该证券的机构或其管理层；</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12</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直接投资与实物商品相关的衍生品；</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13</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向基金管理人、基金托管人出资或者买卖其基金管理人、基金托管人发行的股票或债券；</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14</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买卖与基金管理人、基金托管人有控股关系的股东或者与基金管理人、基金托管人有其他重大利害关系的公司发行的证券或者承销期内承销的证券；</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15</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从事内幕交易、操纵证券价格及其他不正当的证券交易活动；</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16</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当时有效的法律法规、中国证监会及《基金合同》规定禁止从事的其他行为。</w:t>
      </w:r>
    </w:p>
    <w:p w:rsidR="00BA046C" w:rsidRPr="00721084" w:rsidRDefault="00BA046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如法律法规或监管部门取消上述禁止性规定，本基金管理人可不受上述规定的限制。</w:t>
      </w:r>
    </w:p>
    <w:p w:rsidR="0064594E" w:rsidRPr="00721084" w:rsidRDefault="001B53FB" w:rsidP="00CE3F81">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（二）</w:t>
      </w:r>
      <w:r w:rsidR="0064594E" w:rsidRPr="00721084">
        <w:rPr>
          <w:rFonts w:asciiTheme="minorEastAsia" w:eastAsiaTheme="minorEastAsia" w:hAnsiTheme="minorEastAsia" w:hint="eastAsia"/>
          <w:szCs w:val="21"/>
        </w:rPr>
        <w:t>投资限制</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本基金的投资组合将遵循以下限制：</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hint="eastAsia"/>
          <w:szCs w:val="21"/>
        </w:rPr>
        <w:t>1</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cs="Arial"/>
          <w:szCs w:val="21"/>
        </w:rPr>
        <w:t>基金持有同一家银行的存款不得超过基金净值的20%。在基金托管账户的存款可以不受上述限制。</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hint="eastAsia"/>
          <w:szCs w:val="21"/>
        </w:rPr>
        <w:t>2</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cs="Arial"/>
          <w:szCs w:val="21"/>
        </w:rPr>
        <w:t>基金持有同一机构（政府、国际金融组织除外）发行的证券市值不得超过基金净值的10%。</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hint="eastAsia"/>
          <w:szCs w:val="21"/>
        </w:rPr>
        <w:t>3</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cs="Arial"/>
          <w:szCs w:val="21"/>
        </w:rPr>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hint="eastAsia"/>
          <w:szCs w:val="21"/>
        </w:rPr>
        <w:t>4</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cs="Arial" w:hint="eastAsia"/>
          <w:szCs w:val="21"/>
        </w:rPr>
        <w:t>同一基金管理人</w:t>
      </w:r>
      <w:r w:rsidRPr="00721084">
        <w:rPr>
          <w:rFonts w:asciiTheme="minorEastAsia" w:eastAsiaTheme="minorEastAsia" w:hAnsiTheme="minorEastAsia" w:cs="Arial"/>
          <w:szCs w:val="21"/>
        </w:rPr>
        <w:t>管理的全部基金不得持有同一机构10%以上具有投票权的证券发行总量。前项投资比例限制应当合并计算同一机构境内外上市的总股本，同时应当一并计算全球存托凭证和美国存托凭证所代表的基础证券，并假设对持有的股本权证行使转换。</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hint="eastAsia"/>
          <w:szCs w:val="21"/>
        </w:rPr>
        <w:t>5</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cs="Arial"/>
          <w:szCs w:val="21"/>
        </w:rPr>
        <w:t>基金持有非流动性资产市值不得超过基金净值的10%。前项非流动性资产是指法律或基金合同规定的流通受限证券以及中国证监会认定的其他资产。</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721084">
        <w:rPr>
          <w:rFonts w:asciiTheme="minorEastAsia" w:eastAsiaTheme="minorEastAsia" w:hAnsiTheme="minorEastAsia" w:hint="eastAsia"/>
          <w:szCs w:val="21"/>
        </w:rPr>
        <w:t>6</w:t>
      </w:r>
      <w:r w:rsidR="00885D50" w:rsidRPr="00721084">
        <w:rPr>
          <w:rFonts w:asciiTheme="minorEastAsia" w:eastAsiaTheme="minorEastAsia" w:hAnsiTheme="minorEastAsia" w:hint="eastAsia"/>
          <w:szCs w:val="21"/>
        </w:rPr>
        <w:t>、</w:t>
      </w:r>
      <w:r w:rsidRPr="00721084">
        <w:rPr>
          <w:rFonts w:asciiTheme="minorEastAsia" w:eastAsiaTheme="minorEastAsia" w:hAnsiTheme="minorEastAsia" w:cs="Arial"/>
          <w:szCs w:val="21"/>
        </w:rPr>
        <w:t>基金持有境外基金的市值合计不得超过基金</w:t>
      </w:r>
      <w:r w:rsidRPr="00721084">
        <w:rPr>
          <w:rFonts w:asciiTheme="minorEastAsia" w:eastAsiaTheme="minorEastAsia" w:hAnsiTheme="minorEastAsia" w:cs="Arial" w:hint="eastAsia"/>
          <w:szCs w:val="21"/>
        </w:rPr>
        <w:t>资产</w:t>
      </w:r>
      <w:r w:rsidRPr="00721084">
        <w:rPr>
          <w:rFonts w:asciiTheme="minorEastAsia" w:eastAsiaTheme="minorEastAsia" w:hAnsiTheme="minorEastAsia" w:cs="Arial"/>
          <w:szCs w:val="21"/>
        </w:rPr>
        <w:t>净值的10%。</w:t>
      </w:r>
      <w:r w:rsidRPr="00721084">
        <w:rPr>
          <w:rFonts w:asciiTheme="minorEastAsia" w:eastAsiaTheme="minorEastAsia" w:hAnsiTheme="minorEastAsia" w:cs="Arial" w:hint="eastAsia"/>
          <w:szCs w:val="21"/>
        </w:rPr>
        <w:t>但</w:t>
      </w:r>
      <w:r w:rsidRPr="00721084">
        <w:rPr>
          <w:rFonts w:asciiTheme="minorEastAsia" w:eastAsiaTheme="minorEastAsia" w:hAnsiTheme="minorEastAsia" w:cs="Arial"/>
          <w:szCs w:val="21"/>
        </w:rPr>
        <w:t>持有货币市场基金可以不受上述限制。</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cs="Arial" w:hint="eastAsia"/>
          <w:szCs w:val="21"/>
        </w:rPr>
        <w:t>7</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同一</w:t>
      </w:r>
      <w:r w:rsidRPr="00721084">
        <w:rPr>
          <w:rFonts w:asciiTheme="minorEastAsia" w:eastAsiaTheme="minorEastAsia" w:hAnsiTheme="minorEastAsia" w:cs="Arial" w:hint="eastAsia"/>
          <w:szCs w:val="21"/>
        </w:rPr>
        <w:t>基金管理人</w:t>
      </w:r>
      <w:r w:rsidRPr="00721084">
        <w:rPr>
          <w:rFonts w:asciiTheme="minorEastAsia" w:eastAsiaTheme="minorEastAsia" w:hAnsiTheme="minorEastAsia" w:cs="Arial"/>
          <w:szCs w:val="21"/>
        </w:rPr>
        <w:t>管理的全部基金持有任何一只境外基金，不得超过该境外基金总份额的20％。</w:t>
      </w:r>
    </w:p>
    <w:p w:rsidR="001E6F1F" w:rsidRPr="00721084" w:rsidRDefault="001E6F1F" w:rsidP="001E6F1F">
      <w:pPr>
        <w:autoSpaceDE w:val="0"/>
        <w:autoSpaceDN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cs="Arial" w:hint="eastAsia"/>
          <w:szCs w:val="21"/>
        </w:rPr>
        <w:t>8、本基金管理人管理的全部开放式基金持有一家上市公司发行的可流通股票，不得超过该上市公司可流通股票的</w:t>
      </w:r>
      <w:r w:rsidRPr="00721084">
        <w:rPr>
          <w:rFonts w:asciiTheme="minorEastAsia" w:eastAsiaTheme="minorEastAsia" w:hAnsiTheme="minorEastAsia" w:cs="Arial"/>
          <w:szCs w:val="21"/>
        </w:rPr>
        <w:t>15%</w:t>
      </w:r>
      <w:r w:rsidRPr="00721084">
        <w:rPr>
          <w:rFonts w:asciiTheme="minorEastAsia" w:eastAsiaTheme="minorEastAsia" w:hAnsiTheme="minorEastAsia" w:cs="Arial" w:hint="eastAsia"/>
          <w:szCs w:val="21"/>
        </w:rPr>
        <w:t>；本基金管理人管理的全部投资组合持有一家上市公司发行的可流通股票，不得超过该上市公司可流通股票的</w:t>
      </w:r>
      <w:r w:rsidRPr="00721084">
        <w:rPr>
          <w:rFonts w:asciiTheme="minorEastAsia" w:eastAsiaTheme="minorEastAsia" w:hAnsiTheme="minorEastAsia" w:cs="Arial"/>
          <w:szCs w:val="21"/>
        </w:rPr>
        <w:t>30%</w:t>
      </w:r>
      <w:r w:rsidRPr="00721084">
        <w:rPr>
          <w:rFonts w:asciiTheme="minorEastAsia" w:eastAsiaTheme="minorEastAsia" w:hAnsiTheme="minorEastAsia" w:cs="Arial" w:hint="eastAsia"/>
          <w:szCs w:val="21"/>
        </w:rPr>
        <w:t>。</w:t>
      </w:r>
    </w:p>
    <w:p w:rsidR="001E6F1F" w:rsidRPr="00721084" w:rsidRDefault="001E6F1F" w:rsidP="001E6F1F">
      <w:pPr>
        <w:autoSpaceDE w:val="0"/>
        <w:autoSpaceDN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cs="Arial" w:hint="eastAsia"/>
          <w:szCs w:val="21"/>
        </w:rPr>
        <w:t>9、本基金主动投资于流动性受限资产的市值合计不得超过该基金资产净值的</w:t>
      </w:r>
      <w:r w:rsidRPr="00721084">
        <w:rPr>
          <w:rFonts w:asciiTheme="minorEastAsia" w:eastAsiaTheme="minorEastAsia" w:hAnsiTheme="minorEastAsia" w:cs="Arial"/>
          <w:szCs w:val="21"/>
        </w:rPr>
        <w:t>15%</w:t>
      </w:r>
      <w:r w:rsidRPr="00721084">
        <w:rPr>
          <w:rFonts w:asciiTheme="minorEastAsia" w:eastAsiaTheme="minorEastAsia" w:hAnsiTheme="minorEastAsia" w:cs="Arial" w:hint="eastAsia"/>
          <w:szCs w:val="21"/>
        </w:rPr>
        <w:t>。</w:t>
      </w:r>
    </w:p>
    <w:p w:rsidR="001E6F1F" w:rsidRPr="00721084" w:rsidRDefault="001E6F1F" w:rsidP="001E6F1F">
      <w:pPr>
        <w:autoSpaceDE w:val="0"/>
        <w:autoSpaceDN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cs="Arial" w:hint="eastAsia"/>
          <w:szCs w:val="21"/>
        </w:rPr>
        <w:lastRenderedPageBreak/>
        <w:t>因证券市场波动、上市公司股票停牌、基金规模变动等基金管理人之外的因素致使基金不符合前款所规定比例限制的，基金管理人不得主动新增流动性受限资产的投资。</w:t>
      </w:r>
    </w:p>
    <w:p w:rsidR="001E6F1F" w:rsidRPr="00721084" w:rsidRDefault="001E6F1F" w:rsidP="001E6F1F">
      <w:pPr>
        <w:autoSpaceDE w:val="0"/>
        <w:autoSpaceDN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cs="Arial" w:hint="eastAsia"/>
          <w:szCs w:val="21"/>
        </w:rPr>
        <w:t>1</w:t>
      </w:r>
      <w:r w:rsidRPr="00721084">
        <w:rPr>
          <w:rFonts w:asciiTheme="minorEastAsia" w:eastAsiaTheme="minorEastAsia" w:hAnsiTheme="minorEastAsia" w:cs="Arial"/>
          <w:szCs w:val="21"/>
        </w:rPr>
        <w:t>0、</w:t>
      </w:r>
      <w:r w:rsidRPr="00721084">
        <w:rPr>
          <w:rFonts w:asciiTheme="minorEastAsia" w:eastAsiaTheme="minorEastAsia" w:hAnsiTheme="minorEastAsia" w:cs="Arial" w:hint="eastAsia"/>
          <w:szCs w:val="21"/>
        </w:rPr>
        <w:t>本基金与私募类证券资管产品及中国证监会认定的其他主体为交易对手开展逆回购交易的，可接受质押品的资质要求应当与基金合同约定的投资范围保持一致。</w:t>
      </w:r>
    </w:p>
    <w:p w:rsidR="00CD3B3A" w:rsidRPr="00721084" w:rsidRDefault="0064594E" w:rsidP="001223DA">
      <w:pPr>
        <w:spacing w:line="360" w:lineRule="auto"/>
        <w:ind w:firstLineChars="171" w:firstLine="359"/>
        <w:rPr>
          <w:rFonts w:asciiTheme="minorEastAsia" w:eastAsiaTheme="minorEastAsia" w:hAnsiTheme="minorEastAsia"/>
        </w:rPr>
      </w:pPr>
      <w:r w:rsidRPr="00721084">
        <w:rPr>
          <w:rFonts w:asciiTheme="minorEastAsia" w:eastAsiaTheme="minorEastAsia" w:hAnsiTheme="minorEastAsia" w:hint="eastAsia"/>
          <w:szCs w:val="21"/>
        </w:rPr>
        <w:t>基金管理人应当在基金合同生效后6个月内使基金的投资组合比例符合基金合同的有关约定。在基金合同生效6个月后，</w:t>
      </w:r>
      <w:r w:rsidRPr="00721084">
        <w:rPr>
          <w:rFonts w:asciiTheme="minorEastAsia" w:eastAsiaTheme="minorEastAsia" w:hAnsiTheme="minorEastAsia" w:cs="Arial"/>
          <w:szCs w:val="21"/>
        </w:rPr>
        <w:t>若基金超过上述</w:t>
      </w:r>
      <w:r w:rsidRPr="00721084">
        <w:rPr>
          <w:rFonts w:asciiTheme="minorEastAsia" w:eastAsiaTheme="minorEastAsia" w:hAnsiTheme="minorEastAsia" w:cs="Arial" w:hint="eastAsia"/>
          <w:szCs w:val="21"/>
        </w:rPr>
        <w:t>1-</w:t>
      </w:r>
      <w:r w:rsidR="00E9473A" w:rsidRPr="00721084">
        <w:rPr>
          <w:rFonts w:asciiTheme="minorEastAsia" w:eastAsiaTheme="minorEastAsia" w:hAnsiTheme="minorEastAsia" w:cs="Arial" w:hint="eastAsia"/>
          <w:szCs w:val="21"/>
        </w:rPr>
        <w:t>7</w:t>
      </w:r>
      <w:r w:rsidRPr="00721084">
        <w:rPr>
          <w:rFonts w:asciiTheme="minorEastAsia" w:eastAsiaTheme="minorEastAsia" w:hAnsiTheme="minorEastAsia" w:cs="Arial" w:hint="eastAsia"/>
          <w:szCs w:val="21"/>
        </w:rPr>
        <w:t>项</w:t>
      </w:r>
      <w:r w:rsidRPr="00721084">
        <w:rPr>
          <w:rFonts w:asciiTheme="minorEastAsia" w:eastAsiaTheme="minorEastAsia" w:hAnsiTheme="minorEastAsia" w:cs="Arial"/>
          <w:szCs w:val="21"/>
        </w:rPr>
        <w:t>投资比例限制，应当在超过比例后30个工作日内采用合理的商业措施</w:t>
      </w:r>
      <w:r w:rsidRPr="00721084">
        <w:rPr>
          <w:rFonts w:asciiTheme="minorEastAsia" w:eastAsiaTheme="minorEastAsia" w:hAnsiTheme="minorEastAsia" w:cs="Arial" w:hint="eastAsia"/>
          <w:szCs w:val="21"/>
        </w:rPr>
        <w:t>减仓，</w:t>
      </w:r>
      <w:r w:rsidRPr="00721084">
        <w:rPr>
          <w:rFonts w:asciiTheme="minorEastAsia" w:eastAsiaTheme="minorEastAsia" w:hAnsiTheme="minorEastAsia"/>
          <w:szCs w:val="21"/>
        </w:rPr>
        <w:t>以符合投资比例限制要求。</w:t>
      </w:r>
      <w:r w:rsidR="001E6F1F" w:rsidRPr="00721084">
        <w:rPr>
          <w:rFonts w:asciiTheme="minorEastAsia" w:eastAsiaTheme="minorEastAsia" w:hAnsiTheme="minorEastAsia" w:hint="eastAsia"/>
        </w:rPr>
        <w:t>因证券市场波动、证券发行人合并、基金规模变动等基金管理人之外的因素致使基金投资比例不符合上述第8项</w:t>
      </w:r>
      <w:r w:rsidR="001E6F1F" w:rsidRPr="00721084">
        <w:rPr>
          <w:rFonts w:asciiTheme="minorEastAsia" w:eastAsiaTheme="minorEastAsia" w:hAnsiTheme="minorEastAsia"/>
        </w:rPr>
        <w:t>规定投资比例</w:t>
      </w:r>
      <w:r w:rsidR="001E6F1F" w:rsidRPr="00721084">
        <w:rPr>
          <w:rFonts w:asciiTheme="minorEastAsia" w:eastAsiaTheme="minorEastAsia" w:hAnsiTheme="minorEastAsia" w:hint="eastAsia"/>
        </w:rPr>
        <w:t>的，基金管理人应当在</w:t>
      </w:r>
      <w:r w:rsidR="001E6F1F" w:rsidRPr="00721084">
        <w:rPr>
          <w:rFonts w:asciiTheme="minorEastAsia" w:eastAsiaTheme="minorEastAsia" w:hAnsiTheme="minorEastAsia"/>
        </w:rPr>
        <w:t>10</w:t>
      </w:r>
      <w:r w:rsidR="001E6F1F" w:rsidRPr="00721084">
        <w:rPr>
          <w:rFonts w:asciiTheme="minorEastAsia" w:eastAsiaTheme="minorEastAsia" w:hAnsiTheme="minorEastAsia" w:hint="eastAsia"/>
        </w:rPr>
        <w:t>个交易日内进行调整，但中国证监会规定的特殊情形除外。</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对于因基金份额拆分、大比例分红等集中持续营销活动引起的基金净资产规模在10个</w:t>
      </w:r>
      <w:r w:rsidRPr="00721084">
        <w:rPr>
          <w:rFonts w:asciiTheme="minorEastAsia" w:eastAsiaTheme="minorEastAsia" w:hAnsiTheme="minorEastAsia" w:hint="eastAsia"/>
          <w:szCs w:val="21"/>
        </w:rPr>
        <w:t>工作</w:t>
      </w:r>
      <w:r w:rsidRPr="00721084">
        <w:rPr>
          <w:rFonts w:asciiTheme="minorEastAsia" w:eastAsiaTheme="minorEastAsia" w:hAnsiTheme="minorEastAsia"/>
          <w:szCs w:val="21"/>
        </w:rPr>
        <w:t>日内增加10亿元以上的情形，而导致证券投资比例低于基金合同约定的，基金管理人同基金托管人协商一致并及时书面报告中国证监会后，可将调整时限从</w:t>
      </w:r>
      <w:r w:rsidRPr="00721084">
        <w:rPr>
          <w:rFonts w:asciiTheme="minorEastAsia" w:eastAsiaTheme="minorEastAsia" w:hAnsiTheme="minorEastAsia" w:hint="eastAsia"/>
          <w:szCs w:val="21"/>
        </w:rPr>
        <w:t>3</w:t>
      </w:r>
      <w:r w:rsidRPr="00721084">
        <w:rPr>
          <w:rFonts w:asciiTheme="minorEastAsia" w:eastAsiaTheme="minorEastAsia" w:hAnsiTheme="minorEastAsia"/>
          <w:szCs w:val="21"/>
        </w:rPr>
        <w:t>0个</w:t>
      </w:r>
      <w:r w:rsidRPr="00721084">
        <w:rPr>
          <w:rFonts w:asciiTheme="minorEastAsia" w:eastAsiaTheme="minorEastAsia" w:hAnsiTheme="minorEastAsia" w:hint="eastAsia"/>
          <w:szCs w:val="21"/>
        </w:rPr>
        <w:t>工作</w:t>
      </w:r>
      <w:r w:rsidRPr="00721084">
        <w:rPr>
          <w:rFonts w:asciiTheme="minorEastAsia" w:eastAsiaTheme="minorEastAsia" w:hAnsiTheme="minorEastAsia"/>
          <w:szCs w:val="21"/>
        </w:rPr>
        <w:t>日延长到3个月。</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法律法规或中国有关监管部门取消上述限制，本基金不受上述限制。《基金法》及其他有关法律法规或监管部门调整上述限制的，履行适当程序后，基金可依据届时有效的法律法规适时合理地调整上述限制。</w:t>
      </w:r>
    </w:p>
    <w:p w:rsidR="00BA046C" w:rsidRPr="00721084" w:rsidRDefault="001B53FB" w:rsidP="00885D50">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（三）</w:t>
      </w:r>
      <w:r w:rsidR="00BA046C" w:rsidRPr="00721084">
        <w:rPr>
          <w:rFonts w:asciiTheme="minorEastAsia" w:eastAsiaTheme="minorEastAsia" w:hAnsiTheme="minorEastAsia" w:hint="eastAsia"/>
          <w:szCs w:val="21"/>
        </w:rPr>
        <w:t>金融衍生品投资</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基金投资衍生品应当仅限于投资组合避险或有效管理，不得用于投机或放大交易，同时应当严格遵守下列规定：</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1</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基金的金融衍生品全部敞口不得高于基金资产净值的100％。</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2</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基金投资期货支付的初始保证金、投资期权支付或收取的期权费、投资柜台交易衍生品支付的初始费用的总额不得高于基金资产净值的10％。</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3</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基金投资于远期合约、互换等柜台交易金融衍生品，应当符合以下要求：</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1）所有参与交易的对手方（中资商业银行除外）应当具有不低于中国证监会认可的信用评级机构评级。</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（2）交易对手方应当至少每个工作日对交易进行估值，并且基金可在任何时候以公允价值终止交易。</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（3）任一交易对手方的市值计价敞口不得超过基金资产净值的20％。</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4</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hint="eastAsia"/>
          <w:szCs w:val="21"/>
        </w:rPr>
        <w:t>基金管理人</w:t>
      </w:r>
      <w:r w:rsidRPr="00721084">
        <w:rPr>
          <w:rFonts w:asciiTheme="minorEastAsia" w:eastAsiaTheme="minorEastAsia" w:hAnsiTheme="minorEastAsia" w:cs="Arial"/>
          <w:szCs w:val="21"/>
        </w:rPr>
        <w:t>应当在</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基金会计年度结束后60个工作日内向中国证监会提交包括衍生品头寸及风险分析年度报告。</w:t>
      </w:r>
    </w:p>
    <w:p w:rsidR="00BA046C" w:rsidRPr="00721084" w:rsidRDefault="001B53FB" w:rsidP="00885D50">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（四）</w:t>
      </w:r>
      <w:r w:rsidR="00BA046C" w:rsidRPr="00721084">
        <w:rPr>
          <w:rFonts w:asciiTheme="minorEastAsia" w:eastAsiaTheme="minorEastAsia" w:hAnsiTheme="minorEastAsia" w:hint="eastAsia"/>
          <w:szCs w:val="21"/>
        </w:rPr>
        <w:t>本基金可以参与证券借贷交易，并且应当遵守下列规定</w:t>
      </w:r>
      <w:r w:rsidR="006B6817" w:rsidRPr="00721084">
        <w:rPr>
          <w:rFonts w:asciiTheme="minorEastAsia" w:eastAsiaTheme="minorEastAsia" w:hAnsiTheme="minorEastAsia" w:hint="eastAsia"/>
          <w:szCs w:val="21"/>
        </w:rPr>
        <w:t>：</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1</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所有参与交易的对手方（中资商业银行除外）应当具有中国证监会认可的信用评级</w:t>
      </w:r>
      <w:r w:rsidRPr="00721084">
        <w:rPr>
          <w:rFonts w:asciiTheme="minorEastAsia" w:eastAsiaTheme="minorEastAsia" w:hAnsiTheme="minorEastAsia" w:cs="Arial"/>
          <w:szCs w:val="21"/>
        </w:rPr>
        <w:lastRenderedPageBreak/>
        <w:t>机构评级。</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2</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应当采取市值计价制度进行调整以确保担保物市值不低于已借出证券市值的102％。</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3</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借方应当在交易期内及时向</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基金支付已借出证券产生的所有股息、利息和分红。一旦借方违约，</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基金根据协议和有关法律有权保留和处置担保物以满足索赔需要。</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4</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除中国证监会另有规定外，担保物可以是以下金融工具或品种：</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（1）现金；</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（2）存款证明；</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3）商业票据；</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（4）政府债券；</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（5）中资商业银行或由不低于中国证监会认可的信用评级机构评级的境外金融机构（作为交易对手方或其关联方的除外）出具的不可撤销信用证。</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5</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基金有权在任何时候终止证券借贷交易并在正常市场惯例的合理期限内要求归还任一或所有已借出的证券。</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6</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hint="eastAsia"/>
          <w:szCs w:val="21"/>
        </w:rPr>
        <w:t>基金管理人</w:t>
      </w:r>
      <w:r w:rsidRPr="00721084">
        <w:rPr>
          <w:rFonts w:asciiTheme="minorEastAsia" w:eastAsiaTheme="minorEastAsia" w:hAnsiTheme="minorEastAsia" w:cs="Arial"/>
          <w:szCs w:val="21"/>
        </w:rPr>
        <w:t>应当对基金参与证券借贷交易中发生的任何损失负相应责任。</w:t>
      </w:r>
    </w:p>
    <w:p w:rsidR="00BA046C" w:rsidRPr="00721084" w:rsidRDefault="001B53FB"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（五）</w:t>
      </w:r>
      <w:r w:rsidR="00BA046C" w:rsidRPr="00721084">
        <w:rPr>
          <w:rFonts w:asciiTheme="minorEastAsia" w:eastAsiaTheme="minorEastAsia" w:hAnsiTheme="minorEastAsia"/>
          <w:szCs w:val="21"/>
        </w:rPr>
        <w:t>基金可以根据正常市场惯例参与正回购交易、逆回购交易，并且应当遵守下列规定</w:t>
      </w:r>
      <w:r w:rsidR="003D7E6A" w:rsidRPr="00721084">
        <w:rPr>
          <w:rFonts w:asciiTheme="minorEastAsia" w:eastAsiaTheme="minorEastAsia" w:hAnsiTheme="minorEastAsia" w:hint="eastAsia"/>
          <w:szCs w:val="21"/>
        </w:rPr>
        <w:t>：</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1</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所有参与正回购交易的对手方（中资商业银行除外）应当具有中国证监会认可的信用评级机构信用评级。</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2</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参与正回购交易，应当采取市值计价制度对卖出收益进行调整以确保现金不低于已售出证券市值的102％。一旦买方违约，</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基金根据协议和有关法律有权保留或处置卖出收益以满足索赔需要。</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3</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买方应当在正回购交易期内及时向</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基金支付售出证券产生的所有股息、利息和分红。</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4</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参与逆回购交易，应当对购入证券采取市值计价制度进行调整以确保已购入证券市值不低于支付现金的102％。一旦卖方违约，</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基金根据协议和有关法律有权保留或处置已购入证券以满足索赔需要。</w:t>
      </w:r>
    </w:p>
    <w:p w:rsidR="00BA046C" w:rsidRPr="00721084" w:rsidRDefault="00BA046C"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5</w:t>
      </w:r>
      <w:r w:rsidR="00885D50" w:rsidRPr="00721084">
        <w:rPr>
          <w:rFonts w:asciiTheme="minorEastAsia" w:eastAsiaTheme="minorEastAsia" w:hAnsiTheme="minorEastAsia" w:cs="Arial" w:hint="eastAsia"/>
          <w:szCs w:val="21"/>
        </w:rPr>
        <w:t>、</w:t>
      </w:r>
      <w:r w:rsidRPr="00721084">
        <w:rPr>
          <w:rFonts w:asciiTheme="minorEastAsia" w:eastAsiaTheme="minorEastAsia" w:hAnsiTheme="minorEastAsia" w:cs="Arial" w:hint="eastAsia"/>
          <w:szCs w:val="21"/>
        </w:rPr>
        <w:t>基金管理人</w:t>
      </w:r>
      <w:r w:rsidRPr="00721084">
        <w:rPr>
          <w:rFonts w:asciiTheme="minorEastAsia" w:eastAsiaTheme="minorEastAsia" w:hAnsiTheme="minorEastAsia" w:cs="Arial"/>
          <w:szCs w:val="21"/>
        </w:rPr>
        <w:t>应当对基金参与证券正回购交易、逆回购交易中发生的任何损失负相应责任。</w:t>
      </w:r>
    </w:p>
    <w:p w:rsidR="00D303F5" w:rsidRPr="00721084" w:rsidRDefault="00D578EB"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（六）</w:t>
      </w:r>
      <w:r w:rsidR="00D303F5" w:rsidRPr="00721084">
        <w:rPr>
          <w:rFonts w:asciiTheme="minorEastAsia" w:eastAsiaTheme="minorEastAsia" w:hAnsiTheme="minorEastAsia" w:cs="Arial"/>
          <w:szCs w:val="21"/>
        </w:rPr>
        <w:t>基金参与</w:t>
      </w:r>
      <w:r w:rsidR="00D303F5" w:rsidRPr="00721084">
        <w:rPr>
          <w:rFonts w:asciiTheme="minorEastAsia" w:eastAsiaTheme="minorEastAsia" w:hAnsiTheme="minorEastAsia" w:cs="Arial" w:hint="eastAsia"/>
          <w:szCs w:val="21"/>
        </w:rPr>
        <w:t>证券借贷交易、</w:t>
      </w:r>
      <w:r w:rsidR="00D303F5" w:rsidRPr="00721084">
        <w:rPr>
          <w:rFonts w:asciiTheme="minorEastAsia" w:eastAsiaTheme="minorEastAsia" w:hAnsiTheme="minorEastAsia" w:cs="Arial"/>
          <w:szCs w:val="21"/>
        </w:rPr>
        <w:t>正回购交易，所有</w:t>
      </w:r>
      <w:r w:rsidR="00106BAE" w:rsidRPr="00721084">
        <w:rPr>
          <w:rFonts w:asciiTheme="minorEastAsia" w:eastAsiaTheme="minorEastAsia" w:hAnsiTheme="minorEastAsia" w:cs="Arial" w:hint="eastAsia"/>
          <w:szCs w:val="21"/>
        </w:rPr>
        <w:t>已借出而未归还证券总市值或所有</w:t>
      </w:r>
      <w:r w:rsidR="00D303F5" w:rsidRPr="00721084">
        <w:rPr>
          <w:rFonts w:asciiTheme="minorEastAsia" w:eastAsiaTheme="minorEastAsia" w:hAnsiTheme="minorEastAsia" w:cs="Arial"/>
          <w:szCs w:val="21"/>
        </w:rPr>
        <w:t>已售出而未回购证券总市值均不得超过基金总资产的50％。</w:t>
      </w:r>
    </w:p>
    <w:p w:rsidR="00D303F5" w:rsidRPr="00721084" w:rsidRDefault="00637D1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szCs w:val="21"/>
        </w:rPr>
        <w:t>前项比例限制计算，基金因参与证券借贷交易、正回购交易而持有的担保物、现金不得计入基金总资产</w:t>
      </w:r>
      <w:r w:rsidR="00D303F5" w:rsidRPr="00721084">
        <w:rPr>
          <w:rFonts w:asciiTheme="minorEastAsia" w:eastAsiaTheme="minorEastAsia" w:hAnsiTheme="minorEastAsia"/>
          <w:szCs w:val="21"/>
        </w:rPr>
        <w:t>。</w:t>
      </w:r>
    </w:p>
    <w:p w:rsidR="0064594E" w:rsidRPr="00721084" w:rsidRDefault="00133DDB" w:rsidP="00CE3F81">
      <w:pPr>
        <w:pStyle w:val="2"/>
        <w:snapToGrid w:val="0"/>
        <w:spacing w:beforeLines="0" w:afterLines="0" w:line="360" w:lineRule="auto"/>
        <w:ind w:firstLine="560"/>
        <w:rPr>
          <w:rFonts w:asciiTheme="minorEastAsia" w:eastAsiaTheme="minorEastAsia" w:hAnsiTheme="minorEastAsia"/>
          <w:b w:val="0"/>
          <w:bCs/>
        </w:rPr>
      </w:pPr>
      <w:bookmarkStart w:id="50" w:name="_Toc44351070"/>
      <w:r w:rsidRPr="00721084">
        <w:rPr>
          <w:rFonts w:asciiTheme="minorEastAsia" w:eastAsiaTheme="minorEastAsia" w:hAnsiTheme="minorEastAsia" w:hint="eastAsia"/>
          <w:b w:val="0"/>
          <w:bCs/>
        </w:rPr>
        <w:t>九、</w:t>
      </w:r>
      <w:r w:rsidR="0064594E" w:rsidRPr="00721084">
        <w:rPr>
          <w:rFonts w:asciiTheme="minorEastAsia" w:eastAsiaTheme="minorEastAsia" w:hAnsiTheme="minorEastAsia" w:hint="eastAsia"/>
          <w:b w:val="0"/>
          <w:bCs/>
        </w:rPr>
        <w:t>衍生品投资的风险管理与决策流程</w:t>
      </w:r>
      <w:bookmarkEnd w:id="50"/>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885D50" w:rsidRPr="00721084">
        <w:rPr>
          <w:rFonts w:asciiTheme="minorEastAsia" w:eastAsiaTheme="minorEastAsia" w:hAnsiTheme="minorEastAsia" w:hint="eastAsia"/>
        </w:rPr>
        <w:t>、</w:t>
      </w:r>
      <w:r w:rsidRPr="00721084">
        <w:rPr>
          <w:rFonts w:asciiTheme="minorEastAsia" w:eastAsiaTheme="minorEastAsia" w:hAnsiTheme="minorEastAsia" w:hint="eastAsia"/>
        </w:rPr>
        <w:t>投资衍生品的风险管理</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金融衍生品的投资过程，同时也是风险管理的过程。在金融衍生品的投资业务中，包括了“事前的风险定位、事中的风险管理和事后的风险评估”的全过程、多角度、全方位的风险监控体系。</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事前风险控制：投资决策前，投资研究人员必须对所运用的金融衍生工具的特性、机理、风险有深入的研究和分析。对拟投资方案可能蕴含的风险进行充分评估和量化，进行必要的情形分析和压力测试。</w:t>
      </w:r>
      <w:r w:rsidR="00671AC8" w:rsidRPr="00721084">
        <w:rPr>
          <w:rFonts w:asciiTheme="minorEastAsia" w:eastAsiaTheme="minorEastAsia" w:hAnsiTheme="minorEastAsia" w:hint="eastAsia"/>
        </w:rPr>
        <w:t>金融衍生品的投资在投资方案经审批通过后，方可实施</w:t>
      </w:r>
      <w:r w:rsidRPr="00721084">
        <w:rPr>
          <w:rFonts w:asciiTheme="minorEastAsia" w:eastAsiaTheme="minorEastAsia" w:hAnsiTheme="minorEastAsia" w:hint="eastAsia"/>
        </w:rPr>
        <w:t>。</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事中风险控制：衍生品</w:t>
      </w:r>
      <w:r w:rsidR="0063753E" w:rsidRPr="00721084">
        <w:rPr>
          <w:rFonts w:asciiTheme="minorEastAsia" w:eastAsiaTheme="minorEastAsia" w:hAnsiTheme="minorEastAsia" w:hint="eastAsia"/>
        </w:rPr>
        <w:t>研究</w:t>
      </w:r>
      <w:r w:rsidRPr="00721084">
        <w:rPr>
          <w:rFonts w:asciiTheme="minorEastAsia" w:eastAsiaTheme="minorEastAsia" w:hAnsiTheme="minorEastAsia" w:hint="eastAsia"/>
        </w:rPr>
        <w:t>组对交易对手的信用评级进行跟踪，防范信用风险的发生</w:t>
      </w:r>
      <w:r w:rsidR="00341234" w:rsidRPr="00721084">
        <w:rPr>
          <w:rFonts w:asciiTheme="minorEastAsia" w:eastAsiaTheme="minorEastAsia" w:hAnsiTheme="minorEastAsia" w:hint="eastAsia"/>
        </w:rPr>
        <w:t>，</w:t>
      </w:r>
      <w:r w:rsidRPr="00721084">
        <w:rPr>
          <w:rFonts w:asciiTheme="minorEastAsia" w:eastAsiaTheme="minorEastAsia" w:hAnsiTheme="minorEastAsia" w:hint="eastAsia"/>
        </w:rPr>
        <w:t>并利用现代金融工程的手段对对组合进行风险评估。基金经理或衍生品</w:t>
      </w:r>
      <w:r w:rsidR="0063753E" w:rsidRPr="00721084">
        <w:rPr>
          <w:rFonts w:asciiTheme="minorEastAsia" w:eastAsiaTheme="minorEastAsia" w:hAnsiTheme="minorEastAsia" w:hint="eastAsia"/>
        </w:rPr>
        <w:t>研究</w:t>
      </w:r>
      <w:r w:rsidRPr="00721084">
        <w:rPr>
          <w:rFonts w:asciiTheme="minorEastAsia" w:eastAsiaTheme="minorEastAsia" w:hAnsiTheme="minorEastAsia" w:hint="eastAsia"/>
        </w:rPr>
        <w:t>组对衍生品头寸以及风险敞口进行监控，一旦衍生品的亏损超过投资方案防范的目标，</w:t>
      </w:r>
      <w:r w:rsidR="004B6555" w:rsidRPr="00721084">
        <w:rPr>
          <w:rFonts w:asciiTheme="minorEastAsia" w:eastAsiaTheme="minorEastAsia" w:hAnsiTheme="minorEastAsia" w:hint="eastAsia"/>
        </w:rPr>
        <w:t>应按制度进行汇报，并</w:t>
      </w:r>
      <w:r w:rsidRPr="00721084">
        <w:rPr>
          <w:rFonts w:asciiTheme="minorEastAsia" w:eastAsiaTheme="minorEastAsia" w:hAnsiTheme="minorEastAsia" w:hint="eastAsia"/>
        </w:rPr>
        <w:t>考虑采取强制平仓等措施以避免出现严重的风险事件。</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事后风险控制：基金经理或衍生品</w:t>
      </w:r>
      <w:r w:rsidR="0063753E" w:rsidRPr="00721084">
        <w:rPr>
          <w:rFonts w:asciiTheme="minorEastAsia" w:eastAsiaTheme="minorEastAsia" w:hAnsiTheme="minorEastAsia" w:hint="eastAsia"/>
        </w:rPr>
        <w:t>研究</w:t>
      </w:r>
      <w:r w:rsidRPr="00721084">
        <w:rPr>
          <w:rFonts w:asciiTheme="minorEastAsia" w:eastAsiaTheme="minorEastAsia" w:hAnsiTheme="minorEastAsia" w:hint="eastAsia"/>
        </w:rPr>
        <w:t>组定期对基金的衍生品交易策略、运作情况做投资回顾分析和风险评估，识别内部控制中的弱点和系统中的不足，提供改进的建议；定期评估、审定和改进风险管理政策。</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885D50" w:rsidRPr="00721084">
        <w:rPr>
          <w:rFonts w:asciiTheme="minorEastAsia" w:eastAsiaTheme="minorEastAsia" w:hAnsiTheme="minorEastAsia" w:hint="eastAsia"/>
        </w:rPr>
        <w:t>、</w:t>
      </w:r>
      <w:r w:rsidRPr="00721084">
        <w:rPr>
          <w:rFonts w:asciiTheme="minorEastAsia" w:eastAsiaTheme="minorEastAsia" w:hAnsiTheme="minorEastAsia" w:hint="eastAsia"/>
        </w:rPr>
        <w:t>投资衍生品的决策流程</w:t>
      </w:r>
    </w:p>
    <w:p w:rsidR="004B6555" w:rsidRPr="00721084" w:rsidRDefault="004B6555"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（1）基金经理在内外部研究的支持下，本着组合避险和有效管理的策略原则，提出衍生品投资需求及相关报告，并按照公司制度提交审议。审批通过后，基金经理将投资指令提交集中交易室执行。</w:t>
      </w:r>
    </w:p>
    <w:p w:rsidR="0064594E" w:rsidRPr="00721084" w:rsidRDefault="004B6555"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（2）基金经理对衍生品的投资运作情况进行回顾和评估检讨。</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bCs/>
        </w:rPr>
      </w:pPr>
      <w:bookmarkStart w:id="51" w:name="_Toc44351071"/>
      <w:r w:rsidRPr="00721084">
        <w:rPr>
          <w:rFonts w:asciiTheme="minorEastAsia" w:eastAsiaTheme="minorEastAsia" w:hAnsiTheme="minorEastAsia" w:hint="eastAsia"/>
          <w:b w:val="0"/>
          <w:bCs/>
        </w:rPr>
        <w:t>十</w:t>
      </w:r>
      <w:r w:rsidR="00803F98" w:rsidRPr="00721084">
        <w:rPr>
          <w:rFonts w:asciiTheme="minorEastAsia" w:eastAsiaTheme="minorEastAsia" w:hAnsiTheme="minorEastAsia" w:hint="eastAsia"/>
          <w:b w:val="0"/>
          <w:bCs/>
        </w:rPr>
        <w:t>、</w:t>
      </w:r>
      <w:r w:rsidRPr="00721084">
        <w:rPr>
          <w:rFonts w:asciiTheme="minorEastAsia" w:eastAsiaTheme="minorEastAsia" w:hAnsiTheme="minorEastAsia" w:hint="eastAsia"/>
          <w:b w:val="0"/>
          <w:bCs/>
        </w:rPr>
        <w:t>代理投票</w:t>
      </w:r>
      <w:bookmarkEnd w:id="51"/>
    </w:p>
    <w:p w:rsidR="007D677F" w:rsidRPr="00721084" w:rsidRDefault="00885D50" w:rsidP="00885D50">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7D677F" w:rsidRPr="00721084">
        <w:rPr>
          <w:rFonts w:asciiTheme="minorEastAsia" w:eastAsiaTheme="minorEastAsia" w:hAnsiTheme="minorEastAsia" w:hint="eastAsia"/>
        </w:rPr>
        <w:t>基金管理人行使代理投票权应遵循基金</w:t>
      </w:r>
      <w:r w:rsidR="001B3D1F" w:rsidRPr="00721084">
        <w:rPr>
          <w:rFonts w:asciiTheme="minorEastAsia" w:eastAsiaTheme="minorEastAsia" w:hAnsiTheme="minorEastAsia" w:hint="eastAsia"/>
        </w:rPr>
        <w:t>份额</w:t>
      </w:r>
      <w:r w:rsidR="007D677F" w:rsidRPr="00721084">
        <w:rPr>
          <w:rFonts w:asciiTheme="minorEastAsia" w:eastAsiaTheme="minorEastAsia" w:hAnsiTheme="minorEastAsia" w:hint="eastAsia"/>
        </w:rPr>
        <w:t>持有人利益最大化的原则。</w:t>
      </w:r>
    </w:p>
    <w:p w:rsidR="007D677F" w:rsidRPr="00721084" w:rsidRDefault="00885D50" w:rsidP="00885D50">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7D677F" w:rsidRPr="00721084">
        <w:rPr>
          <w:rFonts w:asciiTheme="minorEastAsia" w:eastAsiaTheme="minorEastAsia" w:hAnsiTheme="minorEastAsia" w:hint="eastAsia"/>
        </w:rPr>
        <w:t>行使代理投票权应考虑不同地区市场上适用的法律或监管要求、公司治理标准、披露实务操作等存在的差异，充分研究提案的合理性，并综合考虑投资顾问、独立第三方研究机构等的意见后，选择合适的方式行使投票权。本着基金投资者利益最大化的原则，对持股比例较小或审议非重要事项、支付较高费用等情况时，基金管理人可以选择不参与上市公司的投票。</w:t>
      </w:r>
    </w:p>
    <w:p w:rsidR="007D677F" w:rsidRPr="00721084" w:rsidRDefault="00885D50" w:rsidP="00885D50">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7D677F" w:rsidRPr="00721084">
        <w:rPr>
          <w:rFonts w:asciiTheme="minorEastAsia" w:eastAsiaTheme="minorEastAsia" w:hAnsiTheme="minorEastAsia" w:hint="eastAsia"/>
        </w:rPr>
        <w:t>代理投票权的执行，可选择实地投票、通过交易经纪商系统投票、委托境外投资顾问、托管人或第三方代理投票机构投票等方式。</w:t>
      </w:r>
    </w:p>
    <w:p w:rsidR="0064594E" w:rsidRPr="00721084" w:rsidRDefault="00885D50" w:rsidP="00885D50">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7D677F" w:rsidRPr="00721084">
        <w:rPr>
          <w:rFonts w:asciiTheme="minorEastAsia" w:eastAsiaTheme="minorEastAsia" w:hAnsiTheme="minorEastAsia" w:hint="eastAsia"/>
        </w:rPr>
        <w:t>基金管理人应保留投票记录。</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bCs/>
        </w:rPr>
      </w:pPr>
      <w:bookmarkStart w:id="52" w:name="_Toc44351072"/>
      <w:bookmarkStart w:id="53" w:name="OLE_LINK3"/>
      <w:r w:rsidRPr="00721084">
        <w:rPr>
          <w:rFonts w:asciiTheme="minorEastAsia" w:eastAsiaTheme="minorEastAsia" w:hAnsiTheme="minorEastAsia" w:hint="eastAsia"/>
          <w:b w:val="0"/>
          <w:bCs/>
        </w:rPr>
        <w:t>十</w:t>
      </w:r>
      <w:r w:rsidR="00803F98" w:rsidRPr="00721084">
        <w:rPr>
          <w:rFonts w:asciiTheme="minorEastAsia" w:eastAsiaTheme="minorEastAsia" w:hAnsiTheme="minorEastAsia" w:hint="eastAsia"/>
          <w:b w:val="0"/>
          <w:bCs/>
        </w:rPr>
        <w:t>一、</w:t>
      </w:r>
      <w:r w:rsidRPr="00721084">
        <w:rPr>
          <w:rFonts w:asciiTheme="minorEastAsia" w:eastAsiaTheme="minorEastAsia" w:hAnsiTheme="minorEastAsia" w:hint="eastAsia"/>
          <w:b w:val="0"/>
          <w:bCs/>
        </w:rPr>
        <w:t>证券交易管理</w:t>
      </w:r>
      <w:bookmarkEnd w:id="52"/>
    </w:p>
    <w:p w:rsidR="007D677F" w:rsidRPr="00721084" w:rsidRDefault="00885D50" w:rsidP="00885D50">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7D677F" w:rsidRPr="00721084">
        <w:rPr>
          <w:rFonts w:asciiTheme="minorEastAsia" w:eastAsiaTheme="minorEastAsia" w:hAnsiTheme="minorEastAsia" w:hint="eastAsia"/>
        </w:rPr>
        <w:t>基金管理人挑选证券经纪商主要考虑的因素包括：交易执行能力、研究报告质量、提供研究服务质量、法规监管资讯服务以及价值贡献等方面。</w:t>
      </w:r>
    </w:p>
    <w:p w:rsidR="007D677F" w:rsidRPr="00721084"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交易执行能力。主要指券商是否能够对投资指令进行有效的执行，以及能否取得较高质量的成交结果。衡量交易执行能力的指标主要有：是否完成交易、成交的及时性、成交</w:t>
      </w:r>
      <w:r w:rsidRPr="00721084">
        <w:rPr>
          <w:rFonts w:asciiTheme="minorEastAsia" w:eastAsiaTheme="minorEastAsia" w:hAnsiTheme="minorEastAsia" w:hint="eastAsia"/>
          <w:szCs w:val="21"/>
        </w:rPr>
        <w:lastRenderedPageBreak/>
        <w:t>价格、对市场的影响等；</w:t>
      </w:r>
    </w:p>
    <w:p w:rsidR="007D677F" w:rsidRPr="00721084"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研究报告的质量。主要是指券商能否提供</w:t>
      </w:r>
      <w:r w:rsidRPr="00721084">
        <w:rPr>
          <w:rFonts w:asciiTheme="minorEastAsia" w:eastAsiaTheme="minorEastAsia" w:hAnsiTheme="minorEastAsia"/>
          <w:szCs w:val="21"/>
        </w:rPr>
        <w:t>高质量的宏观经济研究、行业研究及市场走向、个股分析报告和</w:t>
      </w:r>
      <w:r w:rsidRPr="00721084">
        <w:rPr>
          <w:rFonts w:asciiTheme="minorEastAsia" w:eastAsiaTheme="minorEastAsia" w:hAnsiTheme="minorEastAsia" w:hint="eastAsia"/>
          <w:szCs w:val="21"/>
        </w:rPr>
        <w:t>专题</w:t>
      </w:r>
      <w:r w:rsidRPr="00721084">
        <w:rPr>
          <w:rFonts w:asciiTheme="minorEastAsia" w:eastAsiaTheme="minorEastAsia" w:hAnsiTheme="minorEastAsia"/>
          <w:szCs w:val="21"/>
        </w:rPr>
        <w:t>研究</w:t>
      </w:r>
      <w:r w:rsidRPr="00721084">
        <w:rPr>
          <w:rFonts w:asciiTheme="minorEastAsia" w:eastAsiaTheme="minorEastAsia" w:hAnsiTheme="minorEastAsia" w:hint="eastAsia"/>
          <w:szCs w:val="21"/>
        </w:rPr>
        <w:t>报告，报告内容是否详实，投资建议是否准确等；</w:t>
      </w:r>
    </w:p>
    <w:p w:rsidR="007D677F" w:rsidRPr="00721084"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提供研究服务的质量。主要包括协助安排上市公司调研、研究资料共享、路演服务、日常沟通交流、接受委托研究的服务质量等方面；</w:t>
      </w:r>
    </w:p>
    <w:p w:rsidR="007D677F" w:rsidRPr="00721084"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法规监管资讯服务。主要包括境外投资法律规定、交易监管规则、信息披露、个人利益冲突、税收等资讯的提供与培训；</w:t>
      </w:r>
    </w:p>
    <w:p w:rsidR="007D677F" w:rsidRPr="00721084"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价值贡献。主要是指证券经纪商对公司研究团队、投资团队在业务能力提升上所做的培训服务、对公司投资提升所作出的贡献；</w:t>
      </w:r>
    </w:p>
    <w:p w:rsidR="007D677F" w:rsidRPr="00721084" w:rsidRDefault="007D677F" w:rsidP="00CE3F81">
      <w:pPr>
        <w:numPr>
          <w:ilvl w:val="1"/>
          <w:numId w:val="11"/>
        </w:numPr>
        <w:tabs>
          <w:tab w:val="num" w:pos="3090"/>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其他因素。主要是证券经纪商的财务状况、经营行为规范、风险管理机制、近年内有无重大违规行为等。</w:t>
      </w:r>
    </w:p>
    <w:p w:rsidR="007D677F" w:rsidRPr="00721084" w:rsidRDefault="00885D50" w:rsidP="00885D50">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7D677F" w:rsidRPr="00721084">
        <w:rPr>
          <w:rFonts w:asciiTheme="minorEastAsia" w:eastAsiaTheme="minorEastAsia" w:hAnsiTheme="minorEastAsia" w:hint="eastAsia"/>
        </w:rPr>
        <w:t>席位交易量的分配依据</w:t>
      </w:r>
    </w:p>
    <w:p w:rsidR="007D677F" w:rsidRPr="00721084" w:rsidRDefault="007D677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管理人主要根据对证券经纪商的评价结果进行交易量分配。评价证券经纪商将重点依据其交易执行能力、研究报告质量、提供研究服务质量、法规监管资讯服务和价值贡献等方面的指标，并采用十分制进行评分。</w:t>
      </w:r>
    </w:p>
    <w:p w:rsidR="007D677F" w:rsidRPr="00721084" w:rsidRDefault="007D677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评分的计算公式是：∑i(第i项评价项目×项目权重)，其中各项目权重由基金管理人根据相关法规要求和内部制度进行确定。</w:t>
      </w:r>
    </w:p>
    <w:p w:rsidR="007D677F" w:rsidRPr="00721084" w:rsidRDefault="00885D50" w:rsidP="00885D50">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7D677F" w:rsidRPr="00721084">
        <w:rPr>
          <w:rFonts w:asciiTheme="minorEastAsia" w:eastAsiaTheme="minorEastAsia" w:hAnsiTheme="minorEastAsia" w:hint="eastAsia"/>
        </w:rPr>
        <w:t>其他事项</w:t>
      </w:r>
    </w:p>
    <w:p w:rsidR="0064594E" w:rsidRPr="00721084" w:rsidRDefault="007D677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管理人将根据有关规定，在基金定期报告中对所选择的证券经纪商、基金通过该证券经纪商买卖证券的成交量以及所支付的佣金等进行披露。对于在证券经纪商选择和交易量分配中存在或潜在的利益冲突，管理人应该本着尽可能维护持有人的利益进行妥善处理，并按规定进行报告。</w:t>
      </w:r>
      <w:bookmarkEnd w:id="53"/>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bCs/>
        </w:rPr>
      </w:pPr>
      <w:bookmarkStart w:id="54" w:name="_Toc44351073"/>
      <w:r w:rsidRPr="00721084">
        <w:rPr>
          <w:rFonts w:asciiTheme="minorEastAsia" w:eastAsiaTheme="minorEastAsia" w:hAnsiTheme="minorEastAsia" w:hint="eastAsia"/>
          <w:b w:val="0"/>
          <w:bCs/>
        </w:rPr>
        <w:t>十</w:t>
      </w:r>
      <w:r w:rsidR="00803F98" w:rsidRPr="00721084">
        <w:rPr>
          <w:rFonts w:asciiTheme="minorEastAsia" w:eastAsiaTheme="minorEastAsia" w:hAnsiTheme="minorEastAsia" w:hint="eastAsia"/>
          <w:b w:val="0"/>
          <w:bCs/>
        </w:rPr>
        <w:t>二、</w:t>
      </w:r>
      <w:r w:rsidRPr="00721084">
        <w:rPr>
          <w:rFonts w:asciiTheme="minorEastAsia" w:eastAsiaTheme="minorEastAsia" w:hAnsiTheme="minorEastAsia" w:hint="eastAsia"/>
          <w:b w:val="0"/>
          <w:bCs/>
          <w:spacing w:val="-6"/>
        </w:rPr>
        <w:t>基金管理人代表基金行使所投资证券产生权利的处理原则及方法</w:t>
      </w:r>
      <w:bookmarkEnd w:id="54"/>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885D50" w:rsidRPr="00721084">
        <w:rPr>
          <w:rFonts w:asciiTheme="minorEastAsia" w:eastAsiaTheme="minorEastAsia" w:hAnsiTheme="minorEastAsia" w:hint="eastAsia"/>
        </w:rPr>
        <w:t>、</w:t>
      </w:r>
      <w:r w:rsidRPr="00721084">
        <w:rPr>
          <w:rFonts w:asciiTheme="minorEastAsia" w:eastAsiaTheme="minorEastAsia" w:hAnsiTheme="minorEastAsia" w:hint="eastAsia"/>
        </w:rPr>
        <w:t>不谋求对上市公司的控股，不参与所投资上市公司的经营管理；</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885D50" w:rsidRPr="00721084">
        <w:rPr>
          <w:rFonts w:asciiTheme="minorEastAsia" w:eastAsiaTheme="minorEastAsia" w:hAnsiTheme="minorEastAsia" w:hint="eastAsia"/>
        </w:rPr>
        <w:t>、</w:t>
      </w:r>
      <w:r w:rsidRPr="00721084">
        <w:rPr>
          <w:rFonts w:asciiTheme="minorEastAsia" w:eastAsiaTheme="minorEastAsia" w:hAnsiTheme="minorEastAsia" w:hint="eastAsia"/>
        </w:rPr>
        <w:t>有利于基金资产的安全与增值；</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885D50" w:rsidRPr="00721084">
        <w:rPr>
          <w:rFonts w:asciiTheme="minorEastAsia" w:eastAsiaTheme="minorEastAsia" w:hAnsiTheme="minorEastAsia" w:hint="eastAsia"/>
        </w:rPr>
        <w:t>、</w:t>
      </w:r>
      <w:r w:rsidRPr="00721084">
        <w:rPr>
          <w:rFonts w:asciiTheme="minorEastAsia" w:eastAsiaTheme="minorEastAsia" w:hAnsiTheme="minorEastAsia" w:hint="eastAsia"/>
        </w:rPr>
        <w:t>基金管理人按照国家有关规定代表基金独立行使所投资证券权利，保护基金份额持有人的利益。</w:t>
      </w:r>
    </w:p>
    <w:p w:rsidR="0076422A" w:rsidRPr="00721084" w:rsidRDefault="0076422A" w:rsidP="00CE3F81">
      <w:pPr>
        <w:pStyle w:val="2"/>
        <w:snapToGrid w:val="0"/>
        <w:spacing w:beforeLines="0" w:afterLines="0" w:line="360" w:lineRule="auto"/>
        <w:ind w:firstLine="536"/>
        <w:rPr>
          <w:rFonts w:asciiTheme="minorEastAsia" w:eastAsiaTheme="minorEastAsia" w:hAnsiTheme="minorEastAsia"/>
          <w:b w:val="0"/>
          <w:bCs/>
          <w:spacing w:val="-6"/>
        </w:rPr>
      </w:pPr>
      <w:bookmarkStart w:id="55" w:name="_Toc44351074"/>
      <w:r w:rsidRPr="00721084">
        <w:rPr>
          <w:rFonts w:asciiTheme="minorEastAsia" w:eastAsiaTheme="minorEastAsia" w:hAnsiTheme="minorEastAsia" w:hint="eastAsia"/>
          <w:b w:val="0"/>
          <w:bCs/>
          <w:spacing w:val="-6"/>
        </w:rPr>
        <w:t>十三、基金投资组合报告(未经审计)</w:t>
      </w:r>
      <w:bookmarkEnd w:id="55"/>
    </w:p>
    <w:p w:rsidR="0076422A" w:rsidRPr="00721084" w:rsidRDefault="0076422A"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rsidR="0076422A" w:rsidRPr="00721084" w:rsidRDefault="0076422A"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本基金的托管人中国工商银行股份有限公司根据本基金合同的规定，复核了</w:t>
      </w:r>
      <w:r w:rsidR="00406B14" w:rsidRPr="00721084">
        <w:rPr>
          <w:rFonts w:asciiTheme="minorEastAsia" w:eastAsiaTheme="minorEastAsia" w:hAnsiTheme="minorEastAsia" w:hint="eastAsia"/>
          <w:szCs w:val="21"/>
        </w:rPr>
        <w:t>本报告的内容，保证复核内容不存在虚假记载、误导性陈述或者重大遗漏</w:t>
      </w:r>
      <w:r w:rsidRPr="00721084">
        <w:rPr>
          <w:rFonts w:asciiTheme="minorEastAsia" w:eastAsiaTheme="minorEastAsia" w:hAnsiTheme="minorEastAsia" w:hint="eastAsia"/>
          <w:szCs w:val="21"/>
        </w:rPr>
        <w:t>。</w:t>
      </w:r>
    </w:p>
    <w:p w:rsidR="000B1CA0" w:rsidRPr="00721084" w:rsidRDefault="002465F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lastRenderedPageBreak/>
        <w:t>本投资组合报告有关数据的期间为2020年1月1日至2020年3月31日</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w:t>
      </w:r>
      <w:r w:rsidRPr="005F3194">
        <w:rPr>
          <w:rFonts w:asciiTheme="minorEastAsia" w:eastAsiaTheme="minorEastAsia" w:hAnsiTheme="minorEastAsia"/>
          <w:szCs w:val="21"/>
        </w:rPr>
        <w:t xml:space="preserve"> 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253"/>
        <w:gridCol w:w="2835"/>
        <w:gridCol w:w="1559"/>
      </w:tblGrid>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序号</w:t>
            </w:r>
          </w:p>
        </w:tc>
        <w:tc>
          <w:tcPr>
            <w:tcW w:w="4253"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项目</w:t>
            </w:r>
          </w:p>
        </w:tc>
        <w:tc>
          <w:tcPr>
            <w:tcW w:w="2835"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金额(人民币元)</w:t>
            </w:r>
          </w:p>
        </w:tc>
        <w:tc>
          <w:tcPr>
            <w:tcW w:w="1559"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占基金总资产的比例(%)</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1</w:t>
            </w:r>
          </w:p>
        </w:tc>
        <w:tc>
          <w:tcPr>
            <w:tcW w:w="4253" w:type="dxa"/>
            <w:vAlign w:val="center"/>
          </w:tcPr>
          <w:p w:rsidR="002F595F" w:rsidRPr="005F3194" w:rsidRDefault="002F595F" w:rsidP="00A242D0">
            <w:pPr>
              <w:spacing w:before="29" w:line="360" w:lineRule="auto"/>
              <w:ind w:left="17"/>
              <w:jc w:val="left"/>
              <w:rPr>
                <w:rFonts w:asciiTheme="minorEastAsia" w:eastAsiaTheme="minorEastAsia" w:hAnsiTheme="minorEastAsia"/>
                <w:szCs w:val="21"/>
              </w:rPr>
            </w:pPr>
            <w:r w:rsidRPr="005F3194">
              <w:rPr>
                <w:rFonts w:asciiTheme="minorEastAsia" w:eastAsiaTheme="minorEastAsia" w:hAnsiTheme="minorEastAsia"/>
                <w:color w:val="000000"/>
                <w:szCs w:val="21"/>
              </w:rPr>
              <w:t>权益投资</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429,673,038.43</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92.83</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vAlign w:val="center"/>
          </w:tcPr>
          <w:p w:rsidR="002F595F" w:rsidRPr="005F3194" w:rsidRDefault="002F595F" w:rsidP="00A242D0">
            <w:pPr>
              <w:spacing w:before="29" w:line="360" w:lineRule="auto"/>
              <w:ind w:left="17"/>
              <w:jc w:val="left"/>
              <w:rPr>
                <w:rFonts w:asciiTheme="minorEastAsia" w:eastAsiaTheme="minorEastAsia" w:hAnsiTheme="minorEastAsia"/>
                <w:szCs w:val="21"/>
              </w:rPr>
            </w:pPr>
            <w:r w:rsidRPr="005F3194">
              <w:rPr>
                <w:rFonts w:asciiTheme="minorEastAsia" w:eastAsiaTheme="minorEastAsia" w:hAnsiTheme="minorEastAsia"/>
                <w:color w:val="000000"/>
                <w:szCs w:val="21"/>
              </w:rPr>
              <w:t>其中：普通股</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216,293,832.53</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46.73</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vAlign w:val="center"/>
          </w:tcPr>
          <w:p w:rsidR="002F595F" w:rsidRPr="005F3194" w:rsidRDefault="002F595F" w:rsidP="00A242D0">
            <w:pPr>
              <w:spacing w:before="29" w:line="360" w:lineRule="auto"/>
              <w:ind w:left="17" w:firstLineChars="300" w:firstLine="630"/>
              <w:jc w:val="lef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存托凭证</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213,379,205.90</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46.10</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vAlign w:val="center"/>
          </w:tcPr>
          <w:p w:rsidR="002F595F" w:rsidRPr="005F3194" w:rsidRDefault="002F595F" w:rsidP="00A242D0">
            <w:pPr>
              <w:spacing w:before="29" w:line="360" w:lineRule="auto"/>
              <w:ind w:left="17" w:firstLineChars="300" w:firstLine="630"/>
              <w:jc w:val="lef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优先股</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vAlign w:val="center"/>
          </w:tcPr>
          <w:p w:rsidR="002F595F" w:rsidRPr="005F3194" w:rsidRDefault="002F595F" w:rsidP="00A242D0">
            <w:pPr>
              <w:spacing w:before="29" w:line="360" w:lineRule="auto"/>
              <w:ind w:left="17" w:firstLineChars="300" w:firstLine="630"/>
              <w:jc w:val="lef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房地产信托</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tcPr>
          <w:p w:rsidR="002F595F" w:rsidRPr="005F3194" w:rsidRDefault="002F595F" w:rsidP="00A242D0">
            <w:pPr>
              <w:adjustRightInd w:val="0"/>
              <w:snapToGrid w:val="0"/>
              <w:spacing w:line="400" w:lineRule="exact"/>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2</w:t>
            </w:r>
          </w:p>
        </w:tc>
        <w:tc>
          <w:tcPr>
            <w:tcW w:w="4253" w:type="dxa"/>
          </w:tcPr>
          <w:p w:rsidR="002F595F" w:rsidRPr="005F3194" w:rsidRDefault="002F595F" w:rsidP="00A242D0">
            <w:pPr>
              <w:adjustRightInd w:val="0"/>
              <w:snapToGrid w:val="0"/>
              <w:spacing w:line="400" w:lineRule="exac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基金投资</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3</w:t>
            </w:r>
          </w:p>
        </w:tc>
        <w:tc>
          <w:tcPr>
            <w:tcW w:w="4253" w:type="dxa"/>
            <w:vAlign w:val="center"/>
          </w:tcPr>
          <w:p w:rsidR="002F595F" w:rsidRPr="005F3194" w:rsidRDefault="002F595F" w:rsidP="00A242D0">
            <w:pPr>
              <w:spacing w:before="29" w:line="360" w:lineRule="auto"/>
              <w:ind w:left="17"/>
              <w:jc w:val="left"/>
              <w:rPr>
                <w:rFonts w:asciiTheme="minorEastAsia" w:eastAsiaTheme="minorEastAsia" w:hAnsiTheme="minorEastAsia"/>
                <w:szCs w:val="21"/>
              </w:rPr>
            </w:pPr>
            <w:r w:rsidRPr="005F3194">
              <w:rPr>
                <w:rFonts w:asciiTheme="minorEastAsia" w:eastAsiaTheme="minorEastAsia" w:hAnsiTheme="minorEastAsia"/>
                <w:color w:val="000000"/>
                <w:szCs w:val="21"/>
              </w:rPr>
              <w:t>固定收益投资</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vAlign w:val="center"/>
          </w:tcPr>
          <w:p w:rsidR="002F595F" w:rsidRPr="005F3194" w:rsidRDefault="002F595F" w:rsidP="00A242D0">
            <w:pPr>
              <w:spacing w:before="29" w:line="360" w:lineRule="auto"/>
              <w:ind w:left="17"/>
              <w:jc w:val="left"/>
              <w:rPr>
                <w:rFonts w:asciiTheme="minorEastAsia" w:eastAsiaTheme="minorEastAsia" w:hAnsiTheme="minorEastAsia"/>
                <w:szCs w:val="21"/>
              </w:rPr>
            </w:pPr>
            <w:r w:rsidRPr="005F3194">
              <w:rPr>
                <w:rFonts w:asciiTheme="minorEastAsia" w:eastAsiaTheme="minorEastAsia" w:hAnsiTheme="minorEastAsia"/>
                <w:color w:val="000000"/>
                <w:szCs w:val="21"/>
              </w:rPr>
              <w:t>其中：债券</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vAlign w:val="center"/>
          </w:tcPr>
          <w:p w:rsidR="002F595F" w:rsidRPr="005F3194" w:rsidRDefault="002F595F" w:rsidP="00A242D0">
            <w:pPr>
              <w:autoSpaceDE w:val="0"/>
              <w:autoSpaceDN w:val="0"/>
              <w:adjustRightInd w:val="0"/>
              <w:spacing w:before="29" w:line="360" w:lineRule="auto"/>
              <w:ind w:left="17" w:firstLineChars="300" w:firstLine="630"/>
              <w:jc w:val="lef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资产支持证券</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4</w:t>
            </w:r>
          </w:p>
        </w:tc>
        <w:tc>
          <w:tcPr>
            <w:tcW w:w="4253" w:type="dxa"/>
            <w:vAlign w:val="center"/>
          </w:tcPr>
          <w:p w:rsidR="002F595F" w:rsidRPr="005F3194" w:rsidRDefault="002F595F" w:rsidP="00A242D0">
            <w:pPr>
              <w:spacing w:before="29" w:line="360" w:lineRule="auto"/>
              <w:ind w:left="17"/>
              <w:jc w:val="left"/>
              <w:rPr>
                <w:rFonts w:asciiTheme="minorEastAsia" w:eastAsiaTheme="minorEastAsia" w:hAnsiTheme="minorEastAsia"/>
                <w:szCs w:val="21"/>
              </w:rPr>
            </w:pPr>
            <w:r w:rsidRPr="005F3194">
              <w:rPr>
                <w:rFonts w:asciiTheme="minorEastAsia" w:eastAsiaTheme="minorEastAsia" w:hAnsiTheme="minorEastAsia"/>
                <w:color w:val="000000"/>
                <w:szCs w:val="21"/>
              </w:rPr>
              <w:t>金融衍生品投资</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tcPr>
          <w:p w:rsidR="002F595F" w:rsidRPr="005F3194" w:rsidRDefault="002F595F" w:rsidP="00A242D0">
            <w:pPr>
              <w:adjustRightInd w:val="0"/>
              <w:snapToGrid w:val="0"/>
              <w:spacing w:line="400" w:lineRule="exac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其中：远期</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tcPr>
          <w:p w:rsidR="002F595F" w:rsidRPr="005F3194" w:rsidDel="00455464" w:rsidRDefault="002F595F" w:rsidP="00A242D0">
            <w:pPr>
              <w:adjustRightInd w:val="0"/>
              <w:snapToGrid w:val="0"/>
              <w:spacing w:line="400" w:lineRule="exact"/>
              <w:ind w:firstLineChars="300" w:firstLine="630"/>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期货</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tcPr>
          <w:p w:rsidR="002F595F" w:rsidRPr="005F3194" w:rsidRDefault="002F595F" w:rsidP="00A242D0">
            <w:pPr>
              <w:adjustRightInd w:val="0"/>
              <w:snapToGrid w:val="0"/>
              <w:spacing w:line="400" w:lineRule="exact"/>
              <w:ind w:firstLineChars="300" w:firstLine="630"/>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期权</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tcPr>
          <w:p w:rsidR="002F595F" w:rsidRPr="005F3194" w:rsidRDefault="002F595F" w:rsidP="00A242D0">
            <w:pPr>
              <w:adjustRightInd w:val="0"/>
              <w:snapToGrid w:val="0"/>
              <w:spacing w:line="400" w:lineRule="exact"/>
              <w:ind w:firstLineChars="298" w:firstLine="626"/>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权证</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5</w:t>
            </w:r>
          </w:p>
        </w:tc>
        <w:tc>
          <w:tcPr>
            <w:tcW w:w="4253" w:type="dxa"/>
            <w:vAlign w:val="center"/>
          </w:tcPr>
          <w:p w:rsidR="002F595F" w:rsidRPr="005F3194" w:rsidRDefault="002F595F" w:rsidP="00A242D0">
            <w:pPr>
              <w:spacing w:before="29" w:line="360" w:lineRule="auto"/>
              <w:ind w:left="17"/>
              <w:jc w:val="left"/>
              <w:rPr>
                <w:rFonts w:asciiTheme="minorEastAsia" w:eastAsiaTheme="minorEastAsia" w:hAnsiTheme="minorEastAsia"/>
                <w:szCs w:val="21"/>
              </w:rPr>
            </w:pPr>
            <w:r w:rsidRPr="005F3194">
              <w:rPr>
                <w:rFonts w:asciiTheme="minorEastAsia" w:eastAsiaTheme="minorEastAsia" w:hAnsiTheme="minorEastAsia"/>
                <w:color w:val="000000"/>
                <w:szCs w:val="21"/>
              </w:rPr>
              <w:t>买入返售金融资产</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p>
        </w:tc>
        <w:tc>
          <w:tcPr>
            <w:tcW w:w="4253" w:type="dxa"/>
            <w:vAlign w:val="center"/>
          </w:tcPr>
          <w:p w:rsidR="002F595F" w:rsidRPr="005F3194" w:rsidRDefault="002F595F" w:rsidP="00A242D0">
            <w:pPr>
              <w:spacing w:before="29" w:line="360" w:lineRule="auto"/>
              <w:ind w:left="17"/>
              <w:jc w:val="left"/>
              <w:rPr>
                <w:rFonts w:asciiTheme="minorEastAsia" w:eastAsiaTheme="minorEastAsia" w:hAnsiTheme="minorEastAsia"/>
                <w:szCs w:val="21"/>
              </w:rPr>
            </w:pPr>
            <w:r w:rsidRPr="005F3194">
              <w:rPr>
                <w:rFonts w:asciiTheme="minorEastAsia" w:eastAsiaTheme="minorEastAsia" w:hAnsiTheme="minorEastAsia"/>
                <w:color w:val="000000"/>
                <w:szCs w:val="21"/>
              </w:rPr>
              <w:t>其中：买断式回购的买入返售金融资产</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tcPr>
          <w:p w:rsidR="002F595F" w:rsidRPr="005F3194" w:rsidRDefault="002F595F" w:rsidP="00A242D0">
            <w:pPr>
              <w:adjustRightInd w:val="0"/>
              <w:snapToGrid w:val="0"/>
              <w:spacing w:line="400" w:lineRule="exact"/>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6</w:t>
            </w:r>
          </w:p>
        </w:tc>
        <w:tc>
          <w:tcPr>
            <w:tcW w:w="4253" w:type="dxa"/>
          </w:tcPr>
          <w:p w:rsidR="002F595F" w:rsidRPr="005F3194" w:rsidRDefault="002F595F" w:rsidP="00A242D0">
            <w:pPr>
              <w:adjustRightInd w:val="0"/>
              <w:snapToGrid w:val="0"/>
              <w:spacing w:line="400" w:lineRule="exac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货币市场工具</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7</w:t>
            </w:r>
          </w:p>
        </w:tc>
        <w:tc>
          <w:tcPr>
            <w:tcW w:w="4253" w:type="dxa"/>
            <w:vAlign w:val="center"/>
          </w:tcPr>
          <w:p w:rsidR="002F595F" w:rsidRPr="005F3194" w:rsidRDefault="002F595F" w:rsidP="00A242D0">
            <w:pPr>
              <w:spacing w:before="29" w:line="360" w:lineRule="auto"/>
              <w:ind w:left="17"/>
              <w:jc w:val="left"/>
              <w:rPr>
                <w:rFonts w:asciiTheme="minorEastAsia" w:eastAsiaTheme="minorEastAsia" w:hAnsiTheme="minorEastAsia"/>
                <w:szCs w:val="21"/>
              </w:rPr>
            </w:pPr>
            <w:r w:rsidRPr="005F3194">
              <w:rPr>
                <w:rFonts w:asciiTheme="minorEastAsia" w:eastAsiaTheme="minorEastAsia" w:hAnsiTheme="minorEastAsia"/>
                <w:color w:val="000000"/>
                <w:szCs w:val="21"/>
              </w:rPr>
              <w:t>银行存款和结算备付金合计</w:t>
            </w:r>
          </w:p>
        </w:tc>
        <w:tc>
          <w:tcPr>
            <w:tcW w:w="2835"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31,696,228.57</w:t>
            </w:r>
          </w:p>
        </w:tc>
        <w:tc>
          <w:tcPr>
            <w:tcW w:w="1559" w:type="dxa"/>
            <w:vAlign w:val="center"/>
          </w:tcPr>
          <w:p w:rsidR="002F595F" w:rsidRPr="005F3194" w:rsidRDefault="002F595F" w:rsidP="00A242D0">
            <w:pPr>
              <w:spacing w:before="29" w:line="360" w:lineRule="auto"/>
              <w:ind w:left="17"/>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6.85</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8</w:t>
            </w:r>
          </w:p>
        </w:tc>
        <w:tc>
          <w:tcPr>
            <w:tcW w:w="4253"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其他资产</w:t>
            </w:r>
          </w:p>
        </w:tc>
        <w:tc>
          <w:tcPr>
            <w:tcW w:w="2835" w:type="dxa"/>
            <w:vAlign w:val="center"/>
          </w:tcPr>
          <w:p w:rsidR="002F595F" w:rsidRPr="005F3194" w:rsidRDefault="002F595F" w:rsidP="00A242D0">
            <w:pPr>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1,515,677.94</w:t>
            </w:r>
          </w:p>
        </w:tc>
        <w:tc>
          <w:tcPr>
            <w:tcW w:w="1559" w:type="dxa"/>
            <w:vAlign w:val="center"/>
          </w:tcPr>
          <w:p w:rsidR="002F595F" w:rsidRPr="005F3194" w:rsidRDefault="002F595F" w:rsidP="00A242D0">
            <w:pPr>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0.33</w:t>
            </w:r>
          </w:p>
        </w:tc>
      </w:tr>
      <w:tr w:rsidR="002F595F" w:rsidRPr="005F3194" w:rsidTr="00A242D0">
        <w:tc>
          <w:tcPr>
            <w:tcW w:w="851" w:type="dxa"/>
            <w:vAlign w:val="center"/>
          </w:tcPr>
          <w:p w:rsidR="002F595F" w:rsidRPr="005F3194" w:rsidRDefault="002F595F" w:rsidP="00A242D0">
            <w:pPr>
              <w:spacing w:before="29" w:line="360" w:lineRule="auto"/>
              <w:ind w:left="17"/>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9</w:t>
            </w:r>
          </w:p>
        </w:tc>
        <w:tc>
          <w:tcPr>
            <w:tcW w:w="4253"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合计</w:t>
            </w:r>
          </w:p>
        </w:tc>
        <w:tc>
          <w:tcPr>
            <w:tcW w:w="2835" w:type="dxa"/>
            <w:vAlign w:val="center"/>
          </w:tcPr>
          <w:p w:rsidR="002F595F" w:rsidRPr="005F3194" w:rsidRDefault="002F595F" w:rsidP="00A242D0">
            <w:pPr>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462,884,944.94</w:t>
            </w:r>
          </w:p>
        </w:tc>
        <w:tc>
          <w:tcPr>
            <w:tcW w:w="1559" w:type="dxa"/>
            <w:vAlign w:val="center"/>
          </w:tcPr>
          <w:p w:rsidR="002F595F" w:rsidRPr="005F3194" w:rsidRDefault="002F595F" w:rsidP="00A242D0">
            <w:pPr>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100.00</w:t>
            </w:r>
          </w:p>
        </w:tc>
      </w:tr>
    </w:tbl>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注：本基金本报告期末通过港股通交易机制投资的港股市值为11,198,965.07元,占净值比例2.44%。</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sidRPr="005F3194">
        <w:rPr>
          <w:rFonts w:asciiTheme="minorEastAsia" w:eastAsiaTheme="minorEastAsia" w:hAnsiTheme="minorEastAsia"/>
          <w:szCs w:val="21"/>
        </w:rPr>
        <w:t xml:space="preserve"> 报告期末在各个国家（地区）证券市场的股票及存托凭证投资分布</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118"/>
        <w:gridCol w:w="3076"/>
      </w:tblGrid>
      <w:tr w:rsidR="002F595F" w:rsidRPr="005F3194" w:rsidTr="00A242D0">
        <w:trPr>
          <w:jc w:val="center"/>
        </w:trPr>
        <w:tc>
          <w:tcPr>
            <w:tcW w:w="2410"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国家（地区）</w:t>
            </w:r>
          </w:p>
        </w:tc>
        <w:tc>
          <w:tcPr>
            <w:tcW w:w="3118"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公允价值(人民币元)</w:t>
            </w:r>
          </w:p>
        </w:tc>
        <w:tc>
          <w:tcPr>
            <w:tcW w:w="3076"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占基金资产净值比例（％）</w:t>
            </w:r>
          </w:p>
        </w:tc>
      </w:tr>
      <w:tr w:rsidR="002F595F" w:rsidRPr="005F3194" w:rsidTr="00A242D0">
        <w:trPr>
          <w:jc w:val="center"/>
        </w:trPr>
        <w:tc>
          <w:tcPr>
            <w:tcW w:w="2410"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lastRenderedPageBreak/>
              <w:t>中国香港</w:t>
            </w:r>
          </w:p>
        </w:tc>
        <w:tc>
          <w:tcPr>
            <w:tcW w:w="3118"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216,293,832.53</w:t>
            </w:r>
          </w:p>
        </w:tc>
        <w:tc>
          <w:tcPr>
            <w:tcW w:w="3076"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47.11</w:t>
            </w:r>
          </w:p>
        </w:tc>
      </w:tr>
      <w:tr w:rsidR="002F595F" w:rsidRPr="005F3194" w:rsidTr="00A242D0">
        <w:trPr>
          <w:jc w:val="center"/>
        </w:trPr>
        <w:tc>
          <w:tcPr>
            <w:tcW w:w="2410"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美国</w:t>
            </w:r>
          </w:p>
        </w:tc>
        <w:tc>
          <w:tcPr>
            <w:tcW w:w="3118"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213,379,205.90</w:t>
            </w:r>
          </w:p>
        </w:tc>
        <w:tc>
          <w:tcPr>
            <w:tcW w:w="3076"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46.47</w:t>
            </w:r>
          </w:p>
        </w:tc>
      </w:tr>
      <w:tr w:rsidR="002F595F" w:rsidRPr="005F3194" w:rsidTr="00A242D0">
        <w:trPr>
          <w:jc w:val="center"/>
        </w:trPr>
        <w:tc>
          <w:tcPr>
            <w:tcW w:w="2410" w:type="dxa"/>
          </w:tcPr>
          <w:p w:rsidR="002F595F" w:rsidRPr="005F3194" w:rsidRDefault="002F595F" w:rsidP="00A242D0">
            <w:pPr>
              <w:autoSpaceDE w:val="0"/>
              <w:autoSpaceDN w:val="0"/>
              <w:adjustRightInd w:val="0"/>
              <w:spacing w:before="29" w:line="360" w:lineRule="auto"/>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合计</w:t>
            </w:r>
          </w:p>
        </w:tc>
        <w:tc>
          <w:tcPr>
            <w:tcW w:w="3118" w:type="dxa"/>
          </w:tcPr>
          <w:p w:rsidR="002F595F" w:rsidRPr="005F3194" w:rsidRDefault="002F595F" w:rsidP="00A242D0">
            <w:pPr>
              <w:autoSpaceDE w:val="0"/>
              <w:autoSpaceDN w:val="0"/>
              <w:adjustRightInd w:val="0"/>
              <w:spacing w:before="29" w:line="360" w:lineRule="auto"/>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429,673,038.43</w:t>
            </w:r>
          </w:p>
        </w:tc>
        <w:tc>
          <w:tcPr>
            <w:tcW w:w="3076" w:type="dxa"/>
          </w:tcPr>
          <w:p w:rsidR="002F595F" w:rsidRPr="005F3194" w:rsidRDefault="002F595F" w:rsidP="00A242D0">
            <w:pPr>
              <w:autoSpaceDE w:val="0"/>
              <w:autoSpaceDN w:val="0"/>
              <w:adjustRightInd w:val="0"/>
              <w:spacing w:before="29" w:line="360" w:lineRule="auto"/>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93.58</w:t>
            </w:r>
          </w:p>
        </w:tc>
      </w:tr>
    </w:tbl>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注：</w:t>
      </w:r>
      <w:r>
        <w:rPr>
          <w:rFonts w:asciiTheme="minorEastAsia" w:eastAsiaTheme="minorEastAsia" w:hAnsiTheme="minorEastAsia" w:hint="eastAsia"/>
          <w:szCs w:val="21"/>
        </w:rPr>
        <w:t>（1）</w:t>
      </w:r>
      <w:r w:rsidRPr="005F3194">
        <w:rPr>
          <w:rFonts w:asciiTheme="minorEastAsia" w:eastAsiaTheme="minorEastAsia" w:hAnsiTheme="minorEastAsia"/>
          <w:szCs w:val="21"/>
        </w:rPr>
        <w:t>国家（地区）类别根据其所在的证券交易所确定。</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F3194">
        <w:rPr>
          <w:rFonts w:asciiTheme="minorEastAsia" w:eastAsiaTheme="minorEastAsia" w:hAnsiTheme="minorEastAsia"/>
          <w:szCs w:val="21"/>
        </w:rPr>
        <w:t>ADR、GDR按照存托凭证本身挂牌的证券交易所确定。</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w:t>
      </w:r>
      <w:r w:rsidRPr="005F3194">
        <w:rPr>
          <w:rFonts w:asciiTheme="minorEastAsia" w:eastAsiaTheme="minorEastAsia" w:hAnsiTheme="minorEastAsia"/>
          <w:szCs w:val="21"/>
        </w:rPr>
        <w:t>报告期末按行业分类的股票及存托凭证投资组合</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2551"/>
        <w:gridCol w:w="3175"/>
      </w:tblGrid>
      <w:tr w:rsidR="002F595F" w:rsidRPr="005F3194" w:rsidTr="00A242D0">
        <w:tc>
          <w:tcPr>
            <w:tcW w:w="2787"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行业类别</w:t>
            </w:r>
          </w:p>
        </w:tc>
        <w:tc>
          <w:tcPr>
            <w:tcW w:w="2551"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公允价值（人民币元）</w:t>
            </w:r>
          </w:p>
        </w:tc>
        <w:tc>
          <w:tcPr>
            <w:tcW w:w="3175"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占基金资产净值比例（％）</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能源</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材料</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工业</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非必需消费品</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213,379,205.90</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46.47</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必需消费品</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保健</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124,223,371.83</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27.06</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金融</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44,390,871.87</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9.67</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信息技术</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电信服务</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46,862,741.03</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10.21</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公用事业</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816,847.80</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0.18</w:t>
            </w:r>
          </w:p>
        </w:tc>
      </w:tr>
      <w:tr w:rsidR="002F595F" w:rsidRPr="005F3194" w:rsidTr="00A242D0">
        <w:tc>
          <w:tcPr>
            <w:tcW w:w="2787" w:type="dxa"/>
            <w:vAlign w:val="center"/>
          </w:tcPr>
          <w:p w:rsidR="002F595F" w:rsidRPr="005F3194" w:rsidRDefault="002F595F" w:rsidP="00A242D0">
            <w:pPr>
              <w:jc w:val="left"/>
              <w:rPr>
                <w:rFonts w:asciiTheme="minorEastAsia" w:eastAsiaTheme="minorEastAsia" w:hAnsiTheme="minorEastAsia"/>
                <w:szCs w:val="21"/>
              </w:rPr>
            </w:pPr>
            <w:r w:rsidRPr="005F3194">
              <w:rPr>
                <w:rFonts w:asciiTheme="minorEastAsia" w:eastAsiaTheme="minorEastAsia" w:hAnsiTheme="minorEastAsia"/>
                <w:color w:val="000000"/>
                <w:szCs w:val="21"/>
              </w:rPr>
              <w:t>房地产</w:t>
            </w:r>
          </w:p>
        </w:tc>
        <w:tc>
          <w:tcPr>
            <w:tcW w:w="255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c>
          <w:tcPr>
            <w:tcW w:w="3175"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w:t>
            </w:r>
          </w:p>
        </w:tc>
      </w:tr>
      <w:tr w:rsidR="002F595F" w:rsidRPr="005F3194" w:rsidTr="00A242D0">
        <w:tc>
          <w:tcPr>
            <w:tcW w:w="2787"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合计</w:t>
            </w:r>
          </w:p>
        </w:tc>
        <w:tc>
          <w:tcPr>
            <w:tcW w:w="2551"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429,673,038.43</w:t>
            </w:r>
          </w:p>
        </w:tc>
        <w:tc>
          <w:tcPr>
            <w:tcW w:w="3175"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93.58</w:t>
            </w:r>
          </w:p>
        </w:tc>
      </w:tr>
    </w:tbl>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注：以上分类采用全球行业分类标准（GICS）。</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w:t>
      </w:r>
      <w:r w:rsidRPr="005F3194">
        <w:rPr>
          <w:rFonts w:asciiTheme="minorEastAsia" w:eastAsiaTheme="minorEastAsia" w:hAnsiTheme="minorEastAsia"/>
          <w:szCs w:val="21"/>
        </w:rPr>
        <w:t>报告期末按公允价值占基金资产净值比例大小排序的前十名股票及存托凭证投资明细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1208"/>
        <w:gridCol w:w="992"/>
        <w:gridCol w:w="709"/>
        <w:gridCol w:w="891"/>
        <w:gridCol w:w="656"/>
        <w:gridCol w:w="1161"/>
        <w:gridCol w:w="1581"/>
        <w:gridCol w:w="864"/>
      </w:tblGrid>
      <w:tr w:rsidR="002F595F" w:rsidRPr="005F3194" w:rsidTr="00A242D0">
        <w:tc>
          <w:tcPr>
            <w:tcW w:w="445"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序号</w:t>
            </w:r>
          </w:p>
        </w:tc>
        <w:tc>
          <w:tcPr>
            <w:tcW w:w="1208" w:type="dxa"/>
            <w:vAlign w:val="center"/>
          </w:tcPr>
          <w:p w:rsidR="002F595F" w:rsidRPr="005F3194" w:rsidRDefault="002F595F" w:rsidP="00A242D0">
            <w:pPr>
              <w:adjustRightInd w:val="0"/>
              <w:snapToGrid w:val="0"/>
              <w:spacing w:line="400" w:lineRule="exact"/>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公司名称（英文）</w:t>
            </w:r>
          </w:p>
        </w:tc>
        <w:tc>
          <w:tcPr>
            <w:tcW w:w="992" w:type="dxa"/>
            <w:vAlign w:val="center"/>
          </w:tcPr>
          <w:p w:rsidR="002F595F" w:rsidRPr="005F3194" w:rsidRDefault="002F595F" w:rsidP="00A242D0">
            <w:pPr>
              <w:adjustRightInd w:val="0"/>
              <w:snapToGrid w:val="0"/>
              <w:spacing w:line="400" w:lineRule="exact"/>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公司名称（中文）</w:t>
            </w:r>
          </w:p>
        </w:tc>
        <w:tc>
          <w:tcPr>
            <w:tcW w:w="709" w:type="dxa"/>
            <w:vAlign w:val="center"/>
          </w:tcPr>
          <w:p w:rsidR="002F595F" w:rsidRPr="005F3194" w:rsidRDefault="002F595F" w:rsidP="00A242D0">
            <w:pPr>
              <w:adjustRightInd w:val="0"/>
              <w:snapToGrid w:val="0"/>
              <w:spacing w:line="400" w:lineRule="exact"/>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证券代码</w:t>
            </w:r>
          </w:p>
        </w:tc>
        <w:tc>
          <w:tcPr>
            <w:tcW w:w="891"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所在证</w:t>
            </w:r>
          </w:p>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券市场</w:t>
            </w:r>
          </w:p>
        </w:tc>
        <w:tc>
          <w:tcPr>
            <w:tcW w:w="656"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所属国家</w:t>
            </w:r>
          </w:p>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（地区)</w:t>
            </w:r>
          </w:p>
        </w:tc>
        <w:tc>
          <w:tcPr>
            <w:tcW w:w="1161"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数量</w:t>
            </w:r>
          </w:p>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（股）</w:t>
            </w:r>
          </w:p>
        </w:tc>
        <w:tc>
          <w:tcPr>
            <w:tcW w:w="1581"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公允价值（人民币元）</w:t>
            </w:r>
          </w:p>
        </w:tc>
        <w:tc>
          <w:tcPr>
            <w:tcW w:w="864"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占基金资产净值比例（％）</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1</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Tencent Holdings Ltd</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腾讯控股有限公司</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700 HK</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香港证券交易所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中国香港</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134,900</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46,862,741.03</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10.21</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2</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Alibaba Group Holding Ltd</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阿里巴巴集团控股有限公司</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BABA US</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纽约证券交易所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美国</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33,718</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46,460,377.74</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10.12</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3</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JD.com Inc</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京东商城电子商务有限公司</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JD US</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纳斯达克证券交易所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美国</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156,804</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44,994,366.83</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9.80</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4</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 xml:space="preserve">Hong Kong </w:t>
            </w:r>
            <w:r w:rsidRPr="005F3194">
              <w:rPr>
                <w:rFonts w:asciiTheme="minorEastAsia" w:eastAsiaTheme="minorEastAsia" w:hAnsiTheme="minorEastAsia"/>
                <w:color w:val="000000"/>
                <w:szCs w:val="21"/>
              </w:rPr>
              <w:lastRenderedPageBreak/>
              <w:t>Exchanges and Clearing Ltd.</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lastRenderedPageBreak/>
              <w:t>香港交</w:t>
            </w:r>
            <w:r w:rsidRPr="005F3194">
              <w:rPr>
                <w:rFonts w:asciiTheme="minorEastAsia" w:eastAsiaTheme="minorEastAsia" w:hAnsiTheme="minorEastAsia"/>
                <w:color w:val="000000"/>
                <w:szCs w:val="21"/>
              </w:rPr>
              <w:lastRenderedPageBreak/>
              <w:t>易及结算所有限公司</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lastRenderedPageBreak/>
              <w:t xml:space="preserve">388 </w:t>
            </w:r>
            <w:r w:rsidRPr="005F3194">
              <w:rPr>
                <w:rFonts w:asciiTheme="minorEastAsia" w:eastAsiaTheme="minorEastAsia" w:hAnsiTheme="minorEastAsia"/>
                <w:color w:val="000000"/>
                <w:szCs w:val="21"/>
              </w:rPr>
              <w:lastRenderedPageBreak/>
              <w:t>HK</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lastRenderedPageBreak/>
              <w:t>香港证</w:t>
            </w:r>
            <w:r w:rsidRPr="005F3194">
              <w:rPr>
                <w:rFonts w:asciiTheme="minorEastAsia" w:eastAsiaTheme="minorEastAsia" w:hAnsiTheme="minorEastAsia"/>
                <w:color w:val="000000"/>
                <w:szCs w:val="21"/>
              </w:rPr>
              <w:lastRenderedPageBreak/>
              <w:t>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lastRenderedPageBreak/>
              <w:t>中国</w:t>
            </w:r>
            <w:r w:rsidRPr="005F3194">
              <w:rPr>
                <w:rFonts w:asciiTheme="minorEastAsia" w:eastAsiaTheme="minorEastAsia" w:hAnsiTheme="minorEastAsia"/>
                <w:color w:val="000000"/>
                <w:szCs w:val="21"/>
              </w:rPr>
              <w:lastRenderedPageBreak/>
              <w:t>香港</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lastRenderedPageBreak/>
              <w:t>207,800</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44,390,871.87</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9.67</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5</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Trip.com Group Ltd</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携程国际有限公司</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TCOM US</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纳斯达克证券交易所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美国</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266,571</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44,289,597.40</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9.65</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6</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Sino Biopharmaceutical Limited</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中国生物制药有限公司</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1177 HK</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香港证券交易所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中国香港</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4,624,000</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43,178,976.74</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9.40</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7</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CSPC Pharmaceutical Group Limited</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石药集团有限公司</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1093 HK</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香港证券交易所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中国香港</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3,044,000</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43,165,819.46</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9.40</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8</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TAL Education Group</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好未来教育集团</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TAL US</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纽约证券交易所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美国</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109,094</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41,166,885.56</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8.97</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9</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Wuxi Biologics (Cayman) Inc</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药明生物技术有限公司</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2269 HK</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香港证券交易所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中国香港</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412,500</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37,878,575.63</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8.25</w:t>
            </w:r>
          </w:p>
        </w:tc>
      </w:tr>
      <w:tr w:rsidR="002F595F" w:rsidRPr="005F3194" w:rsidTr="00A242D0">
        <w:tc>
          <w:tcPr>
            <w:tcW w:w="445"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10</w:t>
            </w:r>
          </w:p>
        </w:tc>
        <w:tc>
          <w:tcPr>
            <w:tcW w:w="1208"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NEW Oriental Education &amp; Technology Group Inc</w:t>
            </w:r>
          </w:p>
        </w:tc>
        <w:tc>
          <w:tcPr>
            <w:tcW w:w="992"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新东方教育科技集团有限公司</w:t>
            </w:r>
          </w:p>
        </w:tc>
        <w:tc>
          <w:tcPr>
            <w:tcW w:w="709"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EDU US</w:t>
            </w:r>
          </w:p>
        </w:tc>
        <w:tc>
          <w:tcPr>
            <w:tcW w:w="891"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纽约证券交易所</w:t>
            </w:r>
          </w:p>
        </w:tc>
        <w:tc>
          <w:tcPr>
            <w:tcW w:w="656" w:type="dxa"/>
            <w:vAlign w:val="center"/>
          </w:tcPr>
          <w:p w:rsidR="002F595F" w:rsidRPr="005F3194" w:rsidRDefault="002F595F" w:rsidP="00A242D0">
            <w:pPr>
              <w:jc w:val="center"/>
              <w:rPr>
                <w:rFonts w:asciiTheme="minorEastAsia" w:eastAsiaTheme="minorEastAsia" w:hAnsiTheme="minorEastAsia"/>
                <w:szCs w:val="21"/>
              </w:rPr>
            </w:pPr>
            <w:r w:rsidRPr="005F3194">
              <w:rPr>
                <w:rFonts w:asciiTheme="minorEastAsia" w:eastAsiaTheme="minorEastAsia" w:hAnsiTheme="minorEastAsia"/>
                <w:color w:val="000000"/>
                <w:szCs w:val="21"/>
              </w:rPr>
              <w:t>美国</w:t>
            </w:r>
          </w:p>
        </w:tc>
        <w:tc>
          <w:tcPr>
            <w:tcW w:w="116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47,553</w:t>
            </w:r>
          </w:p>
        </w:tc>
        <w:tc>
          <w:tcPr>
            <w:tcW w:w="1581"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36,467,978.37</w:t>
            </w:r>
          </w:p>
        </w:tc>
        <w:tc>
          <w:tcPr>
            <w:tcW w:w="864" w:type="dxa"/>
            <w:vAlign w:val="center"/>
          </w:tcPr>
          <w:p w:rsidR="002F595F" w:rsidRPr="005F3194" w:rsidRDefault="002F595F" w:rsidP="00A242D0">
            <w:pPr>
              <w:jc w:val="right"/>
              <w:rPr>
                <w:rFonts w:asciiTheme="minorEastAsia" w:eastAsiaTheme="minorEastAsia" w:hAnsiTheme="minorEastAsia"/>
                <w:szCs w:val="21"/>
              </w:rPr>
            </w:pPr>
            <w:r w:rsidRPr="005F3194">
              <w:rPr>
                <w:rFonts w:asciiTheme="minorEastAsia" w:eastAsiaTheme="minorEastAsia" w:hAnsiTheme="minorEastAsia"/>
                <w:color w:val="000000"/>
                <w:szCs w:val="21"/>
              </w:rPr>
              <w:t>7.94</w:t>
            </w:r>
          </w:p>
        </w:tc>
      </w:tr>
    </w:tbl>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注：</w:t>
      </w:r>
      <w:r>
        <w:rPr>
          <w:rFonts w:asciiTheme="minorEastAsia" w:eastAsiaTheme="minorEastAsia" w:hAnsiTheme="minorEastAsia" w:hint="eastAsia"/>
          <w:szCs w:val="21"/>
        </w:rPr>
        <w:t>（1）</w:t>
      </w:r>
      <w:r w:rsidRPr="005F3194">
        <w:rPr>
          <w:rFonts w:asciiTheme="minorEastAsia" w:eastAsiaTheme="minorEastAsia" w:hAnsiTheme="minorEastAsia"/>
          <w:szCs w:val="21"/>
        </w:rPr>
        <w:t>此处所用证券代码的类别是当地市场代码。</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F3194">
        <w:rPr>
          <w:rFonts w:asciiTheme="minorEastAsia" w:eastAsiaTheme="minorEastAsia" w:hAnsiTheme="minorEastAsia"/>
          <w:szCs w:val="21"/>
        </w:rPr>
        <w:t>本报告期末本基金投资腾讯、阿里巴巴占基金资产净值比例超过10%，属于被动超标。</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5</w:t>
      </w:r>
      <w:r>
        <w:rPr>
          <w:rFonts w:asciiTheme="minorEastAsia" w:eastAsiaTheme="minorEastAsia" w:hAnsiTheme="minorEastAsia" w:hint="eastAsia"/>
          <w:szCs w:val="21"/>
        </w:rPr>
        <w:t>、</w:t>
      </w:r>
      <w:r w:rsidRPr="005F3194">
        <w:rPr>
          <w:rFonts w:asciiTheme="minorEastAsia" w:eastAsiaTheme="minorEastAsia" w:hAnsiTheme="minorEastAsia"/>
          <w:szCs w:val="21"/>
        </w:rPr>
        <w:t>报告期末按债券信用等级分类的债券投资组合</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本基金本报告期末未持有债券。</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6</w:t>
      </w:r>
      <w:r>
        <w:rPr>
          <w:rFonts w:asciiTheme="minorEastAsia" w:eastAsiaTheme="minorEastAsia" w:hAnsiTheme="minorEastAsia" w:hint="eastAsia"/>
          <w:szCs w:val="21"/>
        </w:rPr>
        <w:t>、</w:t>
      </w:r>
      <w:r w:rsidRPr="005F3194">
        <w:rPr>
          <w:rFonts w:asciiTheme="minorEastAsia" w:eastAsiaTheme="minorEastAsia" w:hAnsiTheme="minorEastAsia"/>
          <w:szCs w:val="21"/>
        </w:rPr>
        <w:t>报告期末按公允价值占基金资产净值比例大小排序的前五名债券投资明细</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本基金本报告期末未持有债券。</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r>
        <w:rPr>
          <w:rFonts w:asciiTheme="minorEastAsia" w:eastAsiaTheme="minorEastAsia" w:hAnsiTheme="minorEastAsia" w:hint="eastAsia"/>
          <w:szCs w:val="21"/>
        </w:rPr>
        <w:t>、</w:t>
      </w:r>
      <w:r w:rsidRPr="005F3194">
        <w:rPr>
          <w:rFonts w:asciiTheme="minorEastAsia" w:eastAsiaTheme="minorEastAsia" w:hAnsiTheme="minorEastAsia"/>
          <w:szCs w:val="21"/>
        </w:rPr>
        <w:t>报告期末按公允价值占基金资产净值比例大小排序的前十名资产支持证券投资明细</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本基金本报告期末未持有资产支持证券。</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w:t>
      </w:r>
      <w:r w:rsidRPr="005F3194">
        <w:rPr>
          <w:rFonts w:asciiTheme="minorEastAsia" w:eastAsiaTheme="minorEastAsia" w:hAnsiTheme="minorEastAsia"/>
          <w:szCs w:val="21"/>
        </w:rPr>
        <w:t>报告期末按公允价值占基金资产净值比例大小排序的前五名金融衍生品投资明细</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本基金本报告期末未持有金融衍生品。</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9</w:t>
      </w:r>
      <w:r>
        <w:rPr>
          <w:rFonts w:asciiTheme="minorEastAsia" w:eastAsiaTheme="minorEastAsia" w:hAnsiTheme="minorEastAsia" w:hint="eastAsia"/>
          <w:szCs w:val="21"/>
        </w:rPr>
        <w:t>、</w:t>
      </w:r>
      <w:r w:rsidRPr="005F3194">
        <w:rPr>
          <w:rFonts w:asciiTheme="minorEastAsia" w:eastAsiaTheme="minorEastAsia" w:hAnsiTheme="minorEastAsia"/>
          <w:szCs w:val="21"/>
        </w:rPr>
        <w:t>报告期末按公允价值占基金资产净值比例大小排序的前十名基金投资明细</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本基金本报告期末未持有基金。</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w:t>
      </w:r>
      <w:r>
        <w:rPr>
          <w:rFonts w:asciiTheme="minorEastAsia" w:eastAsiaTheme="minorEastAsia" w:hAnsiTheme="minorEastAsia" w:hint="eastAsia"/>
          <w:szCs w:val="21"/>
        </w:rPr>
        <w:t>、</w:t>
      </w:r>
      <w:r w:rsidRPr="005F3194">
        <w:rPr>
          <w:rFonts w:asciiTheme="minorEastAsia" w:eastAsiaTheme="minorEastAsia" w:hAnsiTheme="minorEastAsia"/>
          <w:szCs w:val="21"/>
        </w:rPr>
        <w:t>投资组合报告附注</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5F3194">
        <w:rPr>
          <w:rFonts w:asciiTheme="minorEastAsia" w:eastAsiaTheme="minorEastAsia" w:hAnsiTheme="minorEastAsia"/>
          <w:szCs w:val="21"/>
        </w:rPr>
        <w:t>本基金投资的前十名证券的发行主体本期没有出现被监管部门立案调查，或在报告编制日前一年内受到公开谴责、处罚的情形。</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5F3194">
        <w:rPr>
          <w:rFonts w:asciiTheme="minorEastAsia" w:eastAsiaTheme="minorEastAsia" w:hAnsiTheme="minorEastAsia"/>
          <w:szCs w:val="21"/>
        </w:rPr>
        <w:t>本基金投资的前十名股票没有超出基金合同规定的备选股票库。</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5F3194">
        <w:rPr>
          <w:rFonts w:asciiTheme="minorEastAsia" w:eastAsiaTheme="minorEastAsia" w:hAnsiTheme="minorEastAsia"/>
          <w:szCs w:val="21"/>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2903"/>
        <w:gridCol w:w="4808"/>
      </w:tblGrid>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7"/>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序号</w:t>
            </w:r>
          </w:p>
        </w:tc>
        <w:tc>
          <w:tcPr>
            <w:tcW w:w="2903" w:type="dxa"/>
            <w:vAlign w:val="center"/>
          </w:tcPr>
          <w:p w:rsidR="002F595F" w:rsidRPr="005F3194" w:rsidRDefault="002F595F" w:rsidP="00A242D0">
            <w:pPr>
              <w:autoSpaceDE w:val="0"/>
              <w:autoSpaceDN w:val="0"/>
              <w:adjustRightInd w:val="0"/>
              <w:spacing w:before="29" w:line="360" w:lineRule="auto"/>
              <w:ind w:left="17"/>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名称</w:t>
            </w:r>
          </w:p>
        </w:tc>
        <w:tc>
          <w:tcPr>
            <w:tcW w:w="4808" w:type="dxa"/>
            <w:vAlign w:val="center"/>
          </w:tcPr>
          <w:p w:rsidR="002F595F" w:rsidRPr="005F3194" w:rsidRDefault="002F595F" w:rsidP="00A242D0">
            <w:pPr>
              <w:autoSpaceDE w:val="0"/>
              <w:autoSpaceDN w:val="0"/>
              <w:adjustRightInd w:val="0"/>
              <w:spacing w:before="29" w:line="360" w:lineRule="auto"/>
              <w:ind w:left="17"/>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金额(人民币元)</w:t>
            </w:r>
          </w:p>
        </w:tc>
      </w:tr>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5F3194">
              <w:rPr>
                <w:rFonts w:asciiTheme="minorEastAsia" w:eastAsiaTheme="minorEastAsia" w:hAnsiTheme="minorEastAsia"/>
                <w:color w:val="000000"/>
                <w:szCs w:val="21"/>
              </w:rPr>
              <w:t>1</w:t>
            </w:r>
          </w:p>
        </w:tc>
        <w:tc>
          <w:tcPr>
            <w:tcW w:w="2903" w:type="dxa"/>
            <w:vAlign w:val="center"/>
          </w:tcPr>
          <w:p w:rsidR="002F595F" w:rsidRPr="005F3194" w:rsidRDefault="002F595F" w:rsidP="00A242D0">
            <w:pPr>
              <w:autoSpaceDE w:val="0"/>
              <w:autoSpaceDN w:val="0"/>
              <w:adjustRightInd w:val="0"/>
              <w:spacing w:before="29" w:line="360" w:lineRule="auto"/>
              <w:ind w:left="15"/>
              <w:jc w:val="lef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存出保证金</w:t>
            </w:r>
          </w:p>
        </w:tc>
        <w:tc>
          <w:tcPr>
            <w:tcW w:w="4808"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w:t>
            </w:r>
          </w:p>
        </w:tc>
      </w:tr>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2</w:t>
            </w:r>
          </w:p>
        </w:tc>
        <w:tc>
          <w:tcPr>
            <w:tcW w:w="2903" w:type="dxa"/>
            <w:vAlign w:val="center"/>
          </w:tcPr>
          <w:p w:rsidR="002F595F" w:rsidRPr="005F3194" w:rsidRDefault="002F595F" w:rsidP="00A242D0">
            <w:pPr>
              <w:autoSpaceDE w:val="0"/>
              <w:autoSpaceDN w:val="0"/>
              <w:adjustRightInd w:val="0"/>
              <w:spacing w:before="29" w:line="360" w:lineRule="auto"/>
              <w:ind w:left="15"/>
              <w:jc w:val="lef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应收证券清算款</w:t>
            </w:r>
          </w:p>
        </w:tc>
        <w:tc>
          <w:tcPr>
            <w:tcW w:w="4808"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w:t>
            </w:r>
          </w:p>
        </w:tc>
      </w:tr>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3</w:t>
            </w:r>
          </w:p>
        </w:tc>
        <w:tc>
          <w:tcPr>
            <w:tcW w:w="2903" w:type="dxa"/>
            <w:vAlign w:val="center"/>
          </w:tcPr>
          <w:p w:rsidR="002F595F" w:rsidRPr="005F3194" w:rsidRDefault="002F595F" w:rsidP="00A242D0">
            <w:pPr>
              <w:autoSpaceDE w:val="0"/>
              <w:autoSpaceDN w:val="0"/>
              <w:adjustRightInd w:val="0"/>
              <w:spacing w:before="29" w:line="360" w:lineRule="auto"/>
              <w:ind w:left="15"/>
              <w:jc w:val="lef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应收股利</w:t>
            </w:r>
          </w:p>
        </w:tc>
        <w:tc>
          <w:tcPr>
            <w:tcW w:w="4808"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532,732.79</w:t>
            </w:r>
          </w:p>
        </w:tc>
      </w:tr>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4</w:t>
            </w:r>
          </w:p>
        </w:tc>
        <w:tc>
          <w:tcPr>
            <w:tcW w:w="2903" w:type="dxa"/>
            <w:vAlign w:val="center"/>
          </w:tcPr>
          <w:p w:rsidR="002F595F" w:rsidRPr="005F3194" w:rsidRDefault="002F595F" w:rsidP="00A242D0">
            <w:pPr>
              <w:autoSpaceDE w:val="0"/>
              <w:autoSpaceDN w:val="0"/>
              <w:adjustRightInd w:val="0"/>
              <w:spacing w:before="29" w:line="360" w:lineRule="auto"/>
              <w:ind w:left="15"/>
              <w:jc w:val="lef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应收利息</w:t>
            </w:r>
          </w:p>
        </w:tc>
        <w:tc>
          <w:tcPr>
            <w:tcW w:w="4808"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5,827.47</w:t>
            </w:r>
          </w:p>
        </w:tc>
      </w:tr>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5</w:t>
            </w:r>
          </w:p>
        </w:tc>
        <w:tc>
          <w:tcPr>
            <w:tcW w:w="2903" w:type="dxa"/>
            <w:vAlign w:val="center"/>
          </w:tcPr>
          <w:p w:rsidR="002F595F" w:rsidRPr="005F3194" w:rsidRDefault="002F595F" w:rsidP="00A242D0">
            <w:pPr>
              <w:autoSpaceDE w:val="0"/>
              <w:autoSpaceDN w:val="0"/>
              <w:adjustRightInd w:val="0"/>
              <w:spacing w:before="29" w:line="360" w:lineRule="auto"/>
              <w:ind w:left="15"/>
              <w:jc w:val="lef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应收申购款</w:t>
            </w:r>
          </w:p>
        </w:tc>
        <w:tc>
          <w:tcPr>
            <w:tcW w:w="4808"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977,117.68</w:t>
            </w:r>
          </w:p>
        </w:tc>
      </w:tr>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6</w:t>
            </w:r>
          </w:p>
        </w:tc>
        <w:tc>
          <w:tcPr>
            <w:tcW w:w="2903" w:type="dxa"/>
            <w:vAlign w:val="center"/>
          </w:tcPr>
          <w:p w:rsidR="002F595F" w:rsidRPr="005F3194" w:rsidRDefault="002F595F" w:rsidP="00A242D0">
            <w:pPr>
              <w:autoSpaceDE w:val="0"/>
              <w:autoSpaceDN w:val="0"/>
              <w:adjustRightInd w:val="0"/>
              <w:spacing w:before="29" w:line="360" w:lineRule="auto"/>
              <w:ind w:left="15"/>
              <w:jc w:val="lef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其他应收款</w:t>
            </w:r>
          </w:p>
        </w:tc>
        <w:tc>
          <w:tcPr>
            <w:tcW w:w="4808"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w:t>
            </w:r>
          </w:p>
        </w:tc>
      </w:tr>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7</w:t>
            </w:r>
          </w:p>
        </w:tc>
        <w:tc>
          <w:tcPr>
            <w:tcW w:w="2903" w:type="dxa"/>
            <w:vAlign w:val="center"/>
          </w:tcPr>
          <w:p w:rsidR="002F595F" w:rsidRPr="005F3194" w:rsidRDefault="002F595F" w:rsidP="00A242D0">
            <w:pPr>
              <w:autoSpaceDE w:val="0"/>
              <w:autoSpaceDN w:val="0"/>
              <w:adjustRightInd w:val="0"/>
              <w:spacing w:before="29" w:line="360" w:lineRule="auto"/>
              <w:ind w:left="15"/>
              <w:jc w:val="lef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待摊费用</w:t>
            </w:r>
          </w:p>
        </w:tc>
        <w:tc>
          <w:tcPr>
            <w:tcW w:w="4808"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w:t>
            </w:r>
          </w:p>
        </w:tc>
      </w:tr>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8</w:t>
            </w:r>
          </w:p>
        </w:tc>
        <w:tc>
          <w:tcPr>
            <w:tcW w:w="2903" w:type="dxa"/>
            <w:vAlign w:val="center"/>
          </w:tcPr>
          <w:p w:rsidR="002F595F" w:rsidRPr="005F3194" w:rsidRDefault="002F595F" w:rsidP="00A242D0">
            <w:pPr>
              <w:autoSpaceDE w:val="0"/>
              <w:autoSpaceDN w:val="0"/>
              <w:adjustRightInd w:val="0"/>
              <w:spacing w:before="29" w:line="360" w:lineRule="auto"/>
              <w:ind w:left="15"/>
              <w:jc w:val="lef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其他</w:t>
            </w:r>
          </w:p>
        </w:tc>
        <w:tc>
          <w:tcPr>
            <w:tcW w:w="4808"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w:t>
            </w:r>
          </w:p>
        </w:tc>
      </w:tr>
      <w:tr w:rsidR="002F595F" w:rsidRPr="005F3194" w:rsidTr="00A242D0">
        <w:tc>
          <w:tcPr>
            <w:tcW w:w="802" w:type="dxa"/>
            <w:vAlign w:val="center"/>
          </w:tcPr>
          <w:p w:rsidR="002F595F" w:rsidRPr="005F3194" w:rsidRDefault="002F595F" w:rsidP="00A242D0">
            <w:pPr>
              <w:autoSpaceDE w:val="0"/>
              <w:autoSpaceDN w:val="0"/>
              <w:adjustRightInd w:val="0"/>
              <w:spacing w:before="29" w:line="360" w:lineRule="auto"/>
              <w:ind w:left="15"/>
              <w:jc w:val="center"/>
              <w:rPr>
                <w:rFonts w:asciiTheme="minorEastAsia" w:eastAsiaTheme="minorEastAsia" w:hAnsiTheme="minorEastAsia"/>
                <w:color w:val="000000"/>
                <w:szCs w:val="21"/>
              </w:rPr>
            </w:pPr>
            <w:r w:rsidRPr="005F3194">
              <w:rPr>
                <w:rFonts w:asciiTheme="minorEastAsia" w:eastAsiaTheme="minorEastAsia" w:hAnsiTheme="minorEastAsia"/>
                <w:color w:val="000000"/>
                <w:szCs w:val="21"/>
              </w:rPr>
              <w:t>9</w:t>
            </w:r>
          </w:p>
        </w:tc>
        <w:tc>
          <w:tcPr>
            <w:tcW w:w="2903" w:type="dxa"/>
            <w:vAlign w:val="center"/>
          </w:tcPr>
          <w:p w:rsidR="002F595F" w:rsidRPr="005F3194" w:rsidRDefault="002F595F" w:rsidP="00A242D0">
            <w:pPr>
              <w:autoSpaceDE w:val="0"/>
              <w:autoSpaceDN w:val="0"/>
              <w:adjustRightInd w:val="0"/>
              <w:spacing w:before="29" w:line="360" w:lineRule="auto"/>
              <w:ind w:left="15"/>
              <w:jc w:val="lef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合计</w:t>
            </w:r>
          </w:p>
        </w:tc>
        <w:tc>
          <w:tcPr>
            <w:tcW w:w="4808" w:type="dxa"/>
            <w:vAlign w:val="center"/>
          </w:tcPr>
          <w:p w:rsidR="002F595F" w:rsidRPr="005F3194" w:rsidRDefault="002F595F" w:rsidP="00A242D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5F3194">
              <w:rPr>
                <w:rFonts w:asciiTheme="minorEastAsia" w:eastAsiaTheme="minorEastAsia" w:hAnsiTheme="minorEastAsia"/>
                <w:color w:val="000000"/>
                <w:kern w:val="0"/>
                <w:szCs w:val="21"/>
              </w:rPr>
              <w:t>1,515,677.94</w:t>
            </w:r>
          </w:p>
        </w:tc>
      </w:tr>
    </w:tbl>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Pr="005F3194">
        <w:rPr>
          <w:rFonts w:asciiTheme="minorEastAsia" w:eastAsiaTheme="minorEastAsia" w:hAnsiTheme="minorEastAsia"/>
          <w:szCs w:val="21"/>
        </w:rPr>
        <w:t>报告期末持有的处于转股期的可转换债券明细</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本基金本报告期末未持有处于转股期的可转换债券。</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5F3194">
        <w:rPr>
          <w:rFonts w:asciiTheme="minorEastAsia" w:eastAsiaTheme="minorEastAsia" w:hAnsiTheme="minorEastAsia"/>
          <w:szCs w:val="21"/>
        </w:rPr>
        <w:t>报告期末前十名股票中存在流通受限情况的说明</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本基金本报告期末前十名股票中不存在流通受限情况。</w:t>
      </w:r>
    </w:p>
    <w:p w:rsidR="002F595F" w:rsidRPr="005F3194" w:rsidRDefault="002F595F" w:rsidP="002F595F">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Pr="005F3194">
        <w:rPr>
          <w:rFonts w:asciiTheme="minorEastAsia" w:eastAsiaTheme="minorEastAsia" w:hAnsiTheme="minorEastAsia"/>
          <w:szCs w:val="21"/>
        </w:rPr>
        <w:t>投资组合报告附注的其他文字描述部分</w:t>
      </w:r>
    </w:p>
    <w:p w:rsidR="002465F1" w:rsidRPr="00721084" w:rsidRDefault="002F595F" w:rsidP="002F595F">
      <w:pPr>
        <w:snapToGrid w:val="0"/>
        <w:spacing w:line="360" w:lineRule="auto"/>
        <w:ind w:firstLineChars="200" w:firstLine="420"/>
        <w:rPr>
          <w:rFonts w:asciiTheme="minorEastAsia" w:eastAsiaTheme="minorEastAsia" w:hAnsiTheme="minorEastAsia"/>
          <w:szCs w:val="21"/>
        </w:rPr>
      </w:pPr>
      <w:r w:rsidRPr="005F3194">
        <w:rPr>
          <w:rFonts w:asciiTheme="minorEastAsia" w:eastAsiaTheme="minorEastAsia" w:hAnsiTheme="minorEastAsia"/>
          <w:szCs w:val="21"/>
        </w:rPr>
        <w:t>本基金可以将不高于20%的股票资产投资于除在亚洲地区（日本除外）证券市场交易的企业以及在其他证券市场交易的亚洲企业（日本除外）之外的其他企业，本报告期末该部分股票的投资比例为0。</w:t>
      </w:r>
    </w:p>
    <w:p w:rsidR="002465F1" w:rsidRPr="00721084" w:rsidRDefault="002465F1" w:rsidP="002465F1">
      <w:pPr>
        <w:spacing w:line="300" w:lineRule="auto"/>
        <w:rPr>
          <w:rFonts w:asciiTheme="minorEastAsia" w:eastAsiaTheme="minorEastAsia" w:hAnsiTheme="minorEastAsia"/>
        </w:rPr>
      </w:pPr>
    </w:p>
    <w:p w:rsidR="0064594E"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56" w:name="_Toc40457639"/>
      <w:bookmarkStart w:id="57" w:name="_Toc40457650"/>
      <w:bookmarkStart w:id="58" w:name="_Toc40457655"/>
      <w:bookmarkStart w:id="59" w:name="_Toc40457660"/>
      <w:bookmarkStart w:id="60" w:name="_Toc40457665"/>
      <w:bookmarkStart w:id="61" w:name="_Toc40457680"/>
      <w:bookmarkStart w:id="62" w:name="_Toc40457685"/>
      <w:bookmarkStart w:id="63" w:name="_Toc40457695"/>
      <w:bookmarkStart w:id="64" w:name="_Toc40457700"/>
      <w:bookmarkStart w:id="65" w:name="_Toc40457705"/>
      <w:bookmarkStart w:id="66" w:name="_Toc40457710"/>
      <w:bookmarkStart w:id="67" w:name="_Toc40457720"/>
      <w:bookmarkStart w:id="68" w:name="_Toc40457745"/>
      <w:bookmarkStart w:id="69" w:name="_Toc40457762"/>
      <w:bookmarkStart w:id="70" w:name="_Toc40457763"/>
      <w:bookmarkStart w:id="71" w:name="_Toc40457764"/>
      <w:bookmarkStart w:id="72" w:name="_Toc40457817"/>
      <w:bookmarkStart w:id="73" w:name="_Toc40457818"/>
      <w:bookmarkStart w:id="74" w:name="_Toc40457932"/>
      <w:bookmarkStart w:id="75" w:name="_Toc40457933"/>
      <w:bookmarkStart w:id="76" w:name="_Toc40457934"/>
      <w:bookmarkStart w:id="77" w:name="_Toc40457935"/>
      <w:bookmarkStart w:id="78" w:name="_Toc40457936"/>
      <w:bookmarkStart w:id="79" w:name="_Toc40457937"/>
      <w:bookmarkStart w:id="80" w:name="_Toc40457938"/>
      <w:bookmarkStart w:id="81" w:name="_Toc40457939"/>
      <w:bookmarkStart w:id="82" w:name="_Toc40457940"/>
      <w:bookmarkStart w:id="83" w:name="_Toc40457941"/>
      <w:bookmarkStart w:id="84" w:name="_Toc40457942"/>
      <w:bookmarkStart w:id="85" w:name="_Toc40457943"/>
      <w:bookmarkStart w:id="86" w:name="_Toc40457944"/>
      <w:bookmarkStart w:id="87" w:name="_Toc40457945"/>
      <w:bookmarkStart w:id="88" w:name="_Toc40457946"/>
      <w:bookmarkStart w:id="89" w:name="_Toc40457947"/>
      <w:bookmarkStart w:id="90" w:name="_Toc40457988"/>
      <w:bookmarkStart w:id="91" w:name="_Toc40457989"/>
      <w:bookmarkStart w:id="92" w:name="_Toc40457990"/>
      <w:bookmarkStart w:id="93" w:name="_Toc40457991"/>
      <w:bookmarkStart w:id="94" w:name="_Toc40457992"/>
      <w:bookmarkStart w:id="95" w:name="_Toc40457993"/>
      <w:bookmarkStart w:id="96" w:name="_Toc40457994"/>
      <w:bookmarkStart w:id="97" w:name="_Toc268078559"/>
      <w:bookmarkStart w:id="98" w:name="_Toc4435107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721084">
        <w:rPr>
          <w:rFonts w:asciiTheme="minorEastAsia" w:eastAsiaTheme="minorEastAsia" w:hAnsiTheme="minorEastAsia" w:hint="eastAsia"/>
        </w:rPr>
        <w:lastRenderedPageBreak/>
        <w:t>基金的业绩</w:t>
      </w:r>
      <w:bookmarkEnd w:id="98"/>
    </w:p>
    <w:p w:rsidR="000B2832" w:rsidRPr="00721084" w:rsidRDefault="000B2832"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721084">
        <w:rPr>
          <w:rFonts w:asciiTheme="minorEastAsia" w:eastAsiaTheme="minorEastAsia" w:hAnsiTheme="minorEastAsia" w:hint="eastAsia"/>
          <w:szCs w:val="21"/>
        </w:rPr>
        <w:t>作出</w:t>
      </w:r>
      <w:r w:rsidRPr="00721084">
        <w:rPr>
          <w:rFonts w:asciiTheme="minorEastAsia" w:eastAsiaTheme="minorEastAsia" w:hAnsiTheme="minorEastAsia"/>
          <w:szCs w:val="21"/>
        </w:rPr>
        <w:t>投资决策前应仔细阅读本基金的招募说明书。</w:t>
      </w:r>
    </w:p>
    <w:p w:rsidR="000B2832" w:rsidRPr="00721084" w:rsidRDefault="000B2832"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本基金合同生效日为</w:t>
      </w:r>
      <w:r w:rsidR="003247F4" w:rsidRPr="00721084">
        <w:rPr>
          <w:rFonts w:asciiTheme="minorEastAsia" w:eastAsiaTheme="minorEastAsia" w:hAnsiTheme="minorEastAsia" w:hint="eastAsia"/>
          <w:szCs w:val="21"/>
        </w:rPr>
        <w:t>2010年1月21日</w:t>
      </w:r>
      <w:r w:rsidRPr="00721084">
        <w:rPr>
          <w:rFonts w:asciiTheme="minorEastAsia" w:eastAsiaTheme="minorEastAsia" w:hAnsiTheme="minorEastAsia" w:hint="eastAsia"/>
          <w:szCs w:val="21"/>
        </w:rPr>
        <w:t>，</w:t>
      </w:r>
      <w:r w:rsidR="002465F1" w:rsidRPr="00721084">
        <w:rPr>
          <w:rFonts w:asciiTheme="minorEastAsia" w:eastAsiaTheme="minorEastAsia" w:hAnsiTheme="minorEastAsia" w:hint="eastAsia"/>
          <w:szCs w:val="21"/>
        </w:rPr>
        <w:t>基金合同生效以来（截至2019年12月31日）的投资业绩及与同期基准的比较如下表所示</w:t>
      </w:r>
      <w:r w:rsidRPr="00721084">
        <w:rPr>
          <w:rFonts w:asciiTheme="minorEastAsia" w:eastAsiaTheme="minorEastAsia" w:hAnsiTheme="minorEastAsia" w:hint="eastAsia"/>
          <w:szCs w:val="21"/>
        </w:rPr>
        <w:t>：</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993"/>
        <w:gridCol w:w="1134"/>
        <w:gridCol w:w="1149"/>
        <w:gridCol w:w="1400"/>
        <w:gridCol w:w="1080"/>
        <w:gridCol w:w="1080"/>
      </w:tblGrid>
      <w:tr w:rsidR="006D35EC" w:rsidRPr="00721084" w:rsidTr="005833DA">
        <w:trPr>
          <w:trHeight w:val="315"/>
          <w:jc w:val="center"/>
        </w:trPr>
        <w:tc>
          <w:tcPr>
            <w:tcW w:w="1932" w:type="dxa"/>
            <w:vAlign w:val="center"/>
          </w:tcPr>
          <w:p w:rsidR="000B2832" w:rsidRPr="00721084" w:rsidRDefault="000B2832"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阶段</w:t>
            </w:r>
          </w:p>
        </w:tc>
        <w:tc>
          <w:tcPr>
            <w:tcW w:w="993" w:type="dxa"/>
            <w:vAlign w:val="center"/>
          </w:tcPr>
          <w:p w:rsidR="000B2832" w:rsidRPr="00721084" w:rsidRDefault="000B2832"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净值增长率①</w:t>
            </w:r>
          </w:p>
        </w:tc>
        <w:tc>
          <w:tcPr>
            <w:tcW w:w="1134" w:type="dxa"/>
            <w:vAlign w:val="center"/>
          </w:tcPr>
          <w:p w:rsidR="000B2832" w:rsidRPr="00721084" w:rsidRDefault="000B2832"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净值增长率标准差②</w:t>
            </w:r>
          </w:p>
        </w:tc>
        <w:tc>
          <w:tcPr>
            <w:tcW w:w="1149" w:type="dxa"/>
            <w:vAlign w:val="center"/>
          </w:tcPr>
          <w:p w:rsidR="000B2832" w:rsidRPr="00721084" w:rsidRDefault="000B2832"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业绩比较基准收益率③</w:t>
            </w:r>
          </w:p>
        </w:tc>
        <w:tc>
          <w:tcPr>
            <w:tcW w:w="1400" w:type="dxa"/>
            <w:vAlign w:val="center"/>
          </w:tcPr>
          <w:p w:rsidR="000B2832" w:rsidRPr="00721084" w:rsidRDefault="000B2832"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业绩比较基准收益率标准差④</w:t>
            </w:r>
          </w:p>
        </w:tc>
        <w:tc>
          <w:tcPr>
            <w:tcW w:w="1080" w:type="dxa"/>
            <w:vAlign w:val="center"/>
          </w:tcPr>
          <w:p w:rsidR="000B2832" w:rsidRPr="00721084" w:rsidRDefault="000B2832"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①-③</w:t>
            </w:r>
          </w:p>
        </w:tc>
        <w:tc>
          <w:tcPr>
            <w:tcW w:w="1080" w:type="dxa"/>
            <w:vAlign w:val="center"/>
          </w:tcPr>
          <w:p w:rsidR="000B2832" w:rsidRPr="00721084" w:rsidRDefault="000B2832"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②-④</w:t>
            </w:r>
          </w:p>
        </w:tc>
      </w:tr>
      <w:tr w:rsidR="006D35EC" w:rsidRPr="00721084" w:rsidTr="005833DA">
        <w:trPr>
          <w:trHeight w:val="495"/>
          <w:jc w:val="center"/>
        </w:trPr>
        <w:tc>
          <w:tcPr>
            <w:tcW w:w="1932" w:type="dxa"/>
          </w:tcPr>
          <w:p w:rsidR="00FC29B7" w:rsidRPr="00721084" w:rsidRDefault="00285275"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自</w:t>
            </w:r>
            <w:r w:rsidR="00FC29B7" w:rsidRPr="00721084">
              <w:rPr>
                <w:rFonts w:asciiTheme="minorEastAsia" w:eastAsiaTheme="minorEastAsia" w:hAnsiTheme="minorEastAsia" w:hint="eastAsia"/>
                <w:szCs w:val="21"/>
              </w:rPr>
              <w:t>基金合同生效</w:t>
            </w:r>
            <w:r w:rsidRPr="00721084">
              <w:rPr>
                <w:rFonts w:asciiTheme="minorEastAsia" w:eastAsiaTheme="minorEastAsia" w:hAnsiTheme="minorEastAsia" w:hint="eastAsia"/>
                <w:szCs w:val="21"/>
              </w:rPr>
              <w:t>日</w:t>
            </w:r>
            <w:r w:rsidR="00FC29B7" w:rsidRPr="00721084">
              <w:rPr>
                <w:rFonts w:asciiTheme="minorEastAsia" w:eastAsiaTheme="minorEastAsia" w:hAnsiTheme="minorEastAsia" w:hint="eastAsia"/>
                <w:szCs w:val="21"/>
              </w:rPr>
              <w:t>至2010年12月31日</w:t>
            </w:r>
          </w:p>
        </w:tc>
        <w:tc>
          <w:tcPr>
            <w:tcW w:w="993" w:type="dxa"/>
            <w:vAlign w:val="center"/>
          </w:tcPr>
          <w:p w:rsidR="00FC29B7" w:rsidRPr="00721084" w:rsidRDefault="00FC29B7"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5.70%</w:t>
            </w:r>
          </w:p>
        </w:tc>
        <w:tc>
          <w:tcPr>
            <w:tcW w:w="1134" w:type="dxa"/>
            <w:vAlign w:val="center"/>
          </w:tcPr>
          <w:p w:rsidR="00FC29B7" w:rsidRPr="00721084" w:rsidRDefault="00FC29B7"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0.93%</w:t>
            </w:r>
          </w:p>
        </w:tc>
        <w:tc>
          <w:tcPr>
            <w:tcW w:w="1149" w:type="dxa"/>
            <w:vAlign w:val="center"/>
          </w:tcPr>
          <w:p w:rsidR="00FC29B7" w:rsidRPr="00721084" w:rsidRDefault="00FC29B7"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12.09%</w:t>
            </w:r>
          </w:p>
        </w:tc>
        <w:tc>
          <w:tcPr>
            <w:tcW w:w="1400" w:type="dxa"/>
            <w:vAlign w:val="center"/>
          </w:tcPr>
          <w:p w:rsidR="00FC29B7" w:rsidRPr="00721084" w:rsidRDefault="00FC29B7"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1.17%</w:t>
            </w:r>
          </w:p>
        </w:tc>
        <w:tc>
          <w:tcPr>
            <w:tcW w:w="1080" w:type="dxa"/>
            <w:vAlign w:val="center"/>
          </w:tcPr>
          <w:p w:rsidR="00FC29B7" w:rsidRPr="00721084" w:rsidRDefault="00FC29B7"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-6.3</w:t>
            </w:r>
            <w:r w:rsidR="00347BEE" w:rsidRPr="00721084">
              <w:rPr>
                <w:rFonts w:asciiTheme="minorEastAsia" w:eastAsiaTheme="minorEastAsia" w:hAnsiTheme="minorEastAsia" w:hint="eastAsia"/>
                <w:szCs w:val="21"/>
              </w:rPr>
              <w:t>9</w:t>
            </w:r>
            <w:r w:rsidRPr="00721084">
              <w:rPr>
                <w:rFonts w:asciiTheme="minorEastAsia" w:eastAsiaTheme="minorEastAsia" w:hAnsiTheme="minorEastAsia" w:hint="eastAsia"/>
                <w:szCs w:val="21"/>
              </w:rPr>
              <w:t>%</w:t>
            </w:r>
          </w:p>
        </w:tc>
        <w:tc>
          <w:tcPr>
            <w:tcW w:w="1080" w:type="dxa"/>
            <w:vAlign w:val="center"/>
          </w:tcPr>
          <w:p w:rsidR="00FC29B7" w:rsidRPr="00721084" w:rsidRDefault="00FC29B7"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-0.24%</w:t>
            </w:r>
          </w:p>
        </w:tc>
      </w:tr>
      <w:tr w:rsidR="006D35EC" w:rsidRPr="00721084" w:rsidTr="005833DA">
        <w:trPr>
          <w:trHeight w:val="495"/>
          <w:jc w:val="center"/>
        </w:trPr>
        <w:tc>
          <w:tcPr>
            <w:tcW w:w="1932" w:type="dxa"/>
          </w:tcPr>
          <w:p w:rsidR="00B82F51" w:rsidRPr="00721084" w:rsidRDefault="00B82F51"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2011年1月1日至2011年12月31日</w:t>
            </w:r>
          </w:p>
        </w:tc>
        <w:tc>
          <w:tcPr>
            <w:tcW w:w="993" w:type="dxa"/>
            <w:vAlign w:val="center"/>
          </w:tcPr>
          <w:p w:rsidR="00B82F51" w:rsidRPr="00721084" w:rsidRDefault="00B82F51"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-26.96%</w:t>
            </w:r>
          </w:p>
        </w:tc>
        <w:tc>
          <w:tcPr>
            <w:tcW w:w="1134" w:type="dxa"/>
            <w:vAlign w:val="center"/>
          </w:tcPr>
          <w:p w:rsidR="00B82F51" w:rsidRPr="00721084" w:rsidRDefault="00B82F51"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1.78%</w:t>
            </w:r>
          </w:p>
        </w:tc>
        <w:tc>
          <w:tcPr>
            <w:tcW w:w="1149" w:type="dxa"/>
            <w:vAlign w:val="center"/>
          </w:tcPr>
          <w:p w:rsidR="00B82F51" w:rsidRPr="00721084" w:rsidRDefault="00B82F51"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-22.72%</w:t>
            </w:r>
          </w:p>
        </w:tc>
        <w:tc>
          <w:tcPr>
            <w:tcW w:w="1400" w:type="dxa"/>
            <w:vAlign w:val="center"/>
          </w:tcPr>
          <w:p w:rsidR="00B82F51" w:rsidRPr="00721084" w:rsidRDefault="00B82F51"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1.50%</w:t>
            </w:r>
          </w:p>
        </w:tc>
        <w:tc>
          <w:tcPr>
            <w:tcW w:w="1080" w:type="dxa"/>
            <w:vAlign w:val="center"/>
          </w:tcPr>
          <w:p w:rsidR="00B82F51" w:rsidRPr="00721084" w:rsidRDefault="00B82F51"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-4.24%</w:t>
            </w:r>
          </w:p>
        </w:tc>
        <w:tc>
          <w:tcPr>
            <w:tcW w:w="1080" w:type="dxa"/>
            <w:vAlign w:val="center"/>
          </w:tcPr>
          <w:p w:rsidR="00B82F51" w:rsidRPr="00721084" w:rsidRDefault="00B82F51"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0.28%</w:t>
            </w:r>
          </w:p>
        </w:tc>
      </w:tr>
      <w:tr w:rsidR="006D35EC" w:rsidRPr="00721084" w:rsidTr="005833DA">
        <w:trPr>
          <w:trHeight w:val="495"/>
          <w:jc w:val="center"/>
        </w:trPr>
        <w:tc>
          <w:tcPr>
            <w:tcW w:w="1932" w:type="dxa"/>
          </w:tcPr>
          <w:p w:rsidR="0084006F" w:rsidRPr="00721084" w:rsidRDefault="0084006F"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2012年1月1日至</w:t>
            </w:r>
            <w:r w:rsidR="00E3553C" w:rsidRPr="00721084">
              <w:rPr>
                <w:rFonts w:asciiTheme="minorEastAsia" w:eastAsiaTheme="minorEastAsia" w:hAnsiTheme="minorEastAsia" w:hint="eastAsia"/>
                <w:szCs w:val="21"/>
              </w:rPr>
              <w:t>2012年12</w:t>
            </w:r>
            <w:r w:rsidRPr="00721084">
              <w:rPr>
                <w:rFonts w:asciiTheme="minorEastAsia" w:eastAsiaTheme="minorEastAsia" w:hAnsiTheme="minorEastAsia" w:hint="eastAsia"/>
                <w:szCs w:val="21"/>
              </w:rPr>
              <w:t>月</w:t>
            </w:r>
            <w:r w:rsidR="00E3553C" w:rsidRPr="00721084">
              <w:rPr>
                <w:rFonts w:asciiTheme="minorEastAsia" w:eastAsiaTheme="minorEastAsia" w:hAnsiTheme="minorEastAsia" w:hint="eastAsia"/>
                <w:szCs w:val="21"/>
              </w:rPr>
              <w:t>31</w:t>
            </w:r>
            <w:r w:rsidRPr="00721084">
              <w:rPr>
                <w:rFonts w:asciiTheme="minorEastAsia" w:eastAsiaTheme="minorEastAsia" w:hAnsiTheme="minorEastAsia" w:hint="eastAsia"/>
                <w:szCs w:val="21"/>
              </w:rPr>
              <w:t>日</w:t>
            </w:r>
          </w:p>
        </w:tc>
        <w:tc>
          <w:tcPr>
            <w:tcW w:w="993" w:type="dxa"/>
            <w:vAlign w:val="center"/>
          </w:tcPr>
          <w:p w:rsidR="0084006F" w:rsidRPr="00721084" w:rsidRDefault="00E3553C"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14.90%</w:t>
            </w:r>
          </w:p>
        </w:tc>
        <w:tc>
          <w:tcPr>
            <w:tcW w:w="1134" w:type="dxa"/>
            <w:vAlign w:val="center"/>
          </w:tcPr>
          <w:p w:rsidR="0084006F" w:rsidRPr="00721084" w:rsidRDefault="00E3553C"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1.0</w:t>
            </w:r>
            <w:r w:rsidR="00EB184C" w:rsidRPr="00721084">
              <w:rPr>
                <w:rFonts w:asciiTheme="minorEastAsia" w:eastAsiaTheme="minorEastAsia" w:hAnsiTheme="minorEastAsia" w:hint="eastAsia"/>
                <w:szCs w:val="21"/>
              </w:rPr>
              <w:t>2</w:t>
            </w:r>
            <w:r w:rsidRPr="00721084">
              <w:rPr>
                <w:rFonts w:asciiTheme="minorEastAsia" w:eastAsiaTheme="minorEastAsia" w:hAnsiTheme="minorEastAsia" w:hint="eastAsia"/>
                <w:szCs w:val="21"/>
              </w:rPr>
              <w:t>%</w:t>
            </w:r>
          </w:p>
        </w:tc>
        <w:tc>
          <w:tcPr>
            <w:tcW w:w="1149" w:type="dxa"/>
            <w:vAlign w:val="center"/>
          </w:tcPr>
          <w:p w:rsidR="0084006F" w:rsidRPr="00721084" w:rsidRDefault="00E3553C"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18.20%</w:t>
            </w:r>
          </w:p>
        </w:tc>
        <w:tc>
          <w:tcPr>
            <w:tcW w:w="1400" w:type="dxa"/>
            <w:vAlign w:val="center"/>
          </w:tcPr>
          <w:p w:rsidR="0084006F" w:rsidRPr="00721084" w:rsidRDefault="00E3553C"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0.9</w:t>
            </w:r>
            <w:r w:rsidR="00EB184C" w:rsidRPr="00721084">
              <w:rPr>
                <w:rFonts w:asciiTheme="minorEastAsia" w:eastAsiaTheme="minorEastAsia" w:hAnsiTheme="minorEastAsia" w:hint="eastAsia"/>
                <w:szCs w:val="21"/>
              </w:rPr>
              <w:t>8</w:t>
            </w:r>
            <w:r w:rsidRPr="00721084">
              <w:rPr>
                <w:rFonts w:asciiTheme="minorEastAsia" w:eastAsiaTheme="minorEastAsia" w:hAnsiTheme="minorEastAsia" w:hint="eastAsia"/>
                <w:szCs w:val="21"/>
              </w:rPr>
              <w:t>%</w:t>
            </w:r>
          </w:p>
        </w:tc>
        <w:tc>
          <w:tcPr>
            <w:tcW w:w="1080" w:type="dxa"/>
            <w:vAlign w:val="center"/>
          </w:tcPr>
          <w:p w:rsidR="0084006F" w:rsidRPr="00721084" w:rsidRDefault="00E3553C"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-3.30%</w:t>
            </w:r>
          </w:p>
        </w:tc>
        <w:tc>
          <w:tcPr>
            <w:tcW w:w="1080" w:type="dxa"/>
            <w:vAlign w:val="center"/>
          </w:tcPr>
          <w:p w:rsidR="0084006F" w:rsidRPr="00721084" w:rsidRDefault="00E3553C"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0.04%</w:t>
            </w:r>
          </w:p>
        </w:tc>
      </w:tr>
      <w:tr w:rsidR="006D35EC" w:rsidRPr="00721084" w:rsidTr="005833DA">
        <w:trPr>
          <w:trHeight w:val="495"/>
          <w:jc w:val="center"/>
        </w:trPr>
        <w:tc>
          <w:tcPr>
            <w:tcW w:w="1932" w:type="dxa"/>
          </w:tcPr>
          <w:p w:rsidR="002D7A44" w:rsidRPr="00721084" w:rsidRDefault="002D7A44"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2013年1月1日至2013年12月31日</w:t>
            </w:r>
          </w:p>
        </w:tc>
        <w:tc>
          <w:tcPr>
            <w:tcW w:w="993" w:type="dxa"/>
            <w:vAlign w:val="center"/>
          </w:tcPr>
          <w:p w:rsidR="002D7A44" w:rsidRPr="00721084" w:rsidRDefault="002D7A44"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-10.26%</w:t>
            </w:r>
          </w:p>
        </w:tc>
        <w:tc>
          <w:tcPr>
            <w:tcW w:w="1134" w:type="dxa"/>
            <w:vAlign w:val="center"/>
          </w:tcPr>
          <w:p w:rsidR="002D7A44" w:rsidRPr="00721084" w:rsidRDefault="002D7A44"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0.97%</w:t>
            </w:r>
          </w:p>
        </w:tc>
        <w:tc>
          <w:tcPr>
            <w:tcW w:w="1149" w:type="dxa"/>
            <w:vAlign w:val="center"/>
          </w:tcPr>
          <w:p w:rsidR="002D7A44" w:rsidRPr="00721084" w:rsidRDefault="002D7A44"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-2.27%</w:t>
            </w:r>
          </w:p>
        </w:tc>
        <w:tc>
          <w:tcPr>
            <w:tcW w:w="1400" w:type="dxa"/>
            <w:vAlign w:val="center"/>
          </w:tcPr>
          <w:p w:rsidR="002D7A44" w:rsidRPr="00721084" w:rsidRDefault="002D7A44"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0.92%</w:t>
            </w:r>
          </w:p>
        </w:tc>
        <w:tc>
          <w:tcPr>
            <w:tcW w:w="1080" w:type="dxa"/>
            <w:vAlign w:val="center"/>
          </w:tcPr>
          <w:p w:rsidR="002D7A44" w:rsidRPr="00721084" w:rsidRDefault="002D7A44"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-7.99%</w:t>
            </w:r>
          </w:p>
        </w:tc>
        <w:tc>
          <w:tcPr>
            <w:tcW w:w="1080" w:type="dxa"/>
            <w:vAlign w:val="center"/>
          </w:tcPr>
          <w:p w:rsidR="002D7A44" w:rsidRPr="00721084" w:rsidRDefault="002D7A44"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0.05%</w:t>
            </w:r>
          </w:p>
        </w:tc>
      </w:tr>
      <w:tr w:rsidR="006D35EC" w:rsidRPr="00721084" w:rsidTr="005833DA">
        <w:trPr>
          <w:trHeight w:val="495"/>
          <w:jc w:val="center"/>
        </w:trPr>
        <w:tc>
          <w:tcPr>
            <w:tcW w:w="1932" w:type="dxa"/>
          </w:tcPr>
          <w:p w:rsidR="00133BB5" w:rsidRPr="00721084" w:rsidRDefault="00133BB5"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2014年1月1日至</w:t>
            </w:r>
            <w:r w:rsidR="00F7512F" w:rsidRPr="00721084">
              <w:rPr>
                <w:rFonts w:asciiTheme="minorEastAsia" w:eastAsiaTheme="minorEastAsia" w:hAnsiTheme="minorEastAsia" w:hint="eastAsia"/>
                <w:szCs w:val="21"/>
              </w:rPr>
              <w:t>2014年12</w:t>
            </w:r>
            <w:r w:rsidRPr="00721084">
              <w:rPr>
                <w:rFonts w:asciiTheme="minorEastAsia" w:eastAsiaTheme="minorEastAsia" w:hAnsiTheme="minorEastAsia" w:hint="eastAsia"/>
                <w:szCs w:val="21"/>
              </w:rPr>
              <w:t>月3</w:t>
            </w:r>
            <w:r w:rsidR="00F7512F" w:rsidRPr="00721084">
              <w:rPr>
                <w:rFonts w:asciiTheme="minorEastAsia" w:eastAsiaTheme="minorEastAsia" w:hAnsiTheme="minorEastAsia" w:hint="eastAsia"/>
                <w:szCs w:val="21"/>
              </w:rPr>
              <w:t>1</w:t>
            </w:r>
            <w:r w:rsidRPr="00721084">
              <w:rPr>
                <w:rFonts w:asciiTheme="minorEastAsia" w:eastAsiaTheme="minorEastAsia" w:hAnsiTheme="minorEastAsia" w:hint="eastAsia"/>
                <w:szCs w:val="21"/>
              </w:rPr>
              <w:t>日</w:t>
            </w:r>
          </w:p>
        </w:tc>
        <w:tc>
          <w:tcPr>
            <w:tcW w:w="993" w:type="dxa"/>
            <w:vAlign w:val="center"/>
          </w:tcPr>
          <w:p w:rsidR="00133BB5" w:rsidRPr="00721084" w:rsidRDefault="00F7512F"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-0.63%</w:t>
            </w:r>
          </w:p>
        </w:tc>
        <w:tc>
          <w:tcPr>
            <w:tcW w:w="1134" w:type="dxa"/>
            <w:vAlign w:val="center"/>
          </w:tcPr>
          <w:p w:rsidR="00133BB5" w:rsidRPr="00721084" w:rsidRDefault="00F7512F"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0.90</w:t>
            </w:r>
            <w:r w:rsidR="00133BB5" w:rsidRPr="00721084">
              <w:rPr>
                <w:rFonts w:asciiTheme="minorEastAsia" w:eastAsiaTheme="minorEastAsia" w:hAnsiTheme="minorEastAsia"/>
                <w:szCs w:val="21"/>
              </w:rPr>
              <w:t>%</w:t>
            </w:r>
          </w:p>
        </w:tc>
        <w:tc>
          <w:tcPr>
            <w:tcW w:w="1149" w:type="dxa"/>
            <w:vAlign w:val="center"/>
          </w:tcPr>
          <w:p w:rsidR="00133BB5" w:rsidRPr="00721084" w:rsidRDefault="00F7512F"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4.84</w:t>
            </w:r>
            <w:r w:rsidR="00133BB5" w:rsidRPr="00721084">
              <w:rPr>
                <w:rFonts w:asciiTheme="minorEastAsia" w:eastAsiaTheme="minorEastAsia" w:hAnsiTheme="minorEastAsia"/>
                <w:szCs w:val="21"/>
              </w:rPr>
              <w:t>%</w:t>
            </w:r>
          </w:p>
        </w:tc>
        <w:tc>
          <w:tcPr>
            <w:tcW w:w="1400" w:type="dxa"/>
            <w:vAlign w:val="center"/>
          </w:tcPr>
          <w:p w:rsidR="00133BB5" w:rsidRPr="00721084" w:rsidRDefault="00133BB5"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0.</w:t>
            </w:r>
            <w:r w:rsidR="00F7512F" w:rsidRPr="00721084">
              <w:rPr>
                <w:rFonts w:asciiTheme="minorEastAsia" w:eastAsiaTheme="minorEastAsia" w:hAnsiTheme="minorEastAsia"/>
                <w:szCs w:val="21"/>
              </w:rPr>
              <w:t>6</w:t>
            </w:r>
            <w:r w:rsidR="00F7512F" w:rsidRPr="00721084">
              <w:rPr>
                <w:rFonts w:asciiTheme="minorEastAsia" w:eastAsiaTheme="minorEastAsia" w:hAnsiTheme="minorEastAsia" w:hint="eastAsia"/>
                <w:szCs w:val="21"/>
              </w:rPr>
              <w:t>5</w:t>
            </w:r>
            <w:r w:rsidRPr="00721084">
              <w:rPr>
                <w:rFonts w:asciiTheme="minorEastAsia" w:eastAsiaTheme="minorEastAsia" w:hAnsiTheme="minorEastAsia"/>
                <w:szCs w:val="21"/>
              </w:rPr>
              <w:t>%</w:t>
            </w:r>
          </w:p>
        </w:tc>
        <w:tc>
          <w:tcPr>
            <w:tcW w:w="1080" w:type="dxa"/>
            <w:vAlign w:val="center"/>
          </w:tcPr>
          <w:p w:rsidR="00133BB5" w:rsidRPr="00721084" w:rsidRDefault="00133BB5"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w:t>
            </w:r>
            <w:r w:rsidR="00F7512F" w:rsidRPr="00721084">
              <w:rPr>
                <w:rFonts w:asciiTheme="minorEastAsia" w:eastAsiaTheme="minorEastAsia" w:hAnsiTheme="minorEastAsia" w:hint="eastAsia"/>
                <w:szCs w:val="21"/>
              </w:rPr>
              <w:t>5.47</w:t>
            </w:r>
            <w:r w:rsidRPr="00721084">
              <w:rPr>
                <w:rFonts w:asciiTheme="minorEastAsia" w:eastAsiaTheme="minorEastAsia" w:hAnsiTheme="minorEastAsia"/>
                <w:szCs w:val="21"/>
              </w:rPr>
              <w:t>%</w:t>
            </w:r>
          </w:p>
        </w:tc>
        <w:tc>
          <w:tcPr>
            <w:tcW w:w="1080" w:type="dxa"/>
            <w:vAlign w:val="center"/>
          </w:tcPr>
          <w:p w:rsidR="00133BB5" w:rsidRPr="00721084" w:rsidRDefault="00F7512F"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0.25</w:t>
            </w:r>
            <w:r w:rsidR="00133BB5" w:rsidRPr="00721084">
              <w:rPr>
                <w:rFonts w:asciiTheme="minorEastAsia" w:eastAsiaTheme="minorEastAsia" w:hAnsiTheme="minorEastAsia"/>
                <w:szCs w:val="21"/>
              </w:rPr>
              <w:t>%</w:t>
            </w:r>
          </w:p>
        </w:tc>
      </w:tr>
      <w:tr w:rsidR="006D35EC" w:rsidRPr="00721084" w:rsidTr="005833DA">
        <w:trPr>
          <w:trHeight w:val="495"/>
          <w:jc w:val="center"/>
        </w:trPr>
        <w:tc>
          <w:tcPr>
            <w:tcW w:w="1932" w:type="dxa"/>
          </w:tcPr>
          <w:p w:rsidR="00E36519" w:rsidRPr="00721084" w:rsidRDefault="00E36519"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2015年1月1日至2015年12月31日</w:t>
            </w:r>
          </w:p>
        </w:tc>
        <w:tc>
          <w:tcPr>
            <w:tcW w:w="993" w:type="dxa"/>
            <w:vAlign w:val="center"/>
          </w:tcPr>
          <w:p w:rsidR="00E36519" w:rsidRPr="00721084" w:rsidRDefault="00E36519"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0.13%</w:t>
            </w:r>
          </w:p>
        </w:tc>
        <w:tc>
          <w:tcPr>
            <w:tcW w:w="1134" w:type="dxa"/>
            <w:vAlign w:val="center"/>
          </w:tcPr>
          <w:p w:rsidR="00E36519" w:rsidRPr="00721084" w:rsidRDefault="00E36519"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3.07%</w:t>
            </w:r>
          </w:p>
        </w:tc>
        <w:tc>
          <w:tcPr>
            <w:tcW w:w="1149" w:type="dxa"/>
            <w:vAlign w:val="center"/>
          </w:tcPr>
          <w:p w:rsidR="00E36519" w:rsidRPr="00721084" w:rsidRDefault="00E36519"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-7.31%</w:t>
            </w:r>
          </w:p>
        </w:tc>
        <w:tc>
          <w:tcPr>
            <w:tcW w:w="1400" w:type="dxa"/>
            <w:vAlign w:val="center"/>
          </w:tcPr>
          <w:p w:rsidR="00E36519" w:rsidRPr="00721084" w:rsidRDefault="00E36519"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1.09%</w:t>
            </w:r>
          </w:p>
        </w:tc>
        <w:tc>
          <w:tcPr>
            <w:tcW w:w="1080" w:type="dxa"/>
            <w:vAlign w:val="center"/>
          </w:tcPr>
          <w:p w:rsidR="00E36519" w:rsidRPr="00721084" w:rsidRDefault="00E36519"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7.44%</w:t>
            </w:r>
          </w:p>
        </w:tc>
        <w:tc>
          <w:tcPr>
            <w:tcW w:w="1080" w:type="dxa"/>
            <w:vAlign w:val="center"/>
          </w:tcPr>
          <w:p w:rsidR="00E36519" w:rsidRPr="00721084" w:rsidRDefault="00E36519"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1.98%</w:t>
            </w:r>
          </w:p>
        </w:tc>
      </w:tr>
      <w:tr w:rsidR="006D35EC" w:rsidRPr="00721084" w:rsidTr="005833DA">
        <w:trPr>
          <w:trHeight w:val="495"/>
          <w:jc w:val="center"/>
        </w:trPr>
        <w:tc>
          <w:tcPr>
            <w:tcW w:w="1932" w:type="dxa"/>
          </w:tcPr>
          <w:p w:rsidR="00955BCF" w:rsidRPr="00721084" w:rsidRDefault="00955BCF" w:rsidP="00CE3F81">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2016年1月1日至2016年</w:t>
            </w:r>
            <w:r w:rsidR="00A617C0" w:rsidRPr="00721084">
              <w:rPr>
                <w:rFonts w:asciiTheme="minorEastAsia" w:eastAsiaTheme="minorEastAsia" w:hAnsiTheme="minorEastAsia" w:hint="eastAsia"/>
                <w:szCs w:val="21"/>
              </w:rPr>
              <w:t>12</w:t>
            </w:r>
            <w:r w:rsidRPr="00721084">
              <w:rPr>
                <w:rFonts w:asciiTheme="minorEastAsia" w:eastAsiaTheme="minorEastAsia" w:hAnsiTheme="minorEastAsia" w:hint="eastAsia"/>
                <w:szCs w:val="21"/>
              </w:rPr>
              <w:t>月3</w:t>
            </w:r>
            <w:r w:rsidR="00A617C0" w:rsidRPr="00721084">
              <w:rPr>
                <w:rFonts w:asciiTheme="minorEastAsia" w:eastAsiaTheme="minorEastAsia" w:hAnsiTheme="minorEastAsia" w:hint="eastAsia"/>
                <w:szCs w:val="21"/>
              </w:rPr>
              <w:t>1</w:t>
            </w:r>
            <w:r w:rsidRPr="00721084">
              <w:rPr>
                <w:rFonts w:asciiTheme="minorEastAsia" w:eastAsiaTheme="minorEastAsia" w:hAnsiTheme="minorEastAsia" w:hint="eastAsia"/>
                <w:szCs w:val="21"/>
              </w:rPr>
              <w:t>日</w:t>
            </w:r>
          </w:p>
        </w:tc>
        <w:tc>
          <w:tcPr>
            <w:tcW w:w="993" w:type="dxa"/>
            <w:vAlign w:val="center"/>
          </w:tcPr>
          <w:p w:rsidR="00955BCF" w:rsidRPr="00721084" w:rsidRDefault="00955BCF"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w:t>
            </w:r>
            <w:r w:rsidR="00184AA0" w:rsidRPr="00721084">
              <w:rPr>
                <w:rFonts w:asciiTheme="minorEastAsia" w:eastAsiaTheme="minorEastAsia" w:hAnsiTheme="minorEastAsia" w:hint="eastAsia"/>
                <w:szCs w:val="21"/>
              </w:rPr>
              <w:t>7</w:t>
            </w:r>
            <w:r w:rsidRPr="00721084">
              <w:rPr>
                <w:rFonts w:asciiTheme="minorEastAsia" w:eastAsiaTheme="minorEastAsia" w:hAnsiTheme="minorEastAsia"/>
                <w:szCs w:val="21"/>
              </w:rPr>
              <w:t>.7</w:t>
            </w:r>
            <w:r w:rsidR="00184AA0" w:rsidRPr="00721084">
              <w:rPr>
                <w:rFonts w:asciiTheme="minorEastAsia" w:eastAsiaTheme="minorEastAsia" w:hAnsiTheme="minorEastAsia" w:hint="eastAsia"/>
                <w:szCs w:val="21"/>
              </w:rPr>
              <w:t>0</w:t>
            </w:r>
            <w:r w:rsidRPr="00721084">
              <w:rPr>
                <w:rFonts w:asciiTheme="minorEastAsia" w:eastAsiaTheme="minorEastAsia" w:hAnsiTheme="minorEastAsia"/>
                <w:szCs w:val="21"/>
              </w:rPr>
              <w:t>%</w:t>
            </w:r>
          </w:p>
        </w:tc>
        <w:tc>
          <w:tcPr>
            <w:tcW w:w="1134" w:type="dxa"/>
            <w:vAlign w:val="center"/>
          </w:tcPr>
          <w:p w:rsidR="00955BCF" w:rsidRPr="00721084" w:rsidRDefault="00955BCF"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1.</w:t>
            </w:r>
            <w:r w:rsidR="00184AA0" w:rsidRPr="00721084">
              <w:rPr>
                <w:rFonts w:asciiTheme="minorEastAsia" w:eastAsiaTheme="minorEastAsia" w:hAnsiTheme="minorEastAsia" w:hint="eastAsia"/>
                <w:szCs w:val="21"/>
              </w:rPr>
              <w:t>34</w:t>
            </w:r>
            <w:r w:rsidRPr="00721084">
              <w:rPr>
                <w:rFonts w:asciiTheme="minorEastAsia" w:eastAsiaTheme="minorEastAsia" w:hAnsiTheme="minorEastAsia"/>
                <w:szCs w:val="21"/>
              </w:rPr>
              <w:t>%</w:t>
            </w:r>
          </w:p>
        </w:tc>
        <w:tc>
          <w:tcPr>
            <w:tcW w:w="1149" w:type="dxa"/>
            <w:vAlign w:val="center"/>
          </w:tcPr>
          <w:p w:rsidR="00955BCF" w:rsidRPr="00721084" w:rsidRDefault="00184AA0"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10</w:t>
            </w:r>
            <w:r w:rsidR="00955BCF" w:rsidRPr="00721084">
              <w:rPr>
                <w:rFonts w:asciiTheme="minorEastAsia" w:eastAsiaTheme="minorEastAsia" w:hAnsiTheme="minorEastAsia"/>
                <w:szCs w:val="21"/>
              </w:rPr>
              <w:t>.</w:t>
            </w:r>
            <w:r w:rsidRPr="00721084">
              <w:rPr>
                <w:rFonts w:asciiTheme="minorEastAsia" w:eastAsiaTheme="minorEastAsia" w:hAnsiTheme="minorEastAsia" w:hint="eastAsia"/>
                <w:szCs w:val="21"/>
              </w:rPr>
              <w:t>05</w:t>
            </w:r>
            <w:r w:rsidR="00955BCF" w:rsidRPr="00721084">
              <w:rPr>
                <w:rFonts w:asciiTheme="minorEastAsia" w:eastAsiaTheme="minorEastAsia" w:hAnsiTheme="minorEastAsia"/>
                <w:szCs w:val="21"/>
              </w:rPr>
              <w:t>%</w:t>
            </w:r>
          </w:p>
        </w:tc>
        <w:tc>
          <w:tcPr>
            <w:tcW w:w="1400" w:type="dxa"/>
            <w:vAlign w:val="center"/>
          </w:tcPr>
          <w:p w:rsidR="00955BCF" w:rsidRPr="00721084" w:rsidRDefault="001D495E"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szCs w:val="21"/>
              </w:rPr>
              <w:t>0</w:t>
            </w:r>
            <w:r w:rsidR="00955BCF" w:rsidRPr="00721084">
              <w:rPr>
                <w:rFonts w:asciiTheme="minorEastAsia" w:eastAsiaTheme="minorEastAsia" w:hAnsiTheme="minorEastAsia"/>
                <w:szCs w:val="21"/>
              </w:rPr>
              <w:t>.</w:t>
            </w:r>
            <w:r w:rsidRPr="00721084">
              <w:rPr>
                <w:rFonts w:asciiTheme="minorEastAsia" w:eastAsiaTheme="minorEastAsia" w:hAnsiTheme="minorEastAsia" w:hint="eastAsia"/>
                <w:szCs w:val="21"/>
              </w:rPr>
              <w:t>97</w:t>
            </w:r>
            <w:r w:rsidR="00955BCF" w:rsidRPr="00721084">
              <w:rPr>
                <w:rFonts w:asciiTheme="minorEastAsia" w:eastAsiaTheme="minorEastAsia" w:hAnsiTheme="minorEastAsia"/>
                <w:szCs w:val="21"/>
              </w:rPr>
              <w:t>%</w:t>
            </w:r>
          </w:p>
        </w:tc>
        <w:tc>
          <w:tcPr>
            <w:tcW w:w="1080" w:type="dxa"/>
            <w:vAlign w:val="center"/>
          </w:tcPr>
          <w:p w:rsidR="00955BCF" w:rsidRPr="00721084" w:rsidRDefault="00955BCF"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-1</w:t>
            </w:r>
            <w:r w:rsidR="001D495E" w:rsidRPr="00721084">
              <w:rPr>
                <w:rFonts w:asciiTheme="minorEastAsia" w:eastAsiaTheme="minorEastAsia" w:hAnsiTheme="minorEastAsia" w:hint="eastAsia"/>
                <w:szCs w:val="21"/>
              </w:rPr>
              <w:t>7</w:t>
            </w:r>
            <w:r w:rsidRPr="00721084">
              <w:rPr>
                <w:rFonts w:asciiTheme="minorEastAsia" w:eastAsiaTheme="minorEastAsia" w:hAnsiTheme="minorEastAsia"/>
                <w:szCs w:val="21"/>
              </w:rPr>
              <w:t>.</w:t>
            </w:r>
            <w:r w:rsidR="001D495E" w:rsidRPr="00721084">
              <w:rPr>
                <w:rFonts w:asciiTheme="minorEastAsia" w:eastAsiaTheme="minorEastAsia" w:hAnsiTheme="minorEastAsia" w:hint="eastAsia"/>
                <w:szCs w:val="21"/>
              </w:rPr>
              <w:t>75</w:t>
            </w:r>
            <w:r w:rsidRPr="00721084">
              <w:rPr>
                <w:rFonts w:asciiTheme="minorEastAsia" w:eastAsiaTheme="minorEastAsia" w:hAnsiTheme="minorEastAsia"/>
                <w:szCs w:val="21"/>
              </w:rPr>
              <w:t>%</w:t>
            </w:r>
          </w:p>
        </w:tc>
        <w:tc>
          <w:tcPr>
            <w:tcW w:w="1080" w:type="dxa"/>
            <w:vAlign w:val="center"/>
          </w:tcPr>
          <w:p w:rsidR="00955BCF" w:rsidRPr="00721084" w:rsidRDefault="00955BCF" w:rsidP="00CE3F81">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0.</w:t>
            </w:r>
            <w:r w:rsidR="001D495E" w:rsidRPr="00721084">
              <w:rPr>
                <w:rFonts w:asciiTheme="minorEastAsia" w:eastAsiaTheme="minorEastAsia" w:hAnsiTheme="minorEastAsia" w:hint="eastAsia"/>
                <w:szCs w:val="21"/>
              </w:rPr>
              <w:t>37</w:t>
            </w:r>
            <w:r w:rsidRPr="00721084">
              <w:rPr>
                <w:rFonts w:asciiTheme="minorEastAsia" w:eastAsiaTheme="minorEastAsia" w:hAnsiTheme="minorEastAsia"/>
                <w:szCs w:val="21"/>
              </w:rPr>
              <w:t>%</w:t>
            </w:r>
          </w:p>
        </w:tc>
      </w:tr>
      <w:tr w:rsidR="006D35EC" w:rsidRPr="00721084" w:rsidTr="005833DA">
        <w:trPr>
          <w:trHeight w:val="495"/>
          <w:jc w:val="center"/>
        </w:trPr>
        <w:tc>
          <w:tcPr>
            <w:tcW w:w="1932" w:type="dxa"/>
          </w:tcPr>
          <w:p w:rsidR="007B03BD" w:rsidRPr="00721084" w:rsidRDefault="007B03BD" w:rsidP="007B03BD">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2017年1月1日至2017年</w:t>
            </w:r>
            <w:r w:rsidRPr="00721084">
              <w:rPr>
                <w:rFonts w:asciiTheme="minorEastAsia" w:eastAsiaTheme="minorEastAsia" w:hAnsiTheme="minorEastAsia"/>
                <w:szCs w:val="21"/>
              </w:rPr>
              <w:t>12</w:t>
            </w:r>
            <w:r w:rsidRPr="00721084">
              <w:rPr>
                <w:rFonts w:asciiTheme="minorEastAsia" w:eastAsiaTheme="minorEastAsia" w:hAnsiTheme="minorEastAsia" w:hint="eastAsia"/>
                <w:szCs w:val="21"/>
              </w:rPr>
              <w:t>月</w:t>
            </w:r>
            <w:r w:rsidRPr="00721084">
              <w:rPr>
                <w:rFonts w:asciiTheme="minorEastAsia" w:eastAsiaTheme="minorEastAsia" w:hAnsiTheme="minorEastAsia"/>
                <w:szCs w:val="21"/>
              </w:rPr>
              <w:t>31</w:t>
            </w:r>
            <w:r w:rsidRPr="00721084">
              <w:rPr>
                <w:rFonts w:asciiTheme="minorEastAsia" w:eastAsiaTheme="minorEastAsia" w:hAnsiTheme="minorEastAsia" w:hint="eastAsia"/>
                <w:szCs w:val="21"/>
              </w:rPr>
              <w:t>日</w:t>
            </w:r>
          </w:p>
        </w:tc>
        <w:tc>
          <w:tcPr>
            <w:tcW w:w="993" w:type="dxa"/>
            <w:vAlign w:val="center"/>
          </w:tcPr>
          <w:p w:rsidR="007B03BD" w:rsidRPr="00721084" w:rsidRDefault="007B03BD" w:rsidP="007B03BD">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38.30%</w:t>
            </w:r>
          </w:p>
        </w:tc>
        <w:tc>
          <w:tcPr>
            <w:tcW w:w="1134" w:type="dxa"/>
            <w:vAlign w:val="center"/>
          </w:tcPr>
          <w:p w:rsidR="007B03BD" w:rsidRPr="00721084" w:rsidRDefault="007B03BD" w:rsidP="007B03BD">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0.87%</w:t>
            </w:r>
          </w:p>
        </w:tc>
        <w:tc>
          <w:tcPr>
            <w:tcW w:w="1149" w:type="dxa"/>
            <w:vAlign w:val="center"/>
          </w:tcPr>
          <w:p w:rsidR="007B03BD" w:rsidRPr="00721084" w:rsidRDefault="007B03BD" w:rsidP="007B03BD">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30.06%</w:t>
            </w:r>
          </w:p>
        </w:tc>
        <w:tc>
          <w:tcPr>
            <w:tcW w:w="1400" w:type="dxa"/>
            <w:vAlign w:val="center"/>
          </w:tcPr>
          <w:p w:rsidR="007B03BD" w:rsidRPr="00721084" w:rsidRDefault="007B03BD" w:rsidP="007B03BD">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0.61%</w:t>
            </w:r>
          </w:p>
        </w:tc>
        <w:tc>
          <w:tcPr>
            <w:tcW w:w="1080" w:type="dxa"/>
            <w:vAlign w:val="center"/>
          </w:tcPr>
          <w:p w:rsidR="007B03BD" w:rsidRPr="00721084" w:rsidRDefault="007B03BD" w:rsidP="007B03BD">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8.24%</w:t>
            </w:r>
          </w:p>
        </w:tc>
        <w:tc>
          <w:tcPr>
            <w:tcW w:w="1080" w:type="dxa"/>
            <w:vAlign w:val="center"/>
          </w:tcPr>
          <w:p w:rsidR="007B03BD" w:rsidRPr="00721084" w:rsidRDefault="007B03BD" w:rsidP="007B03BD">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szCs w:val="21"/>
              </w:rPr>
              <w:t>0.26%</w:t>
            </w:r>
          </w:p>
        </w:tc>
      </w:tr>
      <w:tr w:rsidR="006D35EC" w:rsidRPr="00721084" w:rsidTr="005200A0">
        <w:trPr>
          <w:trHeight w:val="495"/>
          <w:jc w:val="center"/>
        </w:trPr>
        <w:tc>
          <w:tcPr>
            <w:tcW w:w="1932" w:type="dxa"/>
          </w:tcPr>
          <w:p w:rsidR="0028729B" w:rsidRPr="00721084" w:rsidRDefault="0028729B" w:rsidP="0028729B">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201</w:t>
            </w:r>
            <w:r w:rsidRPr="00721084">
              <w:rPr>
                <w:rFonts w:asciiTheme="minorEastAsia" w:eastAsiaTheme="minorEastAsia" w:hAnsiTheme="minorEastAsia"/>
                <w:szCs w:val="21"/>
              </w:rPr>
              <w:t>8</w:t>
            </w:r>
            <w:r w:rsidRPr="00721084">
              <w:rPr>
                <w:rFonts w:asciiTheme="minorEastAsia" w:eastAsiaTheme="minorEastAsia" w:hAnsiTheme="minorEastAsia" w:hint="eastAsia"/>
                <w:szCs w:val="21"/>
              </w:rPr>
              <w:t>年1月1日至201</w:t>
            </w:r>
            <w:r w:rsidRPr="00721084">
              <w:rPr>
                <w:rFonts w:asciiTheme="minorEastAsia" w:eastAsiaTheme="minorEastAsia" w:hAnsiTheme="minorEastAsia"/>
                <w:szCs w:val="21"/>
              </w:rPr>
              <w:t>8</w:t>
            </w:r>
            <w:r w:rsidRPr="00721084">
              <w:rPr>
                <w:rFonts w:asciiTheme="minorEastAsia" w:eastAsiaTheme="minorEastAsia" w:hAnsiTheme="minorEastAsia" w:hint="eastAsia"/>
                <w:szCs w:val="21"/>
              </w:rPr>
              <w:t>年</w:t>
            </w:r>
            <w:r w:rsidRPr="00721084">
              <w:rPr>
                <w:rFonts w:asciiTheme="minorEastAsia" w:eastAsiaTheme="minorEastAsia" w:hAnsiTheme="minorEastAsia"/>
                <w:szCs w:val="21"/>
              </w:rPr>
              <w:t>12</w:t>
            </w:r>
            <w:r w:rsidRPr="00721084">
              <w:rPr>
                <w:rFonts w:asciiTheme="minorEastAsia" w:eastAsiaTheme="minorEastAsia" w:hAnsiTheme="minorEastAsia" w:hint="eastAsia"/>
                <w:szCs w:val="21"/>
              </w:rPr>
              <w:t>月</w:t>
            </w:r>
            <w:r w:rsidRPr="00721084">
              <w:rPr>
                <w:rFonts w:asciiTheme="minorEastAsia" w:eastAsiaTheme="minorEastAsia" w:hAnsiTheme="minorEastAsia"/>
                <w:szCs w:val="21"/>
              </w:rPr>
              <w:t>31</w:t>
            </w:r>
            <w:r w:rsidRPr="00721084">
              <w:rPr>
                <w:rFonts w:asciiTheme="minorEastAsia" w:eastAsiaTheme="minorEastAsia" w:hAnsiTheme="minorEastAsia" w:hint="eastAsia"/>
                <w:szCs w:val="21"/>
              </w:rPr>
              <w:t>日</w:t>
            </w:r>
          </w:p>
        </w:tc>
        <w:tc>
          <w:tcPr>
            <w:tcW w:w="993" w:type="dxa"/>
            <w:vAlign w:val="center"/>
          </w:tcPr>
          <w:p w:rsidR="0028729B" w:rsidRPr="00721084" w:rsidRDefault="0028729B" w:rsidP="0028729B">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rPr>
              <w:t>-19.19%</w:t>
            </w:r>
          </w:p>
        </w:tc>
        <w:tc>
          <w:tcPr>
            <w:tcW w:w="1134" w:type="dxa"/>
            <w:vAlign w:val="center"/>
          </w:tcPr>
          <w:p w:rsidR="0028729B" w:rsidRPr="00721084" w:rsidRDefault="0028729B" w:rsidP="0028729B">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rPr>
              <w:t>1.45%</w:t>
            </w:r>
          </w:p>
        </w:tc>
        <w:tc>
          <w:tcPr>
            <w:tcW w:w="1149" w:type="dxa"/>
            <w:vAlign w:val="center"/>
          </w:tcPr>
          <w:p w:rsidR="0028729B" w:rsidRPr="00721084" w:rsidRDefault="0028729B" w:rsidP="0028729B">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rPr>
              <w:t>-11.60%</w:t>
            </w:r>
          </w:p>
        </w:tc>
        <w:tc>
          <w:tcPr>
            <w:tcW w:w="1400" w:type="dxa"/>
            <w:vAlign w:val="center"/>
          </w:tcPr>
          <w:p w:rsidR="0028729B" w:rsidRPr="00721084" w:rsidRDefault="0028729B" w:rsidP="0028729B">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rPr>
              <w:t>1.09%</w:t>
            </w:r>
          </w:p>
        </w:tc>
        <w:tc>
          <w:tcPr>
            <w:tcW w:w="1080" w:type="dxa"/>
            <w:vAlign w:val="center"/>
          </w:tcPr>
          <w:p w:rsidR="0028729B" w:rsidRPr="00721084" w:rsidRDefault="0028729B" w:rsidP="0028729B">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rPr>
              <w:t>-7.59%</w:t>
            </w:r>
          </w:p>
        </w:tc>
        <w:tc>
          <w:tcPr>
            <w:tcW w:w="1080" w:type="dxa"/>
            <w:vAlign w:val="center"/>
          </w:tcPr>
          <w:p w:rsidR="0028729B" w:rsidRPr="00721084" w:rsidRDefault="0028729B" w:rsidP="0028729B">
            <w:pPr>
              <w:tabs>
                <w:tab w:val="left" w:pos="5400"/>
              </w:tabs>
              <w:snapToGrid w:val="0"/>
              <w:spacing w:line="360" w:lineRule="auto"/>
              <w:jc w:val="right"/>
              <w:rPr>
                <w:rFonts w:asciiTheme="minorEastAsia" w:eastAsiaTheme="minorEastAsia" w:hAnsiTheme="minorEastAsia"/>
                <w:szCs w:val="21"/>
              </w:rPr>
            </w:pPr>
            <w:r w:rsidRPr="00721084">
              <w:rPr>
                <w:rFonts w:asciiTheme="minorEastAsia" w:eastAsiaTheme="minorEastAsia" w:hAnsiTheme="minorEastAsia" w:hint="eastAsia"/>
              </w:rPr>
              <w:t>0.36%</w:t>
            </w:r>
          </w:p>
        </w:tc>
      </w:tr>
      <w:tr w:rsidR="006D35EC" w:rsidRPr="00721084" w:rsidTr="005200A0">
        <w:trPr>
          <w:trHeight w:val="495"/>
          <w:jc w:val="center"/>
        </w:trPr>
        <w:tc>
          <w:tcPr>
            <w:tcW w:w="1932" w:type="dxa"/>
          </w:tcPr>
          <w:p w:rsidR="00A90789" w:rsidRPr="00721084" w:rsidRDefault="002465F1" w:rsidP="00A90789">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szCs w:val="21"/>
              </w:rPr>
              <w:t>2019年1月1日至2019年12月31日</w:t>
            </w:r>
          </w:p>
        </w:tc>
        <w:tc>
          <w:tcPr>
            <w:tcW w:w="993" w:type="dxa"/>
            <w:vAlign w:val="center"/>
          </w:tcPr>
          <w:p w:rsidR="00A90789" w:rsidRPr="00721084" w:rsidRDefault="002465F1" w:rsidP="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23.87%</w:t>
            </w:r>
          </w:p>
        </w:tc>
        <w:tc>
          <w:tcPr>
            <w:tcW w:w="1134" w:type="dxa"/>
            <w:vAlign w:val="center"/>
          </w:tcPr>
          <w:p w:rsidR="00A90789" w:rsidRPr="00721084" w:rsidRDefault="002465F1" w:rsidP="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1.18%</w:t>
            </w:r>
          </w:p>
        </w:tc>
        <w:tc>
          <w:tcPr>
            <w:tcW w:w="1149" w:type="dxa"/>
            <w:vAlign w:val="center"/>
          </w:tcPr>
          <w:p w:rsidR="00A90789"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16.79%</w:t>
            </w:r>
          </w:p>
        </w:tc>
        <w:tc>
          <w:tcPr>
            <w:tcW w:w="1400" w:type="dxa"/>
            <w:vAlign w:val="center"/>
          </w:tcPr>
          <w:p w:rsidR="00A90789"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0.72%</w:t>
            </w:r>
          </w:p>
        </w:tc>
        <w:tc>
          <w:tcPr>
            <w:tcW w:w="1080" w:type="dxa"/>
            <w:vAlign w:val="center"/>
          </w:tcPr>
          <w:p w:rsidR="00A90789"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7.08%</w:t>
            </w:r>
          </w:p>
        </w:tc>
        <w:tc>
          <w:tcPr>
            <w:tcW w:w="1080" w:type="dxa"/>
            <w:vAlign w:val="center"/>
          </w:tcPr>
          <w:p w:rsidR="00A90789"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0.46%</w:t>
            </w:r>
          </w:p>
        </w:tc>
      </w:tr>
      <w:tr w:rsidR="002465F1" w:rsidRPr="00721084" w:rsidTr="005200A0">
        <w:trPr>
          <w:trHeight w:val="495"/>
          <w:jc w:val="center"/>
        </w:trPr>
        <w:tc>
          <w:tcPr>
            <w:tcW w:w="1932" w:type="dxa"/>
          </w:tcPr>
          <w:p w:rsidR="002465F1" w:rsidRPr="00721084" w:rsidRDefault="002465F1" w:rsidP="00A90789">
            <w:pPr>
              <w:tabs>
                <w:tab w:val="left" w:pos="5400"/>
              </w:tabs>
              <w:snapToGrid w:val="0"/>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自基金合同生效日至</w:t>
            </w:r>
            <w:r w:rsidRPr="00721084">
              <w:rPr>
                <w:rFonts w:asciiTheme="minorEastAsia" w:eastAsiaTheme="minorEastAsia" w:hAnsiTheme="minorEastAsia"/>
                <w:szCs w:val="21"/>
              </w:rPr>
              <w:t>2019年12月31</w:t>
            </w:r>
            <w:r w:rsidRPr="00721084">
              <w:rPr>
                <w:rFonts w:asciiTheme="minorEastAsia" w:eastAsiaTheme="minorEastAsia" w:hAnsiTheme="minorEastAsia"/>
                <w:szCs w:val="21"/>
              </w:rPr>
              <w:lastRenderedPageBreak/>
              <w:t>日</w:t>
            </w:r>
          </w:p>
        </w:tc>
        <w:tc>
          <w:tcPr>
            <w:tcW w:w="993" w:type="dxa"/>
            <w:vAlign w:val="center"/>
          </w:tcPr>
          <w:p w:rsidR="002465F1"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lastRenderedPageBreak/>
              <w:t>1.20%</w:t>
            </w:r>
          </w:p>
        </w:tc>
        <w:tc>
          <w:tcPr>
            <w:tcW w:w="1134" w:type="dxa"/>
            <w:vAlign w:val="center"/>
          </w:tcPr>
          <w:p w:rsidR="002465F1"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1.49%</w:t>
            </w:r>
          </w:p>
        </w:tc>
        <w:tc>
          <w:tcPr>
            <w:tcW w:w="1149" w:type="dxa"/>
            <w:vAlign w:val="center"/>
          </w:tcPr>
          <w:p w:rsidR="002465F1"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43.70%</w:t>
            </w:r>
          </w:p>
        </w:tc>
        <w:tc>
          <w:tcPr>
            <w:tcW w:w="1400" w:type="dxa"/>
            <w:vAlign w:val="center"/>
          </w:tcPr>
          <w:p w:rsidR="002465F1"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1.00%</w:t>
            </w:r>
          </w:p>
        </w:tc>
        <w:tc>
          <w:tcPr>
            <w:tcW w:w="1080" w:type="dxa"/>
            <w:vAlign w:val="center"/>
          </w:tcPr>
          <w:p w:rsidR="002465F1"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-42.50%</w:t>
            </w:r>
          </w:p>
        </w:tc>
        <w:tc>
          <w:tcPr>
            <w:tcW w:w="1080" w:type="dxa"/>
            <w:vAlign w:val="center"/>
          </w:tcPr>
          <w:p w:rsidR="002465F1" w:rsidRPr="00721084" w:rsidRDefault="002465F1">
            <w:pPr>
              <w:tabs>
                <w:tab w:val="left" w:pos="5400"/>
              </w:tabs>
              <w:snapToGrid w:val="0"/>
              <w:spacing w:line="360" w:lineRule="auto"/>
              <w:jc w:val="right"/>
              <w:rPr>
                <w:rFonts w:asciiTheme="minorEastAsia" w:eastAsiaTheme="minorEastAsia" w:hAnsiTheme="minorEastAsia"/>
              </w:rPr>
            </w:pPr>
            <w:r w:rsidRPr="00721084">
              <w:rPr>
                <w:rFonts w:asciiTheme="minorEastAsia" w:eastAsiaTheme="minorEastAsia" w:hAnsiTheme="minorEastAsia"/>
              </w:rPr>
              <w:t>0.49%</w:t>
            </w:r>
          </w:p>
        </w:tc>
      </w:tr>
    </w:tbl>
    <w:p w:rsidR="000B2832" w:rsidRPr="00721084" w:rsidRDefault="000B2832"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注：</w:t>
      </w:r>
      <w:r w:rsidR="00D972A4" w:rsidRPr="00721084">
        <w:rPr>
          <w:rFonts w:asciiTheme="minorEastAsia" w:eastAsiaTheme="minorEastAsia" w:hAnsiTheme="minorEastAsia" w:hint="eastAsia"/>
          <w:szCs w:val="21"/>
        </w:rPr>
        <w:t>1、</w:t>
      </w:r>
      <w:r w:rsidRPr="00721084">
        <w:rPr>
          <w:rFonts w:asciiTheme="minorEastAsia" w:eastAsiaTheme="minorEastAsia" w:hAnsiTheme="minorEastAsia" w:hint="eastAsia"/>
          <w:szCs w:val="21"/>
        </w:rPr>
        <w:t>同期业绩比较基准</w:t>
      </w:r>
      <w:r w:rsidR="00B85E09" w:rsidRPr="00721084">
        <w:rPr>
          <w:rFonts w:asciiTheme="minorEastAsia" w:eastAsiaTheme="minorEastAsia" w:hAnsiTheme="minorEastAsia"/>
          <w:szCs w:val="21"/>
        </w:rPr>
        <w:t>已经转换为以人民币计价</w:t>
      </w:r>
      <w:r w:rsidRPr="00721084">
        <w:rPr>
          <w:rFonts w:asciiTheme="minorEastAsia" w:eastAsiaTheme="minorEastAsia" w:hAnsiTheme="minorEastAsia" w:hint="eastAsia"/>
          <w:szCs w:val="21"/>
        </w:rPr>
        <w:t>。</w:t>
      </w:r>
    </w:p>
    <w:p w:rsidR="005E01E6" w:rsidRPr="00721084" w:rsidRDefault="00D972A4" w:rsidP="00D972A4">
      <w:pPr>
        <w:autoSpaceDE w:val="0"/>
        <w:autoSpaceDN w:val="0"/>
        <w:snapToGrid w:val="0"/>
        <w:spacing w:line="360" w:lineRule="auto"/>
        <w:ind w:firstLineChars="400" w:firstLine="840"/>
        <w:jc w:val="left"/>
        <w:rPr>
          <w:rFonts w:asciiTheme="minorEastAsia" w:eastAsiaTheme="minorEastAsia" w:hAnsiTheme="minorEastAsia" w:cs="宋体"/>
          <w:szCs w:val="21"/>
        </w:rPr>
      </w:pPr>
      <w:r w:rsidRPr="00721084">
        <w:rPr>
          <w:rFonts w:asciiTheme="minorEastAsia" w:eastAsiaTheme="minorEastAsia" w:hAnsiTheme="minorEastAsia" w:hint="eastAsia"/>
          <w:szCs w:val="21"/>
        </w:rPr>
        <w:t>2、</w:t>
      </w:r>
      <w:r w:rsidR="005E01E6" w:rsidRPr="00721084">
        <w:rPr>
          <w:rFonts w:asciiTheme="minorEastAsia" w:eastAsiaTheme="minorEastAsia" w:hAnsiTheme="minorEastAsia" w:hint="eastAsia"/>
          <w:szCs w:val="21"/>
        </w:rPr>
        <w:t>上述净值表现数据按照《证券投资基金信息披露编报规则第2号&lt;基金净值表现的编制及披露&gt;》的相关规定编制</w:t>
      </w:r>
      <w:r w:rsidR="005E01E6" w:rsidRPr="00721084">
        <w:rPr>
          <w:rFonts w:asciiTheme="minorEastAsia" w:eastAsiaTheme="minorEastAsia" w:hAnsiTheme="minorEastAsia" w:cs="宋体" w:hint="eastAsia"/>
          <w:szCs w:val="21"/>
        </w:rPr>
        <w:t>。</w:t>
      </w:r>
    </w:p>
    <w:p w:rsidR="00D972A4" w:rsidRPr="00721084" w:rsidRDefault="00D972A4" w:rsidP="00D972A4">
      <w:pPr>
        <w:autoSpaceDE w:val="0"/>
        <w:autoSpaceDN w:val="0"/>
        <w:snapToGrid w:val="0"/>
        <w:spacing w:line="360" w:lineRule="auto"/>
        <w:ind w:firstLineChars="400" w:firstLine="840"/>
        <w:jc w:val="left"/>
        <w:rPr>
          <w:rFonts w:asciiTheme="minorEastAsia" w:eastAsiaTheme="minorEastAsia" w:hAnsiTheme="minorEastAsia" w:cs="宋体"/>
          <w:szCs w:val="21"/>
        </w:rPr>
      </w:pPr>
    </w:p>
    <w:p w:rsidR="00D972A4" w:rsidRPr="00721084" w:rsidRDefault="00D972A4" w:rsidP="00D972A4">
      <w:pPr>
        <w:autoSpaceDE w:val="0"/>
        <w:autoSpaceDN w:val="0"/>
        <w:snapToGrid w:val="0"/>
        <w:spacing w:line="360" w:lineRule="auto"/>
        <w:ind w:firstLineChars="400" w:firstLine="840"/>
        <w:jc w:val="left"/>
        <w:rPr>
          <w:rFonts w:asciiTheme="minorEastAsia" w:eastAsiaTheme="minorEastAsia" w:hAnsiTheme="minorEastAsia" w:cs="宋体"/>
          <w:szCs w:val="21"/>
        </w:rPr>
      </w:pPr>
    </w:p>
    <w:p w:rsidR="00285275" w:rsidRPr="00721084" w:rsidRDefault="00285275" w:rsidP="00D972A4">
      <w:pPr>
        <w:autoSpaceDE w:val="0"/>
        <w:autoSpaceDN w:val="0"/>
        <w:snapToGrid w:val="0"/>
        <w:spacing w:line="360" w:lineRule="auto"/>
        <w:ind w:firstLineChars="400" w:firstLine="840"/>
        <w:jc w:val="left"/>
        <w:rPr>
          <w:rFonts w:asciiTheme="minorEastAsia" w:eastAsiaTheme="minorEastAsia" w:hAnsiTheme="minorEastAsia" w:cs="宋体"/>
          <w:szCs w:val="21"/>
        </w:rPr>
        <w:sectPr w:rsidR="00285275" w:rsidRPr="00721084">
          <w:pgSz w:w="11906" w:h="16838" w:code="9"/>
          <w:pgMar w:top="1440" w:right="1800" w:bottom="1440" w:left="1800" w:header="851" w:footer="992" w:gutter="0"/>
          <w:cols w:space="425"/>
          <w:docGrid w:type="lines" w:linePitch="312"/>
        </w:sectPr>
      </w:pPr>
    </w:p>
    <w:p w:rsidR="0064594E"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99" w:name="_Toc44351076"/>
      <w:r w:rsidRPr="00721084">
        <w:rPr>
          <w:rFonts w:asciiTheme="minorEastAsia" w:eastAsiaTheme="minorEastAsia" w:hAnsiTheme="minorEastAsia" w:hint="eastAsia"/>
        </w:rPr>
        <w:lastRenderedPageBreak/>
        <w:t>基金管理人</w:t>
      </w:r>
      <w:bookmarkEnd w:id="99"/>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sz w:val="21"/>
        </w:rPr>
      </w:pPr>
      <w:bookmarkStart w:id="100" w:name="_Toc133292563"/>
      <w:bookmarkStart w:id="101" w:name="_Toc163189520"/>
      <w:bookmarkStart w:id="102" w:name="_Toc44351077"/>
      <w:r w:rsidRPr="00721084">
        <w:rPr>
          <w:rFonts w:asciiTheme="minorEastAsia" w:eastAsiaTheme="minorEastAsia" w:hAnsiTheme="minorEastAsia" w:cs="仿宋_GB2312" w:hint="eastAsia"/>
          <w:b w:val="0"/>
          <w:bCs/>
          <w:kern w:val="0"/>
          <w:szCs w:val="24"/>
        </w:rPr>
        <w:t>一</w:t>
      </w:r>
      <w:r w:rsidR="00581D5A" w:rsidRPr="00721084">
        <w:rPr>
          <w:rFonts w:asciiTheme="minorEastAsia" w:eastAsiaTheme="minorEastAsia" w:hAnsiTheme="minorEastAsia" w:cs="仿宋_GB2312" w:hint="eastAsia"/>
          <w:b w:val="0"/>
          <w:bCs/>
          <w:kern w:val="0"/>
          <w:szCs w:val="24"/>
        </w:rPr>
        <w:t>、</w:t>
      </w:r>
      <w:r w:rsidRPr="00721084">
        <w:rPr>
          <w:rFonts w:asciiTheme="minorEastAsia" w:eastAsiaTheme="minorEastAsia" w:hAnsiTheme="minorEastAsia" w:cs="仿宋_GB2312"/>
          <w:b w:val="0"/>
          <w:bCs/>
          <w:kern w:val="0"/>
          <w:szCs w:val="24"/>
        </w:rPr>
        <w:t>基金管理人</w:t>
      </w:r>
      <w:r w:rsidRPr="00721084">
        <w:rPr>
          <w:rFonts w:asciiTheme="minorEastAsia" w:eastAsiaTheme="minorEastAsia" w:hAnsiTheme="minorEastAsia" w:cs="仿宋_GB2312" w:hint="eastAsia"/>
          <w:b w:val="0"/>
          <w:bCs/>
          <w:kern w:val="0"/>
          <w:szCs w:val="24"/>
        </w:rPr>
        <w:t>基本情况</w:t>
      </w:r>
      <w:bookmarkEnd w:id="100"/>
      <w:bookmarkEnd w:id="101"/>
      <w:bookmarkEnd w:id="102"/>
    </w:p>
    <w:p w:rsidR="001B2837" w:rsidRPr="00721084" w:rsidRDefault="00D972A4"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1B2837" w:rsidRPr="00721084">
        <w:rPr>
          <w:rFonts w:asciiTheme="minorEastAsia" w:eastAsiaTheme="minorEastAsia" w:hAnsiTheme="minorEastAsia" w:hint="eastAsia"/>
          <w:szCs w:val="21"/>
        </w:rPr>
        <w:t>基金管理人：易方达基金管理有限公司</w:t>
      </w:r>
    </w:p>
    <w:p w:rsidR="001B2837" w:rsidRPr="00721084" w:rsidRDefault="001B2837"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注册地址：</w:t>
      </w:r>
      <w:r w:rsidR="00855F9E" w:rsidRPr="00721084">
        <w:rPr>
          <w:rFonts w:asciiTheme="minorEastAsia" w:eastAsiaTheme="minorEastAsia" w:hAnsiTheme="minorEastAsia"/>
          <w:szCs w:val="21"/>
        </w:rPr>
        <w:t>广东省珠海市横琴新区宝华路6号105室－42891（集中办公区）</w:t>
      </w:r>
    </w:p>
    <w:p w:rsidR="001B2837" w:rsidRPr="00721084" w:rsidRDefault="001B2837"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办公地址：广州市天河区珠江新城珠江东路30号广州银行大厦40-43楼</w:t>
      </w:r>
    </w:p>
    <w:p w:rsidR="001B2837" w:rsidRPr="00721084" w:rsidRDefault="001B2837"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设立日期：2001年4月17日</w:t>
      </w:r>
    </w:p>
    <w:p w:rsidR="001B2837" w:rsidRPr="00721084" w:rsidRDefault="001B2837"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法定代表人：</w:t>
      </w:r>
      <w:r w:rsidR="007C6714" w:rsidRPr="00721084">
        <w:rPr>
          <w:rFonts w:asciiTheme="minorEastAsia" w:eastAsiaTheme="minorEastAsia" w:hAnsiTheme="minorEastAsia" w:hint="eastAsia"/>
          <w:szCs w:val="21"/>
        </w:rPr>
        <w:t>刘晓艳</w:t>
      </w:r>
    </w:p>
    <w:p w:rsidR="001B2837" w:rsidRPr="00721084" w:rsidRDefault="001B2837"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联系电话：4008818088</w:t>
      </w:r>
    </w:p>
    <w:p w:rsidR="001B2837" w:rsidRPr="00721084" w:rsidRDefault="001B2837"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联系人：</w:t>
      </w:r>
      <w:r w:rsidR="009654E2" w:rsidRPr="00721084">
        <w:rPr>
          <w:rFonts w:asciiTheme="minorEastAsia" w:eastAsiaTheme="minorEastAsia" w:hAnsiTheme="minorEastAsia" w:hint="eastAsia"/>
          <w:szCs w:val="21"/>
        </w:rPr>
        <w:t>李红枫</w:t>
      </w:r>
    </w:p>
    <w:p w:rsidR="005E2CA4" w:rsidRPr="00721084" w:rsidRDefault="000E205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注册资本：13,244.2万元人民币</w:t>
      </w:r>
    </w:p>
    <w:p w:rsidR="005E2CA4" w:rsidRPr="00721084" w:rsidRDefault="00D972A4"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2、</w:t>
      </w:r>
      <w:r w:rsidR="005E2CA4" w:rsidRPr="00721084">
        <w:rPr>
          <w:rFonts w:asciiTheme="minorEastAsia" w:eastAsiaTheme="minorEastAsia" w:hAnsiTheme="minorEastAsia" w:hint="eastAsia"/>
        </w:rPr>
        <w:t>股权结构：</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1837"/>
      </w:tblGrid>
      <w:tr w:rsidR="006D35EC" w:rsidRPr="00721084" w:rsidTr="00E01F7D">
        <w:trPr>
          <w:jc w:val="center"/>
        </w:trPr>
        <w:tc>
          <w:tcPr>
            <w:tcW w:w="4643" w:type="dxa"/>
          </w:tcPr>
          <w:p w:rsidR="005E2CA4" w:rsidRPr="00721084" w:rsidRDefault="005E2CA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股东名称</w:t>
            </w:r>
          </w:p>
        </w:tc>
        <w:tc>
          <w:tcPr>
            <w:tcW w:w="1837" w:type="dxa"/>
          </w:tcPr>
          <w:p w:rsidR="005E2CA4" w:rsidRPr="00721084" w:rsidRDefault="005E2CA4"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hint="eastAsia"/>
              </w:rPr>
              <w:t>出资比例</w:t>
            </w:r>
          </w:p>
        </w:tc>
      </w:tr>
      <w:tr w:rsidR="006D35EC" w:rsidRPr="00721084" w:rsidTr="00E01F7D">
        <w:trPr>
          <w:jc w:val="center"/>
        </w:trPr>
        <w:tc>
          <w:tcPr>
            <w:tcW w:w="4643" w:type="dxa"/>
          </w:tcPr>
          <w:p w:rsidR="005E2CA4"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广东粤财信托有限公司</w:t>
            </w:r>
          </w:p>
        </w:tc>
        <w:tc>
          <w:tcPr>
            <w:tcW w:w="1837" w:type="dxa"/>
          </w:tcPr>
          <w:p w:rsidR="005E2CA4"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22.6514％</w:t>
            </w:r>
          </w:p>
        </w:tc>
      </w:tr>
      <w:tr w:rsidR="006D35EC" w:rsidRPr="00721084" w:rsidTr="00E01F7D">
        <w:trPr>
          <w:jc w:val="center"/>
        </w:trPr>
        <w:tc>
          <w:tcPr>
            <w:tcW w:w="4643" w:type="dxa"/>
          </w:tcPr>
          <w:p w:rsidR="005E2CA4" w:rsidRPr="00721084" w:rsidRDefault="000E205E" w:rsidP="00CE3F81">
            <w:pPr>
              <w:pStyle w:val="ab"/>
              <w:snapToGrid w:val="0"/>
              <w:spacing w:after="0"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广发证券股份有限公司</w:t>
            </w:r>
          </w:p>
        </w:tc>
        <w:tc>
          <w:tcPr>
            <w:tcW w:w="1837" w:type="dxa"/>
          </w:tcPr>
          <w:p w:rsidR="005E2CA4"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22.6514％</w:t>
            </w:r>
          </w:p>
        </w:tc>
      </w:tr>
      <w:tr w:rsidR="006D35EC" w:rsidRPr="00721084" w:rsidTr="00E01F7D">
        <w:trPr>
          <w:jc w:val="center"/>
        </w:trPr>
        <w:tc>
          <w:tcPr>
            <w:tcW w:w="4643" w:type="dxa"/>
          </w:tcPr>
          <w:p w:rsidR="005E2CA4" w:rsidRPr="00721084" w:rsidRDefault="000E205E" w:rsidP="00CE3F81">
            <w:pPr>
              <w:pStyle w:val="ab"/>
              <w:snapToGrid w:val="0"/>
              <w:spacing w:after="0"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盈峰控股集团有限公司</w:t>
            </w:r>
          </w:p>
        </w:tc>
        <w:tc>
          <w:tcPr>
            <w:tcW w:w="1837" w:type="dxa"/>
          </w:tcPr>
          <w:p w:rsidR="005E2CA4"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22.6514％</w:t>
            </w:r>
          </w:p>
        </w:tc>
      </w:tr>
      <w:tr w:rsidR="006D35EC" w:rsidRPr="00721084" w:rsidTr="00E01F7D">
        <w:trPr>
          <w:jc w:val="center"/>
        </w:trPr>
        <w:tc>
          <w:tcPr>
            <w:tcW w:w="4643" w:type="dxa"/>
          </w:tcPr>
          <w:p w:rsidR="005E2CA4"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广东省广晟资产经营有限公司</w:t>
            </w:r>
          </w:p>
        </w:tc>
        <w:tc>
          <w:tcPr>
            <w:tcW w:w="1837" w:type="dxa"/>
          </w:tcPr>
          <w:p w:rsidR="005E2CA4"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15.1010％</w:t>
            </w:r>
          </w:p>
        </w:tc>
      </w:tr>
      <w:tr w:rsidR="006D35EC" w:rsidRPr="00721084" w:rsidTr="00E01F7D">
        <w:trPr>
          <w:jc w:val="center"/>
        </w:trPr>
        <w:tc>
          <w:tcPr>
            <w:tcW w:w="4643" w:type="dxa"/>
          </w:tcPr>
          <w:p w:rsidR="005E2CA4"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广州市广永国有资产经营有限公司</w:t>
            </w:r>
          </w:p>
        </w:tc>
        <w:tc>
          <w:tcPr>
            <w:tcW w:w="1837" w:type="dxa"/>
            <w:vAlign w:val="center"/>
          </w:tcPr>
          <w:p w:rsidR="005E2CA4"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7.5505％</w:t>
            </w:r>
          </w:p>
        </w:tc>
      </w:tr>
      <w:tr w:rsidR="006D35EC" w:rsidRPr="00721084" w:rsidTr="00E01F7D">
        <w:trPr>
          <w:jc w:val="center"/>
        </w:trPr>
        <w:tc>
          <w:tcPr>
            <w:tcW w:w="4643" w:type="dxa"/>
          </w:tcPr>
          <w:p w:rsidR="005E2CA4"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珠海祺荣宝股权投资合伙企业（有限合伙）</w:t>
            </w:r>
          </w:p>
        </w:tc>
        <w:tc>
          <w:tcPr>
            <w:tcW w:w="1837" w:type="dxa"/>
          </w:tcPr>
          <w:p w:rsidR="005E2CA4"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1.5087％</w:t>
            </w:r>
          </w:p>
        </w:tc>
      </w:tr>
      <w:tr w:rsidR="000E205E" w:rsidRPr="00721084" w:rsidTr="00E01F7D">
        <w:trPr>
          <w:jc w:val="center"/>
        </w:trPr>
        <w:tc>
          <w:tcPr>
            <w:tcW w:w="4643" w:type="dxa"/>
          </w:tcPr>
          <w:p w:rsidR="000E205E"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珠海祺泰宝股权投资合伙企业（有限合伙）</w:t>
            </w:r>
          </w:p>
        </w:tc>
        <w:tc>
          <w:tcPr>
            <w:tcW w:w="1837" w:type="dxa"/>
          </w:tcPr>
          <w:p w:rsidR="000E205E"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1.6205％</w:t>
            </w:r>
          </w:p>
        </w:tc>
      </w:tr>
      <w:tr w:rsidR="000E205E" w:rsidRPr="00721084" w:rsidTr="00E01F7D">
        <w:trPr>
          <w:jc w:val="center"/>
        </w:trPr>
        <w:tc>
          <w:tcPr>
            <w:tcW w:w="4643" w:type="dxa"/>
          </w:tcPr>
          <w:p w:rsidR="000E205E"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珠海祺丰宝股权投资合伙企业（有限合伙）</w:t>
            </w:r>
          </w:p>
        </w:tc>
        <w:tc>
          <w:tcPr>
            <w:tcW w:w="1837" w:type="dxa"/>
          </w:tcPr>
          <w:p w:rsidR="000E205E"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1.5309％</w:t>
            </w:r>
          </w:p>
        </w:tc>
      </w:tr>
      <w:tr w:rsidR="000E205E" w:rsidRPr="00721084" w:rsidTr="00E01F7D">
        <w:trPr>
          <w:jc w:val="center"/>
        </w:trPr>
        <w:tc>
          <w:tcPr>
            <w:tcW w:w="4643" w:type="dxa"/>
          </w:tcPr>
          <w:p w:rsidR="000E205E"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珠海聚莱康股权投资合伙企业（有限合伙）</w:t>
            </w:r>
          </w:p>
        </w:tc>
        <w:tc>
          <w:tcPr>
            <w:tcW w:w="1837" w:type="dxa"/>
          </w:tcPr>
          <w:p w:rsidR="000E205E"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1.7558％</w:t>
            </w:r>
          </w:p>
        </w:tc>
      </w:tr>
      <w:tr w:rsidR="000E205E" w:rsidRPr="00721084" w:rsidTr="00E01F7D">
        <w:trPr>
          <w:jc w:val="center"/>
        </w:trPr>
        <w:tc>
          <w:tcPr>
            <w:tcW w:w="4643" w:type="dxa"/>
          </w:tcPr>
          <w:p w:rsidR="000E205E"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珠海聚宁康股权投资合伙企业（有限合伙）</w:t>
            </w:r>
          </w:p>
        </w:tc>
        <w:tc>
          <w:tcPr>
            <w:tcW w:w="1837" w:type="dxa"/>
          </w:tcPr>
          <w:p w:rsidR="000E205E"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1.4396％</w:t>
            </w:r>
          </w:p>
        </w:tc>
      </w:tr>
      <w:tr w:rsidR="000E205E" w:rsidRPr="00721084" w:rsidTr="00E01F7D">
        <w:trPr>
          <w:jc w:val="center"/>
        </w:trPr>
        <w:tc>
          <w:tcPr>
            <w:tcW w:w="4643" w:type="dxa"/>
          </w:tcPr>
          <w:p w:rsidR="000E205E"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珠海聚弘康股权投资合伙企业（有限合伙）</w:t>
            </w:r>
          </w:p>
        </w:tc>
        <w:tc>
          <w:tcPr>
            <w:tcW w:w="1837" w:type="dxa"/>
          </w:tcPr>
          <w:p w:rsidR="000E205E"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1.5388％</w:t>
            </w:r>
          </w:p>
        </w:tc>
      </w:tr>
      <w:tr w:rsidR="000E205E" w:rsidRPr="00721084" w:rsidTr="00E01F7D">
        <w:trPr>
          <w:jc w:val="center"/>
        </w:trPr>
        <w:tc>
          <w:tcPr>
            <w:tcW w:w="4643" w:type="dxa"/>
          </w:tcPr>
          <w:p w:rsidR="000E205E" w:rsidRPr="00721084" w:rsidRDefault="000E205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总</w:t>
            </w:r>
            <w:r w:rsidRPr="00721084">
              <w:rPr>
                <w:rFonts w:asciiTheme="minorEastAsia" w:eastAsiaTheme="minorEastAsia" w:hAnsiTheme="minorEastAsia"/>
              </w:rPr>
              <w:t>计</w:t>
            </w:r>
          </w:p>
        </w:tc>
        <w:tc>
          <w:tcPr>
            <w:tcW w:w="1837" w:type="dxa"/>
          </w:tcPr>
          <w:p w:rsidR="000E205E" w:rsidRPr="00721084" w:rsidRDefault="000E205E"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100％</w:t>
            </w:r>
          </w:p>
        </w:tc>
      </w:tr>
    </w:tbl>
    <w:p w:rsidR="005E2CA4" w:rsidRPr="00721084" w:rsidRDefault="00DB485F" w:rsidP="00CE3F81">
      <w:pPr>
        <w:pStyle w:val="2"/>
        <w:snapToGrid w:val="0"/>
        <w:spacing w:beforeLines="0" w:afterLines="0" w:line="360" w:lineRule="auto"/>
        <w:ind w:firstLine="560"/>
        <w:rPr>
          <w:rFonts w:asciiTheme="minorEastAsia" w:eastAsiaTheme="minorEastAsia" w:hAnsiTheme="minorEastAsia" w:cs="仿宋_GB2312"/>
          <w:b w:val="0"/>
          <w:bCs/>
          <w:kern w:val="0"/>
          <w:szCs w:val="24"/>
        </w:rPr>
      </w:pPr>
      <w:bookmarkStart w:id="103" w:name="_Toc209424036"/>
      <w:bookmarkStart w:id="104" w:name="_Toc44351078"/>
      <w:r w:rsidRPr="00721084">
        <w:rPr>
          <w:rFonts w:asciiTheme="minorEastAsia" w:eastAsiaTheme="minorEastAsia" w:hAnsiTheme="minorEastAsia" w:hint="eastAsia"/>
          <w:b w:val="0"/>
          <w:bCs/>
          <w:szCs w:val="21"/>
        </w:rPr>
        <w:t>二、</w:t>
      </w:r>
      <w:r w:rsidR="005E2CA4" w:rsidRPr="00721084">
        <w:rPr>
          <w:rFonts w:asciiTheme="minorEastAsia" w:eastAsiaTheme="minorEastAsia" w:hAnsiTheme="minorEastAsia"/>
          <w:b w:val="0"/>
          <w:bCs/>
          <w:szCs w:val="21"/>
        </w:rPr>
        <w:t>主要人员情况</w:t>
      </w:r>
      <w:bookmarkEnd w:id="103"/>
      <w:bookmarkEnd w:id="104"/>
    </w:p>
    <w:p w:rsidR="005E2CA4" w:rsidRPr="00721084" w:rsidRDefault="005E2CA4" w:rsidP="0038273C">
      <w:pPr>
        <w:pStyle w:val="af1"/>
        <w:adjustRightInd w:val="0"/>
        <w:snapToGrid w:val="0"/>
        <w:spacing w:line="360" w:lineRule="auto"/>
        <w:ind w:firstLine="420"/>
        <w:textAlignment w:val="baseline"/>
        <w:rPr>
          <w:rFonts w:asciiTheme="minorEastAsia" w:eastAsiaTheme="minorEastAsia" w:hAnsiTheme="minorEastAsia"/>
          <w:kern w:val="0"/>
          <w:szCs w:val="20"/>
        </w:rPr>
      </w:pPr>
      <w:r w:rsidRPr="00721084">
        <w:rPr>
          <w:rFonts w:asciiTheme="minorEastAsia" w:eastAsiaTheme="minorEastAsia" w:hAnsiTheme="minorEastAsia" w:hint="eastAsia"/>
          <w:kern w:val="0"/>
          <w:szCs w:val="20"/>
        </w:rPr>
        <w:t>1</w:t>
      </w:r>
      <w:r w:rsidR="00D972A4" w:rsidRPr="00721084">
        <w:rPr>
          <w:rFonts w:asciiTheme="minorEastAsia" w:eastAsiaTheme="minorEastAsia" w:hAnsiTheme="minorEastAsia" w:hint="eastAsia"/>
          <w:kern w:val="0"/>
          <w:szCs w:val="20"/>
        </w:rPr>
        <w:t>、</w:t>
      </w:r>
      <w:r w:rsidRPr="00721084">
        <w:rPr>
          <w:rFonts w:asciiTheme="minorEastAsia" w:eastAsiaTheme="minorEastAsia" w:hAnsiTheme="minorEastAsia" w:hint="eastAsia"/>
          <w:kern w:val="0"/>
          <w:szCs w:val="20"/>
        </w:rPr>
        <w:t>董事、监事及高级管理人员</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lastRenderedPageBreak/>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w:t>
      </w:r>
      <w:r w:rsidRPr="00721084">
        <w:rPr>
          <w:rFonts w:asciiTheme="minorEastAsia" w:eastAsiaTheme="minorEastAsia" w:hAnsiTheme="minorEastAsia" w:cs="Times New Roman" w:hint="eastAsia"/>
          <w:szCs w:val="24"/>
        </w:rPr>
        <w:lastRenderedPageBreak/>
        <w:t>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w:t>
      </w:r>
      <w:r w:rsidRPr="00721084">
        <w:rPr>
          <w:rFonts w:asciiTheme="minorEastAsia" w:eastAsiaTheme="minorEastAsia" w:hAnsiTheme="minorEastAsia" w:cs="Times New Roman" w:hint="eastAsia"/>
          <w:szCs w:val="24"/>
        </w:rPr>
        <w:lastRenderedPageBreak/>
        <w:t>事。现任易方达基金管理有限公司常务副总裁，易方达国际控股有限公司董事。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马骏先生，工商管理硕士（EMBA），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RQFII）业务负责人、证券交易负责人员（RO）、就证券提供意见负责人员（RO）、提供资产管理负责人员（RO）、固定收益投资决策委员会委员、产品审批委员会委员。</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张南女士，经济学博士，督察长。曾任广东省经济贸易委员会主任科员、副处长，易方达基金管理有限公司市场拓展部副总经理、监察部总经理。现任易方达基金管理有限公司督察长。</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高松凡先生，工商管理硕士（EMBA），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关秀霞女士，工商管理硕士、金融学硕士，副总经理级高级管理人员。曾任中国银行（香港）有限公司分析员，Daniel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w:t>
      </w:r>
      <w:r w:rsidRPr="00721084">
        <w:rPr>
          <w:rFonts w:asciiTheme="minorEastAsia" w:eastAsiaTheme="minorEastAsia" w:hAnsiTheme="minorEastAsia" w:cs="Times New Roman" w:hint="eastAsia"/>
          <w:szCs w:val="24"/>
        </w:rPr>
        <w:lastRenderedPageBreak/>
        <w:t>理有限公司副总经理级高级管理人员。</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721084"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C90662" w:rsidRPr="00721084" w:rsidRDefault="00721084" w:rsidP="00721084">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2465F1" w:rsidRPr="00721084" w:rsidRDefault="002465F1" w:rsidP="00D87C43">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szCs w:val="24"/>
        </w:rPr>
        <w:t>2、基金经理</w:t>
      </w:r>
    </w:p>
    <w:p w:rsidR="00BE2826" w:rsidRPr="00721084"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张坤先生，理学硕士。曾任易方达基金管理有限公司行业研究员、基金经理助理、研究部总经理助理。现任易方达基金管理有限公司副总经理级高级管理人员、权益投资决策委员会委员、易方达中小盘混合型证券投资基金基金经理（自2012年9月28日起任职）、易方达亚洲精选股票型证券投资基金基金经理（自2014年4月8日起任职）、易方达新丝路灵活配置混合型证券投资基金基金经理（自2015年11月7日起任职）、易方达蓝筹精选混合型证券投资基金基金经理（自2018年9月5日起任职）、易方达优质企业三年持有期混合型证券投资基金基金经理（自2020年6月17日起任职）。</w:t>
      </w:r>
    </w:p>
    <w:p w:rsidR="00BE2826" w:rsidRPr="00721084"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本基金历任基金经理情况：李弋</w:t>
      </w:r>
      <w:r w:rsidR="00974FCA">
        <w:rPr>
          <w:rFonts w:asciiTheme="minorEastAsia" w:eastAsiaTheme="minorEastAsia" w:hAnsiTheme="minorEastAsia" w:cs="Times New Roman" w:hint="eastAsia"/>
          <w:szCs w:val="24"/>
        </w:rPr>
        <w:t>女士</w:t>
      </w:r>
      <w:r w:rsidRPr="00721084">
        <w:rPr>
          <w:rFonts w:asciiTheme="minorEastAsia" w:eastAsiaTheme="minorEastAsia" w:hAnsiTheme="minorEastAsia" w:cs="Times New Roman" w:hint="eastAsia"/>
          <w:szCs w:val="24"/>
        </w:rPr>
        <w:t>，管理时间为2010年1月21日至2012年1月12日；张小刚先生，管理时间为2010年1月21日至2012年5月17日；GuanYu(管宇)先生，管理时间为2012年1月1日至2014年4月7日。</w:t>
      </w:r>
    </w:p>
    <w:p w:rsidR="00BE2826" w:rsidRPr="00721084"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3、权益投资决策委员会成员</w:t>
      </w:r>
    </w:p>
    <w:p w:rsidR="00BE2826" w:rsidRPr="00721084"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本公司权益投资决策委员会成员包括：吴欣荣先生、冯波先生、陈皓先生、张坤先生、孙松先生、付浩先生。</w:t>
      </w:r>
    </w:p>
    <w:p w:rsidR="00BE2826" w:rsidRPr="00721084"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吴欣荣先生，同上。</w:t>
      </w:r>
    </w:p>
    <w:p w:rsidR="00BE2826" w:rsidRPr="00721084"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lastRenderedPageBreak/>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BE2826" w:rsidRPr="00721084"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rsidR="00BE2826" w:rsidRPr="00721084"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张坤先生，同上。</w:t>
      </w:r>
    </w:p>
    <w:p w:rsidR="00BE2826" w:rsidRPr="00721084" w:rsidRDefault="00BE2826" w:rsidP="00BE2826">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5E2802" w:rsidRPr="00721084" w:rsidRDefault="00BE2826" w:rsidP="00D87C43">
      <w:pPr>
        <w:pStyle w:val="af1"/>
        <w:adjustRightInd w:val="0"/>
        <w:snapToGrid w:val="0"/>
        <w:spacing w:line="360" w:lineRule="auto"/>
        <w:ind w:firstLine="420"/>
        <w:textAlignment w:val="baseline"/>
        <w:rPr>
          <w:rFonts w:asciiTheme="minorEastAsia" w:eastAsiaTheme="minorEastAsia" w:hAnsiTheme="minorEastAsia" w:cs="Times New Roman"/>
          <w:szCs w:val="24"/>
        </w:rPr>
      </w:pPr>
      <w:r w:rsidRPr="00721084">
        <w:rPr>
          <w:rFonts w:asciiTheme="minorEastAsia" w:eastAsiaTheme="minorEastAsia" w:hAnsiTheme="minorEastAsia" w:cs="Times New Roman" w:hint="eastAsia"/>
          <w:szCs w:val="24"/>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3年封闭运作战略配售灵活配置混合型证券投资基金（LOF）基金经理</w:t>
      </w:r>
      <w:r w:rsidR="002465F1" w:rsidRPr="00721084">
        <w:rPr>
          <w:rFonts w:asciiTheme="minorEastAsia" w:eastAsiaTheme="minorEastAsia" w:hAnsiTheme="minorEastAsia" w:cs="Times New Roman"/>
          <w:szCs w:val="24"/>
        </w:rPr>
        <w:t>。</w:t>
      </w:r>
    </w:p>
    <w:p w:rsidR="0064594E" w:rsidRPr="00721084" w:rsidRDefault="0064594E" w:rsidP="00D87C43">
      <w:pPr>
        <w:pStyle w:val="af1"/>
        <w:adjustRightInd w:val="0"/>
        <w:snapToGrid w:val="0"/>
        <w:spacing w:line="360" w:lineRule="auto"/>
        <w:ind w:firstLine="420"/>
        <w:textAlignment w:val="baseline"/>
        <w:rPr>
          <w:rFonts w:asciiTheme="minorEastAsia" w:eastAsiaTheme="minorEastAsia" w:hAnsiTheme="minorEastAsia"/>
        </w:rPr>
      </w:pPr>
      <w:r w:rsidRPr="00721084">
        <w:rPr>
          <w:rFonts w:asciiTheme="minorEastAsia" w:eastAsiaTheme="minorEastAsia" w:hAnsiTheme="minorEastAsia" w:cs="Times New Roman"/>
          <w:szCs w:val="24"/>
        </w:rPr>
        <w:t>4</w:t>
      </w:r>
      <w:r w:rsidR="00D972A4" w:rsidRPr="00721084">
        <w:rPr>
          <w:rFonts w:asciiTheme="minorEastAsia" w:eastAsiaTheme="minorEastAsia" w:hAnsiTheme="minorEastAsia" w:cs="Times New Roman" w:hint="eastAsia"/>
          <w:szCs w:val="24"/>
        </w:rPr>
        <w:t>、</w:t>
      </w:r>
      <w:r w:rsidRPr="00721084">
        <w:rPr>
          <w:rFonts w:asciiTheme="minorEastAsia" w:eastAsiaTheme="minorEastAsia" w:hAnsiTheme="minorEastAsia" w:cs="Times New Roman" w:hint="eastAsia"/>
          <w:szCs w:val="24"/>
        </w:rPr>
        <w:t>上述人员之间均不存在近亲属关系。</w:t>
      </w:r>
    </w:p>
    <w:p w:rsidR="0064594E" w:rsidRPr="00721084" w:rsidRDefault="0064594E" w:rsidP="00CE3F81">
      <w:pPr>
        <w:pStyle w:val="2"/>
        <w:snapToGrid w:val="0"/>
        <w:spacing w:beforeLines="0" w:afterLines="0" w:line="360" w:lineRule="auto"/>
        <w:ind w:firstLine="420"/>
        <w:rPr>
          <w:rFonts w:asciiTheme="minorEastAsia" w:eastAsiaTheme="minorEastAsia" w:hAnsiTheme="minorEastAsia" w:cs="仿宋_GB2312"/>
          <w:b w:val="0"/>
          <w:bCs/>
          <w:sz w:val="21"/>
          <w:szCs w:val="21"/>
        </w:rPr>
      </w:pPr>
      <w:bookmarkStart w:id="105" w:name="_Toc133292565"/>
      <w:bookmarkStart w:id="106" w:name="_Toc163189522"/>
      <w:bookmarkStart w:id="107" w:name="_Toc44351079"/>
      <w:r w:rsidRPr="00721084">
        <w:rPr>
          <w:rFonts w:asciiTheme="minorEastAsia" w:eastAsiaTheme="minorEastAsia" w:hAnsiTheme="minorEastAsia" w:hint="eastAsia"/>
          <w:b w:val="0"/>
          <w:bCs/>
          <w:sz w:val="21"/>
          <w:szCs w:val="21"/>
        </w:rPr>
        <w:t>三</w:t>
      </w:r>
      <w:r w:rsidR="00581D5A" w:rsidRPr="00721084">
        <w:rPr>
          <w:rFonts w:asciiTheme="minorEastAsia" w:eastAsiaTheme="minorEastAsia" w:hAnsiTheme="minorEastAsia" w:hint="eastAsia"/>
          <w:b w:val="0"/>
          <w:bCs/>
          <w:sz w:val="21"/>
          <w:szCs w:val="21"/>
        </w:rPr>
        <w:t>、</w:t>
      </w:r>
      <w:r w:rsidRPr="00721084">
        <w:rPr>
          <w:rFonts w:asciiTheme="minorEastAsia" w:eastAsiaTheme="minorEastAsia" w:hAnsiTheme="minorEastAsia"/>
          <w:b w:val="0"/>
          <w:bCs/>
          <w:sz w:val="21"/>
          <w:szCs w:val="21"/>
        </w:rPr>
        <w:t>基金管理人的职责</w:t>
      </w:r>
      <w:bookmarkEnd w:id="105"/>
      <w:bookmarkEnd w:id="106"/>
      <w:bookmarkEnd w:id="107"/>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1、</w:t>
      </w:r>
      <w:r w:rsidR="00EF7582" w:rsidRPr="00721084">
        <w:rPr>
          <w:rFonts w:asciiTheme="minorEastAsia" w:eastAsiaTheme="minorEastAsia" w:hAnsiTheme="minorEastAsia" w:hint="eastAsia"/>
          <w:szCs w:val="21"/>
        </w:rPr>
        <w:t>依法募集资金，办理基金份额的发售和登记事宜；</w:t>
      </w:r>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2、</w:t>
      </w:r>
      <w:r w:rsidR="0064594E" w:rsidRPr="00721084">
        <w:rPr>
          <w:rFonts w:asciiTheme="minorEastAsia" w:eastAsiaTheme="minorEastAsia" w:hAnsiTheme="minorEastAsia"/>
          <w:szCs w:val="21"/>
        </w:rPr>
        <w:t>办理基金备案手续；</w:t>
      </w:r>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3、</w:t>
      </w:r>
      <w:r w:rsidR="0064594E" w:rsidRPr="00721084">
        <w:rPr>
          <w:rFonts w:asciiTheme="minorEastAsia" w:eastAsiaTheme="minorEastAsia" w:hAnsiTheme="minorEastAsia"/>
          <w:szCs w:val="21"/>
        </w:rPr>
        <w:t>对所管理的不同基金财产分别管理、分别记账，进行证券投资；</w:t>
      </w:r>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4、</w:t>
      </w:r>
      <w:r w:rsidR="0064594E" w:rsidRPr="00721084">
        <w:rPr>
          <w:rFonts w:asciiTheme="minorEastAsia" w:eastAsiaTheme="minorEastAsia" w:hAnsiTheme="minorEastAsia"/>
          <w:szCs w:val="21"/>
        </w:rPr>
        <w:t>按照基金合同的约定确定基金收益分配方案，及时向基金份额持有人分配收益；</w:t>
      </w:r>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5、</w:t>
      </w:r>
      <w:r w:rsidR="0064594E" w:rsidRPr="00721084">
        <w:rPr>
          <w:rFonts w:asciiTheme="minorEastAsia" w:eastAsiaTheme="minorEastAsia" w:hAnsiTheme="minorEastAsia"/>
          <w:szCs w:val="21"/>
        </w:rPr>
        <w:t>进行基金会计核算并编制基金财务会计报告；</w:t>
      </w:r>
    </w:p>
    <w:p w:rsidR="00CD0A27" w:rsidRPr="00721084" w:rsidRDefault="00CD0A27" w:rsidP="00CD0A27">
      <w:pPr>
        <w:snapToGrid w:val="0"/>
        <w:spacing w:line="360" w:lineRule="auto"/>
        <w:ind w:firstLineChars="200" w:firstLine="420"/>
        <w:rPr>
          <w:rStyle w:val="da"/>
          <w:rFonts w:asciiTheme="minorEastAsia" w:eastAsiaTheme="minorEastAsia" w:hAnsiTheme="minorEastAsia"/>
        </w:rPr>
      </w:pPr>
      <w:r w:rsidRPr="00721084">
        <w:rPr>
          <w:rStyle w:val="da"/>
          <w:rFonts w:asciiTheme="minorEastAsia" w:eastAsiaTheme="minorEastAsia" w:hAnsiTheme="minorEastAsia" w:hint="eastAsia"/>
        </w:rPr>
        <w:lastRenderedPageBreak/>
        <w:t>6、编制季度报告、中期报告和年度报告；</w:t>
      </w:r>
    </w:p>
    <w:p w:rsidR="00CD0A27" w:rsidRPr="00721084" w:rsidRDefault="00CD0A27" w:rsidP="00CD0A27">
      <w:pPr>
        <w:snapToGrid w:val="0"/>
        <w:spacing w:line="360" w:lineRule="auto"/>
        <w:ind w:firstLineChars="200" w:firstLine="420"/>
        <w:rPr>
          <w:rStyle w:val="da"/>
          <w:rFonts w:asciiTheme="minorEastAsia" w:eastAsiaTheme="minorEastAsia" w:hAnsiTheme="minorEastAsia"/>
        </w:rPr>
      </w:pPr>
      <w:r w:rsidRPr="00721084">
        <w:rPr>
          <w:rStyle w:val="da"/>
          <w:rFonts w:asciiTheme="minorEastAsia" w:eastAsiaTheme="minorEastAsia" w:hAnsiTheme="minorEastAsia" w:hint="eastAsia"/>
        </w:rPr>
        <w:t>7、计算并公告基金净值信息，确定基金份额申购、赎回价格；</w:t>
      </w:r>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8、</w:t>
      </w:r>
      <w:r w:rsidR="0064594E" w:rsidRPr="00721084">
        <w:rPr>
          <w:rFonts w:asciiTheme="minorEastAsia" w:eastAsiaTheme="minorEastAsia" w:hAnsiTheme="minorEastAsia"/>
          <w:szCs w:val="21"/>
        </w:rPr>
        <w:t>办理与基金财产管理业务活动有关的信息披露事项；</w:t>
      </w:r>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9、</w:t>
      </w:r>
      <w:r w:rsidR="00EF7582" w:rsidRPr="00721084">
        <w:rPr>
          <w:rFonts w:asciiTheme="minorEastAsia" w:eastAsiaTheme="minorEastAsia" w:hAnsiTheme="minorEastAsia" w:hint="eastAsia"/>
          <w:szCs w:val="21"/>
        </w:rPr>
        <w:t>按照规定</w:t>
      </w:r>
      <w:r w:rsidR="0064594E" w:rsidRPr="00721084">
        <w:rPr>
          <w:rFonts w:asciiTheme="minorEastAsia" w:eastAsiaTheme="minorEastAsia" w:hAnsiTheme="minorEastAsia"/>
          <w:szCs w:val="21"/>
        </w:rPr>
        <w:t>召集基金份额持有人大会；</w:t>
      </w:r>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10、</w:t>
      </w:r>
      <w:r w:rsidR="003E5AE2" w:rsidRPr="00721084">
        <w:rPr>
          <w:rFonts w:asciiTheme="minorEastAsia" w:eastAsiaTheme="minorEastAsia" w:hAnsiTheme="minorEastAsia" w:hint="eastAsia"/>
          <w:szCs w:val="21"/>
        </w:rPr>
        <w:t>保存</w:t>
      </w:r>
      <w:r w:rsidR="0064594E" w:rsidRPr="00721084">
        <w:rPr>
          <w:rFonts w:asciiTheme="minorEastAsia" w:eastAsiaTheme="minorEastAsia" w:hAnsiTheme="minorEastAsia" w:hint="eastAsia"/>
          <w:szCs w:val="21"/>
        </w:rPr>
        <w:t>基</w:t>
      </w:r>
      <w:r w:rsidR="0064594E" w:rsidRPr="00721084">
        <w:rPr>
          <w:rFonts w:asciiTheme="minorEastAsia" w:eastAsiaTheme="minorEastAsia" w:hAnsiTheme="minorEastAsia"/>
          <w:szCs w:val="21"/>
        </w:rPr>
        <w:t>金财产管理业务活动的记录、账册、报表和其他相关资料；</w:t>
      </w:r>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11、</w:t>
      </w:r>
      <w:r w:rsidR="0064594E" w:rsidRPr="00721084">
        <w:rPr>
          <w:rFonts w:asciiTheme="minorEastAsia" w:eastAsiaTheme="minorEastAsia" w:hAnsiTheme="minorEastAsia"/>
          <w:szCs w:val="21"/>
        </w:rPr>
        <w:t>以基金管理人名义，代表基金份额持有人利益行使诉讼权利或者实施其他法律行为；</w:t>
      </w:r>
    </w:p>
    <w:p w:rsidR="00BD556F"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12、</w:t>
      </w:r>
      <w:r w:rsidR="003E66A8" w:rsidRPr="00721084">
        <w:rPr>
          <w:rFonts w:asciiTheme="minorEastAsia" w:eastAsiaTheme="minorEastAsia" w:hAnsiTheme="minorEastAsia"/>
          <w:szCs w:val="21"/>
        </w:rPr>
        <w:t>选择、更换</w:t>
      </w:r>
      <w:r w:rsidR="003E66A8" w:rsidRPr="00721084">
        <w:rPr>
          <w:rFonts w:asciiTheme="minorEastAsia" w:eastAsiaTheme="minorEastAsia" w:hAnsiTheme="minorEastAsia" w:hint="eastAsia"/>
          <w:szCs w:val="21"/>
        </w:rPr>
        <w:t>或撤销</w:t>
      </w:r>
      <w:r w:rsidR="003E66A8" w:rsidRPr="00721084">
        <w:rPr>
          <w:rFonts w:asciiTheme="minorEastAsia" w:eastAsiaTheme="minorEastAsia" w:hAnsiTheme="minorEastAsia"/>
          <w:szCs w:val="21"/>
        </w:rPr>
        <w:t>境外投资顾问</w:t>
      </w:r>
      <w:r w:rsidR="00BD556F" w:rsidRPr="00721084">
        <w:rPr>
          <w:rFonts w:asciiTheme="minorEastAsia" w:eastAsiaTheme="minorEastAsia" w:hAnsiTheme="minorEastAsia" w:hint="eastAsia"/>
          <w:szCs w:val="21"/>
        </w:rPr>
        <w:t>；</w:t>
      </w:r>
    </w:p>
    <w:p w:rsidR="0064594E" w:rsidRPr="00721084" w:rsidRDefault="00D972A4" w:rsidP="00D972A4">
      <w:pPr>
        <w:pStyle w:val="af"/>
        <w:autoSpaceDE w:val="0"/>
        <w:autoSpaceDN w:val="0"/>
        <w:adjustRightInd w:val="0"/>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13、</w:t>
      </w:r>
      <w:r w:rsidR="0064594E" w:rsidRPr="00721084">
        <w:rPr>
          <w:rFonts w:asciiTheme="minorEastAsia" w:eastAsiaTheme="minorEastAsia" w:hAnsiTheme="minorEastAsia"/>
          <w:szCs w:val="21"/>
        </w:rPr>
        <w:t>国务院证券监督管理机构规定的其他职责。</w:t>
      </w:r>
    </w:p>
    <w:p w:rsidR="0064594E" w:rsidRPr="00721084" w:rsidRDefault="0064594E" w:rsidP="00CE3F81">
      <w:pPr>
        <w:pStyle w:val="2"/>
        <w:snapToGrid w:val="0"/>
        <w:spacing w:beforeLines="0" w:afterLines="0" w:line="360" w:lineRule="auto"/>
        <w:ind w:firstLine="420"/>
        <w:rPr>
          <w:rFonts w:asciiTheme="minorEastAsia" w:eastAsiaTheme="minorEastAsia" w:hAnsiTheme="minorEastAsia"/>
          <w:b w:val="0"/>
          <w:sz w:val="21"/>
          <w:szCs w:val="21"/>
        </w:rPr>
      </w:pPr>
      <w:bookmarkStart w:id="108" w:name="_Toc133292566"/>
      <w:bookmarkStart w:id="109" w:name="_Toc163189523"/>
      <w:bookmarkStart w:id="110" w:name="_Toc44351080"/>
      <w:r w:rsidRPr="00721084">
        <w:rPr>
          <w:rFonts w:asciiTheme="minorEastAsia" w:eastAsiaTheme="minorEastAsia" w:hAnsiTheme="minorEastAsia" w:hint="eastAsia"/>
          <w:b w:val="0"/>
          <w:bCs/>
          <w:sz w:val="21"/>
          <w:szCs w:val="21"/>
        </w:rPr>
        <w:t>四</w:t>
      </w:r>
      <w:r w:rsidR="00581D5A" w:rsidRPr="00721084">
        <w:rPr>
          <w:rFonts w:asciiTheme="minorEastAsia" w:eastAsiaTheme="minorEastAsia" w:hAnsiTheme="minorEastAsia" w:hint="eastAsia"/>
          <w:b w:val="0"/>
          <w:bCs/>
          <w:sz w:val="21"/>
          <w:szCs w:val="21"/>
        </w:rPr>
        <w:t>、</w:t>
      </w:r>
      <w:r w:rsidRPr="00721084">
        <w:rPr>
          <w:rFonts w:asciiTheme="minorEastAsia" w:eastAsiaTheme="minorEastAsia" w:hAnsiTheme="minorEastAsia"/>
          <w:b w:val="0"/>
          <w:bCs/>
          <w:sz w:val="21"/>
          <w:szCs w:val="21"/>
        </w:rPr>
        <w:t>基金管理人的承诺</w:t>
      </w:r>
      <w:bookmarkEnd w:id="108"/>
      <w:bookmarkEnd w:id="109"/>
      <w:bookmarkEnd w:id="110"/>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1</w:t>
      </w:r>
      <w:r w:rsidR="00D972A4" w:rsidRPr="00721084">
        <w:rPr>
          <w:rFonts w:asciiTheme="minorEastAsia" w:eastAsiaTheme="minorEastAsia" w:hAnsiTheme="minorEastAsia" w:hint="eastAsia"/>
          <w:kern w:val="0"/>
          <w:szCs w:val="21"/>
        </w:rPr>
        <w:t>、</w:t>
      </w:r>
      <w:r w:rsidRPr="00721084">
        <w:rPr>
          <w:rFonts w:asciiTheme="minorEastAsia" w:eastAsiaTheme="minorEastAsia" w:hAnsiTheme="minorEastAsia"/>
          <w:szCs w:val="2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kern w:val="0"/>
          <w:szCs w:val="21"/>
        </w:rPr>
        <w:t>2</w:t>
      </w:r>
      <w:r w:rsidR="00D972A4" w:rsidRPr="00721084">
        <w:rPr>
          <w:rFonts w:asciiTheme="minorEastAsia" w:eastAsiaTheme="minorEastAsia" w:hAnsiTheme="minorEastAsia" w:hint="eastAsia"/>
          <w:kern w:val="0"/>
          <w:szCs w:val="21"/>
        </w:rPr>
        <w:t>、</w:t>
      </w:r>
      <w:r w:rsidRPr="00721084">
        <w:rPr>
          <w:rFonts w:asciiTheme="minorEastAsia" w:eastAsiaTheme="minorEastAsia" w:hAnsiTheme="minorEastAsia"/>
          <w:szCs w:val="21"/>
        </w:rPr>
        <w:t>本</w:t>
      </w:r>
      <w:r w:rsidRPr="00721084">
        <w:rPr>
          <w:rFonts w:asciiTheme="minorEastAsia" w:eastAsiaTheme="minorEastAsia" w:hAnsiTheme="minorEastAsia" w:hint="eastAsia"/>
          <w:szCs w:val="21"/>
        </w:rPr>
        <w:t>基金管理人承诺严格遵守《证券法》、《基金法》及有关法律法规，建立健全内部控</w:t>
      </w:r>
      <w:r w:rsidRPr="00721084">
        <w:rPr>
          <w:rFonts w:asciiTheme="minorEastAsia" w:eastAsiaTheme="minorEastAsia" w:hAnsiTheme="minorEastAsia"/>
          <w:szCs w:val="21"/>
        </w:rPr>
        <w:t>制制度，采取有效措施，防止下列行为发生：</w:t>
      </w:r>
    </w:p>
    <w:p w:rsidR="00307EB1" w:rsidRPr="00721084"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（1）</w:t>
      </w:r>
      <w:r w:rsidR="00307EB1" w:rsidRPr="00721084">
        <w:rPr>
          <w:rFonts w:asciiTheme="minorEastAsia" w:eastAsiaTheme="minorEastAsia" w:hAnsiTheme="minorEastAsia" w:hint="eastAsia"/>
          <w:kern w:val="0"/>
          <w:szCs w:val="21"/>
        </w:rPr>
        <w:t>将其固有财产或者他人财产混同于基金财产从事证券投资；</w:t>
      </w:r>
    </w:p>
    <w:p w:rsidR="00307EB1" w:rsidRPr="00721084"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（2）</w:t>
      </w:r>
      <w:r w:rsidR="00307EB1" w:rsidRPr="00721084">
        <w:rPr>
          <w:rFonts w:asciiTheme="minorEastAsia" w:eastAsiaTheme="minorEastAsia" w:hAnsiTheme="minorEastAsia" w:hint="eastAsia"/>
          <w:kern w:val="0"/>
          <w:szCs w:val="21"/>
        </w:rPr>
        <w:t>不公平地对待其管理的不同基金财产；</w:t>
      </w:r>
    </w:p>
    <w:p w:rsidR="00307EB1" w:rsidRPr="00721084"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（3）</w:t>
      </w:r>
      <w:r w:rsidR="00307EB1" w:rsidRPr="00721084">
        <w:rPr>
          <w:rFonts w:asciiTheme="minorEastAsia" w:eastAsiaTheme="minorEastAsia" w:hAnsiTheme="minorEastAsia" w:hint="eastAsia"/>
          <w:kern w:val="0"/>
          <w:szCs w:val="21"/>
        </w:rPr>
        <w:t>利用基金财产</w:t>
      </w:r>
      <w:r w:rsidR="00EF7582" w:rsidRPr="00721084">
        <w:rPr>
          <w:rFonts w:asciiTheme="minorEastAsia" w:eastAsiaTheme="minorEastAsia" w:hAnsiTheme="minorEastAsia" w:hint="eastAsia"/>
          <w:kern w:val="0"/>
          <w:szCs w:val="21"/>
        </w:rPr>
        <w:t>或者职务之便</w:t>
      </w:r>
      <w:r w:rsidR="00307EB1" w:rsidRPr="00721084">
        <w:rPr>
          <w:rFonts w:asciiTheme="minorEastAsia" w:eastAsiaTheme="minorEastAsia" w:hAnsiTheme="minorEastAsia" w:hint="eastAsia"/>
          <w:kern w:val="0"/>
          <w:szCs w:val="21"/>
        </w:rPr>
        <w:t>为基金份额持有人以外的第三人谋取利益；</w:t>
      </w:r>
    </w:p>
    <w:p w:rsidR="00307EB1" w:rsidRPr="00721084"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（4）</w:t>
      </w:r>
      <w:r w:rsidR="00307EB1" w:rsidRPr="00721084">
        <w:rPr>
          <w:rFonts w:asciiTheme="minorEastAsia" w:eastAsiaTheme="minorEastAsia" w:hAnsiTheme="minorEastAsia" w:hint="eastAsia"/>
          <w:kern w:val="0"/>
          <w:szCs w:val="21"/>
        </w:rPr>
        <w:t>向基金份额持有人违规承诺收益或者承担损失；</w:t>
      </w:r>
    </w:p>
    <w:p w:rsidR="00EF7582" w:rsidRPr="00721084" w:rsidRDefault="00D972A4"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（5）</w:t>
      </w:r>
      <w:r w:rsidR="00EF7582" w:rsidRPr="00721084">
        <w:rPr>
          <w:rFonts w:asciiTheme="minorEastAsia" w:eastAsiaTheme="minorEastAsia" w:hAnsiTheme="minorEastAsia" w:hint="eastAsia"/>
          <w:kern w:val="0"/>
          <w:szCs w:val="21"/>
        </w:rPr>
        <w:t>侵占、挪用基金财产；</w:t>
      </w:r>
    </w:p>
    <w:p w:rsidR="00EF7582" w:rsidRPr="00721084" w:rsidRDefault="00EF7582"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（6）泄露因职务便利获取的未公开信息、利用该信息从事或者明示、暗示他人从事相关的交易活动；</w:t>
      </w:r>
    </w:p>
    <w:p w:rsidR="00EF7582" w:rsidRPr="00721084" w:rsidRDefault="00EF7582"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（7）玩忽职守，不按照规定履行职责；</w:t>
      </w:r>
    </w:p>
    <w:p w:rsidR="0064594E" w:rsidRPr="00721084" w:rsidRDefault="00EF7582" w:rsidP="00D972A4">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（8）法律、行政法规和中国证监会规定禁止的其他行为。</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3</w:t>
      </w:r>
      <w:r w:rsidR="00D972A4" w:rsidRPr="00721084">
        <w:rPr>
          <w:rFonts w:asciiTheme="minorEastAsia" w:eastAsiaTheme="minorEastAsia" w:hAnsiTheme="minorEastAsia" w:hint="eastAsia"/>
          <w:kern w:val="0"/>
          <w:szCs w:val="21"/>
        </w:rPr>
        <w:t>、</w:t>
      </w:r>
      <w:r w:rsidRPr="00721084">
        <w:rPr>
          <w:rFonts w:asciiTheme="minorEastAsia" w:eastAsiaTheme="minorEastAsia" w:hAnsiTheme="minorEastAsia"/>
          <w:kern w:val="0"/>
          <w:szCs w:val="21"/>
        </w:rPr>
        <w:t>本基金管理人承诺加强人员管理，强化职业操守，督促和约束员工遵守国家有关法律、法规及行业规范，诚实信用、勤勉尽责，不从事以下活动：</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（1）越权或违规经营；</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（2）违反基金合同或托管协议；</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（3）故意损害基金份额持有人或其他基金相关机构的合法利益；</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（4）在向中国证监会报送的资料中弄虚作假；</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（5）拒绝、干扰、阻挠或严重影响中国证监会依法监管；</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（6）玩忽职守、滥用职权；</w:t>
      </w:r>
    </w:p>
    <w:p w:rsidR="0064594E" w:rsidRPr="00721084"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（7）违反现行有效的有关法律、法规、规章、基金合同和中国证监会的有关规定，泄漏在任职期间知悉的有关证券、基金的商业秘密，尚未依法公开的基金投资内容、基金投资计划等信息；</w:t>
      </w:r>
    </w:p>
    <w:p w:rsidR="0064594E" w:rsidRPr="00721084"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lastRenderedPageBreak/>
        <w:t>（8）违反证券交易场所业务规则，利用对敲、倒仓等手段操纵市场价格，扰乱市场秩序；</w:t>
      </w:r>
    </w:p>
    <w:p w:rsidR="0064594E" w:rsidRPr="00721084"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（9）贬损同行，以抬高自己；</w:t>
      </w:r>
    </w:p>
    <w:p w:rsidR="00A4329B" w:rsidRPr="00721084"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（10）以不正当手段谋求业务发展；</w:t>
      </w:r>
    </w:p>
    <w:p w:rsidR="0064594E" w:rsidRPr="00721084"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（11）有悖社会公德，损害证券投资基金人员形象；</w:t>
      </w:r>
    </w:p>
    <w:p w:rsidR="0064594E" w:rsidRPr="00721084"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（12）在公开信息披露和广告中故意含有虚假、误导、欺诈成分；</w:t>
      </w:r>
    </w:p>
    <w:p w:rsidR="0064594E" w:rsidRPr="00721084" w:rsidRDefault="0064594E" w:rsidP="00CE3F81">
      <w:pPr>
        <w:tabs>
          <w:tab w:val="left" w:pos="851"/>
        </w:tabs>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（13）其他法律、行政法规以及中国证监会禁止的行为。</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4</w:t>
      </w:r>
      <w:r w:rsidR="00D972A4" w:rsidRPr="00721084">
        <w:rPr>
          <w:rFonts w:asciiTheme="minorEastAsia" w:eastAsiaTheme="minorEastAsia" w:hAnsiTheme="minorEastAsia" w:hint="eastAsia"/>
          <w:kern w:val="0"/>
          <w:szCs w:val="21"/>
        </w:rPr>
        <w:t>、</w:t>
      </w:r>
      <w:r w:rsidRPr="00721084">
        <w:rPr>
          <w:rFonts w:asciiTheme="minorEastAsia" w:eastAsiaTheme="minorEastAsia" w:hAnsiTheme="minorEastAsia"/>
          <w:kern w:val="0"/>
          <w:szCs w:val="21"/>
        </w:rPr>
        <w:t>基金经理承诺</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（1）依照有关法律、法规和基金合同的规定，本着谨慎的原则为基金份额持有人谋取最大利益；</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（2）不利用职务之便为自己及其代理人、受雇人或任何第三人谋取利益；</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（3）不违反现行有效的有关法律、法规、规章、基金合同和中国证监会的有关规定，泄漏在任职期间知悉的有关证券、基金的商业秘密、尚未依法公开的基金投资内容、基金投资计划等信息；</w:t>
      </w: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kern w:val="0"/>
          <w:szCs w:val="21"/>
        </w:rPr>
      </w:pPr>
      <w:r w:rsidRPr="00721084">
        <w:rPr>
          <w:rFonts w:asciiTheme="minorEastAsia" w:eastAsiaTheme="minorEastAsia" w:hAnsiTheme="minorEastAsia"/>
          <w:kern w:val="0"/>
          <w:szCs w:val="21"/>
        </w:rPr>
        <w:t>（4）不从事损害基金财产和基金份额持有人利益的证券交易及其他活动。</w:t>
      </w:r>
    </w:p>
    <w:p w:rsidR="0064594E" w:rsidRPr="00721084" w:rsidRDefault="0064594E" w:rsidP="00CE3F81">
      <w:pPr>
        <w:pStyle w:val="2"/>
        <w:snapToGrid w:val="0"/>
        <w:spacing w:beforeLines="0" w:afterLines="0" w:line="360" w:lineRule="auto"/>
        <w:ind w:firstLine="420"/>
        <w:rPr>
          <w:rStyle w:val="da"/>
          <w:rFonts w:asciiTheme="minorEastAsia" w:eastAsiaTheme="minorEastAsia" w:hAnsiTheme="minorEastAsia"/>
          <w:b w:val="0"/>
          <w:sz w:val="21"/>
          <w:szCs w:val="21"/>
        </w:rPr>
      </w:pPr>
      <w:bookmarkStart w:id="111" w:name="_Toc133292567"/>
      <w:bookmarkStart w:id="112" w:name="_Toc163189524"/>
      <w:bookmarkStart w:id="113" w:name="_Toc44351081"/>
      <w:r w:rsidRPr="00721084">
        <w:rPr>
          <w:rFonts w:asciiTheme="minorEastAsia" w:eastAsiaTheme="minorEastAsia" w:hAnsiTheme="minorEastAsia" w:hint="eastAsia"/>
          <w:b w:val="0"/>
          <w:bCs/>
          <w:sz w:val="21"/>
          <w:szCs w:val="21"/>
        </w:rPr>
        <w:t>五</w:t>
      </w:r>
      <w:r w:rsidR="00581D5A" w:rsidRPr="00721084">
        <w:rPr>
          <w:rFonts w:asciiTheme="minorEastAsia" w:eastAsiaTheme="minorEastAsia" w:hAnsiTheme="minorEastAsia" w:hint="eastAsia"/>
          <w:b w:val="0"/>
          <w:bCs/>
          <w:sz w:val="21"/>
          <w:szCs w:val="21"/>
        </w:rPr>
        <w:t>、</w:t>
      </w:r>
      <w:r w:rsidRPr="00721084">
        <w:rPr>
          <w:rFonts w:asciiTheme="minorEastAsia" w:eastAsiaTheme="minorEastAsia" w:hAnsiTheme="minorEastAsia"/>
          <w:b w:val="0"/>
          <w:bCs/>
          <w:sz w:val="21"/>
          <w:szCs w:val="21"/>
        </w:rPr>
        <w:t>基金管理人的内部控制制度</w:t>
      </w:r>
      <w:bookmarkEnd w:id="111"/>
      <w:bookmarkEnd w:id="112"/>
      <w:bookmarkEnd w:id="113"/>
    </w:p>
    <w:p w:rsidR="0064594E" w:rsidRPr="00721084"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64594E" w:rsidRPr="00721084" w:rsidRDefault="00D972A4" w:rsidP="00D972A4">
      <w:pPr>
        <w:snapToGrid w:val="0"/>
        <w:spacing w:line="360" w:lineRule="auto"/>
        <w:ind w:left="420"/>
        <w:rPr>
          <w:rFonts w:asciiTheme="minorEastAsia" w:eastAsiaTheme="minorEastAsia" w:hAnsiTheme="minorEastAsia"/>
          <w:bCs/>
          <w:szCs w:val="21"/>
        </w:rPr>
      </w:pPr>
      <w:r w:rsidRPr="00721084">
        <w:rPr>
          <w:rFonts w:asciiTheme="minorEastAsia" w:eastAsiaTheme="minorEastAsia" w:hAnsiTheme="minorEastAsia" w:hint="eastAsia"/>
          <w:bCs/>
          <w:szCs w:val="21"/>
        </w:rPr>
        <w:t>1、</w:t>
      </w:r>
      <w:r w:rsidR="0064594E" w:rsidRPr="00721084">
        <w:rPr>
          <w:rFonts w:asciiTheme="minorEastAsia" w:eastAsiaTheme="minorEastAsia" w:hAnsiTheme="minorEastAsia" w:hint="eastAsia"/>
          <w:bCs/>
          <w:szCs w:val="21"/>
        </w:rPr>
        <w:t>公司内部控制的总体目标</w:t>
      </w:r>
    </w:p>
    <w:p w:rsidR="0064594E" w:rsidRPr="00721084"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保证公司经营管理活动的合法合规性；</w:t>
      </w:r>
    </w:p>
    <w:p w:rsidR="0064594E" w:rsidRPr="00721084"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保证基金份额持有人的合法权益不受侵犯；</w:t>
      </w:r>
    </w:p>
    <w:p w:rsidR="0064594E" w:rsidRPr="00721084"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实现公司稳健、持续发展，维护股东权益；</w:t>
      </w:r>
    </w:p>
    <w:p w:rsidR="0064594E" w:rsidRPr="00721084"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促进公司全体员工恪守职业操守，正直诚信，廉洁自律，勤勉尽责；</w:t>
      </w:r>
    </w:p>
    <w:p w:rsidR="0064594E" w:rsidRPr="00721084" w:rsidRDefault="0064594E" w:rsidP="00CE3F81">
      <w:pPr>
        <w:numPr>
          <w:ilvl w:val="1"/>
          <w:numId w:val="3"/>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保护公司最重要的资本：公司声誉。</w:t>
      </w:r>
    </w:p>
    <w:p w:rsidR="0064594E" w:rsidRPr="00721084" w:rsidRDefault="00D972A4" w:rsidP="00D972A4">
      <w:pPr>
        <w:snapToGrid w:val="0"/>
        <w:spacing w:line="360" w:lineRule="auto"/>
        <w:ind w:left="420"/>
        <w:rPr>
          <w:rFonts w:asciiTheme="minorEastAsia" w:eastAsiaTheme="minorEastAsia" w:hAnsiTheme="minorEastAsia"/>
          <w:bCs/>
          <w:szCs w:val="21"/>
        </w:rPr>
      </w:pPr>
      <w:r w:rsidRPr="00721084">
        <w:rPr>
          <w:rFonts w:asciiTheme="minorEastAsia" w:eastAsiaTheme="minorEastAsia" w:hAnsiTheme="minorEastAsia" w:hint="eastAsia"/>
          <w:szCs w:val="21"/>
        </w:rPr>
        <w:t>2、</w:t>
      </w:r>
      <w:r w:rsidR="0064594E" w:rsidRPr="00721084">
        <w:rPr>
          <w:rFonts w:asciiTheme="minorEastAsia" w:eastAsiaTheme="minorEastAsia" w:hAnsiTheme="minorEastAsia" w:hint="eastAsia"/>
          <w:bCs/>
          <w:szCs w:val="21"/>
        </w:rPr>
        <w:t>公司内部控制遵循的原则</w:t>
      </w:r>
    </w:p>
    <w:p w:rsidR="0064594E" w:rsidRPr="00721084"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全面性原则：内部控制必须覆盖公司的所有部门和岗位，渗透各项业务过程和业务环节，并普遍适用于公司每一位职员；</w:t>
      </w:r>
    </w:p>
    <w:p w:rsidR="0064594E" w:rsidRPr="00721084"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审慎性原则：内部控制的核心是有效防范各种风险，公司组织体系的构成、内部管理制度的建立都要以防范风险、审慎经营为出发点；</w:t>
      </w:r>
    </w:p>
    <w:p w:rsidR="0064594E" w:rsidRPr="00721084"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相互制约原则：公司设置的各部门、各岗位权责分明、相互制衡。</w:t>
      </w:r>
    </w:p>
    <w:p w:rsidR="0064594E" w:rsidRPr="00721084"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独立性原则：公司根据业务的需要设立相对独立的机构、部门和岗位；公司内部部门和岗位的设置必须权责分明；</w:t>
      </w:r>
    </w:p>
    <w:p w:rsidR="0064594E" w:rsidRPr="00721084"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有效性原则：各种内部管理制度具有高度的权威性，应是所有员工严格遵守的行</w:t>
      </w:r>
      <w:r w:rsidRPr="00721084">
        <w:rPr>
          <w:rFonts w:asciiTheme="minorEastAsia" w:eastAsiaTheme="minorEastAsia" w:hAnsiTheme="minorEastAsia"/>
          <w:szCs w:val="21"/>
        </w:rPr>
        <w:lastRenderedPageBreak/>
        <w:t>动指南；执行内部管理制度不能有任何例外，任何人不得拥有超越制度或违反规章的权力；</w:t>
      </w:r>
    </w:p>
    <w:p w:rsidR="0064594E" w:rsidRPr="00721084"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适时性原则：内部控制应具有前瞻性，并且必须随着公司经营战略、经营方针、经营理念等内部环境的变化和国家法律、法规、政策制度等外部环境的改变及时进行相应的修改和完善；</w:t>
      </w:r>
    </w:p>
    <w:p w:rsidR="0064594E" w:rsidRPr="00721084" w:rsidRDefault="0064594E" w:rsidP="00CE3F81">
      <w:pPr>
        <w:numPr>
          <w:ilvl w:val="0"/>
          <w:numId w:val="4"/>
        </w:numPr>
        <w:tabs>
          <w:tab w:val="clear" w:pos="851"/>
          <w:tab w:val="num" w:pos="993"/>
        </w:tabs>
        <w:snapToGrid w:val="0"/>
        <w:spacing w:line="360" w:lineRule="auto"/>
        <w:ind w:left="0" w:firstLineChars="200" w:firstLine="420"/>
        <w:rPr>
          <w:rFonts w:asciiTheme="minorEastAsia" w:eastAsiaTheme="minorEastAsia" w:hAnsiTheme="minorEastAsia"/>
          <w:szCs w:val="21"/>
        </w:rPr>
      </w:pPr>
      <w:r w:rsidRPr="00721084">
        <w:rPr>
          <w:rFonts w:asciiTheme="minorEastAsia" w:eastAsiaTheme="minorEastAsia" w:hAnsiTheme="minorEastAsia"/>
          <w:szCs w:val="21"/>
        </w:rPr>
        <w:t>成本效益原则：公司运用科学化的经营管理方法降低运作成本，提高经济效益，力争以合理的控制成本达到最佳的内部控制效果。</w:t>
      </w:r>
    </w:p>
    <w:p w:rsidR="0064594E" w:rsidRPr="00721084" w:rsidRDefault="00D972A4" w:rsidP="00D972A4">
      <w:pPr>
        <w:snapToGrid w:val="0"/>
        <w:spacing w:line="360" w:lineRule="auto"/>
        <w:ind w:left="420"/>
        <w:rPr>
          <w:rFonts w:asciiTheme="minorEastAsia" w:eastAsiaTheme="minorEastAsia" w:hAnsiTheme="minorEastAsia"/>
          <w:bCs/>
          <w:szCs w:val="21"/>
        </w:rPr>
      </w:pPr>
      <w:r w:rsidRPr="00721084">
        <w:rPr>
          <w:rFonts w:asciiTheme="minorEastAsia" w:eastAsiaTheme="minorEastAsia" w:hAnsiTheme="minorEastAsia" w:hint="eastAsia"/>
          <w:szCs w:val="21"/>
        </w:rPr>
        <w:t>3、</w:t>
      </w:r>
      <w:r w:rsidR="0064594E" w:rsidRPr="00721084">
        <w:rPr>
          <w:rFonts w:asciiTheme="minorEastAsia" w:eastAsiaTheme="minorEastAsia" w:hAnsiTheme="minorEastAsia" w:hint="eastAsia"/>
          <w:bCs/>
          <w:szCs w:val="21"/>
        </w:rPr>
        <w:t>内部控制的制度体系</w:t>
      </w:r>
    </w:p>
    <w:p w:rsidR="0064594E" w:rsidRPr="00721084"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64594E" w:rsidRPr="00721084" w:rsidRDefault="00D972A4" w:rsidP="00D972A4">
      <w:pPr>
        <w:snapToGrid w:val="0"/>
        <w:spacing w:line="360" w:lineRule="auto"/>
        <w:ind w:left="420"/>
        <w:rPr>
          <w:rFonts w:asciiTheme="minorEastAsia" w:eastAsiaTheme="minorEastAsia" w:hAnsiTheme="minorEastAsia"/>
          <w:bCs/>
          <w:szCs w:val="21"/>
        </w:rPr>
      </w:pPr>
      <w:r w:rsidRPr="00721084">
        <w:rPr>
          <w:rFonts w:asciiTheme="minorEastAsia" w:eastAsiaTheme="minorEastAsia" w:hAnsiTheme="minorEastAsia" w:hint="eastAsia"/>
          <w:szCs w:val="21"/>
        </w:rPr>
        <w:t>4、</w:t>
      </w:r>
      <w:r w:rsidR="0064594E" w:rsidRPr="00721084">
        <w:rPr>
          <w:rFonts w:asciiTheme="minorEastAsia" w:eastAsiaTheme="minorEastAsia" w:hAnsiTheme="minorEastAsia" w:hint="eastAsia"/>
          <w:bCs/>
          <w:szCs w:val="21"/>
        </w:rPr>
        <w:t>关于授权、研究、投资、交易等方面的控制点</w:t>
      </w:r>
    </w:p>
    <w:p w:rsidR="0064594E" w:rsidRPr="00721084" w:rsidRDefault="00D972A4" w:rsidP="00D972A4">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64594E" w:rsidRPr="00721084">
        <w:rPr>
          <w:rFonts w:asciiTheme="minorEastAsia" w:eastAsiaTheme="minorEastAsia" w:hAnsiTheme="minorEastAsia" w:hint="eastAsia"/>
          <w:szCs w:val="21"/>
        </w:rPr>
        <w:t>授权制度</w:t>
      </w:r>
    </w:p>
    <w:p w:rsidR="0064594E" w:rsidRPr="00721084"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64594E" w:rsidRPr="00721084" w:rsidRDefault="00D972A4" w:rsidP="00D972A4">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64594E" w:rsidRPr="00721084">
        <w:rPr>
          <w:rFonts w:asciiTheme="minorEastAsia" w:eastAsiaTheme="minorEastAsia" w:hAnsiTheme="minorEastAsia" w:hint="eastAsia"/>
          <w:szCs w:val="21"/>
        </w:rPr>
        <w:t>公司研究业务</w:t>
      </w:r>
    </w:p>
    <w:p w:rsidR="0064594E" w:rsidRPr="00721084"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64594E" w:rsidRPr="00721084" w:rsidRDefault="00D972A4" w:rsidP="00D972A4">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64594E" w:rsidRPr="00721084">
        <w:rPr>
          <w:rFonts w:asciiTheme="minorEastAsia" w:eastAsiaTheme="minorEastAsia" w:hAnsiTheme="minorEastAsia" w:hint="eastAsia"/>
          <w:szCs w:val="21"/>
        </w:rPr>
        <w:t>基金投资业务</w:t>
      </w:r>
    </w:p>
    <w:p w:rsidR="0064594E" w:rsidRPr="00721084"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64594E" w:rsidRPr="00721084" w:rsidRDefault="00D972A4" w:rsidP="00D972A4">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64594E" w:rsidRPr="00721084">
        <w:rPr>
          <w:rFonts w:asciiTheme="minorEastAsia" w:eastAsiaTheme="minorEastAsia" w:hAnsiTheme="minorEastAsia" w:hint="eastAsia"/>
          <w:szCs w:val="21"/>
        </w:rPr>
        <w:t>交易业务</w:t>
      </w:r>
    </w:p>
    <w:p w:rsidR="0064594E" w:rsidRPr="00721084"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64594E" w:rsidRPr="00721084" w:rsidRDefault="00D972A4" w:rsidP="00D972A4">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64594E" w:rsidRPr="00721084">
        <w:rPr>
          <w:rFonts w:asciiTheme="minorEastAsia" w:eastAsiaTheme="minorEastAsia" w:hAnsiTheme="minorEastAsia" w:hint="eastAsia"/>
          <w:szCs w:val="21"/>
        </w:rPr>
        <w:t>基金会计核算</w:t>
      </w:r>
    </w:p>
    <w:p w:rsidR="0064594E" w:rsidRPr="00721084"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64594E" w:rsidRPr="00721084" w:rsidRDefault="00D972A4" w:rsidP="00D972A4">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（6）</w:t>
      </w:r>
      <w:r w:rsidR="0064594E" w:rsidRPr="00721084">
        <w:rPr>
          <w:rFonts w:asciiTheme="minorEastAsia" w:eastAsiaTheme="minorEastAsia" w:hAnsiTheme="minorEastAsia" w:hint="eastAsia"/>
          <w:szCs w:val="21"/>
        </w:rPr>
        <w:t>信息披露</w:t>
      </w:r>
    </w:p>
    <w:p w:rsidR="0064594E" w:rsidRPr="00721084" w:rsidRDefault="0064594E" w:rsidP="00CE3F81">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64594E" w:rsidRPr="00721084" w:rsidRDefault="00D972A4" w:rsidP="00D972A4">
      <w:pPr>
        <w:snapToGrid w:val="0"/>
        <w:spacing w:line="360" w:lineRule="auto"/>
        <w:ind w:left="420"/>
        <w:rPr>
          <w:rFonts w:asciiTheme="minorEastAsia" w:eastAsiaTheme="minorEastAsia" w:hAnsiTheme="minorEastAsia"/>
          <w:szCs w:val="21"/>
        </w:rPr>
      </w:pPr>
      <w:r w:rsidRPr="00721084">
        <w:rPr>
          <w:rFonts w:asciiTheme="minorEastAsia" w:eastAsiaTheme="minorEastAsia" w:hAnsiTheme="minorEastAsia" w:hint="eastAsia"/>
          <w:szCs w:val="21"/>
        </w:rPr>
        <w:t>（7）</w:t>
      </w:r>
      <w:r w:rsidR="00285275" w:rsidRPr="00721084">
        <w:rPr>
          <w:rFonts w:asciiTheme="minorEastAsia" w:eastAsiaTheme="minorEastAsia" w:hAnsiTheme="minorEastAsia" w:hint="eastAsia"/>
        </w:rPr>
        <w:t>监察与合规管理</w:t>
      </w:r>
    </w:p>
    <w:p w:rsidR="005E2802" w:rsidRPr="00721084" w:rsidRDefault="005E2802" w:rsidP="005E2802">
      <w:pPr>
        <w:snapToGrid w:val="0"/>
        <w:spacing w:line="360" w:lineRule="auto"/>
        <w:ind w:firstLine="420"/>
        <w:rPr>
          <w:rFonts w:asciiTheme="minorEastAsia" w:eastAsiaTheme="minorEastAsia" w:hAnsiTheme="minorEastAsia"/>
          <w:kern w:val="0"/>
          <w:szCs w:val="21"/>
        </w:rPr>
      </w:pPr>
      <w:r w:rsidRPr="00721084">
        <w:rPr>
          <w:rFonts w:asciiTheme="minorEastAsia" w:eastAsiaTheme="minorEastAsia" w:hAnsiTheme="minorEastAsia" w:hint="eastAsia"/>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5E2802" w:rsidRPr="00721084" w:rsidRDefault="005E2802" w:rsidP="005E2802">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5E2802" w:rsidRPr="00721084" w:rsidRDefault="005E2802" w:rsidP="005E2802">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监察合规管理部门强化内部检查制度，通过定期或不定期检查内部控制制度的执行情况，促使公司各项经营管理活动的规范运行。</w:t>
      </w:r>
    </w:p>
    <w:p w:rsidR="005E2802" w:rsidRPr="00721084" w:rsidRDefault="005E2802" w:rsidP="005E2802">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公司董事会和管理层充分重视和支持监察与合规管理工作，对违反法律、法规和公司内部控制制度的，追究有关部门和人员的责任。</w:t>
      </w:r>
    </w:p>
    <w:p w:rsidR="0064594E" w:rsidRPr="00721084" w:rsidRDefault="005E2802" w:rsidP="00082864">
      <w:pPr>
        <w:pStyle w:val="af"/>
        <w:autoSpaceDE w:val="0"/>
        <w:autoSpaceDN w:val="0"/>
        <w:snapToGrid w:val="0"/>
        <w:spacing w:line="360" w:lineRule="auto"/>
        <w:ind w:firstLineChars="200"/>
        <w:rPr>
          <w:rFonts w:asciiTheme="minorEastAsia" w:eastAsiaTheme="minorEastAsia" w:hAnsiTheme="minorEastAsia"/>
          <w:szCs w:val="21"/>
        </w:rPr>
      </w:pPr>
      <w:r w:rsidRPr="00721084" w:rsidDel="005E2802">
        <w:rPr>
          <w:rFonts w:asciiTheme="minorEastAsia" w:eastAsiaTheme="minorEastAsia" w:hAnsiTheme="minorEastAsia" w:hint="eastAsia"/>
          <w:szCs w:val="21"/>
        </w:rPr>
        <w:t xml:space="preserve"> </w:t>
      </w:r>
      <w:r w:rsidR="00D972A4" w:rsidRPr="00721084">
        <w:rPr>
          <w:rFonts w:asciiTheme="minorEastAsia" w:eastAsiaTheme="minorEastAsia" w:hAnsiTheme="minorEastAsia" w:hint="eastAsia"/>
          <w:szCs w:val="21"/>
        </w:rPr>
        <w:t>5、</w:t>
      </w:r>
      <w:r w:rsidR="0064594E" w:rsidRPr="00721084">
        <w:rPr>
          <w:rFonts w:asciiTheme="minorEastAsia" w:eastAsiaTheme="minorEastAsia" w:hAnsiTheme="minorEastAsia" w:hint="eastAsia"/>
          <w:szCs w:val="21"/>
        </w:rPr>
        <w:t>基金管理人关于内部控制制度声明书</w:t>
      </w:r>
    </w:p>
    <w:p w:rsidR="0064594E" w:rsidRPr="00721084" w:rsidRDefault="00D972A4" w:rsidP="00082864">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（1）</w:t>
      </w:r>
      <w:r w:rsidR="0064594E" w:rsidRPr="00721084">
        <w:rPr>
          <w:rFonts w:asciiTheme="minorEastAsia" w:eastAsiaTheme="minorEastAsia" w:hAnsiTheme="minorEastAsia" w:hint="eastAsia"/>
          <w:szCs w:val="21"/>
        </w:rPr>
        <w:t>本公司承诺以上关于内部控制制度的披露真实、准确；</w:t>
      </w:r>
    </w:p>
    <w:p w:rsidR="00407282" w:rsidRPr="00721084" w:rsidRDefault="00D972A4" w:rsidP="00082864">
      <w:pPr>
        <w:pStyle w:val="af"/>
        <w:autoSpaceDE w:val="0"/>
        <w:autoSpaceDN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（2）</w:t>
      </w:r>
      <w:r w:rsidR="0064594E" w:rsidRPr="00721084">
        <w:rPr>
          <w:rFonts w:asciiTheme="minorEastAsia" w:eastAsiaTheme="minorEastAsia" w:hAnsiTheme="minorEastAsia" w:hint="eastAsia"/>
          <w:szCs w:val="21"/>
        </w:rPr>
        <w:t>本公司承诺根据市场变化和公司业务发展不断完善内部控制制度。</w:t>
      </w:r>
    </w:p>
    <w:p w:rsidR="00AD7A36" w:rsidRPr="00721084" w:rsidRDefault="00AD7A36" w:rsidP="00CE3F81">
      <w:pPr>
        <w:tabs>
          <w:tab w:val="left" w:pos="735"/>
        </w:tabs>
        <w:snapToGrid w:val="0"/>
        <w:spacing w:line="360" w:lineRule="auto"/>
        <w:ind w:firstLineChars="200" w:firstLine="420"/>
        <w:rPr>
          <w:rFonts w:asciiTheme="minorEastAsia" w:eastAsiaTheme="minorEastAsia" w:hAnsiTheme="minorEastAsia"/>
          <w:szCs w:val="21"/>
        </w:rPr>
      </w:pPr>
    </w:p>
    <w:p w:rsidR="00431525" w:rsidRPr="00721084" w:rsidRDefault="00431525"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431525" w:rsidRPr="00721084">
          <w:pgSz w:w="11906" w:h="16838" w:code="9"/>
          <w:pgMar w:top="1440" w:right="1800" w:bottom="1440" w:left="1800" w:header="851" w:footer="992" w:gutter="0"/>
          <w:cols w:space="425"/>
          <w:docGrid w:type="lines" w:linePitch="312"/>
        </w:sectPr>
      </w:pPr>
      <w:bookmarkStart w:id="114" w:name="_Toc38432432"/>
    </w:p>
    <w:p w:rsidR="00AD7A36"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115" w:name="_Toc44351082"/>
      <w:r w:rsidRPr="00721084">
        <w:rPr>
          <w:rFonts w:asciiTheme="minorEastAsia" w:eastAsiaTheme="minorEastAsia" w:hAnsiTheme="minorEastAsia" w:hint="eastAsia"/>
        </w:rPr>
        <w:lastRenderedPageBreak/>
        <w:t>基金的募集</w:t>
      </w:r>
      <w:bookmarkEnd w:id="114"/>
      <w:bookmarkEnd w:id="115"/>
    </w:p>
    <w:p w:rsidR="00C91220" w:rsidRPr="00721084" w:rsidRDefault="00C9122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本基金由基金管理人依照《基金法》、《运作办法》、《销售办法》、基金合同的相关规定、并经中国证券监督管理委员会</w:t>
      </w:r>
      <w:r w:rsidR="005E2802" w:rsidRPr="00721084">
        <w:rPr>
          <w:rFonts w:asciiTheme="minorEastAsia" w:eastAsiaTheme="minorEastAsia" w:hAnsiTheme="minorEastAsia" w:hint="eastAsia"/>
        </w:rPr>
        <w:t>2008年8月27日</w:t>
      </w:r>
      <w:r w:rsidRPr="00721084">
        <w:rPr>
          <w:rFonts w:asciiTheme="minorEastAsia" w:eastAsiaTheme="minorEastAsia" w:hAnsiTheme="minorEastAsia" w:hint="eastAsia"/>
        </w:rPr>
        <w:t>《关于核准易方达亚洲精选股票型证券投资基金募集的批复》（证监许可</w:t>
      </w:r>
      <w:r w:rsidRPr="00721084">
        <w:rPr>
          <w:rFonts w:asciiTheme="minorEastAsia" w:eastAsiaTheme="minorEastAsia" w:hAnsiTheme="minorEastAsia"/>
        </w:rPr>
        <w:t>[</w:t>
      </w:r>
      <w:r w:rsidRPr="00721084">
        <w:rPr>
          <w:rFonts w:asciiTheme="minorEastAsia" w:eastAsiaTheme="minorEastAsia" w:hAnsiTheme="minorEastAsia" w:hint="eastAsia"/>
        </w:rPr>
        <w:t>2008</w:t>
      </w:r>
      <w:r w:rsidRPr="00721084">
        <w:rPr>
          <w:rFonts w:asciiTheme="minorEastAsia" w:eastAsiaTheme="minorEastAsia" w:hAnsiTheme="minorEastAsia"/>
        </w:rPr>
        <w:t>]</w:t>
      </w:r>
      <w:r w:rsidRPr="00721084">
        <w:rPr>
          <w:rFonts w:asciiTheme="minorEastAsia" w:eastAsiaTheme="minorEastAsia" w:hAnsiTheme="minorEastAsia" w:hint="eastAsia"/>
        </w:rPr>
        <w:t>1064号）和</w:t>
      </w:r>
      <w:r w:rsidR="00721084" w:rsidRPr="00721084">
        <w:rPr>
          <w:rFonts w:asciiTheme="minorEastAsia" w:eastAsiaTheme="minorEastAsia" w:hAnsiTheme="minorEastAsia" w:hint="eastAsia"/>
        </w:rPr>
        <w:t>2009年5月8日</w:t>
      </w:r>
      <w:r w:rsidRPr="00721084">
        <w:rPr>
          <w:rFonts w:asciiTheme="minorEastAsia" w:eastAsiaTheme="minorEastAsia" w:hAnsiTheme="minorEastAsia" w:hint="eastAsia"/>
        </w:rPr>
        <w:t>《关于核准易方达亚洲精选股票型证券投资基金备案的批复》（证监许可</w:t>
      </w:r>
      <w:r w:rsidRPr="00721084">
        <w:rPr>
          <w:rFonts w:asciiTheme="minorEastAsia" w:eastAsiaTheme="minorEastAsia" w:hAnsiTheme="minorEastAsia"/>
        </w:rPr>
        <w:t>[</w:t>
      </w:r>
      <w:r w:rsidRPr="00721084">
        <w:rPr>
          <w:rFonts w:asciiTheme="minorEastAsia" w:eastAsiaTheme="minorEastAsia" w:hAnsiTheme="minorEastAsia" w:hint="eastAsia"/>
        </w:rPr>
        <w:t>2009</w:t>
      </w:r>
      <w:r w:rsidRPr="00721084">
        <w:rPr>
          <w:rFonts w:asciiTheme="minorEastAsia" w:eastAsiaTheme="minorEastAsia" w:hAnsiTheme="minorEastAsia"/>
        </w:rPr>
        <w:t>]</w:t>
      </w:r>
      <w:r w:rsidRPr="00721084">
        <w:rPr>
          <w:rFonts w:asciiTheme="minorEastAsia" w:eastAsiaTheme="minorEastAsia" w:hAnsiTheme="minorEastAsia" w:hint="eastAsia"/>
        </w:rPr>
        <w:t>367号）核准募集。</w:t>
      </w:r>
    </w:p>
    <w:p w:rsidR="00C91220" w:rsidRPr="00721084" w:rsidRDefault="00C9122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本基金为</w:t>
      </w:r>
      <w:r w:rsidRPr="00721084">
        <w:rPr>
          <w:rFonts w:asciiTheme="minorEastAsia" w:eastAsiaTheme="minorEastAsia" w:hAnsiTheme="minorEastAsia"/>
        </w:rPr>
        <w:t>契约型开放式</w:t>
      </w:r>
      <w:r w:rsidRPr="00721084">
        <w:rPr>
          <w:rFonts w:asciiTheme="minorEastAsia" w:eastAsiaTheme="minorEastAsia" w:hAnsiTheme="minorEastAsia" w:hint="eastAsia"/>
        </w:rPr>
        <w:t>基金</w:t>
      </w:r>
      <w:r w:rsidRPr="00721084">
        <w:rPr>
          <w:rFonts w:asciiTheme="minorEastAsia" w:eastAsiaTheme="minorEastAsia" w:hAnsiTheme="minorEastAsia"/>
        </w:rPr>
        <w:t>。基金</w:t>
      </w:r>
      <w:r w:rsidRPr="00721084">
        <w:rPr>
          <w:rFonts w:asciiTheme="minorEastAsia" w:eastAsiaTheme="minorEastAsia" w:hAnsiTheme="minorEastAsia" w:hint="eastAsia"/>
        </w:rPr>
        <w:t>的</w:t>
      </w:r>
      <w:r w:rsidRPr="00721084">
        <w:rPr>
          <w:rFonts w:asciiTheme="minorEastAsia" w:eastAsiaTheme="minorEastAsia" w:hAnsiTheme="minorEastAsia"/>
        </w:rPr>
        <w:t>存续期间</w:t>
      </w:r>
      <w:r w:rsidRPr="00721084">
        <w:rPr>
          <w:rFonts w:asciiTheme="minorEastAsia" w:eastAsiaTheme="minorEastAsia" w:hAnsiTheme="minorEastAsia" w:hint="eastAsia"/>
        </w:rPr>
        <w:t>为</w:t>
      </w:r>
      <w:r w:rsidRPr="00721084">
        <w:rPr>
          <w:rFonts w:asciiTheme="minorEastAsia" w:eastAsiaTheme="minorEastAsia" w:hAnsiTheme="minorEastAsia"/>
        </w:rPr>
        <w:t>不定期</w:t>
      </w:r>
      <w:r w:rsidRPr="00721084">
        <w:rPr>
          <w:rFonts w:asciiTheme="minorEastAsia" w:eastAsiaTheme="minorEastAsia" w:hAnsiTheme="minorEastAsia" w:hint="eastAsia"/>
        </w:rPr>
        <w:t>。</w:t>
      </w:r>
    </w:p>
    <w:p w:rsidR="00C91220" w:rsidRPr="00721084" w:rsidRDefault="00C9122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本基金</w:t>
      </w:r>
      <w:r w:rsidRPr="00721084">
        <w:rPr>
          <w:rFonts w:asciiTheme="minorEastAsia" w:eastAsiaTheme="minorEastAsia" w:hAnsiTheme="minorEastAsia" w:hint="eastAsia"/>
        </w:rPr>
        <w:t>募集期间</w:t>
      </w:r>
      <w:r w:rsidRPr="00721084">
        <w:rPr>
          <w:rFonts w:asciiTheme="minorEastAsia" w:eastAsiaTheme="minorEastAsia" w:hAnsiTheme="minorEastAsia"/>
        </w:rPr>
        <w:t>每份基金份额的</w:t>
      </w:r>
      <w:r w:rsidRPr="00721084">
        <w:rPr>
          <w:rFonts w:asciiTheme="minorEastAsia" w:eastAsiaTheme="minorEastAsia" w:hAnsiTheme="minorEastAsia" w:hint="eastAsia"/>
        </w:rPr>
        <w:t>初始</w:t>
      </w:r>
      <w:r w:rsidRPr="00721084">
        <w:rPr>
          <w:rFonts w:asciiTheme="minorEastAsia" w:eastAsiaTheme="minorEastAsia" w:hAnsiTheme="minorEastAsia"/>
        </w:rPr>
        <w:t>面值为人民币1.00元</w:t>
      </w:r>
      <w:r w:rsidRPr="00721084">
        <w:rPr>
          <w:rFonts w:asciiTheme="minorEastAsia" w:eastAsiaTheme="minorEastAsia" w:hAnsiTheme="minorEastAsia" w:hint="eastAsia"/>
        </w:rPr>
        <w:t>。</w:t>
      </w:r>
    </w:p>
    <w:p w:rsidR="0064594E" w:rsidRPr="00721084" w:rsidRDefault="00C9122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本基金募集期自2009年12月7日至2010年1月15日。募集对象为符合法律法规规定的个人投资者、机构投资者，以及法律法规或中国证监会允许购买开放式证券投资基金的其他投资者。</w:t>
      </w:r>
    </w:p>
    <w:p w:rsidR="00C91220" w:rsidRPr="00721084" w:rsidRDefault="00C91220" w:rsidP="00CE3F81">
      <w:pPr>
        <w:snapToGrid w:val="0"/>
        <w:spacing w:line="360" w:lineRule="auto"/>
        <w:ind w:firstLineChars="200" w:firstLine="420"/>
        <w:rPr>
          <w:rFonts w:asciiTheme="minorEastAsia" w:eastAsiaTheme="minorEastAsia" w:hAnsiTheme="minorEastAsia"/>
        </w:rPr>
      </w:pPr>
    </w:p>
    <w:p w:rsidR="0064594E" w:rsidRPr="00721084" w:rsidRDefault="0064594E" w:rsidP="00CE3F81">
      <w:pPr>
        <w:autoSpaceDE w:val="0"/>
        <w:autoSpaceDN w:val="0"/>
        <w:snapToGrid w:val="0"/>
        <w:spacing w:line="360" w:lineRule="auto"/>
        <w:ind w:firstLineChars="200" w:firstLine="400"/>
        <w:jc w:val="left"/>
        <w:rPr>
          <w:rFonts w:asciiTheme="minorEastAsia" w:eastAsiaTheme="minorEastAsia" w:hAnsiTheme="minorEastAsia"/>
          <w:kern w:val="0"/>
          <w:sz w:val="20"/>
          <w:szCs w:val="20"/>
        </w:rPr>
      </w:pPr>
    </w:p>
    <w:p w:rsidR="00431525" w:rsidRPr="00721084" w:rsidRDefault="00431525"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431525" w:rsidRPr="00721084">
          <w:pgSz w:w="11906" w:h="16838" w:code="9"/>
          <w:pgMar w:top="1440" w:right="1800" w:bottom="1440" w:left="1800" w:header="851" w:footer="992" w:gutter="0"/>
          <w:cols w:space="425"/>
          <w:docGrid w:type="lines" w:linePitch="312"/>
        </w:sectPr>
      </w:pPr>
    </w:p>
    <w:p w:rsidR="0064594E"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116" w:name="_Toc44351083"/>
      <w:r w:rsidRPr="00721084">
        <w:rPr>
          <w:rFonts w:asciiTheme="minorEastAsia" w:eastAsiaTheme="minorEastAsia" w:hAnsiTheme="minorEastAsia" w:hint="eastAsia"/>
        </w:rPr>
        <w:lastRenderedPageBreak/>
        <w:t>基金合同的生效</w:t>
      </w:r>
      <w:bookmarkEnd w:id="116"/>
    </w:p>
    <w:p w:rsidR="00056EBE" w:rsidRPr="00721084" w:rsidRDefault="00056EBE" w:rsidP="00CE3F81">
      <w:pPr>
        <w:pStyle w:val="2"/>
        <w:snapToGrid w:val="0"/>
        <w:spacing w:beforeLines="0" w:afterLines="0" w:line="360" w:lineRule="auto"/>
        <w:ind w:firstLine="560"/>
        <w:rPr>
          <w:rFonts w:asciiTheme="minorEastAsia" w:eastAsiaTheme="minorEastAsia" w:hAnsiTheme="minorEastAsia"/>
          <w:b w:val="0"/>
        </w:rPr>
      </w:pPr>
      <w:bookmarkStart w:id="117" w:name="_Toc44351084"/>
      <w:bookmarkStart w:id="118" w:name="_Toc38432438"/>
      <w:bookmarkStart w:id="119" w:name="_Toc133292585"/>
      <w:r w:rsidRPr="00721084">
        <w:rPr>
          <w:rFonts w:asciiTheme="minorEastAsia" w:eastAsiaTheme="minorEastAsia" w:hAnsiTheme="minorEastAsia" w:hint="eastAsia"/>
          <w:b w:val="0"/>
        </w:rPr>
        <w:t>一</w:t>
      </w:r>
      <w:r w:rsidR="00B036A1"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基金合同生效</w:t>
      </w:r>
      <w:bookmarkEnd w:id="117"/>
    </w:p>
    <w:p w:rsidR="0064594E" w:rsidRPr="00721084" w:rsidRDefault="00E96608"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本基金</w:t>
      </w:r>
      <w:r w:rsidRPr="00721084">
        <w:rPr>
          <w:rFonts w:asciiTheme="minorEastAsia" w:eastAsiaTheme="minorEastAsia" w:hAnsiTheme="minorEastAsia" w:hint="eastAsia"/>
        </w:rPr>
        <w:t>基金合同于</w:t>
      </w:r>
      <w:r w:rsidRPr="00721084">
        <w:rPr>
          <w:rFonts w:asciiTheme="minorEastAsia" w:eastAsiaTheme="minorEastAsia" w:hAnsiTheme="minorEastAsia" w:hint="eastAsia"/>
          <w:szCs w:val="21"/>
        </w:rPr>
        <w:t>2010年1月21日</w:t>
      </w:r>
      <w:r w:rsidRPr="00721084">
        <w:rPr>
          <w:rFonts w:asciiTheme="minorEastAsia" w:eastAsiaTheme="minorEastAsia" w:hAnsiTheme="minorEastAsia" w:hint="eastAsia"/>
        </w:rPr>
        <w:t>正式生效。自基金合同生效日起，本基金管理人正式开始管理本基金。</w:t>
      </w:r>
      <w:bookmarkEnd w:id="118"/>
      <w:bookmarkEnd w:id="119"/>
    </w:p>
    <w:p w:rsidR="00056EBE" w:rsidRPr="00721084" w:rsidRDefault="00056EBE" w:rsidP="00CE3F81">
      <w:pPr>
        <w:pStyle w:val="2"/>
        <w:snapToGrid w:val="0"/>
        <w:spacing w:beforeLines="0" w:afterLines="0" w:line="360" w:lineRule="auto"/>
        <w:ind w:firstLine="560"/>
        <w:rPr>
          <w:rFonts w:asciiTheme="minorEastAsia" w:eastAsiaTheme="minorEastAsia" w:hAnsiTheme="minorEastAsia"/>
          <w:b w:val="0"/>
        </w:rPr>
      </w:pPr>
      <w:bookmarkStart w:id="120" w:name="_Toc44351085"/>
      <w:r w:rsidRPr="00721084">
        <w:rPr>
          <w:rFonts w:asciiTheme="minorEastAsia" w:eastAsiaTheme="minorEastAsia" w:hAnsiTheme="minorEastAsia" w:hint="eastAsia"/>
          <w:b w:val="0"/>
        </w:rPr>
        <w:t>二</w:t>
      </w:r>
      <w:r w:rsidR="00B036A1"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基金存续期内的基金份额持有人数量和资产规模</w:t>
      </w:r>
      <w:bookmarkEnd w:id="120"/>
    </w:p>
    <w:p w:rsidR="00056EBE" w:rsidRPr="00721084" w:rsidRDefault="00056EB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056EBE" w:rsidRPr="00721084" w:rsidRDefault="00056EB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法律法规另有规定时，从其规定。</w:t>
      </w:r>
    </w:p>
    <w:p w:rsidR="00056EBE" w:rsidRPr="00721084" w:rsidRDefault="00056EBE" w:rsidP="00CE3F81">
      <w:pPr>
        <w:snapToGrid w:val="0"/>
        <w:spacing w:line="360" w:lineRule="auto"/>
        <w:ind w:firstLineChars="200" w:firstLine="420"/>
        <w:rPr>
          <w:rFonts w:asciiTheme="minorEastAsia" w:eastAsiaTheme="minorEastAsia" w:hAnsiTheme="minorEastAsia"/>
        </w:rPr>
      </w:pP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szCs w:val="21"/>
        </w:rPr>
      </w:pPr>
    </w:p>
    <w:p w:rsidR="0064594E" w:rsidRPr="00721084" w:rsidRDefault="0064594E" w:rsidP="00CE3F81">
      <w:pPr>
        <w:autoSpaceDE w:val="0"/>
        <w:autoSpaceDN w:val="0"/>
        <w:snapToGrid w:val="0"/>
        <w:spacing w:line="360" w:lineRule="auto"/>
        <w:ind w:firstLineChars="200" w:firstLine="420"/>
        <w:jc w:val="left"/>
        <w:rPr>
          <w:rFonts w:asciiTheme="minorEastAsia" w:eastAsiaTheme="minorEastAsia" w:hAnsiTheme="minorEastAsia"/>
          <w:szCs w:val="21"/>
        </w:rPr>
      </w:pPr>
    </w:p>
    <w:p w:rsidR="00431525" w:rsidRPr="00721084" w:rsidRDefault="00431525"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431525" w:rsidRPr="00721084">
          <w:pgSz w:w="11906" w:h="16838" w:code="9"/>
          <w:pgMar w:top="1440" w:right="1800" w:bottom="1440" w:left="1800" w:header="851" w:footer="992" w:gutter="0"/>
          <w:cols w:space="425"/>
          <w:docGrid w:type="lines" w:linePitch="312"/>
        </w:sectPr>
      </w:pPr>
    </w:p>
    <w:p w:rsidR="0064594E"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121" w:name="_Toc44351086"/>
      <w:r w:rsidRPr="00721084">
        <w:rPr>
          <w:rFonts w:asciiTheme="minorEastAsia" w:eastAsiaTheme="minorEastAsia" w:hAnsiTheme="minorEastAsia" w:hint="eastAsia"/>
        </w:rPr>
        <w:lastRenderedPageBreak/>
        <w:t>基金份额的申购、赎回</w:t>
      </w:r>
      <w:bookmarkEnd w:id="121"/>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2" w:name="_Toc44351087"/>
      <w:r w:rsidRPr="00721084">
        <w:rPr>
          <w:rFonts w:asciiTheme="minorEastAsia" w:eastAsiaTheme="minorEastAsia" w:hAnsiTheme="minorEastAsia" w:hint="eastAsia"/>
          <w:b w:val="0"/>
        </w:rPr>
        <w:t>一</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基金投资者范围</w:t>
      </w:r>
      <w:bookmarkEnd w:id="122"/>
    </w:p>
    <w:p w:rsidR="0064594E" w:rsidRPr="00721084" w:rsidRDefault="0082776A"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符合法律法规规定的个人投资者、机构投资者</w:t>
      </w:r>
      <w:r w:rsidRPr="00721084">
        <w:rPr>
          <w:rFonts w:asciiTheme="minorEastAsia" w:eastAsiaTheme="minorEastAsia" w:hAnsiTheme="minorEastAsia" w:hint="eastAsia"/>
          <w:szCs w:val="21"/>
        </w:rPr>
        <w:t>，以及法律法规或中国证监会允许购买开放式证券投资基金的其他投资者</w:t>
      </w:r>
      <w:r w:rsidRPr="00721084">
        <w:rPr>
          <w:rFonts w:asciiTheme="minorEastAsia" w:eastAsiaTheme="minorEastAsia" w:hAnsiTheme="minorEastAsia" w:hint="eastAsia"/>
        </w:rPr>
        <w:t>。</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rPr>
      </w:pPr>
      <w:bookmarkStart w:id="123" w:name="_Toc44351088"/>
      <w:r w:rsidRPr="00721084">
        <w:rPr>
          <w:rFonts w:asciiTheme="minorEastAsia" w:eastAsiaTheme="minorEastAsia" w:hAnsiTheme="minorEastAsia" w:hint="eastAsia"/>
          <w:b w:val="0"/>
        </w:rPr>
        <w:t>二</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申购</w:t>
      </w:r>
      <w:r w:rsidR="00B828C1" w:rsidRPr="00721084">
        <w:rPr>
          <w:rFonts w:asciiTheme="minorEastAsia" w:eastAsiaTheme="minorEastAsia" w:hAnsiTheme="minorEastAsia" w:hint="eastAsia"/>
          <w:b w:val="0"/>
        </w:rPr>
        <w:t>与</w:t>
      </w:r>
      <w:r w:rsidRPr="00721084">
        <w:rPr>
          <w:rFonts w:asciiTheme="minorEastAsia" w:eastAsiaTheme="minorEastAsia" w:hAnsiTheme="minorEastAsia" w:hint="eastAsia"/>
          <w:b w:val="0"/>
        </w:rPr>
        <w:t>赎回的场所</w:t>
      </w:r>
      <w:bookmarkEnd w:id="123"/>
    </w:p>
    <w:p w:rsidR="00B828C1" w:rsidRPr="00721084" w:rsidRDefault="000E3083"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本基金的销售机构包括基金管理人和基金管理人委托的基金</w:t>
      </w:r>
      <w:r w:rsidR="003F76E7" w:rsidRPr="00721084">
        <w:rPr>
          <w:rFonts w:asciiTheme="minorEastAsia" w:eastAsiaTheme="minorEastAsia" w:hAnsiTheme="minorEastAsia" w:hint="eastAsia"/>
        </w:rPr>
        <w:t>非直销销售</w:t>
      </w:r>
      <w:r w:rsidRPr="00721084">
        <w:rPr>
          <w:rFonts w:asciiTheme="minorEastAsia" w:eastAsiaTheme="minorEastAsia" w:hAnsiTheme="minorEastAsia" w:hint="eastAsia"/>
        </w:rPr>
        <w:t>机构。具体的基金销售机构的名称、住所等内容详见</w:t>
      </w:r>
      <w:r w:rsidRPr="00721084">
        <w:rPr>
          <w:rFonts w:asciiTheme="minorEastAsia" w:eastAsiaTheme="minorEastAsia" w:hAnsiTheme="minorEastAsia" w:hint="eastAsia"/>
          <w:szCs w:val="20"/>
        </w:rPr>
        <w:t>本招募说明书“</w:t>
      </w:r>
      <w:r w:rsidRPr="00721084">
        <w:rPr>
          <w:rFonts w:asciiTheme="minorEastAsia" w:eastAsiaTheme="minorEastAsia" w:hAnsiTheme="minorEastAsia" w:hint="eastAsia"/>
        </w:rPr>
        <w:t>第十九节</w:t>
      </w:r>
      <w:r w:rsidRPr="00721084">
        <w:rPr>
          <w:rFonts w:asciiTheme="minorEastAsia" w:eastAsiaTheme="minorEastAsia" w:hAnsiTheme="minorEastAsia" w:hint="eastAsia"/>
          <w:szCs w:val="20"/>
        </w:rPr>
        <w:t>相关服务机构”中“</w:t>
      </w:r>
      <w:r w:rsidRPr="00721084">
        <w:rPr>
          <w:rFonts w:asciiTheme="minorEastAsia" w:eastAsiaTheme="minorEastAsia" w:hAnsiTheme="minorEastAsia" w:hint="eastAsia"/>
        </w:rPr>
        <w:t>一、</w:t>
      </w:r>
      <w:r w:rsidR="00DD17B6" w:rsidRPr="00721084">
        <w:rPr>
          <w:rFonts w:asciiTheme="minorEastAsia" w:eastAsiaTheme="minorEastAsia" w:hAnsiTheme="minorEastAsia" w:hint="eastAsia"/>
        </w:rPr>
        <w:t>基金份额销售机构</w:t>
      </w:r>
      <w:r w:rsidRPr="00721084">
        <w:rPr>
          <w:rFonts w:asciiTheme="minorEastAsia" w:eastAsiaTheme="minorEastAsia" w:hAnsiTheme="minorEastAsia" w:hint="eastAsia"/>
          <w:szCs w:val="20"/>
        </w:rPr>
        <w:t>”的相关</w:t>
      </w:r>
      <w:r w:rsidRPr="00721084">
        <w:rPr>
          <w:rFonts w:asciiTheme="minorEastAsia" w:eastAsiaTheme="minorEastAsia" w:hAnsiTheme="minorEastAsia" w:hint="eastAsia"/>
        </w:rPr>
        <w:t>内容。</w:t>
      </w:r>
    </w:p>
    <w:p w:rsidR="000F6441" w:rsidRPr="00721084" w:rsidRDefault="00B828C1" w:rsidP="00CE3F81">
      <w:pPr>
        <w:pStyle w:val="21"/>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721084">
        <w:rPr>
          <w:rFonts w:asciiTheme="minorEastAsia" w:eastAsiaTheme="minorEastAsia" w:hAnsiTheme="minorEastAsia" w:hint="eastAsia"/>
        </w:rPr>
        <w:t>基金投资者应当在销售机构办理基金销售业务的营业场所或按销售机构提供的其他方式办理基金份额的申购与赎回。基金管理人可根据情况变更基金</w:t>
      </w:r>
      <w:r w:rsidR="0035376D" w:rsidRPr="00721084">
        <w:rPr>
          <w:rFonts w:asciiTheme="minorEastAsia" w:eastAsiaTheme="minorEastAsia" w:hAnsiTheme="minorEastAsia" w:hint="eastAsia"/>
        </w:rPr>
        <w:t>销售</w:t>
      </w:r>
      <w:r w:rsidRPr="00721084">
        <w:rPr>
          <w:rFonts w:asciiTheme="minorEastAsia" w:eastAsiaTheme="minorEastAsia" w:hAnsiTheme="minorEastAsia" w:hint="eastAsia"/>
        </w:rPr>
        <w:t>机构，</w:t>
      </w:r>
      <w:r w:rsidR="00A2345B" w:rsidRPr="00721084">
        <w:rPr>
          <w:rFonts w:asciiTheme="minorEastAsia" w:eastAsiaTheme="minorEastAsia" w:hAnsiTheme="minorEastAsia" w:hint="eastAsia"/>
        </w:rPr>
        <w:t>并在基金管理人网站公示</w:t>
      </w:r>
      <w:r w:rsidRPr="00721084">
        <w:rPr>
          <w:rFonts w:asciiTheme="minorEastAsia" w:eastAsiaTheme="minorEastAsia" w:hAnsiTheme="minorEastAsia" w:hint="eastAsia"/>
        </w:rPr>
        <w:t>。</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4" w:name="_Toc44351089"/>
      <w:r w:rsidRPr="00721084">
        <w:rPr>
          <w:rFonts w:asciiTheme="minorEastAsia" w:eastAsiaTheme="minorEastAsia" w:hAnsiTheme="minorEastAsia" w:hint="eastAsia"/>
          <w:b w:val="0"/>
        </w:rPr>
        <w:t>三</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申购</w:t>
      </w:r>
      <w:r w:rsidR="006823CA" w:rsidRPr="00721084">
        <w:rPr>
          <w:rFonts w:asciiTheme="minorEastAsia" w:eastAsiaTheme="minorEastAsia" w:hAnsiTheme="minorEastAsia" w:hint="eastAsia"/>
          <w:b w:val="0"/>
        </w:rPr>
        <w:t>和</w:t>
      </w:r>
      <w:r w:rsidRPr="00721084">
        <w:rPr>
          <w:rFonts w:asciiTheme="minorEastAsia" w:eastAsiaTheme="minorEastAsia" w:hAnsiTheme="minorEastAsia" w:hint="eastAsia"/>
          <w:b w:val="0"/>
        </w:rPr>
        <w:t>赎回的</w:t>
      </w:r>
      <w:r w:rsidR="00F227F1" w:rsidRPr="00721084">
        <w:rPr>
          <w:rFonts w:asciiTheme="minorEastAsia" w:eastAsiaTheme="minorEastAsia" w:hAnsiTheme="minorEastAsia" w:hint="eastAsia"/>
          <w:b w:val="0"/>
        </w:rPr>
        <w:t>开放日及</w:t>
      </w:r>
      <w:r w:rsidRPr="00721084">
        <w:rPr>
          <w:rFonts w:asciiTheme="minorEastAsia" w:eastAsiaTheme="minorEastAsia" w:hAnsiTheme="minorEastAsia" w:hint="eastAsia"/>
          <w:b w:val="0"/>
        </w:rPr>
        <w:t>时间</w:t>
      </w:r>
      <w:bookmarkEnd w:id="124"/>
    </w:p>
    <w:p w:rsidR="002232FF" w:rsidRPr="00721084" w:rsidRDefault="002232FF"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rPr>
        <w:t>本基金已于</w:t>
      </w:r>
      <w:r w:rsidRPr="00721084">
        <w:rPr>
          <w:rFonts w:asciiTheme="minorEastAsia" w:eastAsiaTheme="minorEastAsia" w:hAnsiTheme="minorEastAsia"/>
          <w:kern w:val="0"/>
          <w:szCs w:val="21"/>
        </w:rPr>
        <w:t>20</w:t>
      </w:r>
      <w:r w:rsidRPr="00721084">
        <w:rPr>
          <w:rFonts w:asciiTheme="minorEastAsia" w:eastAsiaTheme="minorEastAsia" w:hAnsiTheme="minorEastAsia" w:hint="eastAsia"/>
          <w:kern w:val="0"/>
          <w:szCs w:val="21"/>
        </w:rPr>
        <w:t>10</w:t>
      </w:r>
      <w:r w:rsidRPr="00721084">
        <w:rPr>
          <w:rFonts w:asciiTheme="minorEastAsia" w:eastAsiaTheme="minorEastAsia" w:hAnsiTheme="minorEastAsia"/>
          <w:kern w:val="0"/>
          <w:szCs w:val="21"/>
        </w:rPr>
        <w:t>年</w:t>
      </w:r>
      <w:r w:rsidRPr="00721084">
        <w:rPr>
          <w:rFonts w:asciiTheme="minorEastAsia" w:eastAsiaTheme="minorEastAsia" w:hAnsiTheme="minorEastAsia" w:hint="eastAsia"/>
          <w:kern w:val="0"/>
          <w:szCs w:val="21"/>
        </w:rPr>
        <w:t>4</w:t>
      </w:r>
      <w:r w:rsidRPr="00721084">
        <w:rPr>
          <w:rFonts w:asciiTheme="minorEastAsia" w:eastAsiaTheme="minorEastAsia" w:hAnsiTheme="minorEastAsia"/>
          <w:kern w:val="0"/>
          <w:szCs w:val="21"/>
        </w:rPr>
        <w:t>月</w:t>
      </w:r>
      <w:r w:rsidRPr="00721084">
        <w:rPr>
          <w:rFonts w:asciiTheme="minorEastAsia" w:eastAsiaTheme="minorEastAsia" w:hAnsiTheme="minorEastAsia" w:hint="eastAsia"/>
          <w:kern w:val="0"/>
          <w:szCs w:val="21"/>
        </w:rPr>
        <w:t>19</w:t>
      </w:r>
      <w:r w:rsidRPr="00721084">
        <w:rPr>
          <w:rFonts w:asciiTheme="minorEastAsia" w:eastAsiaTheme="minorEastAsia" w:hAnsiTheme="minorEastAsia"/>
          <w:kern w:val="0"/>
          <w:szCs w:val="21"/>
        </w:rPr>
        <w:t>日起开始办理日常申购和赎回业务</w:t>
      </w:r>
      <w:r w:rsidR="000E3083" w:rsidRPr="00721084">
        <w:rPr>
          <w:rFonts w:asciiTheme="minorEastAsia" w:eastAsiaTheme="minorEastAsia" w:hAnsiTheme="minorEastAsia" w:hint="eastAsia"/>
          <w:kern w:val="0"/>
          <w:szCs w:val="21"/>
        </w:rPr>
        <w:t>。</w:t>
      </w:r>
    </w:p>
    <w:p w:rsidR="00F227F1" w:rsidRPr="00721084" w:rsidRDefault="00F227F1"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本基金申购和赎回的开放日为</w:t>
      </w:r>
      <w:r w:rsidR="000C71E2" w:rsidRPr="00721084">
        <w:rPr>
          <w:rFonts w:asciiTheme="minorEastAsia" w:eastAsiaTheme="minorEastAsia" w:hAnsiTheme="minorEastAsia"/>
        </w:rPr>
        <w:t>上海证券交易所、深圳证券交易所</w:t>
      </w:r>
      <w:r w:rsidR="000C71E2" w:rsidRPr="00721084">
        <w:rPr>
          <w:rFonts w:asciiTheme="minorEastAsia" w:eastAsiaTheme="minorEastAsia" w:hAnsiTheme="minorEastAsia" w:hint="eastAsia"/>
        </w:rPr>
        <w:t>以及境外主要投资场所</w:t>
      </w:r>
      <w:r w:rsidR="006E5AFB" w:rsidRPr="00721084">
        <w:rPr>
          <w:rFonts w:asciiTheme="minorEastAsia" w:eastAsiaTheme="minorEastAsia" w:hAnsiTheme="minorEastAsia" w:hint="eastAsia"/>
        </w:rPr>
        <w:t>(香港证券交易所</w:t>
      </w:r>
      <w:r w:rsidR="003E5AE2" w:rsidRPr="00721084">
        <w:rPr>
          <w:rFonts w:asciiTheme="minorEastAsia" w:eastAsiaTheme="minorEastAsia" w:hAnsiTheme="minorEastAsia" w:hint="eastAsia"/>
        </w:rPr>
        <w:t>、纽约证券交易所和纳斯达克证券交易所</w:t>
      </w:r>
      <w:r w:rsidR="00430B3A" w:rsidRPr="00721084">
        <w:rPr>
          <w:rFonts w:asciiTheme="minorEastAsia" w:eastAsiaTheme="minorEastAsia" w:hAnsiTheme="minorEastAsia" w:hint="eastAsia"/>
        </w:rPr>
        <w:t>等</w:t>
      </w:r>
      <w:r w:rsidR="006E5AFB" w:rsidRPr="00721084">
        <w:rPr>
          <w:rFonts w:asciiTheme="minorEastAsia" w:eastAsiaTheme="minorEastAsia" w:hAnsiTheme="minorEastAsia" w:hint="eastAsia"/>
        </w:rPr>
        <w:t>)</w:t>
      </w:r>
      <w:r w:rsidR="001B6E9A" w:rsidRPr="00721084">
        <w:rPr>
          <w:rFonts w:asciiTheme="minorEastAsia" w:eastAsiaTheme="minorEastAsia" w:hAnsiTheme="minorEastAsia" w:hint="eastAsia"/>
        </w:rPr>
        <w:t>同时开放的每个工作日</w:t>
      </w:r>
      <w:r w:rsidR="00E9019D" w:rsidRPr="00721084">
        <w:rPr>
          <w:rFonts w:asciiTheme="minorEastAsia" w:eastAsiaTheme="minorEastAsia" w:hAnsiTheme="minorEastAsia" w:hint="eastAsia"/>
        </w:rPr>
        <w:t>，</w:t>
      </w:r>
      <w:r w:rsidR="00B07886" w:rsidRPr="00721084">
        <w:rPr>
          <w:rFonts w:asciiTheme="minorEastAsia" w:eastAsiaTheme="minorEastAsia" w:hAnsiTheme="minorEastAsia" w:hint="eastAsia"/>
        </w:rPr>
        <w:t>但基金管理人根据法律法规、中国证监会的要求或本基金合同的规定公告暂停申购、赎回时除外。</w:t>
      </w:r>
    </w:p>
    <w:p w:rsidR="00F227F1" w:rsidRPr="00721084" w:rsidRDefault="00F227F1"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基金管理人可与销售机构约定，在开放日的其他时间受理投资者的申购、赎回申请，但是对于投资者在非开放时间提出的申购、赎回申请，其基金份额申购、赎回价格为下次办理基金份额申购、赎回时间所在开放日的价格。</w:t>
      </w:r>
    </w:p>
    <w:p w:rsidR="00F227F1" w:rsidRPr="00721084" w:rsidRDefault="00F227F1"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若</w:t>
      </w:r>
      <w:r w:rsidR="00B07886" w:rsidRPr="00721084">
        <w:rPr>
          <w:rFonts w:asciiTheme="minorEastAsia" w:eastAsiaTheme="minorEastAsia" w:hAnsiTheme="minorEastAsia" w:hint="eastAsia"/>
        </w:rPr>
        <w:t>本基金的主要交易市场发生变化</w:t>
      </w:r>
      <w:r w:rsidRPr="00721084">
        <w:rPr>
          <w:rFonts w:asciiTheme="minorEastAsia" w:eastAsiaTheme="minorEastAsia" w:hAnsiTheme="minorEastAsia" w:hint="eastAsia"/>
        </w:rPr>
        <w:t>或交易所交易时间更改或实际情况需要，基金管理人可对申购、赎回</w:t>
      </w:r>
      <w:r w:rsidR="00B07886" w:rsidRPr="00721084">
        <w:rPr>
          <w:rFonts w:asciiTheme="minorEastAsia" w:eastAsiaTheme="minorEastAsia" w:hAnsiTheme="minorEastAsia" w:hint="eastAsia"/>
        </w:rPr>
        <w:t>的开放日和</w:t>
      </w:r>
      <w:r w:rsidRPr="00721084">
        <w:rPr>
          <w:rFonts w:asciiTheme="minorEastAsia" w:eastAsiaTheme="minorEastAsia" w:hAnsiTheme="minorEastAsia" w:hint="eastAsia"/>
        </w:rPr>
        <w:t>时间进行调整，但</w:t>
      </w:r>
      <w:r w:rsidR="00C248D4" w:rsidRPr="00721084">
        <w:rPr>
          <w:rFonts w:asciiTheme="minorEastAsia" w:eastAsiaTheme="minorEastAsia" w:hAnsiTheme="minorEastAsia" w:hint="eastAsia"/>
          <w:szCs w:val="21"/>
        </w:rPr>
        <w:t>应在实施</w:t>
      </w:r>
      <w:r w:rsidR="00AD1BC0" w:rsidRPr="00721084">
        <w:rPr>
          <w:rFonts w:asciiTheme="minorEastAsia" w:eastAsiaTheme="minorEastAsia" w:hAnsiTheme="minorEastAsia" w:hint="eastAsia"/>
          <w:szCs w:val="21"/>
        </w:rPr>
        <w:t>日</w:t>
      </w:r>
      <w:r w:rsidR="00C248D4" w:rsidRPr="00721084">
        <w:rPr>
          <w:rFonts w:asciiTheme="minorEastAsia" w:eastAsiaTheme="minorEastAsia" w:hAnsiTheme="minorEastAsia" w:hint="eastAsia"/>
          <w:szCs w:val="21"/>
        </w:rPr>
        <w:t>前依照《信息披露办法》的有关规定在</w:t>
      </w:r>
      <w:r w:rsidR="000964B0" w:rsidRPr="00721084">
        <w:rPr>
          <w:rFonts w:asciiTheme="minorEastAsia" w:eastAsiaTheme="minorEastAsia" w:hAnsiTheme="minorEastAsia" w:hint="eastAsia"/>
        </w:rPr>
        <w:t>指定媒介</w:t>
      </w:r>
      <w:r w:rsidR="00C248D4" w:rsidRPr="00721084">
        <w:rPr>
          <w:rFonts w:asciiTheme="minorEastAsia" w:eastAsiaTheme="minorEastAsia" w:hAnsiTheme="minorEastAsia" w:hint="eastAsia"/>
          <w:szCs w:val="21"/>
        </w:rPr>
        <w:t>上公告。</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5" w:name="_Toc44351090"/>
      <w:r w:rsidRPr="00721084">
        <w:rPr>
          <w:rFonts w:asciiTheme="minorEastAsia" w:eastAsiaTheme="minorEastAsia" w:hAnsiTheme="minorEastAsia" w:hint="eastAsia"/>
          <w:b w:val="0"/>
        </w:rPr>
        <w:t>四</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申购</w:t>
      </w:r>
      <w:r w:rsidR="007A18CE" w:rsidRPr="00721084">
        <w:rPr>
          <w:rFonts w:asciiTheme="minorEastAsia" w:eastAsiaTheme="minorEastAsia" w:hAnsiTheme="minorEastAsia" w:hint="eastAsia"/>
          <w:b w:val="0"/>
        </w:rPr>
        <w:t>与</w:t>
      </w:r>
      <w:r w:rsidRPr="00721084">
        <w:rPr>
          <w:rFonts w:asciiTheme="minorEastAsia" w:eastAsiaTheme="minorEastAsia" w:hAnsiTheme="minorEastAsia" w:hint="eastAsia"/>
          <w:b w:val="0"/>
        </w:rPr>
        <w:t>赎回的原则</w:t>
      </w:r>
      <w:bookmarkEnd w:id="125"/>
    </w:p>
    <w:p w:rsidR="007A18CE" w:rsidRPr="00721084" w:rsidRDefault="007A18C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1</w:t>
      </w:r>
      <w:r w:rsidR="00D972A4" w:rsidRPr="00721084">
        <w:rPr>
          <w:rFonts w:asciiTheme="minorEastAsia" w:eastAsiaTheme="minorEastAsia" w:hAnsiTheme="minorEastAsia" w:hint="eastAsia"/>
        </w:rPr>
        <w:t>、</w:t>
      </w:r>
      <w:r w:rsidRPr="00721084">
        <w:rPr>
          <w:rFonts w:asciiTheme="minorEastAsia" w:eastAsiaTheme="minorEastAsia" w:hAnsiTheme="minorEastAsia" w:hint="eastAsia"/>
        </w:rPr>
        <w:t>“未知价”原则，即申购、赎回价格以申请当日收市后计算的基金份额净值为基准进行计算；</w:t>
      </w:r>
    </w:p>
    <w:p w:rsidR="007A18CE" w:rsidRPr="00721084" w:rsidRDefault="007A18C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2</w:t>
      </w:r>
      <w:r w:rsidR="00D972A4" w:rsidRPr="00721084">
        <w:rPr>
          <w:rFonts w:asciiTheme="minorEastAsia" w:eastAsiaTheme="minorEastAsia" w:hAnsiTheme="minorEastAsia" w:hint="eastAsia"/>
        </w:rPr>
        <w:t>、</w:t>
      </w:r>
      <w:r w:rsidRPr="00721084">
        <w:rPr>
          <w:rFonts w:asciiTheme="minorEastAsia" w:eastAsiaTheme="minorEastAsia" w:hAnsiTheme="minorEastAsia" w:hint="eastAsia"/>
        </w:rPr>
        <w:t>“金额申购、份额赎回”原则，即申购以金额申请，赎回以份额申请；</w:t>
      </w:r>
    </w:p>
    <w:p w:rsidR="007A18CE" w:rsidRPr="00721084" w:rsidRDefault="007A18C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D972A4" w:rsidRPr="00721084">
        <w:rPr>
          <w:rFonts w:asciiTheme="minorEastAsia" w:eastAsiaTheme="minorEastAsia" w:hAnsiTheme="minorEastAsia" w:hint="eastAsia"/>
        </w:rPr>
        <w:t>、</w:t>
      </w:r>
      <w:r w:rsidRPr="00721084">
        <w:rPr>
          <w:rFonts w:asciiTheme="minorEastAsia" w:eastAsiaTheme="minorEastAsia" w:hAnsiTheme="minorEastAsia" w:hint="eastAsia"/>
        </w:rPr>
        <w:t>当日的申购与赎回申请可以在基金管理人规定的时间以内撤销；</w:t>
      </w:r>
    </w:p>
    <w:p w:rsidR="001B3D1F" w:rsidRPr="00721084" w:rsidRDefault="001B3D1F"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D972A4" w:rsidRPr="00721084">
        <w:rPr>
          <w:rFonts w:asciiTheme="minorEastAsia" w:eastAsiaTheme="minorEastAsia" w:hAnsiTheme="minorEastAsia" w:hint="eastAsia"/>
        </w:rPr>
        <w:t>、</w:t>
      </w:r>
      <w:r w:rsidRPr="00721084">
        <w:rPr>
          <w:rFonts w:asciiTheme="minorEastAsia" w:eastAsiaTheme="minorEastAsia" w:hAnsiTheme="minorEastAsia" w:hint="eastAsia"/>
        </w:rPr>
        <w:t>基金份额持有人赎回时，基金管理人按先进先出的原则，对该持有人账户在该销售机构托管的基金份额进行处理，即先确认的份额先赎回，后确认的份额后赎回；</w:t>
      </w:r>
    </w:p>
    <w:p w:rsidR="0064594E" w:rsidRPr="00721084" w:rsidRDefault="001B3D1F"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00D972A4" w:rsidRPr="00721084">
        <w:rPr>
          <w:rFonts w:asciiTheme="minorEastAsia" w:eastAsiaTheme="minorEastAsia" w:hAnsiTheme="minorEastAsia" w:hint="eastAsia"/>
        </w:rPr>
        <w:t>、</w:t>
      </w:r>
      <w:r w:rsidR="007A18CE" w:rsidRPr="00721084">
        <w:rPr>
          <w:rFonts w:asciiTheme="minorEastAsia" w:eastAsiaTheme="minorEastAsia" w:hAnsiTheme="minorEastAsia" w:hint="eastAsia"/>
        </w:rPr>
        <w:t>基金管理人可根据基金运作的实际情况并在不影响基金份额持有人实质利益的前提下调整上述原则。基金管理人必须在新规则开始实施前按照《信息披露办法》的有关规定在</w:t>
      </w:r>
      <w:r w:rsidR="000964B0" w:rsidRPr="00721084">
        <w:rPr>
          <w:rFonts w:asciiTheme="minorEastAsia" w:eastAsiaTheme="minorEastAsia" w:hAnsiTheme="minorEastAsia" w:hint="eastAsia"/>
        </w:rPr>
        <w:lastRenderedPageBreak/>
        <w:t>指定媒介</w:t>
      </w:r>
      <w:r w:rsidR="007A18CE" w:rsidRPr="00721084">
        <w:rPr>
          <w:rFonts w:asciiTheme="minorEastAsia" w:eastAsiaTheme="minorEastAsia" w:hAnsiTheme="minorEastAsia" w:hint="eastAsia"/>
        </w:rPr>
        <w:t>公告。</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6" w:name="_Toc44351091"/>
      <w:r w:rsidRPr="00721084">
        <w:rPr>
          <w:rFonts w:asciiTheme="minorEastAsia" w:eastAsiaTheme="minorEastAsia" w:hAnsiTheme="minorEastAsia" w:hint="eastAsia"/>
          <w:b w:val="0"/>
        </w:rPr>
        <w:t>五</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申购</w:t>
      </w:r>
      <w:r w:rsidR="006823CA" w:rsidRPr="00721084">
        <w:rPr>
          <w:rFonts w:asciiTheme="minorEastAsia" w:eastAsiaTheme="minorEastAsia" w:hAnsiTheme="minorEastAsia" w:hint="eastAsia"/>
          <w:b w:val="0"/>
        </w:rPr>
        <w:t>和</w:t>
      </w:r>
      <w:r w:rsidRPr="00721084">
        <w:rPr>
          <w:rFonts w:asciiTheme="minorEastAsia" w:eastAsiaTheme="minorEastAsia" w:hAnsiTheme="minorEastAsia" w:hint="eastAsia"/>
          <w:b w:val="0"/>
        </w:rPr>
        <w:t>赎回的程序</w:t>
      </w:r>
      <w:bookmarkEnd w:id="126"/>
    </w:p>
    <w:p w:rsidR="0064594E" w:rsidRPr="00721084" w:rsidRDefault="006A1D9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64594E" w:rsidRPr="00721084">
        <w:rPr>
          <w:rFonts w:asciiTheme="minorEastAsia" w:eastAsiaTheme="minorEastAsia" w:hAnsiTheme="minorEastAsia" w:hint="eastAsia"/>
        </w:rPr>
        <w:t>申请方式</w:t>
      </w:r>
    </w:p>
    <w:p w:rsidR="00E50ECC" w:rsidRPr="00721084" w:rsidRDefault="00E50EC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基金投资者必须根据基金销售机构规定的程序，在开放日的业务办理时间向基金销售机构提出申购或赎回的申请。</w:t>
      </w:r>
    </w:p>
    <w:p w:rsidR="0064594E" w:rsidRPr="00721084" w:rsidRDefault="00E50EC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投资者在申购本基金时须按销售机构规定的方式备足申购资金,投资者在提交赎回申请时，必须有足够的基金份额余额，否则所提交的申购、赎回的申请将可能无效而不予成交。</w:t>
      </w:r>
    </w:p>
    <w:p w:rsidR="0064594E" w:rsidRPr="00721084" w:rsidRDefault="006A1D9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64594E" w:rsidRPr="00721084">
        <w:rPr>
          <w:rFonts w:asciiTheme="minorEastAsia" w:eastAsiaTheme="minorEastAsia" w:hAnsiTheme="minorEastAsia" w:hint="eastAsia"/>
        </w:rPr>
        <w:t>申购</w:t>
      </w:r>
      <w:r w:rsidR="006823CA" w:rsidRPr="00721084">
        <w:rPr>
          <w:rFonts w:asciiTheme="minorEastAsia" w:eastAsiaTheme="minorEastAsia" w:hAnsiTheme="minorEastAsia" w:hint="eastAsia"/>
        </w:rPr>
        <w:t>与</w:t>
      </w:r>
      <w:r w:rsidR="0064594E" w:rsidRPr="00721084">
        <w:rPr>
          <w:rFonts w:asciiTheme="minorEastAsia" w:eastAsiaTheme="minorEastAsia" w:hAnsiTheme="minorEastAsia" w:hint="eastAsia"/>
        </w:rPr>
        <w:t>赎回申请的确认</w:t>
      </w:r>
    </w:p>
    <w:p w:rsidR="0064594E" w:rsidRPr="00721084" w:rsidRDefault="00B0554E" w:rsidP="00CE3F81">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721084">
        <w:rPr>
          <w:rFonts w:asciiTheme="minorEastAsia" w:eastAsiaTheme="minorEastAsia" w:hAnsiTheme="minorEastAsia"/>
          <w:kern w:val="0"/>
          <w:szCs w:val="21"/>
        </w:rPr>
        <w:t>正常情况下</w:t>
      </w:r>
      <w:r w:rsidRPr="00721084">
        <w:rPr>
          <w:rFonts w:asciiTheme="minorEastAsia" w:eastAsiaTheme="minorEastAsia" w:hAnsiTheme="minorEastAsia" w:hint="eastAsia"/>
          <w:kern w:val="0"/>
          <w:szCs w:val="21"/>
        </w:rPr>
        <w:t>，</w:t>
      </w:r>
      <w:r w:rsidRPr="00721084">
        <w:rPr>
          <w:rFonts w:asciiTheme="minorEastAsia" w:eastAsiaTheme="minorEastAsia" w:hAnsiTheme="minorEastAsia"/>
          <w:kern w:val="0"/>
          <w:szCs w:val="21"/>
        </w:rPr>
        <w:t>基金管理人应当自收到</w:t>
      </w:r>
      <w:r w:rsidR="0066417F" w:rsidRPr="00721084">
        <w:rPr>
          <w:rFonts w:asciiTheme="minorEastAsia" w:eastAsiaTheme="minorEastAsia" w:hAnsiTheme="minorEastAsia"/>
          <w:kern w:val="0"/>
          <w:szCs w:val="21"/>
        </w:rPr>
        <w:t>投资</w:t>
      </w:r>
      <w:r w:rsidR="0066417F" w:rsidRPr="00721084">
        <w:rPr>
          <w:rFonts w:asciiTheme="minorEastAsia" w:eastAsiaTheme="minorEastAsia" w:hAnsiTheme="minorEastAsia" w:hint="eastAsia"/>
          <w:kern w:val="0"/>
          <w:szCs w:val="21"/>
        </w:rPr>
        <w:t>者</w:t>
      </w:r>
      <w:r w:rsidRPr="00721084">
        <w:rPr>
          <w:rFonts w:asciiTheme="minorEastAsia" w:eastAsiaTheme="minorEastAsia" w:hAnsiTheme="minorEastAsia"/>
          <w:kern w:val="0"/>
          <w:szCs w:val="21"/>
        </w:rPr>
        <w:t>申购、赎回申请的开放日起三个工作日内，对该申购、赎回的有效性进行确认</w:t>
      </w:r>
      <w:r w:rsidR="00E50ECC" w:rsidRPr="00721084">
        <w:rPr>
          <w:rFonts w:asciiTheme="minorEastAsia" w:eastAsiaTheme="minorEastAsia" w:hAnsiTheme="minorEastAsia" w:hint="eastAsia"/>
        </w:rPr>
        <w:t>。</w:t>
      </w:r>
      <w:r w:rsidR="00E50ECC" w:rsidRPr="00721084">
        <w:rPr>
          <w:rFonts w:asciiTheme="minorEastAsia" w:eastAsiaTheme="minorEastAsia" w:hAnsiTheme="minorEastAsia" w:hint="eastAsia"/>
          <w:kern w:val="0"/>
          <w:szCs w:val="21"/>
        </w:rPr>
        <w:t>投资者应在</w:t>
      </w:r>
      <w:r w:rsidR="00E50ECC" w:rsidRPr="00721084">
        <w:rPr>
          <w:rFonts w:asciiTheme="minorEastAsia" w:eastAsiaTheme="minorEastAsia" w:hAnsiTheme="minorEastAsia" w:cs="Arial"/>
          <w:kern w:val="0"/>
          <w:szCs w:val="21"/>
        </w:rPr>
        <w:t>T+3</w:t>
      </w:r>
      <w:r w:rsidR="00E50ECC" w:rsidRPr="00721084">
        <w:rPr>
          <w:rFonts w:asciiTheme="minorEastAsia" w:eastAsiaTheme="minorEastAsia" w:hAnsiTheme="minorEastAsia" w:hint="eastAsia"/>
          <w:kern w:val="0"/>
          <w:szCs w:val="21"/>
        </w:rPr>
        <w:t>日（包括该日）后及时到销售网点柜台或以销售机构规定的其他方式查询申请与赎回的确认情况。如因申请未得到注册登记机构的确认而造成的损失，由投资者自行承担。</w:t>
      </w:r>
    </w:p>
    <w:p w:rsidR="0064594E" w:rsidRPr="00721084" w:rsidRDefault="006A1D9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64594E" w:rsidRPr="00721084">
        <w:rPr>
          <w:rFonts w:asciiTheme="minorEastAsia" w:eastAsiaTheme="minorEastAsia" w:hAnsiTheme="minorEastAsia" w:hint="eastAsia"/>
        </w:rPr>
        <w:t>申购和赎回的款项支付</w:t>
      </w:r>
    </w:p>
    <w:p w:rsidR="00E50ECC" w:rsidRPr="00721084" w:rsidRDefault="00E50EC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申购采用全额缴款方式，若申购资金在规定时间内未全额到账则申购不成功，若申购不成功或无效，申购款项将退回投资者账户。</w:t>
      </w:r>
    </w:p>
    <w:p w:rsidR="0064594E" w:rsidRPr="00721084" w:rsidRDefault="00E50EC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投资者</w:t>
      </w:r>
      <w:r w:rsidRPr="00721084">
        <w:rPr>
          <w:rFonts w:asciiTheme="minorEastAsia" w:eastAsiaTheme="minorEastAsia" w:hAnsiTheme="minorEastAsia" w:hint="eastAsia"/>
          <w:szCs w:val="21"/>
        </w:rPr>
        <w:t>T日</w:t>
      </w:r>
      <w:r w:rsidRPr="00721084">
        <w:rPr>
          <w:rFonts w:asciiTheme="minorEastAsia" w:eastAsiaTheme="minorEastAsia" w:hAnsiTheme="minorEastAsia" w:hint="eastAsia"/>
        </w:rPr>
        <w:t>赎回申请成功后，基金管理人将通过基金注册登记机构及其相关基金销售机构在</w:t>
      </w:r>
      <w:r w:rsidRPr="00721084">
        <w:rPr>
          <w:rFonts w:asciiTheme="minorEastAsia" w:eastAsiaTheme="minorEastAsia" w:hAnsiTheme="minorEastAsia"/>
        </w:rPr>
        <w:t>T</w:t>
      </w:r>
      <w:r w:rsidRPr="00721084">
        <w:rPr>
          <w:rFonts w:asciiTheme="minorEastAsia" w:eastAsiaTheme="minorEastAsia" w:hAnsiTheme="minorEastAsia" w:hint="eastAsia"/>
        </w:rPr>
        <w:t>＋10日</w:t>
      </w:r>
      <w:r w:rsidR="0066417F" w:rsidRPr="00721084">
        <w:rPr>
          <w:rFonts w:asciiTheme="minorEastAsia" w:eastAsiaTheme="minorEastAsia" w:hAnsiTheme="minorEastAsia" w:hint="eastAsia"/>
        </w:rPr>
        <w:t>（包括该日）</w:t>
      </w:r>
      <w:r w:rsidRPr="00721084">
        <w:rPr>
          <w:rFonts w:asciiTheme="minorEastAsia" w:eastAsiaTheme="minorEastAsia" w:hAnsiTheme="minorEastAsia" w:hint="eastAsia"/>
        </w:rPr>
        <w:t>内将赎回款项划往基金份额持有人账户</w:t>
      </w:r>
      <w:r w:rsidR="007E3748" w:rsidRPr="00721084">
        <w:rPr>
          <w:rFonts w:asciiTheme="minorEastAsia" w:eastAsiaTheme="minorEastAsia" w:hAnsiTheme="minorEastAsia" w:hint="eastAsia"/>
        </w:rPr>
        <w:t>，当遇基金投资主要市场休市或暂停交易时顺延</w:t>
      </w:r>
      <w:r w:rsidRPr="00721084">
        <w:rPr>
          <w:rFonts w:asciiTheme="minorEastAsia" w:eastAsiaTheme="minorEastAsia" w:hAnsiTheme="minorEastAsia" w:hint="eastAsia"/>
        </w:rPr>
        <w:t>。在发生巨额赎回的情形时，款项的支付办法参照《基金合同》的有关条款处理。</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7" w:name="_Toc44351092"/>
      <w:r w:rsidRPr="00721084">
        <w:rPr>
          <w:rFonts w:asciiTheme="minorEastAsia" w:eastAsiaTheme="minorEastAsia" w:hAnsiTheme="minorEastAsia" w:hint="eastAsia"/>
          <w:b w:val="0"/>
        </w:rPr>
        <w:t>六</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申购</w:t>
      </w:r>
      <w:r w:rsidR="006823CA" w:rsidRPr="00721084">
        <w:rPr>
          <w:rFonts w:asciiTheme="minorEastAsia" w:eastAsiaTheme="minorEastAsia" w:hAnsiTheme="minorEastAsia" w:hint="eastAsia"/>
          <w:b w:val="0"/>
        </w:rPr>
        <w:t>和</w:t>
      </w:r>
      <w:r w:rsidRPr="00721084">
        <w:rPr>
          <w:rFonts w:asciiTheme="minorEastAsia" w:eastAsiaTheme="minorEastAsia" w:hAnsiTheme="minorEastAsia" w:hint="eastAsia"/>
          <w:b w:val="0"/>
        </w:rPr>
        <w:t>赎回的数额限制</w:t>
      </w:r>
      <w:bookmarkEnd w:id="127"/>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申购基金的金额限制</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投资者通过</w:t>
      </w:r>
      <w:r w:rsidR="003F76E7" w:rsidRPr="00721084">
        <w:rPr>
          <w:rStyle w:val="da"/>
          <w:rFonts w:asciiTheme="minorEastAsia" w:eastAsiaTheme="minorEastAsia" w:hAnsiTheme="minorEastAsia" w:hint="eastAsia"/>
        </w:rPr>
        <w:t>非直销销售机构</w:t>
      </w:r>
      <w:r w:rsidRPr="00721084">
        <w:rPr>
          <w:rFonts w:asciiTheme="minorEastAsia" w:eastAsiaTheme="minorEastAsia" w:hAnsiTheme="minorEastAsia" w:hint="eastAsia"/>
        </w:rPr>
        <w:t>或本公司网上交易系统首次申购的单笔最低金额为1元人民币，</w:t>
      </w:r>
      <w:r w:rsidR="000D6E0C" w:rsidRPr="00721084">
        <w:rPr>
          <w:rFonts w:asciiTheme="minorEastAsia" w:eastAsiaTheme="minorEastAsia" w:hAnsiTheme="minorEastAsia" w:hint="eastAsia"/>
        </w:rPr>
        <w:t>追加申购单笔最低限额为1元人民币；</w:t>
      </w:r>
      <w:r w:rsidRPr="00721084">
        <w:rPr>
          <w:rFonts w:asciiTheme="minorEastAsia" w:eastAsiaTheme="minorEastAsia" w:hAnsiTheme="minorEastAsia" w:hint="eastAsia"/>
        </w:rPr>
        <w:t>通过</w:t>
      </w:r>
      <w:r w:rsidR="00806C0D" w:rsidRPr="00721084">
        <w:rPr>
          <w:rFonts w:asciiTheme="minorEastAsia" w:eastAsiaTheme="minorEastAsia" w:hAnsiTheme="minorEastAsia" w:hint="eastAsia"/>
        </w:rPr>
        <w:t>直销</w:t>
      </w:r>
      <w:r w:rsidRPr="00721084">
        <w:rPr>
          <w:rFonts w:asciiTheme="minorEastAsia" w:eastAsiaTheme="minorEastAsia" w:hAnsiTheme="minorEastAsia" w:hint="eastAsia"/>
        </w:rPr>
        <w:t>中心首次申购的单笔最低金额为50000元人民币，追加申购</w:t>
      </w:r>
      <w:r w:rsidR="00305955" w:rsidRPr="00721084">
        <w:rPr>
          <w:rFonts w:asciiTheme="minorEastAsia" w:eastAsiaTheme="minorEastAsia" w:hAnsiTheme="minorEastAsia" w:hint="eastAsia"/>
        </w:rPr>
        <w:t>单笔</w:t>
      </w:r>
      <w:r w:rsidRPr="00721084">
        <w:rPr>
          <w:rFonts w:asciiTheme="minorEastAsia" w:eastAsiaTheme="minorEastAsia" w:hAnsiTheme="minorEastAsia" w:hint="eastAsia"/>
        </w:rPr>
        <w:t>最低金额为1000元人民币。</w:t>
      </w:r>
      <w:r w:rsidR="00BF0E3C" w:rsidRPr="00721084">
        <w:rPr>
          <w:rFonts w:asciiTheme="minorEastAsia" w:eastAsiaTheme="minorEastAsia" w:hAnsiTheme="minorEastAsia" w:hint="eastAsia"/>
        </w:rPr>
        <w:t>在法律法规规定的前提下，</w:t>
      </w:r>
      <w:r w:rsidRPr="00721084">
        <w:rPr>
          <w:rFonts w:asciiTheme="minorEastAsia" w:eastAsiaTheme="minorEastAsia" w:hAnsiTheme="minorEastAsia" w:hint="eastAsia"/>
        </w:rPr>
        <w:t>各</w:t>
      </w:r>
      <w:r w:rsidR="000D6E0C" w:rsidRPr="00721084">
        <w:rPr>
          <w:rFonts w:asciiTheme="minorEastAsia" w:eastAsiaTheme="minorEastAsia" w:hAnsiTheme="minorEastAsia" w:hint="eastAsia"/>
        </w:rPr>
        <w:t>销售</w:t>
      </w:r>
      <w:r w:rsidRPr="00721084">
        <w:rPr>
          <w:rFonts w:asciiTheme="minorEastAsia" w:eastAsiaTheme="minorEastAsia" w:hAnsiTheme="minorEastAsia" w:hint="eastAsia"/>
        </w:rPr>
        <w:t>机构对最低申购限额及交易级差有其他规定的</w:t>
      </w:r>
      <w:r w:rsidR="00E452BC" w:rsidRPr="00721084">
        <w:rPr>
          <w:rFonts w:asciiTheme="minorEastAsia" w:eastAsiaTheme="minorEastAsia" w:hAnsiTheme="minorEastAsia" w:hint="eastAsia"/>
        </w:rPr>
        <w:t>，</w:t>
      </w:r>
      <w:r w:rsidR="002758F6" w:rsidRPr="00721084">
        <w:rPr>
          <w:rFonts w:asciiTheme="minorEastAsia" w:eastAsiaTheme="minorEastAsia" w:hAnsiTheme="minorEastAsia" w:hint="eastAsia"/>
        </w:rPr>
        <w:t>需同时遵循该销售机构的相关规定</w:t>
      </w:r>
      <w:r w:rsidRPr="00721084">
        <w:rPr>
          <w:rFonts w:asciiTheme="minorEastAsia" w:eastAsiaTheme="minorEastAsia" w:hAnsiTheme="minorEastAsia" w:hint="eastAsia"/>
        </w:rPr>
        <w:t>。</w:t>
      </w:r>
      <w:r w:rsidR="000D6E0C" w:rsidRPr="00721084">
        <w:rPr>
          <w:rFonts w:asciiTheme="minorEastAsia" w:eastAsiaTheme="minorEastAsia" w:hAnsiTheme="minorEastAsia" w:hint="eastAsia"/>
        </w:rPr>
        <w:t>（以上金额均含申购费）</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投资者将当期分配的基金收益转购基金份额或采用定期定额投资计划时，不受最低申购金额的限制。</w:t>
      </w:r>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投资者可多次申购，对单个投资者累计持有份额不设上限限制。</w:t>
      </w:r>
      <w:r w:rsidR="00FC27E4" w:rsidRPr="00721084">
        <w:rPr>
          <w:rFonts w:asciiTheme="minorEastAsia" w:eastAsiaTheme="minorEastAsia" w:hAnsiTheme="minorEastAsia" w:hint="eastAsia"/>
          <w:szCs w:val="21"/>
        </w:rPr>
        <w:t>但对于可能导致单一投资者持有基金份额的比例达到或者超过</w:t>
      </w:r>
      <w:r w:rsidR="00FC27E4" w:rsidRPr="00721084">
        <w:rPr>
          <w:rFonts w:asciiTheme="minorEastAsia" w:eastAsiaTheme="minorEastAsia" w:hAnsiTheme="minorEastAsia"/>
          <w:szCs w:val="21"/>
        </w:rPr>
        <w:t>50%，或者变相规避50%集中度的情形，基金管理人有权采取控制措施。</w:t>
      </w:r>
      <w:r w:rsidR="00FC27E4" w:rsidRPr="00721084">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721084">
        <w:rPr>
          <w:rFonts w:asciiTheme="minorEastAsia" w:eastAsiaTheme="minorEastAsia" w:hAnsiTheme="minorEastAsia" w:hint="eastAsia"/>
        </w:rPr>
        <w:t>法</w:t>
      </w:r>
      <w:r w:rsidRPr="00721084">
        <w:rPr>
          <w:rFonts w:asciiTheme="minorEastAsia" w:eastAsiaTheme="minorEastAsia" w:hAnsiTheme="minorEastAsia" w:hint="eastAsia"/>
        </w:rPr>
        <w:lastRenderedPageBreak/>
        <w:t>律法规、中国证监会另有规定的除外。</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bookmarkStart w:id="128" w:name="OLE_LINK2"/>
      <w:r w:rsidRPr="00721084">
        <w:rPr>
          <w:rFonts w:asciiTheme="minorEastAsia" w:eastAsiaTheme="minorEastAsia" w:hAnsiTheme="minorEastAsia" w:hint="eastAsia"/>
          <w:szCs w:val="21"/>
        </w:rPr>
        <w:t>2</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赎回的份额限制</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投资者可将其全部或部分基金单位赎回。单笔赎回或转换不得少于</w:t>
      </w:r>
      <w:r w:rsidRPr="00721084">
        <w:rPr>
          <w:rFonts w:asciiTheme="minorEastAsia" w:eastAsiaTheme="minorEastAsia" w:hAnsiTheme="minorEastAsia" w:hint="eastAsia"/>
          <w:szCs w:val="21"/>
        </w:rPr>
        <w:t>1</w:t>
      </w:r>
      <w:r w:rsidRPr="00721084">
        <w:rPr>
          <w:rFonts w:asciiTheme="minorEastAsia" w:eastAsiaTheme="minorEastAsia" w:hAnsiTheme="minorEastAsia"/>
          <w:szCs w:val="21"/>
        </w:rPr>
        <w:t>份(</w:t>
      </w:r>
      <w:r w:rsidR="00C7734A" w:rsidRPr="00721084">
        <w:rPr>
          <w:rFonts w:asciiTheme="minorEastAsia" w:eastAsiaTheme="minorEastAsia" w:hAnsiTheme="minorEastAsia"/>
          <w:szCs w:val="21"/>
        </w:rPr>
        <w:t>如该</w:t>
      </w:r>
      <w:r w:rsidR="00C7734A" w:rsidRPr="00721084">
        <w:rPr>
          <w:rFonts w:asciiTheme="minorEastAsia" w:eastAsiaTheme="minorEastAsia" w:hAnsiTheme="minorEastAsia" w:hint="eastAsia"/>
          <w:szCs w:val="21"/>
        </w:rPr>
        <w:t>账户</w:t>
      </w:r>
      <w:r w:rsidR="00C7734A" w:rsidRPr="00721084">
        <w:rPr>
          <w:rFonts w:asciiTheme="minorEastAsia" w:eastAsiaTheme="minorEastAsia" w:hAnsiTheme="minorEastAsia"/>
          <w:szCs w:val="21"/>
        </w:rPr>
        <w:t>在该销售机构托管的</w:t>
      </w:r>
      <w:r w:rsidR="00C7734A" w:rsidRPr="00721084">
        <w:rPr>
          <w:rFonts w:asciiTheme="minorEastAsia" w:eastAsiaTheme="minorEastAsia" w:hAnsiTheme="minorEastAsia" w:hint="eastAsia"/>
          <w:szCs w:val="21"/>
        </w:rPr>
        <w:t>该</w:t>
      </w:r>
      <w:r w:rsidR="00C7734A" w:rsidRPr="00721084">
        <w:rPr>
          <w:rFonts w:asciiTheme="minorEastAsia" w:eastAsiaTheme="minorEastAsia" w:hAnsiTheme="minorEastAsia"/>
          <w:szCs w:val="21"/>
        </w:rPr>
        <w:t>基金余额不足</w:t>
      </w:r>
      <w:r w:rsidRPr="00721084">
        <w:rPr>
          <w:rFonts w:asciiTheme="minorEastAsia" w:eastAsiaTheme="minorEastAsia" w:hAnsiTheme="minorEastAsia"/>
          <w:szCs w:val="21"/>
        </w:rPr>
        <w:t>1份</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则必须一次性赎回或转出该基金全部份额)；若某笔赎回将导致投资者在</w:t>
      </w:r>
      <w:r w:rsidR="00C7734A" w:rsidRPr="00721084">
        <w:rPr>
          <w:rFonts w:asciiTheme="minorEastAsia" w:eastAsiaTheme="minorEastAsia" w:hAnsiTheme="minorEastAsia" w:hint="eastAsia"/>
          <w:szCs w:val="21"/>
        </w:rPr>
        <w:t>该</w:t>
      </w:r>
      <w:r w:rsidRPr="00721084">
        <w:rPr>
          <w:rFonts w:asciiTheme="minorEastAsia" w:eastAsiaTheme="minorEastAsia" w:hAnsiTheme="minorEastAsia"/>
          <w:szCs w:val="21"/>
        </w:rPr>
        <w:t>销售机构托管的</w:t>
      </w:r>
      <w:r w:rsidR="00C7734A" w:rsidRPr="00721084">
        <w:rPr>
          <w:rFonts w:asciiTheme="minorEastAsia" w:eastAsiaTheme="minorEastAsia" w:hAnsiTheme="minorEastAsia" w:hint="eastAsia"/>
          <w:szCs w:val="21"/>
        </w:rPr>
        <w:t>该</w:t>
      </w:r>
      <w:r w:rsidRPr="00721084">
        <w:rPr>
          <w:rFonts w:asciiTheme="minorEastAsia" w:eastAsiaTheme="minorEastAsia" w:hAnsiTheme="minorEastAsia"/>
          <w:szCs w:val="21"/>
        </w:rPr>
        <w:t>基金余额不足1份时</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基金管理人有权将投资者在该销售机构托管的该基金剩余份额一次性全部赎回。</w:t>
      </w:r>
      <w:r w:rsidR="001B4D13" w:rsidRPr="00721084">
        <w:rPr>
          <w:rFonts w:asciiTheme="minorEastAsia" w:eastAsiaTheme="minorEastAsia" w:hAnsiTheme="minorEastAsia" w:hint="eastAsia"/>
          <w:szCs w:val="21"/>
        </w:rPr>
        <w:t>在符合法律法规规定的前提下，各销售机构对赎回份额限制有其他规定的，需同时遵循该销售机构的相关规定。</w:t>
      </w:r>
    </w:p>
    <w:bookmarkEnd w:id="128"/>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szCs w:val="21"/>
        </w:rPr>
        <w:t>3</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hint="eastAsia"/>
        </w:rPr>
        <w:t>基金管理人可根据市场情况，在法律法规允许的情况下，调整上述对申购金额和赎回份额的数量限制，</w:t>
      </w:r>
      <w:r w:rsidR="006E0D4A" w:rsidRPr="00721084">
        <w:rPr>
          <w:rFonts w:asciiTheme="minorEastAsia" w:eastAsiaTheme="minorEastAsia" w:hAnsiTheme="minorEastAsia" w:hint="eastAsia"/>
          <w:szCs w:val="21"/>
        </w:rPr>
        <w:t>或者新增基金规模控制措施,</w:t>
      </w:r>
      <w:r w:rsidRPr="00721084">
        <w:rPr>
          <w:rFonts w:asciiTheme="minorEastAsia" w:eastAsiaTheme="minorEastAsia" w:hAnsiTheme="minorEastAsia" w:hint="eastAsia"/>
        </w:rPr>
        <w:t>基金管理人必须在调整生效前依照《信息披露办法》的有关规定在</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公告。</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29" w:name="_Toc44351093"/>
      <w:r w:rsidRPr="00721084">
        <w:rPr>
          <w:rFonts w:asciiTheme="minorEastAsia" w:eastAsiaTheme="minorEastAsia" w:hAnsiTheme="minorEastAsia" w:hint="eastAsia"/>
          <w:b w:val="0"/>
        </w:rPr>
        <w:t>七</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申购</w:t>
      </w:r>
      <w:r w:rsidR="00C148F8" w:rsidRPr="00721084">
        <w:rPr>
          <w:rFonts w:asciiTheme="minorEastAsia" w:eastAsiaTheme="minorEastAsia" w:hAnsiTheme="minorEastAsia" w:hint="eastAsia"/>
          <w:b w:val="0"/>
        </w:rPr>
        <w:t>与</w:t>
      </w:r>
      <w:r w:rsidRPr="00721084">
        <w:rPr>
          <w:rFonts w:asciiTheme="minorEastAsia" w:eastAsiaTheme="minorEastAsia" w:hAnsiTheme="minorEastAsia" w:hint="eastAsia"/>
          <w:b w:val="0"/>
        </w:rPr>
        <w:t>赎回的费率</w:t>
      </w:r>
      <w:bookmarkEnd w:id="129"/>
    </w:p>
    <w:p w:rsidR="0064594E" w:rsidRPr="00721084" w:rsidRDefault="0064594E"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1</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本基金的申购费率</w:t>
      </w:r>
    </w:p>
    <w:p w:rsidR="00015BC6" w:rsidRPr="00721084" w:rsidRDefault="00015BC6"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本基金对通过</w:t>
      </w:r>
      <w:r w:rsidR="001B4D13" w:rsidRPr="00721084">
        <w:rPr>
          <w:rFonts w:asciiTheme="minorEastAsia" w:eastAsiaTheme="minorEastAsia" w:hAnsiTheme="minorEastAsia" w:hint="eastAsia"/>
        </w:rPr>
        <w:t>本</w:t>
      </w:r>
      <w:r w:rsidR="001B4D13" w:rsidRPr="00721084">
        <w:rPr>
          <w:rFonts w:asciiTheme="minorEastAsia" w:eastAsiaTheme="minorEastAsia" w:hAnsiTheme="minorEastAsia"/>
        </w:rPr>
        <w:t>公司</w:t>
      </w:r>
      <w:r w:rsidRPr="00721084">
        <w:rPr>
          <w:rFonts w:asciiTheme="minorEastAsia" w:eastAsiaTheme="minorEastAsia" w:hAnsiTheme="minorEastAsia" w:hint="eastAsia"/>
        </w:rPr>
        <w:t>直销中心申购的特定投资群体与除此之外的其他投资者实施差别的申购费率。</w:t>
      </w:r>
    </w:p>
    <w:p w:rsidR="00015BC6" w:rsidRPr="00721084" w:rsidRDefault="00015BC6"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015BC6" w:rsidRPr="00721084" w:rsidRDefault="00015BC6"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通过基金管理人的直销中心申购本基金的</w:t>
      </w:r>
      <w:r w:rsidRPr="00721084">
        <w:rPr>
          <w:rFonts w:asciiTheme="minorEastAsia" w:eastAsiaTheme="minorEastAsia" w:hAnsiTheme="minorEastAsia" w:hint="eastAsia"/>
        </w:rPr>
        <w:t>特定投资群体</w:t>
      </w:r>
      <w:r w:rsidRPr="00721084">
        <w:rPr>
          <w:rFonts w:asciiTheme="minorEastAsia" w:eastAsiaTheme="minorEastAsia" w:hAnsiTheme="minorEastAsia" w:hint="eastAsia"/>
          <w:szCs w:val="21"/>
        </w:rPr>
        <w:t>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97"/>
      </w:tblGrid>
      <w:tr w:rsidR="00721084" w:rsidRPr="00721084" w:rsidTr="006A1D96">
        <w:trPr>
          <w:jc w:val="center"/>
        </w:trPr>
        <w:tc>
          <w:tcPr>
            <w:tcW w:w="3420"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申购金额</w:t>
            </w:r>
            <w:r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w:t>
            </w:r>
            <w:r w:rsidRPr="00721084">
              <w:rPr>
                <w:rFonts w:asciiTheme="minorEastAsia" w:eastAsiaTheme="minorEastAsia" w:hAnsiTheme="minorEastAsia" w:cs="宋体" w:hint="eastAsia"/>
                <w:kern w:val="0"/>
                <w:szCs w:val="21"/>
              </w:rPr>
              <w:t>含申购费</w:t>
            </w:r>
            <w:r w:rsidRPr="00721084">
              <w:rPr>
                <w:rFonts w:asciiTheme="minorEastAsia" w:eastAsiaTheme="minorEastAsia" w:hAnsiTheme="minorEastAsia" w:cs="宋体"/>
                <w:kern w:val="0"/>
                <w:szCs w:val="21"/>
              </w:rPr>
              <w:t>)</w:t>
            </w:r>
          </w:p>
        </w:tc>
        <w:tc>
          <w:tcPr>
            <w:tcW w:w="3297"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申购费率</w:t>
            </w:r>
          </w:p>
        </w:tc>
      </w:tr>
      <w:tr w:rsidR="00721084" w:rsidRPr="00721084" w:rsidTr="006A1D96">
        <w:trPr>
          <w:jc w:val="center"/>
        </w:trPr>
        <w:tc>
          <w:tcPr>
            <w:tcW w:w="3420"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100万</w:t>
            </w:r>
            <w:r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以下</w:t>
            </w:r>
          </w:p>
        </w:tc>
        <w:tc>
          <w:tcPr>
            <w:tcW w:w="3297"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0.</w:t>
            </w:r>
            <w:r w:rsidRPr="00721084">
              <w:rPr>
                <w:rFonts w:asciiTheme="minorEastAsia" w:eastAsiaTheme="minorEastAsia" w:hAnsiTheme="minorEastAsia" w:cs="宋体"/>
                <w:kern w:val="0"/>
                <w:szCs w:val="21"/>
              </w:rPr>
              <w:t>1</w:t>
            </w:r>
            <w:r w:rsidRPr="00721084">
              <w:rPr>
                <w:rFonts w:asciiTheme="minorEastAsia" w:eastAsiaTheme="minorEastAsia" w:hAnsiTheme="minorEastAsia" w:cs="宋体" w:hint="eastAsia"/>
                <w:kern w:val="0"/>
                <w:szCs w:val="21"/>
              </w:rPr>
              <w:t>6</w:t>
            </w:r>
            <w:r w:rsidRPr="00721084">
              <w:rPr>
                <w:rFonts w:asciiTheme="minorEastAsia" w:eastAsiaTheme="minorEastAsia" w:hAnsiTheme="minorEastAsia" w:cs="宋体"/>
                <w:kern w:val="0"/>
                <w:szCs w:val="21"/>
              </w:rPr>
              <w:t>%</w:t>
            </w:r>
          </w:p>
        </w:tc>
      </w:tr>
      <w:tr w:rsidR="00721084" w:rsidRPr="00721084" w:rsidTr="006A1D96">
        <w:trPr>
          <w:jc w:val="center"/>
        </w:trPr>
        <w:tc>
          <w:tcPr>
            <w:tcW w:w="3420"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100万</w:t>
            </w:r>
            <w:r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(含)-</w:t>
            </w:r>
            <w:r w:rsidRPr="00721084">
              <w:rPr>
                <w:rFonts w:asciiTheme="minorEastAsia" w:eastAsiaTheme="minorEastAsia" w:hAnsiTheme="minorEastAsia" w:cs="宋体" w:hint="eastAsia"/>
                <w:kern w:val="0"/>
                <w:szCs w:val="21"/>
              </w:rPr>
              <w:t>5</w:t>
            </w:r>
            <w:r w:rsidRPr="00721084">
              <w:rPr>
                <w:rFonts w:asciiTheme="minorEastAsia" w:eastAsiaTheme="minorEastAsia" w:hAnsiTheme="minorEastAsia" w:cs="宋体"/>
                <w:kern w:val="0"/>
                <w:szCs w:val="21"/>
              </w:rPr>
              <w:t>00万</w:t>
            </w:r>
            <w:r w:rsidRPr="00721084">
              <w:rPr>
                <w:rFonts w:asciiTheme="minorEastAsia" w:eastAsiaTheme="minorEastAsia" w:hAnsiTheme="minorEastAsia" w:cs="宋体" w:hint="eastAsia"/>
                <w:kern w:val="0"/>
                <w:szCs w:val="21"/>
              </w:rPr>
              <w:t>元</w:t>
            </w:r>
          </w:p>
        </w:tc>
        <w:tc>
          <w:tcPr>
            <w:tcW w:w="3297"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0.12%</w:t>
            </w:r>
          </w:p>
        </w:tc>
      </w:tr>
      <w:tr w:rsidR="00721084" w:rsidRPr="00721084" w:rsidTr="006A1D96">
        <w:trPr>
          <w:jc w:val="center"/>
        </w:trPr>
        <w:tc>
          <w:tcPr>
            <w:tcW w:w="3420"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5</w:t>
            </w:r>
            <w:r w:rsidRPr="00721084">
              <w:rPr>
                <w:rFonts w:asciiTheme="minorEastAsia" w:eastAsiaTheme="minorEastAsia" w:hAnsiTheme="minorEastAsia" w:cs="宋体"/>
                <w:kern w:val="0"/>
                <w:szCs w:val="21"/>
              </w:rPr>
              <w:t>00万</w:t>
            </w:r>
            <w:r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(含)-</w:t>
            </w:r>
            <w:r w:rsidRPr="00721084">
              <w:rPr>
                <w:rFonts w:asciiTheme="minorEastAsia" w:eastAsiaTheme="minorEastAsia" w:hAnsiTheme="minorEastAsia" w:cs="宋体" w:hint="eastAsia"/>
                <w:kern w:val="0"/>
                <w:szCs w:val="21"/>
              </w:rPr>
              <w:t>10</w:t>
            </w:r>
            <w:r w:rsidRPr="00721084">
              <w:rPr>
                <w:rFonts w:asciiTheme="minorEastAsia" w:eastAsiaTheme="minorEastAsia" w:hAnsiTheme="minorEastAsia" w:cs="宋体"/>
                <w:kern w:val="0"/>
                <w:szCs w:val="21"/>
              </w:rPr>
              <w:t>00万</w:t>
            </w:r>
            <w:r w:rsidRPr="00721084">
              <w:rPr>
                <w:rFonts w:asciiTheme="minorEastAsia" w:eastAsiaTheme="minorEastAsia" w:hAnsiTheme="minorEastAsia" w:cs="宋体" w:hint="eastAsia"/>
                <w:kern w:val="0"/>
                <w:szCs w:val="21"/>
              </w:rPr>
              <w:t>元</w:t>
            </w:r>
          </w:p>
        </w:tc>
        <w:tc>
          <w:tcPr>
            <w:tcW w:w="3297"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0.03%</w:t>
            </w:r>
          </w:p>
        </w:tc>
      </w:tr>
      <w:tr w:rsidR="00721084" w:rsidRPr="00721084" w:rsidTr="006A1D96">
        <w:trPr>
          <w:jc w:val="center"/>
        </w:trPr>
        <w:tc>
          <w:tcPr>
            <w:tcW w:w="3420"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10</w:t>
            </w:r>
            <w:r w:rsidRPr="00721084">
              <w:rPr>
                <w:rFonts w:asciiTheme="minorEastAsia" w:eastAsiaTheme="minorEastAsia" w:hAnsiTheme="minorEastAsia" w:cs="宋体"/>
                <w:kern w:val="0"/>
                <w:szCs w:val="21"/>
              </w:rPr>
              <w:t>00万</w:t>
            </w:r>
            <w:r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（含）以上</w:t>
            </w:r>
          </w:p>
        </w:tc>
        <w:tc>
          <w:tcPr>
            <w:tcW w:w="3297" w:type="dxa"/>
            <w:vAlign w:val="center"/>
          </w:tcPr>
          <w:p w:rsidR="00015BC6" w:rsidRPr="00721084" w:rsidRDefault="00015BC6"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每笔1000元</w:t>
            </w:r>
          </w:p>
        </w:tc>
      </w:tr>
    </w:tbl>
    <w:p w:rsidR="0064594E" w:rsidRPr="00721084" w:rsidRDefault="00015BC6"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97"/>
      </w:tblGrid>
      <w:tr w:rsidR="00721084" w:rsidRPr="00721084" w:rsidTr="006A1D96">
        <w:trPr>
          <w:jc w:val="center"/>
        </w:trPr>
        <w:tc>
          <w:tcPr>
            <w:tcW w:w="3420"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申购金额</w:t>
            </w:r>
            <w:r w:rsidR="003D55AE"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w:t>
            </w:r>
            <w:r w:rsidR="0072483E" w:rsidRPr="00721084">
              <w:rPr>
                <w:rFonts w:asciiTheme="minorEastAsia" w:eastAsiaTheme="minorEastAsia" w:hAnsiTheme="minorEastAsia" w:cs="宋体" w:hint="eastAsia"/>
                <w:kern w:val="0"/>
                <w:szCs w:val="21"/>
              </w:rPr>
              <w:t>含申购费</w:t>
            </w:r>
            <w:r w:rsidRPr="00721084">
              <w:rPr>
                <w:rFonts w:asciiTheme="minorEastAsia" w:eastAsiaTheme="minorEastAsia" w:hAnsiTheme="minorEastAsia" w:cs="宋体"/>
                <w:kern w:val="0"/>
                <w:szCs w:val="21"/>
              </w:rPr>
              <w:t>)</w:t>
            </w:r>
          </w:p>
        </w:tc>
        <w:tc>
          <w:tcPr>
            <w:tcW w:w="3297"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申购费率</w:t>
            </w:r>
          </w:p>
        </w:tc>
      </w:tr>
      <w:tr w:rsidR="00721084" w:rsidRPr="00721084" w:rsidTr="006A1D96">
        <w:trPr>
          <w:jc w:val="center"/>
        </w:trPr>
        <w:tc>
          <w:tcPr>
            <w:tcW w:w="3420"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100万</w:t>
            </w:r>
            <w:r w:rsidR="0072483E"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以下</w:t>
            </w:r>
          </w:p>
        </w:tc>
        <w:tc>
          <w:tcPr>
            <w:tcW w:w="3297"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1</w:t>
            </w:r>
            <w:r w:rsidRPr="00721084">
              <w:rPr>
                <w:rFonts w:asciiTheme="minorEastAsia" w:eastAsiaTheme="minorEastAsia" w:hAnsiTheme="minorEastAsia" w:cs="宋体" w:hint="eastAsia"/>
                <w:kern w:val="0"/>
                <w:szCs w:val="21"/>
              </w:rPr>
              <w:t>.</w:t>
            </w:r>
            <w:r w:rsidR="00EC64C9" w:rsidRPr="00721084">
              <w:rPr>
                <w:rFonts w:asciiTheme="minorEastAsia" w:eastAsiaTheme="minorEastAsia" w:hAnsiTheme="minorEastAsia" w:cs="宋体" w:hint="eastAsia"/>
                <w:kern w:val="0"/>
                <w:szCs w:val="21"/>
              </w:rPr>
              <w:t>6</w:t>
            </w:r>
            <w:r w:rsidRPr="00721084">
              <w:rPr>
                <w:rFonts w:asciiTheme="minorEastAsia" w:eastAsiaTheme="minorEastAsia" w:hAnsiTheme="minorEastAsia" w:cs="宋体"/>
                <w:kern w:val="0"/>
                <w:szCs w:val="21"/>
              </w:rPr>
              <w:t>%</w:t>
            </w:r>
          </w:p>
        </w:tc>
      </w:tr>
      <w:tr w:rsidR="00721084" w:rsidRPr="00721084" w:rsidTr="006A1D96">
        <w:trPr>
          <w:jc w:val="center"/>
        </w:trPr>
        <w:tc>
          <w:tcPr>
            <w:tcW w:w="3420"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100万</w:t>
            </w:r>
            <w:r w:rsidR="0072483E"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(含)-</w:t>
            </w:r>
            <w:r w:rsidRPr="00721084">
              <w:rPr>
                <w:rFonts w:asciiTheme="minorEastAsia" w:eastAsiaTheme="minorEastAsia" w:hAnsiTheme="minorEastAsia" w:cs="宋体" w:hint="eastAsia"/>
                <w:kern w:val="0"/>
                <w:szCs w:val="21"/>
              </w:rPr>
              <w:t>5</w:t>
            </w:r>
            <w:r w:rsidRPr="00721084">
              <w:rPr>
                <w:rFonts w:asciiTheme="minorEastAsia" w:eastAsiaTheme="minorEastAsia" w:hAnsiTheme="minorEastAsia" w:cs="宋体"/>
                <w:kern w:val="0"/>
                <w:szCs w:val="21"/>
              </w:rPr>
              <w:t>00万</w:t>
            </w:r>
            <w:r w:rsidR="0072483E" w:rsidRPr="00721084">
              <w:rPr>
                <w:rFonts w:asciiTheme="minorEastAsia" w:eastAsiaTheme="minorEastAsia" w:hAnsiTheme="minorEastAsia" w:cs="宋体" w:hint="eastAsia"/>
                <w:kern w:val="0"/>
                <w:szCs w:val="21"/>
              </w:rPr>
              <w:t>元</w:t>
            </w:r>
          </w:p>
        </w:tc>
        <w:tc>
          <w:tcPr>
            <w:tcW w:w="3297"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1.</w:t>
            </w:r>
            <w:r w:rsidR="001C6DE0" w:rsidRPr="00721084">
              <w:rPr>
                <w:rFonts w:asciiTheme="minorEastAsia" w:eastAsiaTheme="minorEastAsia" w:hAnsiTheme="minorEastAsia" w:cs="宋体" w:hint="eastAsia"/>
                <w:kern w:val="0"/>
                <w:szCs w:val="21"/>
              </w:rPr>
              <w:t>2</w:t>
            </w:r>
            <w:r w:rsidRPr="00721084">
              <w:rPr>
                <w:rFonts w:asciiTheme="minorEastAsia" w:eastAsiaTheme="minorEastAsia" w:hAnsiTheme="minorEastAsia" w:cs="宋体" w:hint="eastAsia"/>
                <w:kern w:val="0"/>
                <w:szCs w:val="21"/>
              </w:rPr>
              <w:t>%</w:t>
            </w:r>
          </w:p>
        </w:tc>
      </w:tr>
      <w:tr w:rsidR="00721084" w:rsidRPr="00721084" w:rsidTr="006A1D96">
        <w:trPr>
          <w:jc w:val="center"/>
        </w:trPr>
        <w:tc>
          <w:tcPr>
            <w:tcW w:w="3420"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5</w:t>
            </w:r>
            <w:r w:rsidRPr="00721084">
              <w:rPr>
                <w:rFonts w:asciiTheme="minorEastAsia" w:eastAsiaTheme="minorEastAsia" w:hAnsiTheme="minorEastAsia" w:cs="宋体"/>
                <w:kern w:val="0"/>
                <w:szCs w:val="21"/>
              </w:rPr>
              <w:t>00万</w:t>
            </w:r>
            <w:r w:rsidR="0072483E"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(含)-</w:t>
            </w:r>
            <w:r w:rsidRPr="00721084">
              <w:rPr>
                <w:rFonts w:asciiTheme="minorEastAsia" w:eastAsiaTheme="minorEastAsia" w:hAnsiTheme="minorEastAsia" w:cs="宋体" w:hint="eastAsia"/>
                <w:kern w:val="0"/>
                <w:szCs w:val="21"/>
              </w:rPr>
              <w:t>10</w:t>
            </w:r>
            <w:r w:rsidRPr="00721084">
              <w:rPr>
                <w:rFonts w:asciiTheme="minorEastAsia" w:eastAsiaTheme="minorEastAsia" w:hAnsiTheme="minorEastAsia" w:cs="宋体"/>
                <w:kern w:val="0"/>
                <w:szCs w:val="21"/>
              </w:rPr>
              <w:t>00万</w:t>
            </w:r>
            <w:r w:rsidR="0072483E" w:rsidRPr="00721084">
              <w:rPr>
                <w:rFonts w:asciiTheme="minorEastAsia" w:eastAsiaTheme="minorEastAsia" w:hAnsiTheme="minorEastAsia" w:cs="宋体" w:hint="eastAsia"/>
                <w:kern w:val="0"/>
                <w:szCs w:val="21"/>
              </w:rPr>
              <w:t>元</w:t>
            </w:r>
          </w:p>
        </w:tc>
        <w:tc>
          <w:tcPr>
            <w:tcW w:w="3297"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0.</w:t>
            </w:r>
            <w:r w:rsidR="001C6DE0" w:rsidRPr="00721084">
              <w:rPr>
                <w:rFonts w:asciiTheme="minorEastAsia" w:eastAsiaTheme="minorEastAsia" w:hAnsiTheme="minorEastAsia" w:cs="宋体" w:hint="eastAsia"/>
                <w:kern w:val="0"/>
                <w:szCs w:val="21"/>
              </w:rPr>
              <w:t>3</w:t>
            </w:r>
            <w:r w:rsidRPr="00721084">
              <w:rPr>
                <w:rFonts w:asciiTheme="minorEastAsia" w:eastAsiaTheme="minorEastAsia" w:hAnsiTheme="minorEastAsia" w:cs="宋体" w:hint="eastAsia"/>
                <w:kern w:val="0"/>
                <w:szCs w:val="21"/>
              </w:rPr>
              <w:t>%</w:t>
            </w:r>
          </w:p>
        </w:tc>
      </w:tr>
      <w:tr w:rsidR="00721084" w:rsidRPr="00721084" w:rsidTr="006A1D96">
        <w:trPr>
          <w:jc w:val="center"/>
        </w:trPr>
        <w:tc>
          <w:tcPr>
            <w:tcW w:w="3420"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10</w:t>
            </w:r>
            <w:r w:rsidRPr="00721084">
              <w:rPr>
                <w:rFonts w:asciiTheme="minorEastAsia" w:eastAsiaTheme="minorEastAsia" w:hAnsiTheme="minorEastAsia" w:cs="宋体"/>
                <w:kern w:val="0"/>
                <w:szCs w:val="21"/>
              </w:rPr>
              <w:t>00万</w:t>
            </w:r>
            <w:r w:rsidR="0072483E" w:rsidRPr="00721084">
              <w:rPr>
                <w:rFonts w:asciiTheme="minorEastAsia" w:eastAsiaTheme="minorEastAsia" w:hAnsiTheme="minorEastAsia" w:cs="宋体" w:hint="eastAsia"/>
                <w:kern w:val="0"/>
                <w:szCs w:val="21"/>
              </w:rPr>
              <w:t>元</w:t>
            </w:r>
            <w:r w:rsidRPr="00721084">
              <w:rPr>
                <w:rFonts w:asciiTheme="minorEastAsia" w:eastAsiaTheme="minorEastAsia" w:hAnsiTheme="minorEastAsia" w:cs="宋体"/>
                <w:kern w:val="0"/>
                <w:szCs w:val="21"/>
              </w:rPr>
              <w:t>（含）以上</w:t>
            </w:r>
          </w:p>
        </w:tc>
        <w:tc>
          <w:tcPr>
            <w:tcW w:w="3297"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每笔1000元</w:t>
            </w:r>
          </w:p>
        </w:tc>
      </w:tr>
    </w:tbl>
    <w:p w:rsidR="00015BC6" w:rsidRPr="00721084" w:rsidRDefault="00015BC6" w:rsidP="00CE3F81">
      <w:pPr>
        <w:pStyle w:val="ab"/>
        <w:snapToGrid w:val="0"/>
        <w:spacing w:after="0"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在申购费按金额分档的情况下，如果投资者多次申购，申购费适用单笔申购金额所对应的费率。</w:t>
      </w:r>
    </w:p>
    <w:p w:rsidR="0064594E" w:rsidRPr="00721084" w:rsidRDefault="006A1D96" w:rsidP="006A1D96">
      <w:pPr>
        <w:pStyle w:val="ab"/>
        <w:snapToGrid w:val="0"/>
        <w:spacing w:after="0" w:line="360" w:lineRule="auto"/>
        <w:ind w:left="710"/>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2、</w:t>
      </w:r>
      <w:r w:rsidR="00015BC6" w:rsidRPr="00721084">
        <w:rPr>
          <w:rFonts w:asciiTheme="minorEastAsia" w:eastAsiaTheme="minorEastAsia" w:hAnsiTheme="minorEastAsia" w:hint="eastAsia"/>
          <w:szCs w:val="21"/>
        </w:rPr>
        <w:t>本基金的</w:t>
      </w:r>
      <w:r w:rsidR="0064594E" w:rsidRPr="00721084">
        <w:rPr>
          <w:rFonts w:asciiTheme="minorEastAsia" w:eastAsiaTheme="minorEastAsia" w:hAnsiTheme="minorEastAsia"/>
          <w:szCs w:val="21"/>
        </w:rPr>
        <w:t>赎回</w:t>
      </w:r>
      <w:r w:rsidR="0064594E" w:rsidRPr="00721084">
        <w:rPr>
          <w:rFonts w:asciiTheme="minorEastAsia" w:eastAsiaTheme="minorEastAsia" w:hAnsiTheme="minorEastAsia" w:hint="eastAsia"/>
          <w:szCs w:val="21"/>
        </w:rPr>
        <w:t>费率</w:t>
      </w:r>
    </w:p>
    <w:p w:rsidR="00015BC6" w:rsidRPr="00721084" w:rsidRDefault="00015BC6" w:rsidP="00CE3F81">
      <w:pPr>
        <w:pStyle w:val="ab"/>
        <w:snapToGrid w:val="0"/>
        <w:spacing w:after="0" w:line="360" w:lineRule="auto"/>
        <w:ind w:left="710"/>
        <w:rPr>
          <w:rFonts w:asciiTheme="minorEastAsia" w:eastAsiaTheme="minorEastAsia" w:hAnsiTheme="minorEastAsia"/>
          <w:szCs w:val="21"/>
        </w:rPr>
      </w:pPr>
      <w:r w:rsidRPr="00721084">
        <w:rPr>
          <w:rFonts w:asciiTheme="minorEastAsia" w:eastAsiaTheme="minorEastAsia" w:hAnsiTheme="minorEastAsia" w:hint="eastAsia"/>
          <w:szCs w:val="21"/>
        </w:rPr>
        <w:t>本基金具体赎回费率如下：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117"/>
      </w:tblGrid>
      <w:tr w:rsidR="00721084" w:rsidRPr="00721084" w:rsidTr="006A1D96">
        <w:trPr>
          <w:jc w:val="center"/>
        </w:trPr>
        <w:tc>
          <w:tcPr>
            <w:tcW w:w="3600" w:type="dxa"/>
            <w:vAlign w:val="center"/>
          </w:tcPr>
          <w:p w:rsidR="0064594E" w:rsidRPr="00721084" w:rsidRDefault="0064594E" w:rsidP="00DE1B41">
            <w:pPr>
              <w:widowControl/>
              <w:snapToGrid w:val="0"/>
              <w:spacing w:line="360" w:lineRule="auto"/>
              <w:ind w:firstLineChars="200" w:firstLine="420"/>
              <w:jc w:val="center"/>
              <w:rPr>
                <w:rFonts w:asciiTheme="minorEastAsia" w:eastAsiaTheme="minorEastAsia" w:hAnsiTheme="minorEastAsia" w:cs="宋体"/>
                <w:kern w:val="0"/>
                <w:szCs w:val="21"/>
              </w:rPr>
            </w:pPr>
            <w:bookmarkStart w:id="130" w:name="_Hlk187491086"/>
            <w:r w:rsidRPr="00721084">
              <w:rPr>
                <w:rFonts w:asciiTheme="minorEastAsia" w:eastAsiaTheme="minorEastAsia" w:hAnsiTheme="minorEastAsia" w:cs="宋体"/>
                <w:kern w:val="0"/>
                <w:szCs w:val="21"/>
              </w:rPr>
              <w:t>持有时间</w:t>
            </w:r>
            <w:r w:rsidR="00DE1B41" w:rsidRPr="00721084">
              <w:rPr>
                <w:rFonts w:asciiTheme="minorEastAsia" w:eastAsiaTheme="minorEastAsia" w:hAnsiTheme="minorEastAsia" w:cs="宋体" w:hint="eastAsia"/>
                <w:kern w:val="0"/>
                <w:szCs w:val="21"/>
              </w:rPr>
              <w:t>(天)</w:t>
            </w:r>
          </w:p>
        </w:tc>
        <w:tc>
          <w:tcPr>
            <w:tcW w:w="3117" w:type="dxa"/>
            <w:vAlign w:val="center"/>
          </w:tcPr>
          <w:p w:rsidR="0064594E" w:rsidRPr="00721084" w:rsidRDefault="0064594E"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赎回费率</w:t>
            </w:r>
          </w:p>
        </w:tc>
      </w:tr>
      <w:tr w:rsidR="00721084" w:rsidRPr="00721084" w:rsidTr="001223DA">
        <w:trPr>
          <w:jc w:val="center"/>
        </w:trPr>
        <w:tc>
          <w:tcPr>
            <w:tcW w:w="3600" w:type="dxa"/>
          </w:tcPr>
          <w:p w:rsidR="00591303" w:rsidRPr="00721084"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hint="eastAsia"/>
                <w:szCs w:val="21"/>
              </w:rPr>
              <w:t>0-6</w:t>
            </w:r>
          </w:p>
        </w:tc>
        <w:tc>
          <w:tcPr>
            <w:tcW w:w="3117" w:type="dxa"/>
          </w:tcPr>
          <w:p w:rsidR="00591303" w:rsidRPr="00721084"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hint="eastAsia"/>
                <w:szCs w:val="21"/>
              </w:rPr>
              <w:t>1.5</w:t>
            </w:r>
            <w:r w:rsidRPr="00721084">
              <w:rPr>
                <w:rFonts w:asciiTheme="minorEastAsia" w:eastAsiaTheme="minorEastAsia" w:hAnsiTheme="minorEastAsia"/>
                <w:szCs w:val="21"/>
              </w:rPr>
              <w:t>%</w:t>
            </w:r>
          </w:p>
        </w:tc>
      </w:tr>
      <w:tr w:rsidR="00721084" w:rsidRPr="00721084" w:rsidTr="001223DA">
        <w:trPr>
          <w:jc w:val="center"/>
        </w:trPr>
        <w:tc>
          <w:tcPr>
            <w:tcW w:w="3600" w:type="dxa"/>
          </w:tcPr>
          <w:p w:rsidR="00591303" w:rsidRPr="00721084"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szCs w:val="21"/>
              </w:rPr>
              <w:t>7-364</w:t>
            </w:r>
          </w:p>
        </w:tc>
        <w:tc>
          <w:tcPr>
            <w:tcW w:w="3117" w:type="dxa"/>
            <w:vAlign w:val="center"/>
          </w:tcPr>
          <w:p w:rsidR="00591303" w:rsidRPr="00721084"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0.5%</w:t>
            </w:r>
          </w:p>
        </w:tc>
      </w:tr>
      <w:tr w:rsidR="00721084" w:rsidRPr="00721084" w:rsidTr="001223DA">
        <w:trPr>
          <w:jc w:val="center"/>
        </w:trPr>
        <w:tc>
          <w:tcPr>
            <w:tcW w:w="3600" w:type="dxa"/>
          </w:tcPr>
          <w:p w:rsidR="00591303" w:rsidRPr="00721084"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szCs w:val="21"/>
              </w:rPr>
              <w:t>365-729</w:t>
            </w:r>
          </w:p>
        </w:tc>
        <w:tc>
          <w:tcPr>
            <w:tcW w:w="3117" w:type="dxa"/>
            <w:vAlign w:val="center"/>
          </w:tcPr>
          <w:p w:rsidR="00591303" w:rsidRPr="00721084"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0.</w:t>
            </w:r>
            <w:r w:rsidRPr="00721084">
              <w:rPr>
                <w:rFonts w:asciiTheme="minorEastAsia" w:eastAsiaTheme="minorEastAsia" w:hAnsiTheme="minorEastAsia" w:cs="宋体" w:hint="eastAsia"/>
                <w:kern w:val="0"/>
                <w:szCs w:val="21"/>
              </w:rPr>
              <w:t>3</w:t>
            </w:r>
            <w:r w:rsidRPr="00721084">
              <w:rPr>
                <w:rFonts w:asciiTheme="minorEastAsia" w:eastAsiaTheme="minorEastAsia" w:hAnsiTheme="minorEastAsia" w:cs="宋体"/>
                <w:kern w:val="0"/>
                <w:szCs w:val="21"/>
              </w:rPr>
              <w:t>%</w:t>
            </w:r>
          </w:p>
        </w:tc>
      </w:tr>
      <w:tr w:rsidR="00721084" w:rsidRPr="00721084" w:rsidTr="001223DA">
        <w:trPr>
          <w:jc w:val="center"/>
        </w:trPr>
        <w:tc>
          <w:tcPr>
            <w:tcW w:w="3600" w:type="dxa"/>
          </w:tcPr>
          <w:p w:rsidR="00591303" w:rsidRPr="00721084"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szCs w:val="21"/>
              </w:rPr>
              <w:t>730及以上</w:t>
            </w:r>
          </w:p>
        </w:tc>
        <w:tc>
          <w:tcPr>
            <w:tcW w:w="3117" w:type="dxa"/>
            <w:vAlign w:val="center"/>
          </w:tcPr>
          <w:p w:rsidR="00591303" w:rsidRPr="00721084" w:rsidRDefault="00591303" w:rsidP="00591303">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kern w:val="0"/>
                <w:szCs w:val="21"/>
              </w:rPr>
              <w:t>0%</w:t>
            </w:r>
          </w:p>
        </w:tc>
      </w:tr>
    </w:tbl>
    <w:bookmarkEnd w:id="130"/>
    <w:p w:rsidR="0064594E" w:rsidRPr="00721084" w:rsidRDefault="006A1D96" w:rsidP="006A1D96">
      <w:pPr>
        <w:pStyle w:val="ab"/>
        <w:snapToGrid w:val="0"/>
        <w:spacing w:after="0"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64594E" w:rsidRPr="00721084">
        <w:rPr>
          <w:rFonts w:asciiTheme="minorEastAsia" w:eastAsiaTheme="minorEastAsia" w:hAnsiTheme="minorEastAsia"/>
          <w:szCs w:val="21"/>
        </w:rPr>
        <w:t>基金管理人可以在基金合同规定的范围内调整申购费率和赎回费率，调整后的申购费率和赎回费率在</w:t>
      </w:r>
      <w:r w:rsidR="0064594E" w:rsidRPr="00721084">
        <w:rPr>
          <w:rFonts w:asciiTheme="minorEastAsia" w:eastAsiaTheme="minorEastAsia" w:hAnsiTheme="minorEastAsia" w:hint="eastAsia"/>
          <w:szCs w:val="21"/>
        </w:rPr>
        <w:t>《更新的招募说明书》</w:t>
      </w:r>
      <w:r w:rsidR="0064594E" w:rsidRPr="00721084">
        <w:rPr>
          <w:rFonts w:asciiTheme="minorEastAsia" w:eastAsiaTheme="minorEastAsia" w:hAnsiTheme="minorEastAsia"/>
          <w:szCs w:val="21"/>
        </w:rPr>
        <w:t>中列示。上述费率如发生变更，基金管理人</w:t>
      </w:r>
      <w:r w:rsidR="0064594E" w:rsidRPr="00721084">
        <w:rPr>
          <w:rFonts w:asciiTheme="minorEastAsia" w:eastAsiaTheme="minorEastAsia" w:hAnsiTheme="minorEastAsia" w:hint="eastAsia"/>
          <w:szCs w:val="21"/>
        </w:rPr>
        <w:t>还</w:t>
      </w:r>
      <w:r w:rsidR="0064594E" w:rsidRPr="00721084">
        <w:rPr>
          <w:rFonts w:asciiTheme="minorEastAsia" w:eastAsiaTheme="minorEastAsia" w:hAnsiTheme="minorEastAsia"/>
          <w:szCs w:val="21"/>
        </w:rPr>
        <w:t>应于新的费率实施</w:t>
      </w:r>
      <w:r w:rsidR="00AD1BC0" w:rsidRPr="00721084">
        <w:rPr>
          <w:rFonts w:asciiTheme="minorEastAsia" w:eastAsiaTheme="minorEastAsia" w:hAnsiTheme="minorEastAsia" w:hint="eastAsia"/>
          <w:szCs w:val="21"/>
        </w:rPr>
        <w:t>日</w:t>
      </w:r>
      <w:r w:rsidR="0064594E" w:rsidRPr="00721084">
        <w:rPr>
          <w:rFonts w:asciiTheme="minorEastAsia" w:eastAsiaTheme="minorEastAsia" w:hAnsiTheme="minorEastAsia"/>
          <w:szCs w:val="21"/>
        </w:rPr>
        <w:t>前</w:t>
      </w:r>
      <w:r w:rsidR="00C248D4" w:rsidRPr="00721084">
        <w:rPr>
          <w:rFonts w:asciiTheme="minorEastAsia" w:eastAsiaTheme="minorEastAsia" w:hAnsiTheme="minorEastAsia" w:hint="eastAsia"/>
          <w:szCs w:val="21"/>
        </w:rPr>
        <w:t>依照《信息披露办法》的有关规定在</w:t>
      </w:r>
      <w:r w:rsidR="000964B0" w:rsidRPr="00721084">
        <w:rPr>
          <w:rFonts w:asciiTheme="minorEastAsia" w:eastAsiaTheme="minorEastAsia" w:hAnsiTheme="minorEastAsia" w:hint="eastAsia"/>
        </w:rPr>
        <w:t>指定媒介</w:t>
      </w:r>
      <w:r w:rsidR="00C248D4" w:rsidRPr="00721084">
        <w:rPr>
          <w:rFonts w:asciiTheme="minorEastAsia" w:eastAsiaTheme="minorEastAsia" w:hAnsiTheme="minorEastAsia" w:hint="eastAsia"/>
          <w:szCs w:val="21"/>
        </w:rPr>
        <w:t>上公告。</w:t>
      </w:r>
    </w:p>
    <w:p w:rsidR="0064594E" w:rsidRPr="00721084" w:rsidRDefault="006A1D96" w:rsidP="006A1D96">
      <w:pPr>
        <w:pStyle w:val="ab"/>
        <w:snapToGrid w:val="0"/>
        <w:spacing w:after="0"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E27BC1" w:rsidRPr="00721084">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31" w:name="_Toc44351094"/>
      <w:r w:rsidRPr="00721084">
        <w:rPr>
          <w:rFonts w:asciiTheme="minorEastAsia" w:eastAsiaTheme="minorEastAsia" w:hAnsiTheme="minorEastAsia" w:hint="eastAsia"/>
          <w:b w:val="0"/>
        </w:rPr>
        <w:t>八</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申购份额</w:t>
      </w:r>
      <w:r w:rsidR="00C148F8" w:rsidRPr="00721084">
        <w:rPr>
          <w:rFonts w:asciiTheme="minorEastAsia" w:eastAsiaTheme="minorEastAsia" w:hAnsiTheme="minorEastAsia" w:hint="eastAsia"/>
          <w:b w:val="0"/>
        </w:rPr>
        <w:t>与</w:t>
      </w:r>
      <w:r w:rsidRPr="00721084">
        <w:rPr>
          <w:rFonts w:asciiTheme="minorEastAsia" w:eastAsiaTheme="minorEastAsia" w:hAnsiTheme="minorEastAsia" w:hint="eastAsia"/>
          <w:b w:val="0"/>
        </w:rPr>
        <w:t>赎回金额的计算</w:t>
      </w:r>
      <w:bookmarkEnd w:id="131"/>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申购份额的计算</w:t>
      </w:r>
    </w:p>
    <w:p w:rsidR="00C148F8" w:rsidRPr="00721084" w:rsidRDefault="00D3216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w:t>
      </w:r>
      <w:r w:rsidR="00C148F8" w:rsidRPr="00721084">
        <w:rPr>
          <w:rFonts w:asciiTheme="minorEastAsia" w:eastAsiaTheme="minorEastAsia" w:hAnsiTheme="minorEastAsia" w:hint="eastAsia"/>
        </w:rPr>
        <w:t>基金的申购金额包括申购费用和净申购金额，其中：</w:t>
      </w:r>
    </w:p>
    <w:p w:rsidR="00644525" w:rsidRPr="00721084" w:rsidRDefault="00644525"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净申购金额=申购金额÷（1+申购费率）</w:t>
      </w:r>
    </w:p>
    <w:p w:rsidR="00644525" w:rsidRPr="00721084" w:rsidRDefault="00644525"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申购费用=申购金额-净申购金额</w:t>
      </w:r>
    </w:p>
    <w:p w:rsidR="00644525" w:rsidRPr="00721084" w:rsidRDefault="00644525"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申购份数=净申购金额÷</w:t>
      </w:r>
      <w:r w:rsidR="00D3216C" w:rsidRPr="00721084">
        <w:rPr>
          <w:rFonts w:asciiTheme="minorEastAsia" w:eastAsiaTheme="minorEastAsia" w:hAnsiTheme="minorEastAsia" w:hint="eastAsia"/>
        </w:rPr>
        <w:t>申购当日基金份额净值</w:t>
      </w:r>
    </w:p>
    <w:p w:rsidR="00644525" w:rsidRPr="00721084" w:rsidRDefault="00644525"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对于1000万元（含）以上的申购，净申购金额=申购金额-绝对数额的申购费金额</w:t>
      </w:r>
    </w:p>
    <w:p w:rsidR="00280B42" w:rsidRPr="00721084" w:rsidRDefault="00D3216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申购费用以人民币元为单位，四舍五入，保留至小数点后二位；申购份数采取四舍五入的方法保留小数点后二位，由此产生的误差计入基金财产。</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举例说明：</w:t>
      </w:r>
    </w:p>
    <w:p w:rsidR="004E08F6" w:rsidRPr="00721084" w:rsidRDefault="004E08F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例一：某投资人（通过基金管理人的直销中心申购本基金的特定投资群体）投资5万元申购本基金，对应的申购费率为0.16%，假设申购当日基金份额净值为1.050元，则其可得到的申购份额为：</w:t>
      </w:r>
    </w:p>
    <w:p w:rsidR="004E08F6" w:rsidRPr="00721084" w:rsidRDefault="005B213F"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净申购金额</w:t>
      </w:r>
      <w:r w:rsidR="004E08F6" w:rsidRPr="00721084">
        <w:rPr>
          <w:rFonts w:asciiTheme="minorEastAsia" w:eastAsiaTheme="minorEastAsia" w:hAnsiTheme="minorEastAsia" w:hint="eastAsia"/>
        </w:rPr>
        <w:t>=50,000</w:t>
      </w:r>
      <w:r w:rsidR="00280B42" w:rsidRPr="00721084">
        <w:rPr>
          <w:rFonts w:asciiTheme="minorEastAsia" w:eastAsiaTheme="minorEastAsia" w:hAnsiTheme="minorEastAsia" w:hint="eastAsia"/>
        </w:rPr>
        <w:t>÷</w:t>
      </w:r>
      <w:r w:rsidR="004E08F6" w:rsidRPr="00721084">
        <w:rPr>
          <w:rFonts w:asciiTheme="minorEastAsia" w:eastAsiaTheme="minorEastAsia" w:hAnsiTheme="minorEastAsia" w:hint="eastAsia"/>
        </w:rPr>
        <w:t>（1+0.16%）=4</w:t>
      </w:r>
      <w:r w:rsidR="00280B42" w:rsidRPr="00721084">
        <w:rPr>
          <w:rFonts w:asciiTheme="minorEastAsia" w:eastAsiaTheme="minorEastAsia" w:hAnsiTheme="minorEastAsia" w:hint="eastAsia"/>
        </w:rPr>
        <w:t>9</w:t>
      </w:r>
      <w:r w:rsidRPr="00721084">
        <w:rPr>
          <w:rFonts w:asciiTheme="minorEastAsia" w:eastAsiaTheme="minorEastAsia" w:hAnsiTheme="minorEastAsia" w:hint="eastAsia"/>
        </w:rPr>
        <w:t>,</w:t>
      </w:r>
      <w:r w:rsidR="00280B42" w:rsidRPr="00721084">
        <w:rPr>
          <w:rFonts w:asciiTheme="minorEastAsia" w:eastAsiaTheme="minorEastAsia" w:hAnsiTheme="minorEastAsia" w:hint="eastAsia"/>
        </w:rPr>
        <w:t>9</w:t>
      </w:r>
      <w:r w:rsidRPr="00721084">
        <w:rPr>
          <w:rFonts w:asciiTheme="minorEastAsia" w:eastAsiaTheme="minorEastAsia" w:hAnsiTheme="minorEastAsia" w:hint="eastAsia"/>
        </w:rPr>
        <w:t>20</w:t>
      </w:r>
      <w:r w:rsidR="004E08F6" w:rsidRPr="00721084">
        <w:rPr>
          <w:rFonts w:asciiTheme="minorEastAsia" w:eastAsiaTheme="minorEastAsia" w:hAnsiTheme="minorEastAsia" w:hint="eastAsia"/>
        </w:rPr>
        <w:t>.</w:t>
      </w:r>
      <w:r w:rsidRPr="00721084">
        <w:rPr>
          <w:rFonts w:asciiTheme="minorEastAsia" w:eastAsiaTheme="minorEastAsia" w:hAnsiTheme="minorEastAsia" w:hint="eastAsia"/>
        </w:rPr>
        <w:t>1</w:t>
      </w:r>
      <w:r w:rsidR="004E08F6" w:rsidRPr="00721084">
        <w:rPr>
          <w:rFonts w:asciiTheme="minorEastAsia" w:eastAsiaTheme="minorEastAsia" w:hAnsiTheme="minorEastAsia" w:hint="eastAsia"/>
        </w:rPr>
        <w:t>3元</w:t>
      </w:r>
    </w:p>
    <w:p w:rsidR="004E08F6" w:rsidRPr="00721084" w:rsidRDefault="005B213F"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申购费用</w:t>
      </w:r>
      <w:r w:rsidR="004E08F6" w:rsidRPr="00721084">
        <w:rPr>
          <w:rFonts w:asciiTheme="minorEastAsia" w:eastAsiaTheme="minorEastAsia" w:hAnsiTheme="minorEastAsia" w:hint="eastAsia"/>
        </w:rPr>
        <w:t>=50,000-</w:t>
      </w:r>
      <w:r w:rsidRPr="00721084">
        <w:rPr>
          <w:rFonts w:asciiTheme="minorEastAsia" w:eastAsiaTheme="minorEastAsia" w:hAnsiTheme="minorEastAsia" w:hint="eastAsia"/>
        </w:rPr>
        <w:t>49920.13</w:t>
      </w:r>
      <w:r w:rsidR="004E08F6" w:rsidRPr="00721084">
        <w:rPr>
          <w:rFonts w:asciiTheme="minorEastAsia" w:eastAsiaTheme="minorEastAsia" w:hAnsiTheme="minorEastAsia" w:hint="eastAsia"/>
        </w:rPr>
        <w:t>=</w:t>
      </w:r>
      <w:r w:rsidRPr="00721084">
        <w:rPr>
          <w:rFonts w:asciiTheme="minorEastAsia" w:eastAsiaTheme="minorEastAsia" w:hAnsiTheme="minorEastAsia" w:hint="eastAsia"/>
        </w:rPr>
        <w:t>79.87</w:t>
      </w:r>
      <w:r w:rsidR="004E08F6" w:rsidRPr="00721084">
        <w:rPr>
          <w:rFonts w:asciiTheme="minorEastAsia" w:eastAsiaTheme="minorEastAsia" w:hAnsiTheme="minorEastAsia" w:hint="eastAsia"/>
        </w:rPr>
        <w:t>元</w:t>
      </w:r>
    </w:p>
    <w:p w:rsidR="004E08F6" w:rsidRPr="00721084" w:rsidRDefault="004E08F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申购份额=</w:t>
      </w:r>
      <w:r w:rsidR="005B213F" w:rsidRPr="00721084">
        <w:rPr>
          <w:rFonts w:asciiTheme="minorEastAsia" w:eastAsiaTheme="minorEastAsia" w:hAnsiTheme="minorEastAsia" w:hint="eastAsia"/>
        </w:rPr>
        <w:t>49920.13÷</w:t>
      </w:r>
      <w:r w:rsidRPr="00721084">
        <w:rPr>
          <w:rFonts w:asciiTheme="minorEastAsia" w:eastAsiaTheme="minorEastAsia" w:hAnsiTheme="minorEastAsia" w:hint="eastAsia"/>
        </w:rPr>
        <w:t>1.050=</w:t>
      </w:r>
      <w:r w:rsidR="00280B42" w:rsidRPr="00721084">
        <w:rPr>
          <w:rFonts w:asciiTheme="minorEastAsia" w:eastAsiaTheme="minorEastAsia" w:hAnsiTheme="minorEastAsia" w:hint="eastAsia"/>
        </w:rPr>
        <w:t>47,</w:t>
      </w:r>
      <w:r w:rsidR="005B213F" w:rsidRPr="00721084">
        <w:rPr>
          <w:rFonts w:asciiTheme="minorEastAsia" w:eastAsiaTheme="minorEastAsia" w:hAnsiTheme="minorEastAsia" w:hint="eastAsia"/>
        </w:rPr>
        <w:t>542.98</w:t>
      </w:r>
      <w:r w:rsidRPr="00721084">
        <w:rPr>
          <w:rFonts w:asciiTheme="minorEastAsia" w:eastAsiaTheme="minorEastAsia" w:hAnsiTheme="minorEastAsia" w:hint="eastAsia"/>
        </w:rPr>
        <w:t>份</w:t>
      </w:r>
    </w:p>
    <w:p w:rsidR="00D67412" w:rsidRPr="00721084" w:rsidRDefault="004E08F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例二：</w:t>
      </w:r>
      <w:r w:rsidR="00D67412" w:rsidRPr="00721084">
        <w:rPr>
          <w:rFonts w:asciiTheme="minorEastAsia" w:eastAsiaTheme="minorEastAsia" w:hAnsiTheme="minorEastAsia" w:hint="eastAsia"/>
        </w:rPr>
        <w:t>某投资者</w:t>
      </w:r>
      <w:r w:rsidRPr="00721084">
        <w:rPr>
          <w:rFonts w:asciiTheme="minorEastAsia" w:eastAsiaTheme="minorEastAsia" w:hAnsiTheme="minorEastAsia" w:hint="eastAsia"/>
        </w:rPr>
        <w:t>（其他投资者）</w:t>
      </w:r>
      <w:r w:rsidR="00D67412" w:rsidRPr="00721084">
        <w:rPr>
          <w:rFonts w:asciiTheme="minorEastAsia" w:eastAsiaTheme="minorEastAsia" w:hAnsiTheme="minorEastAsia" w:hint="eastAsia"/>
        </w:rPr>
        <w:t>投资</w:t>
      </w:r>
      <w:r w:rsidR="00D67412" w:rsidRPr="00721084">
        <w:rPr>
          <w:rFonts w:asciiTheme="minorEastAsia" w:eastAsiaTheme="minorEastAsia" w:hAnsiTheme="minorEastAsia"/>
        </w:rPr>
        <w:t>5</w:t>
      </w:r>
      <w:r w:rsidR="00D67412" w:rsidRPr="00721084">
        <w:rPr>
          <w:rFonts w:asciiTheme="minorEastAsia" w:eastAsiaTheme="minorEastAsia" w:hAnsiTheme="minorEastAsia" w:hint="eastAsia"/>
        </w:rPr>
        <w:t>万元申购本基金，</w:t>
      </w:r>
      <w:r w:rsidR="00280B42" w:rsidRPr="00721084">
        <w:rPr>
          <w:rFonts w:asciiTheme="minorEastAsia" w:eastAsiaTheme="minorEastAsia" w:hAnsiTheme="minorEastAsia" w:hint="eastAsia"/>
        </w:rPr>
        <w:t>对应的申购费率为1.6%，</w:t>
      </w:r>
      <w:r w:rsidR="00D67412" w:rsidRPr="00721084">
        <w:rPr>
          <w:rFonts w:asciiTheme="minorEastAsia" w:eastAsiaTheme="minorEastAsia" w:hAnsiTheme="minorEastAsia" w:hint="eastAsia"/>
        </w:rPr>
        <w:t>假设申购当日基金份额净值为</w:t>
      </w:r>
      <w:r w:rsidR="00D67412" w:rsidRPr="00721084">
        <w:rPr>
          <w:rFonts w:asciiTheme="minorEastAsia" w:eastAsiaTheme="minorEastAsia" w:hAnsiTheme="minorEastAsia"/>
        </w:rPr>
        <w:t>1.05</w:t>
      </w:r>
      <w:r w:rsidR="00526EA5" w:rsidRPr="00721084">
        <w:rPr>
          <w:rFonts w:asciiTheme="minorEastAsia" w:eastAsiaTheme="minorEastAsia" w:hAnsiTheme="minorEastAsia" w:hint="eastAsia"/>
        </w:rPr>
        <w:t>0</w:t>
      </w:r>
      <w:r w:rsidR="00D67412" w:rsidRPr="00721084">
        <w:rPr>
          <w:rFonts w:asciiTheme="minorEastAsia" w:eastAsiaTheme="minorEastAsia" w:hAnsiTheme="minorEastAsia" w:hint="eastAsia"/>
        </w:rPr>
        <w:t>元，则</w:t>
      </w:r>
      <w:r w:rsidR="00280B42" w:rsidRPr="00721084">
        <w:rPr>
          <w:rFonts w:asciiTheme="minorEastAsia" w:eastAsiaTheme="minorEastAsia" w:hAnsiTheme="minorEastAsia" w:hint="eastAsia"/>
        </w:rPr>
        <w:t>其</w:t>
      </w:r>
      <w:r w:rsidR="00D67412" w:rsidRPr="00721084">
        <w:rPr>
          <w:rFonts w:asciiTheme="minorEastAsia" w:eastAsiaTheme="minorEastAsia" w:hAnsiTheme="minorEastAsia" w:hint="eastAsia"/>
        </w:rPr>
        <w:t>可得到的申购份额为：</w:t>
      </w:r>
    </w:p>
    <w:p w:rsidR="005B213F" w:rsidRPr="00721084" w:rsidRDefault="005B213F"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净申购金额=50,000÷（1+1.6%）=49,212.60元</w:t>
      </w:r>
    </w:p>
    <w:p w:rsidR="005B213F" w:rsidRPr="00721084" w:rsidRDefault="005B213F"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申购费用=50,000-49,212.60=787.4元</w:t>
      </w:r>
    </w:p>
    <w:p w:rsidR="005B213F" w:rsidRPr="00721084" w:rsidRDefault="005B213F"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申购份额=49,212.60÷1.050=46,869.14份</w:t>
      </w:r>
    </w:p>
    <w:p w:rsidR="0064594E" w:rsidRPr="00721084" w:rsidRDefault="0064594E"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基金赎回金额的计算</w:t>
      </w:r>
    </w:p>
    <w:p w:rsidR="0064594E" w:rsidRPr="00721084" w:rsidRDefault="002948E3"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赎回金额为按实际确认的有效赎回份额以当日基金份额净值为基准并扣除相应的费用</w:t>
      </w:r>
      <w:r w:rsidR="0064594E" w:rsidRPr="00721084">
        <w:rPr>
          <w:rFonts w:asciiTheme="minorEastAsia" w:eastAsiaTheme="minorEastAsia" w:hAnsiTheme="minorEastAsia" w:hint="eastAsia"/>
          <w:szCs w:val="21"/>
        </w:rPr>
        <w:t>，其中：</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赎回总额=赎回数量</w:t>
      </w:r>
      <w:r w:rsidRPr="00721084">
        <w:rPr>
          <w:rFonts w:asciiTheme="minorEastAsia" w:eastAsiaTheme="minorEastAsia" w:hAnsiTheme="minorEastAsia" w:hint="eastAsia"/>
          <w:szCs w:val="21"/>
        </w:rPr>
        <w:sym w:font="Symbol" w:char="F0B4"/>
      </w:r>
      <w:r w:rsidRPr="00721084">
        <w:rPr>
          <w:rFonts w:asciiTheme="minorEastAsia" w:eastAsiaTheme="minorEastAsia" w:hAnsiTheme="minorEastAsia" w:hint="eastAsia"/>
          <w:szCs w:val="21"/>
        </w:rPr>
        <w:t>T日基金份额净值</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赎回费用=赎回总额</w:t>
      </w:r>
      <w:r w:rsidRPr="00721084">
        <w:rPr>
          <w:rFonts w:asciiTheme="minorEastAsia" w:eastAsiaTheme="minorEastAsia" w:hAnsiTheme="minorEastAsia" w:hint="eastAsia"/>
          <w:szCs w:val="21"/>
        </w:rPr>
        <w:sym w:font="Symbol" w:char="F0B4"/>
      </w:r>
      <w:r w:rsidRPr="00721084">
        <w:rPr>
          <w:rFonts w:asciiTheme="minorEastAsia" w:eastAsiaTheme="minorEastAsia" w:hAnsiTheme="minorEastAsia" w:hint="eastAsia"/>
          <w:szCs w:val="21"/>
        </w:rPr>
        <w:t>赎回费率</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赎回金额=赎回总额</w:t>
      </w:r>
      <w:r w:rsidRPr="00721084">
        <w:rPr>
          <w:rFonts w:asciiTheme="minorEastAsia" w:eastAsiaTheme="minorEastAsia" w:hAnsiTheme="minorEastAsia" w:hint="eastAsia"/>
          <w:szCs w:val="21"/>
        </w:rPr>
        <w:sym w:font="Symbol" w:char="F02D"/>
      </w:r>
      <w:r w:rsidRPr="00721084">
        <w:rPr>
          <w:rFonts w:asciiTheme="minorEastAsia" w:eastAsiaTheme="minorEastAsia" w:hAnsiTheme="minorEastAsia" w:hint="eastAsia"/>
          <w:szCs w:val="21"/>
        </w:rPr>
        <w:t>赎回费用</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举例说明：</w:t>
      </w:r>
    </w:p>
    <w:p w:rsidR="0098363C" w:rsidRPr="00721084" w:rsidRDefault="0098363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假定某投资者在T日赎回10</w:t>
      </w:r>
      <w:r w:rsidRPr="00721084">
        <w:rPr>
          <w:rFonts w:asciiTheme="minorEastAsia" w:eastAsiaTheme="minorEastAsia" w:hAnsiTheme="minorEastAsia"/>
        </w:rPr>
        <w:t>,000</w:t>
      </w:r>
      <w:r w:rsidRPr="00721084">
        <w:rPr>
          <w:rFonts w:asciiTheme="minorEastAsia" w:eastAsiaTheme="minorEastAsia" w:hAnsiTheme="minorEastAsia" w:hint="eastAsia"/>
        </w:rPr>
        <w:t>份基金份额，持有时间为100天，T日基金份额净值为1.0</w:t>
      </w:r>
      <w:r w:rsidR="0019659B" w:rsidRPr="00721084">
        <w:rPr>
          <w:rFonts w:asciiTheme="minorEastAsia" w:eastAsiaTheme="minorEastAsia" w:hAnsiTheme="minorEastAsia" w:hint="eastAsia"/>
        </w:rPr>
        <w:t>5</w:t>
      </w:r>
      <w:r w:rsidRPr="00721084">
        <w:rPr>
          <w:rFonts w:asciiTheme="minorEastAsia" w:eastAsiaTheme="minorEastAsia" w:hAnsiTheme="minorEastAsia" w:hint="eastAsia"/>
        </w:rPr>
        <w:t>0元,则其获得的赎回金额计算如下:</w:t>
      </w:r>
    </w:p>
    <w:p w:rsidR="0098363C" w:rsidRPr="00721084" w:rsidRDefault="0098363C" w:rsidP="00CE3F81">
      <w:pPr>
        <w:snapToGrid w:val="0"/>
        <w:spacing w:line="360" w:lineRule="auto"/>
        <w:ind w:firstLineChars="200" w:firstLine="420"/>
        <w:rPr>
          <w:rFonts w:asciiTheme="minorEastAsia" w:eastAsiaTheme="minorEastAsia" w:hAnsiTheme="minorEastAsia" w:cs="宋体"/>
          <w:kern w:val="0"/>
          <w:szCs w:val="21"/>
        </w:rPr>
      </w:pPr>
      <w:r w:rsidRPr="00721084">
        <w:rPr>
          <w:rFonts w:asciiTheme="minorEastAsia" w:eastAsiaTheme="minorEastAsia" w:hAnsiTheme="minorEastAsia" w:hint="eastAsia"/>
          <w:szCs w:val="21"/>
        </w:rPr>
        <w:t>赎回总额=</w:t>
      </w:r>
      <w:r w:rsidRPr="00721084">
        <w:rPr>
          <w:rFonts w:asciiTheme="minorEastAsia" w:eastAsiaTheme="minorEastAsia" w:hAnsiTheme="minorEastAsia" w:cs="宋体" w:hint="eastAsia"/>
          <w:kern w:val="0"/>
          <w:szCs w:val="21"/>
        </w:rPr>
        <w:t>10,000</w:t>
      </w:r>
      <w:r w:rsidRPr="00721084">
        <w:rPr>
          <w:rFonts w:asciiTheme="minorEastAsia" w:eastAsiaTheme="minorEastAsia" w:hAnsiTheme="minorEastAsia" w:hint="eastAsia"/>
          <w:szCs w:val="21"/>
        </w:rPr>
        <w:sym w:font="Symbol" w:char="F0B4"/>
      </w:r>
      <w:r w:rsidRPr="00721084">
        <w:rPr>
          <w:rFonts w:asciiTheme="minorEastAsia" w:eastAsiaTheme="minorEastAsia" w:hAnsiTheme="minorEastAsia" w:cs="宋体" w:hint="eastAsia"/>
          <w:kern w:val="0"/>
          <w:szCs w:val="21"/>
        </w:rPr>
        <w:t>1.0</w:t>
      </w:r>
      <w:r w:rsidR="0019659B" w:rsidRPr="00721084">
        <w:rPr>
          <w:rFonts w:asciiTheme="minorEastAsia" w:eastAsiaTheme="minorEastAsia" w:hAnsiTheme="minorEastAsia" w:cs="宋体" w:hint="eastAsia"/>
          <w:kern w:val="0"/>
          <w:szCs w:val="21"/>
        </w:rPr>
        <w:t>5</w:t>
      </w:r>
      <w:r w:rsidRPr="00721084">
        <w:rPr>
          <w:rFonts w:asciiTheme="minorEastAsia" w:eastAsiaTheme="minorEastAsia" w:hAnsiTheme="minorEastAsia" w:cs="宋体" w:hint="eastAsia"/>
          <w:kern w:val="0"/>
          <w:szCs w:val="21"/>
        </w:rPr>
        <w:t>0=10,</w:t>
      </w:r>
      <w:r w:rsidR="0019659B" w:rsidRPr="00721084">
        <w:rPr>
          <w:rFonts w:asciiTheme="minorEastAsia" w:eastAsiaTheme="minorEastAsia" w:hAnsiTheme="minorEastAsia" w:cs="宋体" w:hint="eastAsia"/>
          <w:kern w:val="0"/>
          <w:szCs w:val="21"/>
        </w:rPr>
        <w:t>5</w:t>
      </w:r>
      <w:r w:rsidRPr="00721084">
        <w:rPr>
          <w:rFonts w:asciiTheme="minorEastAsia" w:eastAsiaTheme="minorEastAsia" w:hAnsiTheme="minorEastAsia" w:cs="宋体" w:hint="eastAsia"/>
          <w:kern w:val="0"/>
          <w:szCs w:val="21"/>
        </w:rPr>
        <w:t>00.00元</w:t>
      </w:r>
    </w:p>
    <w:p w:rsidR="0098363C" w:rsidRPr="00721084" w:rsidRDefault="0098363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赎回费用=</w:t>
      </w:r>
      <w:r w:rsidRPr="00721084">
        <w:rPr>
          <w:rFonts w:asciiTheme="minorEastAsia" w:eastAsiaTheme="minorEastAsia" w:hAnsiTheme="minorEastAsia" w:cs="宋体" w:hint="eastAsia"/>
          <w:kern w:val="0"/>
          <w:szCs w:val="21"/>
        </w:rPr>
        <w:t>10,</w:t>
      </w:r>
      <w:r w:rsidR="0019659B" w:rsidRPr="00721084">
        <w:rPr>
          <w:rFonts w:asciiTheme="minorEastAsia" w:eastAsiaTheme="minorEastAsia" w:hAnsiTheme="minorEastAsia" w:cs="宋体" w:hint="eastAsia"/>
          <w:kern w:val="0"/>
          <w:szCs w:val="21"/>
        </w:rPr>
        <w:t>5</w:t>
      </w:r>
      <w:r w:rsidRPr="00721084">
        <w:rPr>
          <w:rFonts w:asciiTheme="minorEastAsia" w:eastAsiaTheme="minorEastAsia" w:hAnsiTheme="minorEastAsia" w:cs="宋体" w:hint="eastAsia"/>
          <w:kern w:val="0"/>
          <w:szCs w:val="21"/>
        </w:rPr>
        <w:t>00.00</w:t>
      </w:r>
      <w:r w:rsidRPr="00721084">
        <w:rPr>
          <w:rFonts w:asciiTheme="minorEastAsia" w:eastAsiaTheme="minorEastAsia" w:hAnsiTheme="minorEastAsia" w:hint="eastAsia"/>
          <w:szCs w:val="21"/>
        </w:rPr>
        <w:sym w:font="Symbol" w:char="F0B4"/>
      </w:r>
      <w:r w:rsidRPr="00721084">
        <w:rPr>
          <w:rFonts w:asciiTheme="minorEastAsia" w:eastAsiaTheme="minorEastAsia" w:hAnsiTheme="minorEastAsia" w:cs="宋体" w:hint="eastAsia"/>
          <w:kern w:val="0"/>
          <w:szCs w:val="21"/>
        </w:rPr>
        <w:t>0.5%=5</w:t>
      </w:r>
      <w:r w:rsidR="0019659B" w:rsidRPr="00721084">
        <w:rPr>
          <w:rFonts w:asciiTheme="minorEastAsia" w:eastAsiaTheme="minorEastAsia" w:hAnsiTheme="minorEastAsia" w:cs="宋体" w:hint="eastAsia"/>
          <w:kern w:val="0"/>
          <w:szCs w:val="21"/>
        </w:rPr>
        <w:t>2</w:t>
      </w:r>
      <w:r w:rsidRPr="00721084">
        <w:rPr>
          <w:rFonts w:asciiTheme="minorEastAsia" w:eastAsiaTheme="minorEastAsia" w:hAnsiTheme="minorEastAsia" w:cs="宋体" w:hint="eastAsia"/>
          <w:kern w:val="0"/>
          <w:szCs w:val="21"/>
        </w:rPr>
        <w:t>.</w:t>
      </w:r>
      <w:r w:rsidR="0019659B" w:rsidRPr="00721084">
        <w:rPr>
          <w:rFonts w:asciiTheme="minorEastAsia" w:eastAsiaTheme="minorEastAsia" w:hAnsiTheme="minorEastAsia" w:cs="宋体" w:hint="eastAsia"/>
          <w:kern w:val="0"/>
          <w:szCs w:val="21"/>
        </w:rPr>
        <w:t>5</w:t>
      </w:r>
      <w:r w:rsidRPr="00721084">
        <w:rPr>
          <w:rFonts w:asciiTheme="minorEastAsia" w:eastAsiaTheme="minorEastAsia" w:hAnsiTheme="minorEastAsia" w:cs="宋体" w:hint="eastAsia"/>
          <w:kern w:val="0"/>
          <w:szCs w:val="21"/>
        </w:rPr>
        <w:t>0元</w:t>
      </w:r>
    </w:p>
    <w:p w:rsidR="0098363C" w:rsidRPr="00721084" w:rsidRDefault="0098363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赎回金额=10,</w:t>
      </w:r>
      <w:r w:rsidR="00CE35F8" w:rsidRPr="00721084">
        <w:rPr>
          <w:rFonts w:asciiTheme="minorEastAsia" w:eastAsiaTheme="minorEastAsia" w:hAnsiTheme="minorEastAsia" w:hint="eastAsia"/>
          <w:szCs w:val="21"/>
        </w:rPr>
        <w:t>5</w:t>
      </w:r>
      <w:r w:rsidRPr="00721084">
        <w:rPr>
          <w:rFonts w:asciiTheme="minorEastAsia" w:eastAsiaTheme="minorEastAsia" w:hAnsiTheme="minorEastAsia" w:hint="eastAsia"/>
          <w:szCs w:val="21"/>
        </w:rPr>
        <w:t>00.00</w:t>
      </w:r>
      <w:r w:rsidRPr="00721084">
        <w:rPr>
          <w:rFonts w:asciiTheme="minorEastAsia" w:eastAsiaTheme="minorEastAsia" w:hAnsiTheme="minorEastAsia" w:hint="eastAsia"/>
          <w:szCs w:val="21"/>
        </w:rPr>
        <w:sym w:font="Symbol" w:char="F02D"/>
      </w:r>
      <w:r w:rsidR="0019659B" w:rsidRPr="00721084">
        <w:rPr>
          <w:rFonts w:asciiTheme="minorEastAsia" w:eastAsiaTheme="minorEastAsia" w:hAnsiTheme="minorEastAsia" w:hint="eastAsia"/>
          <w:szCs w:val="21"/>
        </w:rPr>
        <w:t>52.50</w:t>
      </w:r>
      <w:r w:rsidRPr="00721084">
        <w:rPr>
          <w:rFonts w:asciiTheme="minorEastAsia" w:eastAsiaTheme="minorEastAsia" w:hAnsiTheme="minorEastAsia" w:hint="eastAsia"/>
          <w:szCs w:val="21"/>
        </w:rPr>
        <w:t>=</w:t>
      </w:r>
      <w:r w:rsidR="00CE35F8" w:rsidRPr="00721084">
        <w:rPr>
          <w:rFonts w:asciiTheme="minorEastAsia" w:eastAsiaTheme="minorEastAsia" w:hAnsiTheme="minorEastAsia" w:hint="eastAsia"/>
          <w:szCs w:val="21"/>
        </w:rPr>
        <w:t>10</w:t>
      </w:r>
      <w:r w:rsidR="006F0F11" w:rsidRPr="00721084">
        <w:rPr>
          <w:rFonts w:asciiTheme="minorEastAsia" w:eastAsiaTheme="minorEastAsia" w:hAnsiTheme="minorEastAsia" w:hint="eastAsia"/>
          <w:szCs w:val="21"/>
        </w:rPr>
        <w:t>,</w:t>
      </w:r>
      <w:r w:rsidR="00CE35F8" w:rsidRPr="00721084">
        <w:rPr>
          <w:rFonts w:asciiTheme="minorEastAsia" w:eastAsiaTheme="minorEastAsia" w:hAnsiTheme="minorEastAsia" w:hint="eastAsia"/>
          <w:szCs w:val="21"/>
        </w:rPr>
        <w:t>447</w:t>
      </w:r>
      <w:r w:rsidRPr="00721084">
        <w:rPr>
          <w:rFonts w:asciiTheme="minorEastAsia" w:eastAsiaTheme="minorEastAsia" w:hAnsiTheme="minorEastAsia" w:hint="eastAsia"/>
          <w:szCs w:val="21"/>
        </w:rPr>
        <w:t>.</w:t>
      </w:r>
      <w:r w:rsidR="0019659B" w:rsidRPr="00721084">
        <w:rPr>
          <w:rFonts w:asciiTheme="minorEastAsia" w:eastAsiaTheme="minorEastAsia" w:hAnsiTheme="minorEastAsia" w:hint="eastAsia"/>
          <w:szCs w:val="21"/>
        </w:rPr>
        <w:t>5</w:t>
      </w:r>
      <w:r w:rsidRPr="00721084">
        <w:rPr>
          <w:rFonts w:asciiTheme="minorEastAsia" w:eastAsiaTheme="minorEastAsia" w:hAnsiTheme="minorEastAsia" w:hint="eastAsia"/>
          <w:szCs w:val="21"/>
        </w:rPr>
        <w:t>0元</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赎回金额、赎回费</w:t>
      </w:r>
      <w:r w:rsidR="00446B98" w:rsidRPr="00721084">
        <w:rPr>
          <w:rFonts w:asciiTheme="minorEastAsia" w:eastAsiaTheme="minorEastAsia" w:hAnsiTheme="minorEastAsia" w:hint="eastAsia"/>
          <w:szCs w:val="21"/>
        </w:rPr>
        <w:t>用</w:t>
      </w:r>
      <w:r w:rsidRPr="00721084">
        <w:rPr>
          <w:rFonts w:asciiTheme="minorEastAsia" w:eastAsiaTheme="minorEastAsia" w:hAnsiTheme="minorEastAsia" w:hint="eastAsia"/>
          <w:szCs w:val="21"/>
        </w:rPr>
        <w:t>以人民币元为单位，</w:t>
      </w:r>
      <w:r w:rsidR="002948E3" w:rsidRPr="00721084">
        <w:rPr>
          <w:rFonts w:asciiTheme="minorEastAsia" w:eastAsiaTheme="minorEastAsia" w:hAnsiTheme="minorEastAsia" w:hint="eastAsia"/>
          <w:szCs w:val="21"/>
        </w:rPr>
        <w:t>计算结果</w:t>
      </w:r>
      <w:r w:rsidRPr="00721084">
        <w:rPr>
          <w:rFonts w:asciiTheme="minorEastAsia" w:eastAsiaTheme="minorEastAsia" w:hAnsiTheme="minorEastAsia" w:hint="eastAsia"/>
          <w:szCs w:val="21"/>
        </w:rPr>
        <w:t>保留</w:t>
      </w:r>
      <w:r w:rsidR="002948E3" w:rsidRPr="00721084">
        <w:rPr>
          <w:rFonts w:asciiTheme="minorEastAsia" w:eastAsiaTheme="minorEastAsia" w:hAnsiTheme="minorEastAsia" w:hint="eastAsia"/>
          <w:szCs w:val="21"/>
        </w:rPr>
        <w:t>至</w:t>
      </w:r>
      <w:r w:rsidRPr="00721084">
        <w:rPr>
          <w:rFonts w:asciiTheme="minorEastAsia" w:eastAsiaTheme="minorEastAsia" w:hAnsiTheme="minorEastAsia" w:hint="eastAsia"/>
          <w:szCs w:val="21"/>
        </w:rPr>
        <w:t>小数点后两位</w:t>
      </w:r>
      <w:r w:rsidR="002948E3" w:rsidRPr="00721084">
        <w:rPr>
          <w:rFonts w:asciiTheme="minorEastAsia" w:eastAsiaTheme="minorEastAsia" w:hAnsiTheme="minorEastAsia"/>
          <w:szCs w:val="21"/>
        </w:rPr>
        <w:t>，</w:t>
      </w:r>
      <w:r w:rsidR="002948E3" w:rsidRPr="00721084">
        <w:rPr>
          <w:rFonts w:asciiTheme="minorEastAsia" w:eastAsiaTheme="minorEastAsia" w:hAnsiTheme="minorEastAsia" w:hint="eastAsia"/>
          <w:szCs w:val="21"/>
        </w:rPr>
        <w:t>小数点后两位以后的部分四舍五入，</w:t>
      </w:r>
      <w:r w:rsidR="007E3748" w:rsidRPr="00721084">
        <w:rPr>
          <w:rFonts w:asciiTheme="minorEastAsia" w:eastAsiaTheme="minorEastAsia" w:hAnsiTheme="minorEastAsia" w:hint="eastAsia"/>
          <w:szCs w:val="21"/>
        </w:rPr>
        <w:t>由此产生的误差计入基金财产</w:t>
      </w:r>
      <w:r w:rsidRPr="00721084">
        <w:rPr>
          <w:rFonts w:asciiTheme="minorEastAsia" w:eastAsiaTheme="minorEastAsia" w:hAnsiTheme="minorEastAsia" w:hint="eastAsia"/>
          <w:szCs w:val="21"/>
        </w:rPr>
        <w:t>。</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基金份额净值应当在</w:t>
      </w:r>
      <w:r w:rsidR="00073C69" w:rsidRPr="00721084">
        <w:rPr>
          <w:rFonts w:asciiTheme="minorEastAsia" w:eastAsiaTheme="minorEastAsia" w:hAnsiTheme="minorEastAsia" w:hint="eastAsia"/>
          <w:szCs w:val="21"/>
        </w:rPr>
        <w:t>开放</w:t>
      </w:r>
      <w:r w:rsidRPr="00721084">
        <w:rPr>
          <w:rFonts w:asciiTheme="minorEastAsia" w:eastAsiaTheme="minorEastAsia" w:hAnsiTheme="minorEastAsia"/>
          <w:szCs w:val="21"/>
        </w:rPr>
        <w:t>日后2个工作日内披露</w:t>
      </w:r>
      <w:r w:rsidRPr="00721084">
        <w:rPr>
          <w:rFonts w:asciiTheme="minorEastAsia" w:eastAsiaTheme="minorEastAsia" w:hAnsiTheme="minorEastAsia" w:hint="eastAsia"/>
          <w:szCs w:val="21"/>
        </w:rPr>
        <w:t>。遇特殊情况，</w:t>
      </w:r>
      <w:r w:rsidR="007A2594" w:rsidRPr="00721084">
        <w:rPr>
          <w:rFonts w:asciiTheme="minorEastAsia" w:eastAsiaTheme="minorEastAsia" w:hAnsiTheme="minorEastAsia" w:hint="eastAsia"/>
        </w:rPr>
        <w:t>经履行</w:t>
      </w:r>
      <w:r w:rsidR="007A2594" w:rsidRPr="00721084">
        <w:rPr>
          <w:rFonts w:asciiTheme="minorEastAsia" w:eastAsiaTheme="minorEastAsia" w:hAnsiTheme="minorEastAsia"/>
        </w:rPr>
        <w:t>适当程序</w:t>
      </w:r>
      <w:r w:rsidR="007A2594" w:rsidRPr="00721084">
        <w:rPr>
          <w:rFonts w:asciiTheme="minorEastAsia" w:eastAsiaTheme="minorEastAsia" w:hAnsiTheme="minorEastAsia" w:hint="eastAsia"/>
        </w:rPr>
        <w:t>，</w:t>
      </w:r>
      <w:r w:rsidRPr="00721084">
        <w:rPr>
          <w:rFonts w:asciiTheme="minorEastAsia" w:eastAsiaTheme="minorEastAsia" w:hAnsiTheme="minorEastAsia" w:hint="eastAsia"/>
          <w:szCs w:val="21"/>
        </w:rPr>
        <w:t>可以适当延迟计算或公告。其计算公式为：</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基金份额净值=计算日基金资产净值÷计算日基金总份额</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本基金基金份额净值的计算，保留到小数点后3位，小数点后第4位四舍五入。</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本基金的申购费由申购</w:t>
      </w:r>
      <w:r w:rsidR="0066417F" w:rsidRPr="00721084">
        <w:rPr>
          <w:rFonts w:asciiTheme="minorEastAsia" w:eastAsiaTheme="minorEastAsia" w:hAnsiTheme="minorEastAsia" w:hint="eastAsia"/>
          <w:szCs w:val="21"/>
        </w:rPr>
        <w:t>投资者</w:t>
      </w:r>
      <w:r w:rsidRPr="00721084">
        <w:rPr>
          <w:rFonts w:asciiTheme="minorEastAsia" w:eastAsiaTheme="minorEastAsia" w:hAnsiTheme="minorEastAsia" w:hint="eastAsia"/>
          <w:szCs w:val="21"/>
        </w:rPr>
        <w:t>承担，不计入基金财产；本基金的赎回费由赎回</w:t>
      </w:r>
      <w:r w:rsidR="0066417F" w:rsidRPr="00721084">
        <w:rPr>
          <w:rFonts w:asciiTheme="minorEastAsia" w:eastAsiaTheme="minorEastAsia" w:hAnsiTheme="minorEastAsia" w:hint="eastAsia"/>
          <w:szCs w:val="21"/>
        </w:rPr>
        <w:t>投资者</w:t>
      </w:r>
      <w:r w:rsidRPr="00721084">
        <w:rPr>
          <w:rFonts w:asciiTheme="minorEastAsia" w:eastAsiaTheme="minorEastAsia" w:hAnsiTheme="minorEastAsia" w:hint="eastAsia"/>
          <w:szCs w:val="21"/>
        </w:rPr>
        <w:t>承担</w:t>
      </w:r>
      <w:r w:rsidR="00E4430F" w:rsidRPr="00721084">
        <w:rPr>
          <w:rFonts w:asciiTheme="minorEastAsia" w:eastAsiaTheme="minorEastAsia" w:hAnsiTheme="minorEastAsia" w:hint="eastAsia"/>
          <w:szCs w:val="21"/>
        </w:rPr>
        <w:t>；对持有期少于</w:t>
      </w:r>
      <w:r w:rsidR="00E4430F" w:rsidRPr="00721084">
        <w:rPr>
          <w:rFonts w:asciiTheme="minorEastAsia" w:eastAsiaTheme="minorEastAsia" w:hAnsiTheme="minorEastAsia"/>
          <w:szCs w:val="21"/>
        </w:rPr>
        <w:t>7</w:t>
      </w:r>
      <w:r w:rsidR="00E4430F" w:rsidRPr="00721084">
        <w:rPr>
          <w:rFonts w:asciiTheme="minorEastAsia" w:eastAsiaTheme="minorEastAsia" w:hAnsiTheme="minorEastAsia" w:hint="eastAsia"/>
          <w:szCs w:val="21"/>
        </w:rPr>
        <w:t>天（不含）的基金份额持有人所收取赎回费用全额计入基金财产；对持有期在</w:t>
      </w:r>
      <w:r w:rsidR="00E4430F" w:rsidRPr="00721084">
        <w:rPr>
          <w:rFonts w:asciiTheme="minorEastAsia" w:eastAsiaTheme="minorEastAsia" w:hAnsiTheme="minorEastAsia"/>
          <w:szCs w:val="21"/>
        </w:rPr>
        <w:t>7</w:t>
      </w:r>
      <w:r w:rsidR="00E4430F" w:rsidRPr="00721084">
        <w:rPr>
          <w:rFonts w:asciiTheme="minorEastAsia" w:eastAsiaTheme="minorEastAsia" w:hAnsiTheme="minorEastAsia" w:hint="eastAsia"/>
          <w:szCs w:val="21"/>
        </w:rPr>
        <w:t>天以上（含）的基金份额持有人所收取</w:t>
      </w:r>
      <w:r w:rsidR="00E4430F" w:rsidRPr="00721084">
        <w:rPr>
          <w:rFonts w:asciiTheme="minorEastAsia" w:eastAsiaTheme="minorEastAsia" w:hAnsiTheme="minorEastAsia"/>
          <w:szCs w:val="21"/>
        </w:rPr>
        <w:t>赎回费</w:t>
      </w:r>
      <w:r w:rsidR="00395EA3" w:rsidRPr="00721084">
        <w:rPr>
          <w:rFonts w:asciiTheme="minorEastAsia" w:eastAsiaTheme="minorEastAsia" w:hAnsiTheme="minorEastAsia" w:hint="eastAsia"/>
          <w:szCs w:val="21"/>
        </w:rPr>
        <w:t>扣除用于市场推广、注册登记费和其他手续费后的余额归基金财产</w:t>
      </w:r>
      <w:r w:rsidRPr="00721084">
        <w:rPr>
          <w:rFonts w:asciiTheme="minorEastAsia" w:eastAsiaTheme="minorEastAsia" w:hAnsiTheme="minorEastAsia" w:hint="eastAsia"/>
          <w:szCs w:val="21"/>
        </w:rPr>
        <w:t>，归入基金财产的比例</w:t>
      </w:r>
      <w:r w:rsidR="00395EA3" w:rsidRPr="00721084">
        <w:rPr>
          <w:rFonts w:asciiTheme="minorEastAsia" w:eastAsiaTheme="minorEastAsia" w:hAnsiTheme="minorEastAsia" w:hint="eastAsia"/>
          <w:szCs w:val="21"/>
        </w:rPr>
        <w:t>为</w:t>
      </w:r>
      <w:r w:rsidRPr="00721084">
        <w:rPr>
          <w:rFonts w:asciiTheme="minorEastAsia" w:eastAsiaTheme="minorEastAsia" w:hAnsiTheme="minorEastAsia" w:hint="eastAsia"/>
          <w:szCs w:val="21"/>
        </w:rPr>
        <w:t>所收赎回费的25%。</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szCs w:val="21"/>
        </w:rPr>
      </w:pPr>
      <w:bookmarkStart w:id="132" w:name="_Toc44351095"/>
      <w:r w:rsidRPr="00721084">
        <w:rPr>
          <w:rFonts w:asciiTheme="minorEastAsia" w:eastAsiaTheme="minorEastAsia" w:hAnsiTheme="minorEastAsia" w:hint="eastAsia"/>
          <w:b w:val="0"/>
        </w:rPr>
        <w:t>九</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申购</w:t>
      </w:r>
      <w:r w:rsidR="00785833" w:rsidRPr="00721084">
        <w:rPr>
          <w:rFonts w:asciiTheme="minorEastAsia" w:eastAsiaTheme="minorEastAsia" w:hAnsiTheme="minorEastAsia" w:hint="eastAsia"/>
          <w:b w:val="0"/>
        </w:rPr>
        <w:t>和</w:t>
      </w:r>
      <w:r w:rsidRPr="00721084">
        <w:rPr>
          <w:rFonts w:asciiTheme="minorEastAsia" w:eastAsiaTheme="minorEastAsia" w:hAnsiTheme="minorEastAsia" w:hint="eastAsia"/>
          <w:b w:val="0"/>
        </w:rPr>
        <w:t>赎回的注册登记</w:t>
      </w:r>
      <w:bookmarkEnd w:id="132"/>
    </w:p>
    <w:p w:rsidR="00785833" w:rsidRPr="00721084" w:rsidRDefault="00785833"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投资者申购基金成功后，正常情况下，基金注册登记机构在</w:t>
      </w:r>
      <w:r w:rsidRPr="00721084">
        <w:rPr>
          <w:rFonts w:asciiTheme="minorEastAsia" w:eastAsiaTheme="minorEastAsia" w:hAnsiTheme="minorEastAsia"/>
        </w:rPr>
        <w:t>T+</w:t>
      </w:r>
      <w:r w:rsidRPr="00721084">
        <w:rPr>
          <w:rFonts w:asciiTheme="minorEastAsia" w:eastAsiaTheme="minorEastAsia" w:hAnsiTheme="minorEastAsia" w:hint="eastAsia"/>
        </w:rPr>
        <w:t>2日为投资者登记权益并办理注册登记手续，投资者自</w:t>
      </w:r>
      <w:r w:rsidRPr="00721084">
        <w:rPr>
          <w:rFonts w:asciiTheme="minorEastAsia" w:eastAsiaTheme="minorEastAsia" w:hAnsiTheme="minorEastAsia"/>
        </w:rPr>
        <w:t>T+</w:t>
      </w:r>
      <w:r w:rsidRPr="00721084">
        <w:rPr>
          <w:rFonts w:asciiTheme="minorEastAsia" w:eastAsiaTheme="minorEastAsia" w:hAnsiTheme="minorEastAsia" w:hint="eastAsia"/>
        </w:rPr>
        <w:t>3日（含该日）后有权赎回该部分基金份额。</w:t>
      </w:r>
    </w:p>
    <w:p w:rsidR="00785833" w:rsidRPr="00721084" w:rsidRDefault="00785833"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投资者赎回基金成功后，正常情况下，基金注册登记机构在</w:t>
      </w:r>
      <w:r w:rsidRPr="00721084">
        <w:rPr>
          <w:rFonts w:asciiTheme="minorEastAsia" w:eastAsiaTheme="minorEastAsia" w:hAnsiTheme="minorEastAsia"/>
        </w:rPr>
        <w:t>T+</w:t>
      </w:r>
      <w:r w:rsidRPr="00721084">
        <w:rPr>
          <w:rFonts w:asciiTheme="minorEastAsia" w:eastAsiaTheme="minorEastAsia" w:hAnsiTheme="minorEastAsia" w:hint="eastAsia"/>
        </w:rPr>
        <w:t>2日为投资者办理扣除权益的注册登记手续。</w:t>
      </w:r>
    </w:p>
    <w:p w:rsidR="00785833" w:rsidRPr="00721084" w:rsidRDefault="00785833"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基金管理人可以在法律法规允许的范围内，依法对上述注册登记办理时间进行调整，并最迟于开始实施前在</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公告。</w:t>
      </w:r>
    </w:p>
    <w:p w:rsidR="006823CA" w:rsidRPr="00721084" w:rsidRDefault="00581D5A" w:rsidP="00CE3F81">
      <w:pPr>
        <w:pStyle w:val="2"/>
        <w:snapToGrid w:val="0"/>
        <w:spacing w:beforeLines="0" w:afterLines="0" w:line="360" w:lineRule="auto"/>
        <w:ind w:firstLine="560"/>
        <w:rPr>
          <w:rFonts w:asciiTheme="minorEastAsia" w:eastAsiaTheme="minorEastAsia" w:hAnsiTheme="minorEastAsia"/>
          <w:b w:val="0"/>
        </w:rPr>
      </w:pPr>
      <w:bookmarkStart w:id="133" w:name="_Toc44351096"/>
      <w:r w:rsidRPr="00721084">
        <w:rPr>
          <w:rFonts w:asciiTheme="minorEastAsia" w:eastAsiaTheme="minorEastAsia" w:hAnsiTheme="minorEastAsia" w:hint="eastAsia"/>
          <w:b w:val="0"/>
        </w:rPr>
        <w:t>十、</w:t>
      </w:r>
      <w:r w:rsidR="006823CA" w:rsidRPr="00721084">
        <w:rPr>
          <w:rFonts w:asciiTheme="minorEastAsia" w:eastAsiaTheme="minorEastAsia" w:hAnsiTheme="minorEastAsia" w:hint="eastAsia"/>
          <w:b w:val="0"/>
        </w:rPr>
        <w:t>拒绝或暂停申购的情形及处理方式</w:t>
      </w:r>
      <w:bookmarkEnd w:id="133"/>
    </w:p>
    <w:p w:rsidR="006823CA" w:rsidRPr="00721084" w:rsidRDefault="006823CA"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除非出现如下情形，基金管理人不得拒绝或暂停接受基金投资者的申购申请：</w:t>
      </w:r>
    </w:p>
    <w:p w:rsidR="006823CA"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6823CA" w:rsidRPr="00721084">
        <w:rPr>
          <w:rFonts w:asciiTheme="minorEastAsia" w:eastAsiaTheme="minorEastAsia" w:hAnsiTheme="minorEastAsia" w:hint="eastAsia"/>
          <w:szCs w:val="21"/>
        </w:rPr>
        <w:t>不可抗力的原因导致基金无法正常运作；</w:t>
      </w:r>
    </w:p>
    <w:p w:rsidR="006823CA"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2、</w:t>
      </w:r>
      <w:r w:rsidR="006823CA" w:rsidRPr="00721084">
        <w:rPr>
          <w:rFonts w:asciiTheme="minorEastAsia" w:eastAsiaTheme="minorEastAsia" w:hAnsiTheme="minorEastAsia" w:hint="eastAsia"/>
          <w:szCs w:val="21"/>
        </w:rPr>
        <w:t>本基金投资的主要证券交易市场或外汇市场的公众节假日、休市，并可能影响本基金正常估值与投资时；</w:t>
      </w:r>
    </w:p>
    <w:p w:rsidR="006823CA"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6823CA" w:rsidRPr="00721084">
        <w:rPr>
          <w:rFonts w:asciiTheme="minorEastAsia" w:eastAsiaTheme="minorEastAsia" w:hAnsiTheme="minorEastAsia"/>
          <w:szCs w:val="21"/>
        </w:rPr>
        <w:t>本基金的资产组合中的重要部分发生暂停交易或其他重大事件，继续接受申购可能会影响或损害其他基金份额持有人利益时</w:t>
      </w:r>
      <w:r w:rsidR="006823CA" w:rsidRPr="00721084">
        <w:rPr>
          <w:rFonts w:asciiTheme="minorEastAsia" w:eastAsiaTheme="minorEastAsia" w:hAnsiTheme="minorEastAsia" w:hint="eastAsia"/>
          <w:szCs w:val="21"/>
        </w:rPr>
        <w:t>；</w:t>
      </w:r>
    </w:p>
    <w:p w:rsidR="006823CA"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6823CA" w:rsidRPr="00721084">
        <w:rPr>
          <w:rFonts w:asciiTheme="minorEastAsia" w:eastAsiaTheme="minorEastAsia" w:hAnsiTheme="minorEastAsia" w:hint="eastAsia"/>
          <w:szCs w:val="21"/>
        </w:rPr>
        <w:t>基金资产规模过大，使基金管理人无法找到合适的投资品种，或可能对基金业绩产生负面影响，从而损害现有基金份额持有人的利益；</w:t>
      </w:r>
    </w:p>
    <w:p w:rsidR="006823CA"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6823CA" w:rsidRPr="00721084">
        <w:rPr>
          <w:rFonts w:asciiTheme="minorEastAsia" w:eastAsiaTheme="minorEastAsia" w:hAnsiTheme="minorEastAsia" w:hint="eastAsia"/>
          <w:szCs w:val="21"/>
        </w:rPr>
        <w:t>基金资产规模或者份额数量达到了监管部门或基金管理人规定的上限；</w:t>
      </w:r>
    </w:p>
    <w:p w:rsidR="006823CA"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6、</w:t>
      </w:r>
      <w:r w:rsidR="006823CA" w:rsidRPr="00721084">
        <w:rPr>
          <w:rFonts w:asciiTheme="minorEastAsia" w:eastAsiaTheme="minorEastAsia" w:hAnsiTheme="minorEastAsia" w:hint="eastAsia"/>
          <w:szCs w:val="21"/>
        </w:rPr>
        <w:t>基金管理人、基金托管人、基金销售机构或注册登记机构因技术</w:t>
      </w:r>
      <w:r w:rsidR="00FF05F7" w:rsidRPr="00721084">
        <w:rPr>
          <w:rFonts w:asciiTheme="minorEastAsia" w:eastAsiaTheme="minorEastAsia" w:hAnsiTheme="minorEastAsia" w:hint="eastAsia"/>
          <w:szCs w:val="21"/>
        </w:rPr>
        <w:t>故</w:t>
      </w:r>
      <w:r w:rsidR="006823CA" w:rsidRPr="00721084">
        <w:rPr>
          <w:rFonts w:asciiTheme="minorEastAsia" w:eastAsiaTheme="minorEastAsia" w:hAnsiTheme="minorEastAsia" w:hint="eastAsia"/>
          <w:szCs w:val="21"/>
        </w:rPr>
        <w:t>障导致基金销售系统或基金注册登记系统或基金会计系统无法正常运行；</w:t>
      </w:r>
    </w:p>
    <w:p w:rsidR="006823CA"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7、</w:t>
      </w:r>
      <w:r w:rsidR="006823CA" w:rsidRPr="00721084">
        <w:rPr>
          <w:rFonts w:asciiTheme="minorEastAsia" w:eastAsiaTheme="minorEastAsia" w:hAnsiTheme="minorEastAsia" w:hint="eastAsia"/>
          <w:szCs w:val="21"/>
        </w:rPr>
        <w:t>基金管理人认为会有损于现有基金份额持有人利益的某笔申购；</w:t>
      </w:r>
    </w:p>
    <w:p w:rsidR="00CD3B3A" w:rsidRPr="00721084" w:rsidRDefault="005F029B" w:rsidP="001223DA">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8</w:t>
      </w:r>
      <w:r w:rsidRPr="00721084">
        <w:rPr>
          <w:rFonts w:asciiTheme="minorEastAsia" w:eastAsiaTheme="minorEastAsia" w:hAnsiTheme="minorEastAsia"/>
          <w:szCs w:val="21"/>
        </w:rPr>
        <w:t>、</w:t>
      </w:r>
      <w:r w:rsidR="000E5F6B" w:rsidRPr="00721084">
        <w:rPr>
          <w:rFonts w:asciiTheme="minorEastAsia" w:eastAsiaTheme="minorEastAsia" w:hAnsiTheme="minorEastAsia" w:hint="eastAsia"/>
          <w:szCs w:val="21"/>
        </w:rPr>
        <w:t>基金管理人接受某笔或者某些申购申请有可能导致单一投资者持有基金份额的比例达到或者超过</w:t>
      </w:r>
      <w:r w:rsidR="000E5F6B" w:rsidRPr="00721084">
        <w:rPr>
          <w:rFonts w:asciiTheme="minorEastAsia" w:eastAsiaTheme="minorEastAsia" w:hAnsiTheme="minorEastAsia"/>
          <w:szCs w:val="21"/>
        </w:rPr>
        <w:t>50%，或者变相规避50%集中度的情形时；</w:t>
      </w:r>
    </w:p>
    <w:p w:rsidR="00CD3B3A" w:rsidRPr="00721084" w:rsidRDefault="005F029B" w:rsidP="001223DA">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9、</w:t>
      </w:r>
      <w:r w:rsidR="000E5F6B" w:rsidRPr="00721084">
        <w:rPr>
          <w:rFonts w:asciiTheme="minorEastAsia" w:eastAsiaTheme="minorEastAsia" w:hAnsiTheme="minorEastAsia"/>
          <w:szCs w:val="21"/>
        </w:rPr>
        <w:t>当一笔新的</w:t>
      </w:r>
      <w:r w:rsidR="000E5F6B" w:rsidRPr="00721084">
        <w:rPr>
          <w:rFonts w:asciiTheme="minorEastAsia" w:eastAsiaTheme="minorEastAsia" w:hAnsiTheme="minorEastAsia" w:hint="eastAsia"/>
          <w:szCs w:val="21"/>
        </w:rPr>
        <w:t>申购申请被确认成功，使本基金总规模超过基金管理人规定的本基金总规模上限时；或使本基金单日申购金额或</w:t>
      </w:r>
      <w:r w:rsidR="000E5F6B" w:rsidRPr="00721084">
        <w:rPr>
          <w:rFonts w:asciiTheme="minorEastAsia" w:eastAsiaTheme="minorEastAsia" w:hAnsiTheme="minorEastAsia"/>
          <w:szCs w:val="21"/>
        </w:rPr>
        <w:t>净申购比例</w:t>
      </w:r>
      <w:r w:rsidR="000E5F6B" w:rsidRPr="00721084">
        <w:rPr>
          <w:rFonts w:asciiTheme="minorEastAsia" w:eastAsiaTheme="minorEastAsia" w:hAnsiTheme="minorEastAsia" w:hint="eastAsia"/>
          <w:szCs w:val="21"/>
        </w:rPr>
        <w:t>超过基金管理人规定的当日申购金额或</w:t>
      </w:r>
      <w:r w:rsidR="000E5F6B" w:rsidRPr="00721084">
        <w:rPr>
          <w:rFonts w:asciiTheme="minorEastAsia" w:eastAsiaTheme="minorEastAsia" w:hAnsiTheme="minorEastAsia"/>
          <w:szCs w:val="21"/>
        </w:rPr>
        <w:t>净申购比例</w:t>
      </w:r>
      <w:r w:rsidR="000E5F6B" w:rsidRPr="00721084">
        <w:rPr>
          <w:rFonts w:asciiTheme="minorEastAsia" w:eastAsiaTheme="minorEastAsia" w:hAnsiTheme="minorEastAsia" w:hint="eastAsia"/>
          <w:szCs w:val="21"/>
        </w:rPr>
        <w:t>上限时；或该投资人累计持有的份额超过单个投资人累计持有的份额上限时；或该投资人当日申购金额超过单个投资人单日或</w:t>
      </w:r>
      <w:r w:rsidR="000E5F6B" w:rsidRPr="00721084">
        <w:rPr>
          <w:rFonts w:asciiTheme="minorEastAsia" w:eastAsiaTheme="minorEastAsia" w:hAnsiTheme="minorEastAsia"/>
          <w:szCs w:val="21"/>
        </w:rPr>
        <w:t>单笔</w:t>
      </w:r>
      <w:r w:rsidR="000E5F6B" w:rsidRPr="00721084">
        <w:rPr>
          <w:rFonts w:asciiTheme="minorEastAsia" w:eastAsiaTheme="minorEastAsia" w:hAnsiTheme="minorEastAsia" w:hint="eastAsia"/>
          <w:szCs w:val="21"/>
        </w:rPr>
        <w:t>申购金额上限时；</w:t>
      </w:r>
    </w:p>
    <w:p w:rsidR="00CD3B3A" w:rsidRPr="00721084" w:rsidRDefault="005F029B" w:rsidP="001223DA">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10、</w:t>
      </w:r>
      <w:r w:rsidR="000E5F6B" w:rsidRPr="00721084">
        <w:rPr>
          <w:rFonts w:asciiTheme="minorEastAsia" w:eastAsiaTheme="minorEastAsia" w:hAnsiTheme="minorEastAsia" w:hint="eastAsia"/>
          <w:szCs w:val="21"/>
        </w:rPr>
        <w:t>当前一估值日基金资产净值</w:t>
      </w:r>
      <w:r w:rsidR="000E5F6B" w:rsidRPr="00721084">
        <w:rPr>
          <w:rFonts w:asciiTheme="minorEastAsia" w:eastAsiaTheme="minorEastAsia" w:hAnsiTheme="minorEastAsia"/>
          <w:szCs w:val="21"/>
        </w:rPr>
        <w:t>50%</w:t>
      </w:r>
      <w:r w:rsidR="000E5F6B" w:rsidRPr="00721084">
        <w:rPr>
          <w:rFonts w:asciiTheme="minorEastAsia" w:eastAsiaTheme="minorEastAsia" w:hAnsiTheme="minorEastAsia" w:hint="eastAsia"/>
          <w:szCs w:val="21"/>
        </w:rPr>
        <w:t>以上的资产出现无可参考的活跃市场价格且采用估值技术仍导致公允价值存在重大不确定性时，经与基金托管人协商确认后，基金管理人应当采取暂停接受基金申购申请的措施；</w:t>
      </w:r>
    </w:p>
    <w:p w:rsidR="006823CA" w:rsidRPr="00721084" w:rsidRDefault="005F029B"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11</w:t>
      </w:r>
      <w:r w:rsidR="006A1D96" w:rsidRPr="00721084">
        <w:rPr>
          <w:rFonts w:asciiTheme="minorEastAsia" w:eastAsiaTheme="minorEastAsia" w:hAnsiTheme="minorEastAsia" w:hint="eastAsia"/>
          <w:szCs w:val="21"/>
        </w:rPr>
        <w:t>、</w:t>
      </w:r>
      <w:r w:rsidR="006823CA" w:rsidRPr="00721084">
        <w:rPr>
          <w:rFonts w:asciiTheme="minorEastAsia" w:eastAsiaTheme="minorEastAsia" w:hAnsiTheme="minorEastAsia" w:hint="eastAsia"/>
          <w:szCs w:val="21"/>
        </w:rPr>
        <w:t>法律法规规定或中国证监会认定的其他可暂停申购的情形。</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发生上述情形之一</w:t>
      </w:r>
      <w:r w:rsidR="001029C6" w:rsidRPr="00721084">
        <w:rPr>
          <w:rFonts w:asciiTheme="minorEastAsia" w:eastAsiaTheme="minorEastAsia" w:hAnsiTheme="minorEastAsia" w:hint="eastAsia"/>
        </w:rPr>
        <w:t>且基金管理人决定暂停或拒绝基金投资者的申购申请</w:t>
      </w:r>
      <w:r w:rsidRPr="00721084">
        <w:rPr>
          <w:rFonts w:asciiTheme="minorEastAsia" w:eastAsiaTheme="minorEastAsia" w:hAnsiTheme="minorEastAsia" w:hint="eastAsia"/>
        </w:rPr>
        <w:t>的，申购款项将全额退还投资者。发生上述</w:t>
      </w:r>
      <w:r w:rsidR="001029C6" w:rsidRPr="00721084">
        <w:rPr>
          <w:rFonts w:asciiTheme="minorEastAsia" w:eastAsiaTheme="minorEastAsia" w:hAnsiTheme="minorEastAsia"/>
        </w:rPr>
        <w:t>1、2、</w:t>
      </w:r>
      <w:r w:rsidR="001029C6" w:rsidRPr="00721084">
        <w:rPr>
          <w:rFonts w:asciiTheme="minorEastAsia" w:eastAsiaTheme="minorEastAsia" w:hAnsiTheme="minorEastAsia" w:hint="eastAsia"/>
        </w:rPr>
        <w:t>3</w:t>
      </w:r>
      <w:r w:rsidR="001029C6" w:rsidRPr="00721084">
        <w:rPr>
          <w:rFonts w:asciiTheme="minorEastAsia" w:eastAsiaTheme="minorEastAsia" w:hAnsiTheme="minorEastAsia"/>
        </w:rPr>
        <w:t>、</w:t>
      </w:r>
      <w:r w:rsidR="001029C6" w:rsidRPr="00721084">
        <w:rPr>
          <w:rFonts w:asciiTheme="minorEastAsia" w:eastAsiaTheme="minorEastAsia" w:hAnsiTheme="minorEastAsia" w:hint="eastAsia"/>
        </w:rPr>
        <w:t>4</w:t>
      </w:r>
      <w:r w:rsidR="001029C6" w:rsidRPr="00721084">
        <w:rPr>
          <w:rFonts w:asciiTheme="minorEastAsia" w:eastAsiaTheme="minorEastAsia" w:hAnsiTheme="minorEastAsia"/>
        </w:rPr>
        <w:t>、5</w:t>
      </w:r>
      <w:r w:rsidR="001029C6" w:rsidRPr="00721084">
        <w:rPr>
          <w:rFonts w:asciiTheme="minorEastAsia" w:eastAsiaTheme="minorEastAsia" w:hAnsiTheme="minorEastAsia" w:hint="eastAsia"/>
        </w:rPr>
        <w:t>、6、9</w:t>
      </w:r>
      <w:r w:rsidR="001029C6" w:rsidRPr="00721084">
        <w:rPr>
          <w:rFonts w:asciiTheme="minorEastAsia" w:eastAsiaTheme="minorEastAsia" w:hAnsiTheme="minorEastAsia"/>
        </w:rPr>
        <w:t>、10、11</w:t>
      </w:r>
      <w:r w:rsidR="001029C6" w:rsidRPr="00721084">
        <w:rPr>
          <w:rFonts w:asciiTheme="minorEastAsia" w:eastAsiaTheme="minorEastAsia" w:hAnsiTheme="minorEastAsia" w:hint="eastAsia"/>
        </w:rPr>
        <w:t>项</w:t>
      </w:r>
      <w:r w:rsidRPr="00721084">
        <w:rPr>
          <w:rFonts w:asciiTheme="minorEastAsia" w:eastAsiaTheme="minorEastAsia" w:hAnsiTheme="minorEastAsia" w:hint="eastAsia"/>
        </w:rPr>
        <w:t>暂停申购情形时，基金管理人应当在</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刊登暂停申购公告。</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在暂停申购的情况消除时，基金管理人应及时恢复申购业务的办理，并依照有关规定在</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公告。</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基金管理人拒绝或暂停接受申购的方式包括：</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拒绝接受、暂停接受某笔或某数笔申购申请；</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拒绝接受、暂停接受某个或某数个工作日的全部申购申请；</w:t>
      </w:r>
    </w:p>
    <w:p w:rsidR="00696B4C"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按比例拒绝接受、暂停接受某个或某数个工作日的申购申请。</w:t>
      </w:r>
    </w:p>
    <w:p w:rsidR="006823CA" w:rsidRPr="00721084" w:rsidRDefault="00581D5A" w:rsidP="00CE3F81">
      <w:pPr>
        <w:pStyle w:val="2"/>
        <w:snapToGrid w:val="0"/>
        <w:spacing w:beforeLines="0" w:afterLines="0" w:line="360" w:lineRule="auto"/>
        <w:ind w:firstLine="560"/>
        <w:rPr>
          <w:rFonts w:asciiTheme="minorEastAsia" w:eastAsiaTheme="minorEastAsia" w:hAnsiTheme="minorEastAsia"/>
          <w:b w:val="0"/>
        </w:rPr>
      </w:pPr>
      <w:bookmarkStart w:id="134" w:name="_Toc44351097"/>
      <w:r w:rsidRPr="00721084">
        <w:rPr>
          <w:rFonts w:asciiTheme="minorEastAsia" w:eastAsiaTheme="minorEastAsia" w:hAnsiTheme="minorEastAsia" w:hint="eastAsia"/>
          <w:b w:val="0"/>
        </w:rPr>
        <w:t>十一、</w:t>
      </w:r>
      <w:r w:rsidR="006823CA" w:rsidRPr="00721084">
        <w:rPr>
          <w:rFonts w:asciiTheme="minorEastAsia" w:eastAsiaTheme="minorEastAsia" w:hAnsiTheme="minorEastAsia" w:hint="eastAsia"/>
          <w:b w:val="0"/>
        </w:rPr>
        <w:t>暂停赎回或者延缓支付赎回款项的情形及处理方式</w:t>
      </w:r>
      <w:bookmarkEnd w:id="134"/>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除非出现如下情形，基金管理人不得拒绝接受或暂停基金份额持有人的赎回申请或者延缓支付赎回款项：</w:t>
      </w:r>
    </w:p>
    <w:p w:rsidR="006823CA" w:rsidRPr="00721084" w:rsidRDefault="006A1D9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6823CA" w:rsidRPr="00721084">
        <w:rPr>
          <w:rFonts w:asciiTheme="minorEastAsia" w:eastAsiaTheme="minorEastAsia" w:hAnsiTheme="minorEastAsia" w:hint="eastAsia"/>
        </w:rPr>
        <w:t>不可抗力的原因导致基金管理人不能支付赎回款项；</w:t>
      </w:r>
    </w:p>
    <w:p w:rsidR="006823CA" w:rsidRPr="00721084" w:rsidRDefault="006A1D9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6823CA" w:rsidRPr="00721084">
        <w:rPr>
          <w:rFonts w:asciiTheme="minorEastAsia" w:eastAsiaTheme="minorEastAsia" w:hAnsiTheme="minorEastAsia" w:hint="eastAsia"/>
        </w:rPr>
        <w:t>本基金进行交易的主要证券交易市场或外汇市场交易时间非正常停市或遇公众节假</w:t>
      </w:r>
      <w:r w:rsidR="006823CA" w:rsidRPr="00721084">
        <w:rPr>
          <w:rFonts w:asciiTheme="minorEastAsia" w:eastAsiaTheme="minorEastAsia" w:hAnsiTheme="minorEastAsia" w:hint="eastAsia"/>
        </w:rPr>
        <w:lastRenderedPageBreak/>
        <w:t>日，可能影响本基金投资，或导致基金管理人无法计算当日基金资产净值；</w:t>
      </w:r>
    </w:p>
    <w:p w:rsidR="006823CA" w:rsidRPr="00721084" w:rsidRDefault="006A1D9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6823CA" w:rsidRPr="00721084">
        <w:rPr>
          <w:rFonts w:asciiTheme="minorEastAsia" w:eastAsiaTheme="minorEastAsia" w:hAnsiTheme="minorEastAsia" w:hint="eastAsia"/>
        </w:rPr>
        <w:t>因市场剧烈波动或其他原因而出现连续2个或2个以上开放日巨额赎回，导致本基金的现金支付出现困难；</w:t>
      </w:r>
    </w:p>
    <w:p w:rsidR="006823CA" w:rsidRPr="00721084" w:rsidRDefault="006A1D9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6823CA" w:rsidRPr="00721084">
        <w:rPr>
          <w:rFonts w:asciiTheme="minorEastAsia" w:eastAsiaTheme="minorEastAsia" w:hAnsiTheme="minorEastAsia" w:hint="eastAsia"/>
        </w:rPr>
        <w:t>本基金投资的主要证券交易市场或外汇市场的公众节假日、休市，并可能影响本基金正常估值与投资时；</w:t>
      </w:r>
    </w:p>
    <w:p w:rsidR="006823CA" w:rsidRPr="00721084" w:rsidRDefault="006A1D9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006823CA" w:rsidRPr="00721084">
        <w:rPr>
          <w:rFonts w:asciiTheme="minorEastAsia" w:eastAsiaTheme="minorEastAsia" w:hAnsiTheme="minorEastAsia" w:hint="eastAsia"/>
        </w:rPr>
        <w:t>本基金的资产组合中的重要部分发生暂停交易或其他重大事件，继续接受赎回可能会影响或损害其他基金份额持有人利益时；</w:t>
      </w:r>
    </w:p>
    <w:p w:rsidR="006823CA" w:rsidRPr="00721084" w:rsidRDefault="006A1D9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006823CA" w:rsidRPr="00721084">
        <w:rPr>
          <w:rFonts w:asciiTheme="minorEastAsia" w:eastAsiaTheme="minorEastAsia" w:hAnsiTheme="minorEastAsia" w:hint="eastAsia"/>
        </w:rPr>
        <w:t>基金管理人、基金托管人、基金销售机构或注册登记机构因技术</w:t>
      </w:r>
      <w:r w:rsidR="00FF05F7" w:rsidRPr="00721084">
        <w:rPr>
          <w:rFonts w:asciiTheme="minorEastAsia" w:eastAsiaTheme="minorEastAsia" w:hAnsiTheme="minorEastAsia" w:hint="eastAsia"/>
        </w:rPr>
        <w:t>故障</w:t>
      </w:r>
      <w:r w:rsidR="006823CA" w:rsidRPr="00721084">
        <w:rPr>
          <w:rFonts w:asciiTheme="minorEastAsia" w:eastAsiaTheme="minorEastAsia" w:hAnsiTheme="minorEastAsia" w:hint="eastAsia"/>
        </w:rPr>
        <w:t>导致基金销售系统或基金注册登记系统或基金会计系统无法正常运行时；</w:t>
      </w:r>
    </w:p>
    <w:p w:rsidR="00CD3B3A" w:rsidRPr="00721084" w:rsidRDefault="001029C6" w:rsidP="001223DA">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w:t>
      </w:r>
      <w:r w:rsidRPr="00721084">
        <w:rPr>
          <w:rFonts w:asciiTheme="minorEastAsia" w:eastAsiaTheme="minorEastAsia" w:hAnsiTheme="minorEastAsia"/>
        </w:rPr>
        <w:t>、</w:t>
      </w:r>
      <w:r w:rsidR="000E5F6B" w:rsidRPr="00721084">
        <w:rPr>
          <w:rFonts w:asciiTheme="minorEastAsia" w:eastAsiaTheme="minorEastAsia" w:hAnsiTheme="minorEastAsia" w:hint="eastAsia"/>
        </w:rPr>
        <w:t>当前一估值日基金资产净值</w:t>
      </w:r>
      <w:r w:rsidR="000E5F6B" w:rsidRPr="00721084">
        <w:rPr>
          <w:rFonts w:asciiTheme="minorEastAsia" w:eastAsiaTheme="minorEastAsia" w:hAnsiTheme="minorEastAsia"/>
        </w:rPr>
        <w:t>50%</w:t>
      </w:r>
      <w:r w:rsidR="000E5F6B" w:rsidRPr="00721084">
        <w:rPr>
          <w:rFonts w:asciiTheme="minorEastAsia" w:eastAsiaTheme="minorEastAsia" w:hAnsiTheme="minorEastAsia" w:hint="eastAsia"/>
        </w:rPr>
        <w:t>以上的资产出现无可参考的活跃市场价格且采用估值技术仍导致公允价值存在重大不确定性时，经与基金托管人协商确认后，基金管理人应当采取延缓</w:t>
      </w:r>
      <w:r w:rsidR="000E5F6B" w:rsidRPr="00721084">
        <w:rPr>
          <w:rFonts w:asciiTheme="minorEastAsia" w:eastAsiaTheme="minorEastAsia" w:hAnsiTheme="minorEastAsia"/>
        </w:rPr>
        <w:t>支付</w:t>
      </w:r>
      <w:r w:rsidR="000E5F6B" w:rsidRPr="00721084">
        <w:rPr>
          <w:rFonts w:asciiTheme="minorEastAsia" w:eastAsiaTheme="minorEastAsia" w:hAnsiTheme="minorEastAsia" w:hint="eastAsia"/>
        </w:rPr>
        <w:t>赎回款项</w:t>
      </w:r>
      <w:r w:rsidR="000E5F6B" w:rsidRPr="00721084">
        <w:rPr>
          <w:rFonts w:asciiTheme="minorEastAsia" w:eastAsiaTheme="minorEastAsia" w:hAnsiTheme="minorEastAsia"/>
        </w:rPr>
        <w:t>或</w:t>
      </w:r>
      <w:r w:rsidR="000E5F6B" w:rsidRPr="00721084">
        <w:rPr>
          <w:rFonts w:asciiTheme="minorEastAsia" w:eastAsiaTheme="minorEastAsia" w:hAnsiTheme="minorEastAsia" w:hint="eastAsia"/>
        </w:rPr>
        <w:t>暂停接受基金赎回申请的措施；</w:t>
      </w:r>
    </w:p>
    <w:p w:rsidR="006823CA" w:rsidRPr="00721084" w:rsidRDefault="001029C6" w:rsidP="006A1D96">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8</w:t>
      </w:r>
      <w:r w:rsidR="006A1D96" w:rsidRPr="00721084">
        <w:rPr>
          <w:rFonts w:asciiTheme="minorEastAsia" w:eastAsiaTheme="minorEastAsia" w:hAnsiTheme="minorEastAsia" w:hint="eastAsia"/>
        </w:rPr>
        <w:t>、</w:t>
      </w:r>
      <w:r w:rsidR="006823CA" w:rsidRPr="00721084">
        <w:rPr>
          <w:rFonts w:asciiTheme="minorEastAsia" w:eastAsiaTheme="minorEastAsia" w:hAnsiTheme="minorEastAsia" w:hint="eastAsia"/>
        </w:rPr>
        <w:t>法律法规规定或中国证监会认定的其他情形。</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w:t>
      </w:r>
      <w:r w:rsidRPr="00721084">
        <w:rPr>
          <w:rFonts w:asciiTheme="minorEastAsia" w:eastAsiaTheme="minorEastAsia" w:hAnsiTheme="minorEastAsia" w:hint="eastAsia"/>
          <w:kern w:val="0"/>
          <w:szCs w:val="21"/>
        </w:rPr>
        <w:t>20个工作日内</w:t>
      </w:r>
      <w:r w:rsidRPr="00721084">
        <w:rPr>
          <w:rFonts w:asciiTheme="minorEastAsia" w:eastAsiaTheme="minorEastAsia" w:hAnsiTheme="minorEastAsia" w:hint="eastAsia"/>
        </w:rPr>
        <w:t>予以支付。</w:t>
      </w:r>
    </w:p>
    <w:p w:rsidR="00696B4C" w:rsidRPr="00721084" w:rsidRDefault="00756F9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同时，在出现上述第</w:t>
      </w:r>
      <w:r w:rsidR="006823CA" w:rsidRPr="00721084">
        <w:rPr>
          <w:rFonts w:asciiTheme="minorEastAsia" w:eastAsiaTheme="minorEastAsia" w:hAnsiTheme="minorEastAsia"/>
        </w:rPr>
        <w:t>3</w:t>
      </w:r>
      <w:r w:rsidR="006823CA" w:rsidRPr="00721084">
        <w:rPr>
          <w:rFonts w:asciiTheme="minorEastAsia" w:eastAsiaTheme="minorEastAsia" w:hAnsiTheme="minorEastAsia" w:hint="eastAsia"/>
        </w:rPr>
        <w:t>款的情形时，对已接受的赎回申请可延期支付赎回款项，最长不超过支付时间</w:t>
      </w:r>
      <w:r w:rsidR="006823CA" w:rsidRPr="00721084">
        <w:rPr>
          <w:rFonts w:asciiTheme="minorEastAsia" w:eastAsiaTheme="minorEastAsia" w:hAnsiTheme="minorEastAsia"/>
        </w:rPr>
        <w:t>20</w:t>
      </w:r>
      <w:r w:rsidR="006823CA" w:rsidRPr="00721084">
        <w:rPr>
          <w:rFonts w:asciiTheme="minorEastAsia" w:eastAsiaTheme="minorEastAsia" w:hAnsiTheme="minorEastAsia" w:hint="eastAsia"/>
        </w:rPr>
        <w:t>个工作日，并在</w:t>
      </w:r>
      <w:r w:rsidR="000964B0" w:rsidRPr="00721084">
        <w:rPr>
          <w:rFonts w:asciiTheme="minorEastAsia" w:eastAsiaTheme="minorEastAsia" w:hAnsiTheme="minorEastAsia" w:hint="eastAsia"/>
        </w:rPr>
        <w:t>指定媒介</w:t>
      </w:r>
      <w:r w:rsidR="006823CA" w:rsidRPr="00721084">
        <w:rPr>
          <w:rFonts w:asciiTheme="minorEastAsia" w:eastAsiaTheme="minorEastAsia" w:hAnsiTheme="minorEastAsia" w:hint="eastAsia"/>
        </w:rPr>
        <w:t>公告。投资者在申请赎回时可事先选择将当日可能未获受理部分予以撤销。</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暂停基金的赎回，基金管理人应及时在</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刊登暂停赎回公告。</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在暂停赎回的情况消除时，基金管理人应及时恢复赎回业务的办理，并依照有关规定在</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公告。</w:t>
      </w:r>
    </w:p>
    <w:p w:rsidR="006823CA" w:rsidRPr="00721084" w:rsidRDefault="00756F9A" w:rsidP="00CE3F81">
      <w:pPr>
        <w:pStyle w:val="2"/>
        <w:snapToGrid w:val="0"/>
        <w:spacing w:beforeLines="0" w:afterLines="0" w:line="360" w:lineRule="auto"/>
        <w:ind w:firstLine="560"/>
        <w:rPr>
          <w:rFonts w:asciiTheme="minorEastAsia" w:eastAsiaTheme="minorEastAsia" w:hAnsiTheme="minorEastAsia"/>
          <w:b w:val="0"/>
        </w:rPr>
      </w:pPr>
      <w:bookmarkStart w:id="135" w:name="_Toc44351098"/>
      <w:r w:rsidRPr="00721084">
        <w:rPr>
          <w:rFonts w:asciiTheme="minorEastAsia" w:eastAsiaTheme="minorEastAsia" w:hAnsiTheme="minorEastAsia" w:hint="eastAsia"/>
          <w:b w:val="0"/>
        </w:rPr>
        <w:t>十二</w:t>
      </w:r>
      <w:r w:rsidR="00581D5A" w:rsidRPr="00721084">
        <w:rPr>
          <w:rFonts w:asciiTheme="minorEastAsia" w:eastAsiaTheme="minorEastAsia" w:hAnsiTheme="minorEastAsia" w:hint="eastAsia"/>
          <w:b w:val="0"/>
        </w:rPr>
        <w:t>、</w:t>
      </w:r>
      <w:r w:rsidR="006823CA" w:rsidRPr="00721084">
        <w:rPr>
          <w:rFonts w:asciiTheme="minorEastAsia" w:eastAsiaTheme="minorEastAsia" w:hAnsiTheme="minorEastAsia" w:hint="eastAsia"/>
          <w:b w:val="0"/>
        </w:rPr>
        <w:t>其他暂停申购和赎回的情形及处理方式</w:t>
      </w:r>
      <w:bookmarkEnd w:id="135"/>
    </w:p>
    <w:p w:rsidR="006823CA" w:rsidRPr="00721084" w:rsidRDefault="006823CA"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发生《基金合同》或《招募说明书》中未予载明的事项，但基金管理人有正当理由认为需要暂停基金申购、赎回的，可以经届时有效的合法程序宣布暂停接受投资者的申购、赎回申请。</w:t>
      </w:r>
    </w:p>
    <w:p w:rsidR="006823CA" w:rsidRPr="00721084" w:rsidRDefault="00756F9A" w:rsidP="00CE3F81">
      <w:pPr>
        <w:pStyle w:val="2"/>
        <w:snapToGrid w:val="0"/>
        <w:spacing w:beforeLines="0" w:afterLines="0" w:line="360" w:lineRule="auto"/>
        <w:ind w:firstLine="560"/>
        <w:rPr>
          <w:rFonts w:asciiTheme="minorEastAsia" w:eastAsiaTheme="minorEastAsia" w:hAnsiTheme="minorEastAsia"/>
          <w:b w:val="0"/>
        </w:rPr>
      </w:pPr>
      <w:bookmarkStart w:id="136" w:name="_Toc44351099"/>
      <w:r w:rsidRPr="00721084">
        <w:rPr>
          <w:rFonts w:asciiTheme="minorEastAsia" w:eastAsiaTheme="minorEastAsia" w:hAnsiTheme="minorEastAsia" w:hint="eastAsia"/>
          <w:b w:val="0"/>
        </w:rPr>
        <w:t>十三</w:t>
      </w:r>
      <w:r w:rsidR="00581D5A" w:rsidRPr="00721084">
        <w:rPr>
          <w:rFonts w:asciiTheme="minorEastAsia" w:eastAsiaTheme="minorEastAsia" w:hAnsiTheme="minorEastAsia" w:hint="eastAsia"/>
          <w:b w:val="0"/>
        </w:rPr>
        <w:t>、</w:t>
      </w:r>
      <w:r w:rsidR="006823CA" w:rsidRPr="00721084">
        <w:rPr>
          <w:rFonts w:asciiTheme="minorEastAsia" w:eastAsiaTheme="minorEastAsia" w:hAnsiTheme="minorEastAsia" w:hint="eastAsia"/>
          <w:b w:val="0"/>
        </w:rPr>
        <w:t>重新开放申购或赎回的公告</w:t>
      </w:r>
      <w:bookmarkEnd w:id="136"/>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如果发生暂停的时间为一天，基金管理人应于重新开放日在</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刊登基金重新开放申购或赎回的公告并公布最近一个开放日的</w:t>
      </w:r>
      <w:r w:rsidRPr="00721084">
        <w:rPr>
          <w:rFonts w:asciiTheme="minorEastAsia" w:eastAsiaTheme="minorEastAsia" w:hAnsiTheme="minorEastAsia" w:cs="宋体" w:hint="eastAsia"/>
          <w:kern w:val="0"/>
        </w:rPr>
        <w:t>基金份额净值</w:t>
      </w:r>
      <w:r w:rsidRPr="00721084">
        <w:rPr>
          <w:rFonts w:asciiTheme="minorEastAsia" w:eastAsiaTheme="minorEastAsia" w:hAnsiTheme="minorEastAsia" w:hint="eastAsia"/>
        </w:rPr>
        <w:t>。</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如果发生暂停的时间超过一天但少于两周，暂停结束基金重新开放申购或赎回时，基金管理人应提前在</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刊登基金重新开放申购或赎回的公告，并在重新开始办理申购或赎回的开放日公告最近一个开放日的</w:t>
      </w:r>
      <w:r w:rsidRPr="00721084">
        <w:rPr>
          <w:rFonts w:asciiTheme="minorEastAsia" w:eastAsiaTheme="minorEastAsia" w:hAnsiTheme="minorEastAsia" w:cs="宋体" w:hint="eastAsia"/>
          <w:kern w:val="0"/>
        </w:rPr>
        <w:t>基金份额净值</w:t>
      </w:r>
      <w:r w:rsidRPr="00721084">
        <w:rPr>
          <w:rFonts w:asciiTheme="minorEastAsia" w:eastAsiaTheme="minorEastAsia" w:hAnsiTheme="minorEastAsia" w:hint="eastAsia"/>
        </w:rPr>
        <w:t>。</w:t>
      </w:r>
    </w:p>
    <w:p w:rsidR="006823CA" w:rsidRPr="00721084" w:rsidRDefault="006823CA"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如果发生暂停的时间超过两周（含两周），暂停期间，基金管理人应每两周至少重复刊登暂停公告一次</w:t>
      </w:r>
      <w:r w:rsidR="00874EFE" w:rsidRPr="00721084">
        <w:rPr>
          <w:rFonts w:asciiTheme="minorEastAsia" w:eastAsiaTheme="minorEastAsia" w:hAnsiTheme="minorEastAsia" w:hint="eastAsia"/>
        </w:rPr>
        <w:t>；</w:t>
      </w:r>
      <w:r w:rsidR="00874EFE" w:rsidRPr="00721084">
        <w:rPr>
          <w:rFonts w:asciiTheme="minorEastAsia" w:eastAsiaTheme="minorEastAsia" w:hAnsiTheme="minorEastAsia" w:cs="宋体" w:hint="eastAsia"/>
          <w:kern w:val="0"/>
          <w:szCs w:val="21"/>
        </w:rPr>
        <w:t>当连续暂停时间超过</w:t>
      </w:r>
      <w:r w:rsidR="00874EFE" w:rsidRPr="00721084">
        <w:rPr>
          <w:rFonts w:asciiTheme="minorEastAsia" w:eastAsiaTheme="minorEastAsia" w:hAnsiTheme="minorEastAsia" w:cs="Arial" w:hint="eastAsia"/>
          <w:kern w:val="0"/>
          <w:szCs w:val="21"/>
        </w:rPr>
        <w:t>四周（含四周）</w:t>
      </w:r>
      <w:r w:rsidR="00874EFE" w:rsidRPr="00721084">
        <w:rPr>
          <w:rFonts w:asciiTheme="minorEastAsia" w:eastAsiaTheme="minorEastAsia" w:hAnsiTheme="minorEastAsia" w:cs="宋体" w:hint="eastAsia"/>
          <w:kern w:val="0"/>
          <w:szCs w:val="21"/>
        </w:rPr>
        <w:t>时，可对重复刊登暂停公告的频率进行调整</w:t>
      </w:r>
      <w:r w:rsidRPr="00721084">
        <w:rPr>
          <w:rFonts w:asciiTheme="minorEastAsia" w:eastAsiaTheme="minorEastAsia" w:hAnsiTheme="minorEastAsia" w:hint="eastAsia"/>
        </w:rPr>
        <w:t>。暂停结束基金重新开放申购或赎回时，基金管理人应提前在</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刊登基金重新开放申购或赎回的公告，并在重新开放申购或赎回日公告最近一个开放日的</w:t>
      </w:r>
      <w:r w:rsidRPr="00721084">
        <w:rPr>
          <w:rFonts w:asciiTheme="minorEastAsia" w:eastAsiaTheme="minorEastAsia" w:hAnsiTheme="minorEastAsia" w:cs="宋体" w:hint="eastAsia"/>
          <w:kern w:val="0"/>
        </w:rPr>
        <w:t>基金份额净值</w:t>
      </w:r>
      <w:r w:rsidRPr="00721084">
        <w:rPr>
          <w:rFonts w:asciiTheme="minorEastAsia" w:eastAsiaTheme="minorEastAsia" w:hAnsiTheme="minorEastAsia" w:hint="eastAsia"/>
        </w:rPr>
        <w:t>。</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37" w:name="_Toc44351100"/>
      <w:r w:rsidRPr="00721084">
        <w:rPr>
          <w:rFonts w:asciiTheme="minorEastAsia" w:eastAsiaTheme="minorEastAsia" w:hAnsiTheme="minorEastAsia" w:hint="eastAsia"/>
          <w:b w:val="0"/>
        </w:rPr>
        <w:t>十</w:t>
      </w:r>
      <w:r w:rsidR="00756F9A" w:rsidRPr="00721084">
        <w:rPr>
          <w:rFonts w:asciiTheme="minorEastAsia" w:eastAsiaTheme="minorEastAsia" w:hAnsiTheme="minorEastAsia" w:hint="eastAsia"/>
          <w:b w:val="0"/>
        </w:rPr>
        <w:t>四</w:t>
      </w:r>
      <w:r w:rsidR="00581D5A"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巨额赎回的认定及处理方式</w:t>
      </w:r>
      <w:bookmarkEnd w:id="137"/>
    </w:p>
    <w:p w:rsidR="007F4A09" w:rsidRPr="00721084" w:rsidRDefault="007F4A09"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巨额赎回的认定</w:t>
      </w:r>
    </w:p>
    <w:p w:rsidR="007F4A09" w:rsidRPr="00721084" w:rsidRDefault="007F4A09"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本基金单个开放日，基金净赎回申请（赎回申请总数加上基金转换中转出申请份额总数后扣除申购申请总数及基金转换中转入申请份额总数后的余额）超过上一日基金总份额的</w:t>
      </w:r>
      <w:r w:rsidRPr="00721084">
        <w:rPr>
          <w:rFonts w:asciiTheme="minorEastAsia" w:eastAsiaTheme="minorEastAsia" w:hAnsiTheme="minorEastAsia"/>
        </w:rPr>
        <w:t>10%</w:t>
      </w:r>
      <w:r w:rsidRPr="00721084">
        <w:rPr>
          <w:rFonts w:asciiTheme="minorEastAsia" w:eastAsiaTheme="minorEastAsia" w:hAnsiTheme="minorEastAsia" w:hint="eastAsia"/>
        </w:rPr>
        <w:t>时，即认为发生了巨额赎回。</w:t>
      </w:r>
    </w:p>
    <w:p w:rsidR="007F4A09" w:rsidRPr="00721084" w:rsidRDefault="007F4A09"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巨额赎回的处理方式</w:t>
      </w:r>
    </w:p>
    <w:p w:rsidR="007F4A09" w:rsidRPr="00721084" w:rsidRDefault="007F4A09"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当出现巨额赎回时，基金管理人可以根据本基金当时的资产组合状况决定全额赎回或部分顺延赎回。</w:t>
      </w:r>
    </w:p>
    <w:p w:rsidR="007F4A09" w:rsidRPr="00721084" w:rsidRDefault="007F4A09"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rPr>
        <w:t>）</w:t>
      </w:r>
      <w:r w:rsidRPr="00721084">
        <w:rPr>
          <w:rFonts w:asciiTheme="minorEastAsia" w:eastAsiaTheme="minorEastAsia" w:hAnsiTheme="minorEastAsia" w:hint="eastAsia"/>
        </w:rPr>
        <w:t>全额赎回：当基金管理人认为有能力支付投资者的全部赎回申请时，按正常赎回程序执行。</w:t>
      </w:r>
    </w:p>
    <w:p w:rsidR="007F4A09" w:rsidRPr="00721084" w:rsidRDefault="007F4A09"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（2）部分顺延赎回：当基金管理人认为支付投资者的赎回申请有困难或认为支付投资者的赎回申请可能会对基金的资产净值造成较大波动时，基金管理人在当日接受赎回比例不低于</w:t>
      </w:r>
      <w:r w:rsidRPr="00721084">
        <w:rPr>
          <w:rFonts w:asciiTheme="minorEastAsia" w:eastAsiaTheme="minorEastAsia" w:hAnsiTheme="minorEastAsia" w:hint="eastAsia"/>
          <w:szCs w:val="21"/>
        </w:rPr>
        <w:t>上一日</w:t>
      </w:r>
      <w:r w:rsidRPr="00721084">
        <w:rPr>
          <w:rFonts w:asciiTheme="minorEastAsia" w:eastAsiaTheme="minorEastAsia" w:hAnsiTheme="minorEastAsia" w:hint="eastAsia"/>
        </w:rPr>
        <w:t>基金总份额的</w:t>
      </w:r>
      <w:r w:rsidRPr="00721084">
        <w:rPr>
          <w:rFonts w:asciiTheme="minorEastAsia" w:eastAsiaTheme="minorEastAsia" w:hAnsiTheme="minorEastAsia"/>
        </w:rPr>
        <w:t>10</w:t>
      </w:r>
      <w:r w:rsidRPr="00721084">
        <w:rPr>
          <w:rFonts w:asciiTheme="minorEastAsia" w:eastAsiaTheme="minorEastAsia" w:hAnsiTheme="minorEastAsia" w:hint="eastAsia"/>
        </w:rPr>
        <w:t>%</w:t>
      </w:r>
      <w:r w:rsidRPr="00721084">
        <w:rPr>
          <w:rFonts w:asciiTheme="minorEastAsia" w:eastAsiaTheme="minorEastAsia" w:hAnsiTheme="minorEastAsia"/>
        </w:rPr>
        <w:t>的前提下，对其余赎回申请延期予以办理。对于</w:t>
      </w:r>
      <w:r w:rsidRPr="00721084">
        <w:rPr>
          <w:rFonts w:asciiTheme="minorEastAsia" w:eastAsiaTheme="minorEastAsia" w:hAnsiTheme="minorEastAsia" w:hint="eastAsia"/>
        </w:rPr>
        <w:t>单个基金份额持有人</w:t>
      </w:r>
      <w:r w:rsidRPr="00721084">
        <w:rPr>
          <w:rFonts w:asciiTheme="minorEastAsia" w:eastAsiaTheme="minorEastAsia" w:hAnsiTheme="minorEastAsia"/>
        </w:rPr>
        <w:t>的赎回申请，应当按</w:t>
      </w:r>
      <w:r w:rsidRPr="00721084">
        <w:rPr>
          <w:rFonts w:asciiTheme="minorEastAsia" w:eastAsiaTheme="minorEastAsia" w:hAnsiTheme="minorEastAsia" w:hint="eastAsia"/>
        </w:rPr>
        <w:t>照其申请赎回份额</w:t>
      </w:r>
      <w:r w:rsidRPr="00721084">
        <w:rPr>
          <w:rFonts w:asciiTheme="minorEastAsia" w:eastAsiaTheme="minorEastAsia" w:hAnsiTheme="minorEastAsia"/>
        </w:rPr>
        <w:t>占</w:t>
      </w:r>
      <w:r w:rsidRPr="00721084">
        <w:rPr>
          <w:rFonts w:asciiTheme="minorEastAsia" w:eastAsiaTheme="minorEastAsia" w:hAnsiTheme="minorEastAsia" w:hint="eastAsia"/>
        </w:rPr>
        <w:t>当日申请</w:t>
      </w:r>
      <w:r w:rsidRPr="00721084">
        <w:rPr>
          <w:rFonts w:asciiTheme="minorEastAsia" w:eastAsiaTheme="minorEastAsia" w:hAnsiTheme="minorEastAsia"/>
        </w:rPr>
        <w:t>赎回总</w:t>
      </w:r>
      <w:r w:rsidRPr="00721084">
        <w:rPr>
          <w:rFonts w:asciiTheme="minorEastAsia" w:eastAsiaTheme="minorEastAsia" w:hAnsiTheme="minorEastAsia" w:hint="eastAsia"/>
        </w:rPr>
        <w:t>份额</w:t>
      </w:r>
      <w:r w:rsidRPr="00721084">
        <w:rPr>
          <w:rFonts w:asciiTheme="minorEastAsia" w:eastAsiaTheme="minorEastAsia" w:hAnsiTheme="minorEastAsia"/>
        </w:rPr>
        <w:t>的比例，确定</w:t>
      </w:r>
      <w:r w:rsidRPr="00721084">
        <w:rPr>
          <w:rFonts w:asciiTheme="minorEastAsia" w:eastAsiaTheme="minorEastAsia" w:hAnsiTheme="minorEastAsia" w:hint="eastAsia"/>
        </w:rPr>
        <w:t>该单个基金份额持有人</w:t>
      </w:r>
      <w:r w:rsidRPr="00721084">
        <w:rPr>
          <w:rFonts w:asciiTheme="minorEastAsia" w:eastAsiaTheme="minorEastAsia" w:hAnsiTheme="minorEastAsia"/>
        </w:rPr>
        <w:t>当日</w:t>
      </w:r>
      <w:r w:rsidRPr="00721084">
        <w:rPr>
          <w:rFonts w:asciiTheme="minorEastAsia" w:eastAsiaTheme="minorEastAsia" w:hAnsiTheme="minorEastAsia" w:hint="eastAsia"/>
        </w:rPr>
        <w:t>办理</w:t>
      </w:r>
      <w:r w:rsidRPr="00721084">
        <w:rPr>
          <w:rFonts w:asciiTheme="minorEastAsia" w:eastAsiaTheme="minorEastAsia" w:hAnsiTheme="minorEastAsia"/>
        </w:rPr>
        <w:t>的赎回份额；</w:t>
      </w:r>
      <w:r w:rsidRPr="00721084">
        <w:rPr>
          <w:rFonts w:asciiTheme="minorEastAsia" w:eastAsiaTheme="minorEastAsia" w:hAnsiTheme="minorEastAsia" w:hint="eastAsia"/>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9A3621" w:rsidRPr="00721084" w:rsidRDefault="009A3621" w:rsidP="009A3621">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若本基金发生巨额赎回且单个基金份额持有人的赎回申请超过上一开放日基金总份额1</w:t>
      </w:r>
      <w:r w:rsidRPr="00721084">
        <w:rPr>
          <w:rFonts w:asciiTheme="minorEastAsia" w:eastAsiaTheme="minorEastAsia" w:hAnsiTheme="minorEastAsia"/>
        </w:rPr>
        <w:t>0%</w:t>
      </w:r>
      <w:r w:rsidRPr="00721084">
        <w:rPr>
          <w:rFonts w:asciiTheme="minorEastAsia" w:eastAsiaTheme="minorEastAsia" w:hAnsiTheme="minorEastAsia" w:hint="eastAsia"/>
        </w:rPr>
        <w:t>的，基金管理人有权对该单个基金份额持有人超出该比例的赎回申请实施延期办理，对该单个基金份额持有人剩余赎回申请与其他账户赎回申请按前述条款处理。</w:t>
      </w:r>
    </w:p>
    <w:p w:rsidR="007F4A09" w:rsidRPr="00721084" w:rsidRDefault="007F4A09" w:rsidP="00CE3F81">
      <w:pPr>
        <w:tabs>
          <w:tab w:val="left" w:pos="5940"/>
        </w:tabs>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（3）巨额赎回的公告：当发生巨额赎回并顺延赎回时，基金管理人应在2日内通过</w:t>
      </w:r>
      <w:r w:rsidR="000964B0"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刊登公告。同时以</w:t>
      </w:r>
      <w:r w:rsidRPr="00721084">
        <w:rPr>
          <w:rFonts w:asciiTheme="minorEastAsia" w:eastAsiaTheme="minorEastAsia" w:hAnsiTheme="minorEastAsia"/>
        </w:rPr>
        <w:t>邮寄、传真</w:t>
      </w:r>
      <w:r w:rsidRPr="00721084">
        <w:rPr>
          <w:rFonts w:asciiTheme="minorEastAsia" w:eastAsiaTheme="minorEastAsia" w:hAnsiTheme="minorEastAsia" w:hint="eastAsia"/>
        </w:rPr>
        <w:t>或《招募说明书》规定的其他方式</w:t>
      </w:r>
      <w:r w:rsidRPr="00721084">
        <w:rPr>
          <w:rFonts w:asciiTheme="minorEastAsia" w:eastAsiaTheme="minorEastAsia" w:hAnsiTheme="minorEastAsia"/>
        </w:rPr>
        <w:t>通知基金份额持有人</w:t>
      </w:r>
      <w:r w:rsidRPr="00721084">
        <w:rPr>
          <w:rFonts w:asciiTheme="minorEastAsia" w:eastAsiaTheme="minorEastAsia" w:hAnsiTheme="minorEastAsia" w:hint="eastAsia"/>
        </w:rPr>
        <w:t>，并说明有关处理方法。</w:t>
      </w:r>
    </w:p>
    <w:p w:rsidR="0064594E" w:rsidRPr="00721084" w:rsidRDefault="007F4A09"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本基金连续2个开放日以上发生巨额赎回，如基金管理人认为有必要，可暂停接受赎回申请；已经接受的赎回申请可以延缓支付赎回款项，但不得超过支付时间</w:t>
      </w:r>
      <w:r w:rsidRPr="00721084">
        <w:rPr>
          <w:rFonts w:asciiTheme="minorEastAsia" w:eastAsiaTheme="minorEastAsia" w:hAnsiTheme="minorEastAsia"/>
        </w:rPr>
        <w:t>20</w:t>
      </w:r>
      <w:r w:rsidRPr="00721084">
        <w:rPr>
          <w:rFonts w:asciiTheme="minorEastAsia" w:eastAsiaTheme="minorEastAsia" w:hAnsiTheme="minorEastAsia" w:hint="eastAsia"/>
        </w:rPr>
        <w:t>个工作日，并应当在</w:t>
      </w:r>
      <w:r w:rsidR="00033207"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公告。</w:t>
      </w:r>
    </w:p>
    <w:p w:rsidR="0064594E" w:rsidRPr="00721084" w:rsidRDefault="0074728F" w:rsidP="00CE3F81">
      <w:pPr>
        <w:pStyle w:val="2"/>
        <w:snapToGrid w:val="0"/>
        <w:spacing w:beforeLines="0" w:afterLines="0" w:line="360" w:lineRule="auto"/>
        <w:ind w:firstLine="560"/>
        <w:rPr>
          <w:rFonts w:asciiTheme="minorEastAsia" w:eastAsiaTheme="minorEastAsia" w:hAnsiTheme="minorEastAsia"/>
          <w:b w:val="0"/>
        </w:rPr>
      </w:pPr>
      <w:bookmarkStart w:id="138" w:name="_Toc79392618"/>
      <w:bookmarkStart w:id="139" w:name="_Toc15118274"/>
      <w:bookmarkStart w:id="140" w:name="_Toc59441259"/>
      <w:bookmarkStart w:id="141" w:name="_Toc44351101"/>
      <w:r w:rsidRPr="00721084">
        <w:rPr>
          <w:rFonts w:asciiTheme="minorEastAsia" w:eastAsiaTheme="minorEastAsia" w:hAnsiTheme="minorEastAsia" w:hint="eastAsia"/>
          <w:b w:val="0"/>
        </w:rPr>
        <w:t>十五</w:t>
      </w:r>
      <w:r w:rsidR="00581D5A" w:rsidRPr="00721084">
        <w:rPr>
          <w:rFonts w:asciiTheme="minorEastAsia" w:eastAsiaTheme="minorEastAsia" w:hAnsiTheme="minorEastAsia" w:hint="eastAsia"/>
          <w:b w:val="0"/>
        </w:rPr>
        <w:t>、</w:t>
      </w:r>
      <w:r w:rsidR="0064594E" w:rsidRPr="00721084">
        <w:rPr>
          <w:rFonts w:asciiTheme="minorEastAsia" w:eastAsiaTheme="minorEastAsia" w:hAnsiTheme="minorEastAsia" w:hint="eastAsia"/>
          <w:b w:val="0"/>
        </w:rPr>
        <w:t>基金的转换</w:t>
      </w:r>
      <w:bookmarkEnd w:id="138"/>
      <w:bookmarkEnd w:id="139"/>
      <w:bookmarkEnd w:id="140"/>
      <w:bookmarkEnd w:id="141"/>
    </w:p>
    <w:p w:rsidR="00E27BC1" w:rsidRPr="00721084" w:rsidRDefault="006A1D96" w:rsidP="00CE3F81">
      <w:pPr>
        <w:snapToGrid w:val="0"/>
        <w:spacing w:line="360" w:lineRule="auto"/>
        <w:ind w:firstLineChars="200" w:firstLine="420"/>
        <w:rPr>
          <w:rFonts w:asciiTheme="minorEastAsia" w:eastAsiaTheme="minorEastAsia" w:hAnsiTheme="minorEastAsia"/>
          <w:szCs w:val="21"/>
        </w:rPr>
      </w:pPr>
      <w:bookmarkStart w:id="142" w:name="_Toc318444120"/>
      <w:bookmarkStart w:id="143" w:name="_Toc252976144"/>
      <w:r w:rsidRPr="00721084">
        <w:rPr>
          <w:rFonts w:asciiTheme="minorEastAsia" w:eastAsiaTheme="minorEastAsia" w:hAnsiTheme="minorEastAsia" w:hint="eastAsia"/>
          <w:szCs w:val="21"/>
        </w:rPr>
        <w:t>1、</w:t>
      </w:r>
      <w:r w:rsidR="00E27BC1" w:rsidRPr="00721084">
        <w:rPr>
          <w:rFonts w:asciiTheme="minorEastAsia" w:eastAsiaTheme="minorEastAsia" w:hAnsiTheme="minorEastAsia" w:hint="eastAsia"/>
          <w:szCs w:val="21"/>
        </w:rPr>
        <w:t>基金转换开始日及时间</w:t>
      </w:r>
      <w:bookmarkEnd w:id="142"/>
      <w:bookmarkEnd w:id="143"/>
    </w:p>
    <w:p w:rsidR="00E27BC1" w:rsidRPr="00721084" w:rsidRDefault="00E27BC1"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rPr>
        <w:lastRenderedPageBreak/>
        <w:t>本基金已于2015年11月</w:t>
      </w:r>
      <w:r w:rsidR="00D47EAD" w:rsidRPr="00721084">
        <w:rPr>
          <w:rFonts w:asciiTheme="minorEastAsia" w:eastAsiaTheme="minorEastAsia" w:hAnsiTheme="minorEastAsia" w:hint="eastAsia"/>
        </w:rPr>
        <w:t>19</w:t>
      </w:r>
      <w:r w:rsidRPr="00721084">
        <w:rPr>
          <w:rFonts w:asciiTheme="minorEastAsia" w:eastAsiaTheme="minorEastAsia" w:hAnsiTheme="minorEastAsia" w:hint="eastAsia"/>
        </w:rPr>
        <w:t>日开始</w:t>
      </w:r>
      <w:r w:rsidR="009E0C7B" w:rsidRPr="00721084">
        <w:rPr>
          <w:rFonts w:asciiTheme="minorEastAsia" w:eastAsiaTheme="minorEastAsia" w:hAnsiTheme="minorEastAsia" w:hint="eastAsia"/>
        </w:rPr>
        <w:t>在本公司直销机构</w:t>
      </w:r>
      <w:r w:rsidRPr="00721084">
        <w:rPr>
          <w:rFonts w:asciiTheme="minorEastAsia" w:eastAsiaTheme="minorEastAsia" w:hAnsiTheme="minorEastAsia" w:hint="eastAsia"/>
        </w:rPr>
        <w:t>办理与易方达天天理财货币市场</w:t>
      </w:r>
      <w:r w:rsidRPr="00721084">
        <w:rPr>
          <w:rFonts w:asciiTheme="minorEastAsia" w:eastAsiaTheme="minorEastAsia" w:hAnsiTheme="minorEastAsia" w:hint="eastAsia"/>
          <w:szCs w:val="21"/>
        </w:rPr>
        <w:t>基金转换</w:t>
      </w:r>
      <w:r w:rsidRPr="00721084">
        <w:rPr>
          <w:rFonts w:asciiTheme="minorEastAsia" w:eastAsiaTheme="minorEastAsia" w:hAnsiTheme="minorEastAsia" w:hint="eastAsia"/>
        </w:rPr>
        <w:t>业务，具体实施办法参见相关公告。</w:t>
      </w:r>
    </w:p>
    <w:p w:rsidR="00E27BC1" w:rsidRPr="00721084" w:rsidRDefault="00E27BC1" w:rsidP="00CE3F81">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本基金转换的开放日为上海证券交易所、深圳证券交易所以及境外主要投资场所同时开放的每个工作日，但基金管理人根据法律法规、中国证监会的要求或本基金合同的规定公告暂停转换时除外。</w:t>
      </w:r>
    </w:p>
    <w:p w:rsidR="00E27BC1" w:rsidRPr="00721084" w:rsidRDefault="00E27BC1" w:rsidP="00CE3F81">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基金管理人可与销售机构约定，在开放日的其他时间受理投资者的转换申请，但是对于投资者在非开放时间提出的转换申请，其基金份额转换价格为下次办理基金份额转换时间所在开放日的价格。</w:t>
      </w:r>
    </w:p>
    <w:p w:rsidR="00E27BC1" w:rsidRPr="00721084" w:rsidRDefault="00E27BC1"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rPr>
        <w:t>若本基金的主要交易市场发生变化或交易所交易时间更改或实际情况需要，基金管理人可对转换的开放日和时间进行调整，但应在实施日前依照《证券投资基金信息披露管理办法》（以下简称“《信息披露办法》”）的有关规定在指定媒介上公告。</w:t>
      </w:r>
    </w:p>
    <w:p w:rsidR="00E27BC1" w:rsidRPr="00721084" w:rsidRDefault="006A1D96" w:rsidP="00CE3F81">
      <w:pPr>
        <w:snapToGrid w:val="0"/>
        <w:spacing w:line="360" w:lineRule="auto"/>
        <w:ind w:firstLineChars="200" w:firstLine="420"/>
        <w:rPr>
          <w:rFonts w:asciiTheme="minorEastAsia" w:eastAsiaTheme="minorEastAsia" w:hAnsiTheme="minorEastAsia"/>
          <w:szCs w:val="21"/>
        </w:rPr>
      </w:pPr>
      <w:bookmarkStart w:id="144" w:name="_Toc318444121"/>
      <w:bookmarkStart w:id="145" w:name="_Toc252976145"/>
      <w:r w:rsidRPr="00721084">
        <w:rPr>
          <w:rFonts w:asciiTheme="minorEastAsia" w:eastAsiaTheme="minorEastAsia" w:hAnsiTheme="minorEastAsia" w:hint="eastAsia"/>
          <w:szCs w:val="21"/>
        </w:rPr>
        <w:t>2、</w:t>
      </w:r>
      <w:r w:rsidR="00E27BC1" w:rsidRPr="00721084">
        <w:rPr>
          <w:rFonts w:asciiTheme="minorEastAsia" w:eastAsiaTheme="minorEastAsia" w:hAnsiTheme="minorEastAsia" w:hint="eastAsia"/>
          <w:szCs w:val="21"/>
        </w:rPr>
        <w:t>基金转换的原则</w:t>
      </w:r>
      <w:bookmarkEnd w:id="144"/>
      <w:bookmarkEnd w:id="145"/>
    </w:p>
    <w:p w:rsidR="00D54B99" w:rsidRPr="00721084" w:rsidRDefault="009037E5"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基金转换是指基金份额持有人按照《基金合同》和基金管理人届时有效公告规定的条件，申请将其持有基金管理人管理的、某一基金的基金份额转为基金管理人管理的、且由同一注册登记机构办理注册登记的其他基金基金份额的行为</w:t>
      </w:r>
      <w:r w:rsidR="00D54B99" w:rsidRPr="00721084">
        <w:rPr>
          <w:rFonts w:asciiTheme="minorEastAsia" w:eastAsiaTheme="minorEastAsia" w:hAnsiTheme="minorEastAsia" w:hint="eastAsia"/>
        </w:rPr>
        <w:t>。</w:t>
      </w:r>
    </w:p>
    <w:p w:rsidR="00D54B99"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（1）</w:t>
      </w:r>
      <w:r w:rsidR="009037E5" w:rsidRPr="00721084">
        <w:rPr>
          <w:rFonts w:asciiTheme="minorEastAsia" w:eastAsiaTheme="minorEastAsia" w:hAnsiTheme="minorEastAsia" w:hint="eastAsia"/>
        </w:rPr>
        <w:t>基金转换只能在同一销售机构进行。转换的两只基金必须都是该销售机构销售的同一基金管理人管理的、在同一注册登记机构注册登记的基金</w:t>
      </w:r>
      <w:r w:rsidR="00D54B99" w:rsidRPr="00721084">
        <w:rPr>
          <w:rFonts w:asciiTheme="minorEastAsia" w:eastAsiaTheme="minorEastAsia" w:hAnsiTheme="minorEastAsia" w:hint="eastAsia"/>
        </w:rPr>
        <w:t>。</w:t>
      </w:r>
    </w:p>
    <w:p w:rsidR="00D54B99"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（2）</w:t>
      </w:r>
      <w:r w:rsidR="009037E5" w:rsidRPr="00721084">
        <w:rPr>
          <w:rFonts w:asciiTheme="minorEastAsia" w:eastAsiaTheme="minorEastAsia" w:hAnsiTheme="minorEastAsia" w:hint="eastAsia"/>
        </w:rPr>
        <w:t>基金转换以份额为单位进行申请。投资者可以发起多次基金转换业务，基金转换费用按每笔申请单独计算。转换费用以人民币元为单位，计算结果按照四舍五入方法，保留小数点后两位</w:t>
      </w:r>
      <w:r w:rsidR="00D54B99" w:rsidRPr="00721084">
        <w:rPr>
          <w:rFonts w:asciiTheme="minorEastAsia" w:eastAsiaTheme="minorEastAsia" w:hAnsiTheme="minorEastAsia" w:hint="eastAsia"/>
        </w:rPr>
        <w:t>。</w:t>
      </w:r>
    </w:p>
    <w:p w:rsidR="00D54B99"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（3）</w:t>
      </w:r>
      <w:r w:rsidR="009037E5" w:rsidRPr="00721084">
        <w:rPr>
          <w:rFonts w:asciiTheme="minorEastAsia" w:eastAsiaTheme="minorEastAsia" w:hAnsiTheme="minorEastAsia" w:hint="eastAsia"/>
        </w:rPr>
        <w:t>基金转换采取未知价法，即基金的转换价格以转换申请受理当日各转出、转入基金的份额净值为基准进行计算。投资者T日申请基金转换成功后（包括本基金为转出基金、易方达天天理财货币市场基金为转入基金，或者易方达天天理财货币市场基金为转出基金，本基金为转入基金），转换转出和转换转入均按照T日基金份额净值计算,注册登记机构将在T+2工作日为投资者办理减少转出基金份额、增加转入基金份额的权益登记手续</w:t>
      </w:r>
      <w:r w:rsidR="00D54B99" w:rsidRPr="00721084">
        <w:rPr>
          <w:rFonts w:asciiTheme="minorEastAsia" w:eastAsiaTheme="minorEastAsia" w:hAnsiTheme="minorEastAsia" w:hint="eastAsia"/>
        </w:rPr>
        <w:t>。</w:t>
      </w:r>
    </w:p>
    <w:p w:rsidR="00D54B99"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（4）</w:t>
      </w:r>
      <w:r w:rsidR="00D54B99" w:rsidRPr="00721084">
        <w:rPr>
          <w:rFonts w:asciiTheme="minorEastAsia" w:eastAsiaTheme="minorEastAsia" w:hAnsiTheme="minorEastAsia" w:hint="eastAsia"/>
        </w:rPr>
        <w:t>基金转换后，转入的基金份额的持有期将自转入的基金份额被确认之日起重新开始计算。</w:t>
      </w:r>
    </w:p>
    <w:p w:rsidR="00D54B99"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（5）</w:t>
      </w:r>
      <w:r w:rsidR="00D54B99" w:rsidRPr="00721084">
        <w:rPr>
          <w:rFonts w:asciiTheme="minorEastAsia" w:eastAsiaTheme="minorEastAsia" w:hAnsiTheme="minorEastAsia" w:hint="eastAsia"/>
        </w:rPr>
        <w:t>投资者办理基金转换业务时，转出方的基金必须处于可赎回状态，转入方的基金必须处于可申购状态。</w:t>
      </w:r>
    </w:p>
    <w:p w:rsidR="00D54B99"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（6）</w:t>
      </w:r>
      <w:r w:rsidR="00D54B99" w:rsidRPr="00721084">
        <w:rPr>
          <w:rFonts w:asciiTheme="minorEastAsia" w:eastAsiaTheme="minorEastAsia" w:hAnsiTheme="minorEastAsia" w:hint="eastAsia"/>
        </w:rPr>
        <w:t>转换业务遵循“先进先出”的业务规则，即份额注册日期在前的先转换出，份额注册日期在后的后转换出。</w:t>
      </w:r>
    </w:p>
    <w:p w:rsidR="00D54B99"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（7）</w:t>
      </w:r>
      <w:r w:rsidR="009037E5" w:rsidRPr="00721084">
        <w:rPr>
          <w:rFonts w:asciiTheme="minorEastAsia" w:eastAsiaTheme="minorEastAsia" w:hAnsiTheme="minorEastAsia" w:hint="eastAsia"/>
        </w:rPr>
        <w:t>具体份额以注册登记机构的记录为准，转入份额的计算结果保留位数依照各基金《更新的招募说明书》的规定。其中转入本基金的份额计算结果保留到小数点后两位，小数点后两位以后的部分四舍五入，由此误差产生的损失由基金财产承担，产生的收益归基金财</w:t>
      </w:r>
      <w:r w:rsidR="009037E5" w:rsidRPr="00721084">
        <w:rPr>
          <w:rFonts w:asciiTheme="minorEastAsia" w:eastAsiaTheme="minorEastAsia" w:hAnsiTheme="minorEastAsia" w:hint="eastAsia"/>
        </w:rPr>
        <w:lastRenderedPageBreak/>
        <w:t>产所有</w:t>
      </w:r>
      <w:r w:rsidR="00D54B99" w:rsidRPr="00721084">
        <w:rPr>
          <w:rFonts w:asciiTheme="minorEastAsia" w:eastAsiaTheme="minorEastAsia" w:hAnsiTheme="minorEastAsia" w:hint="eastAsia"/>
        </w:rPr>
        <w:t>。</w:t>
      </w:r>
    </w:p>
    <w:p w:rsidR="00D54B99"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（8）</w:t>
      </w:r>
      <w:r w:rsidR="00D54B99" w:rsidRPr="00721084">
        <w:rPr>
          <w:rFonts w:asciiTheme="minorEastAsia" w:eastAsiaTheme="minorEastAsia" w:hAnsiTheme="minorEastAsia" w:hint="eastAsia"/>
        </w:rPr>
        <w:t>当日的转换申请可以在基金管理人规定的时间以内撤销。</w:t>
      </w:r>
    </w:p>
    <w:p w:rsidR="00D54B99"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（9）</w:t>
      </w:r>
      <w:r w:rsidR="009037E5" w:rsidRPr="00721084">
        <w:rPr>
          <w:rFonts w:asciiTheme="minorEastAsia" w:eastAsiaTheme="minorEastAsia" w:hAnsiTheme="minorEastAsia" w:hint="eastAsia"/>
        </w:rPr>
        <w:t>当投资者T日申请将易方达天天理财货币市场基金某类份额全部转换转出到本基金时，注册登记机构在T+2工作日转换转出确认时将该类基金份额的全部未付收益一并确认，投资者自T+2工作日起不再享有易方达天天理财货币市场基金该类份额对应的收益。当投资者T日申请将本基金转换转出到易方达天天理财货币市场基金时，投资者自T+2工作日起享有转换转入的易方达天天理财货币市场基金份额对应的收益</w:t>
      </w:r>
      <w:r w:rsidR="00D47EAD" w:rsidRPr="00721084">
        <w:rPr>
          <w:rFonts w:asciiTheme="minorEastAsia" w:eastAsiaTheme="minorEastAsia" w:hAnsiTheme="minorEastAsia" w:hint="eastAsia"/>
        </w:rPr>
        <w:t>。</w:t>
      </w:r>
    </w:p>
    <w:p w:rsidR="00BB1D3C" w:rsidRPr="00721084" w:rsidRDefault="006A1D96" w:rsidP="006A1D96">
      <w:pPr>
        <w:pStyle w:val="af0"/>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（10）</w:t>
      </w:r>
      <w:r w:rsidR="009037E5" w:rsidRPr="00721084">
        <w:rPr>
          <w:rFonts w:asciiTheme="minorEastAsia" w:eastAsiaTheme="minorEastAsia" w:hAnsiTheme="minorEastAsia" w:hint="eastAsia"/>
        </w:rPr>
        <w:t>当投资者申请将本基金转换转出到易方达天天理财货币市场基金时，也必须同时符合易方达天天理财货币市场基金大额申购限制或暂停转换转入等相关公告的规定。如果投资者在T日申请将本基金转换转出到易方达天天理财货币市场基金某类份额，同时在T+1日提交该类份额的申购或转换转入申请，则注册登记机构在T+2日确认时优先确认申请日期在前的申请（即优先确认T日本基金转换转出到易方达天天理财货币市场基金的申请）。如果投资者在同一申请日期提交申购或者转换转入易方达天天理财货币市场基金的申请，则注册登记机构按照易方达天天理财货币市场基金相关公告的数额限制规定进行确认</w:t>
      </w:r>
      <w:r w:rsidR="00D47EAD" w:rsidRPr="00721084">
        <w:rPr>
          <w:rFonts w:asciiTheme="minorEastAsia" w:eastAsiaTheme="minorEastAsia" w:hAnsiTheme="minorEastAsia" w:hint="eastAsia"/>
        </w:rPr>
        <w:t>。</w:t>
      </w:r>
    </w:p>
    <w:p w:rsidR="00E27BC1" w:rsidRPr="00721084" w:rsidRDefault="006A1D96" w:rsidP="00CE3F81">
      <w:pPr>
        <w:snapToGrid w:val="0"/>
        <w:spacing w:line="360" w:lineRule="auto"/>
        <w:ind w:firstLineChars="200" w:firstLine="420"/>
        <w:rPr>
          <w:rFonts w:asciiTheme="minorEastAsia" w:eastAsiaTheme="minorEastAsia" w:hAnsiTheme="minorEastAsia"/>
          <w:szCs w:val="21"/>
        </w:rPr>
      </w:pPr>
      <w:bookmarkStart w:id="146" w:name="_Toc318444122"/>
      <w:bookmarkStart w:id="147" w:name="_Toc252976146"/>
      <w:r w:rsidRPr="00721084">
        <w:rPr>
          <w:rFonts w:asciiTheme="minorEastAsia" w:eastAsiaTheme="minorEastAsia" w:hAnsiTheme="minorEastAsia" w:hint="eastAsia"/>
          <w:szCs w:val="21"/>
        </w:rPr>
        <w:t>3、</w:t>
      </w:r>
      <w:r w:rsidR="00E27BC1" w:rsidRPr="00721084">
        <w:rPr>
          <w:rFonts w:asciiTheme="minorEastAsia" w:eastAsiaTheme="minorEastAsia" w:hAnsiTheme="minorEastAsia" w:hint="eastAsia"/>
          <w:szCs w:val="21"/>
        </w:rPr>
        <w:t>基金转换的程序</w:t>
      </w:r>
      <w:bookmarkEnd w:id="146"/>
      <w:bookmarkEnd w:id="147"/>
    </w:p>
    <w:p w:rsidR="00E27BC1" w:rsidRPr="00721084" w:rsidRDefault="00E27BC1"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基金转换的申请方式</w:t>
      </w:r>
    </w:p>
    <w:p w:rsidR="00E27BC1" w:rsidRPr="00721084" w:rsidRDefault="00E27BC1"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基金投资者必须根据基金管理人和基金销售机构规定的手续，在开放日的业务办理时间提出转换的申请。</w:t>
      </w:r>
    </w:p>
    <w:p w:rsidR="00E27BC1" w:rsidRPr="00721084" w:rsidRDefault="00E27BC1"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提交基金转换申请时，账户中</w:t>
      </w:r>
      <w:r w:rsidRPr="00721084">
        <w:rPr>
          <w:rFonts w:asciiTheme="minorEastAsia" w:eastAsiaTheme="minorEastAsia" w:hAnsiTheme="minorEastAsia" w:hint="eastAsia"/>
        </w:rPr>
        <w:t>必须有足够可用的转出基金份额余额。</w:t>
      </w:r>
    </w:p>
    <w:p w:rsidR="00E27BC1" w:rsidRPr="00721084" w:rsidRDefault="006A1D96" w:rsidP="00CE3F81">
      <w:pPr>
        <w:snapToGrid w:val="0"/>
        <w:spacing w:line="360" w:lineRule="auto"/>
        <w:ind w:firstLineChars="200" w:firstLine="420"/>
        <w:rPr>
          <w:rFonts w:asciiTheme="minorEastAsia" w:eastAsiaTheme="minorEastAsia" w:hAnsiTheme="minorEastAsia"/>
          <w:szCs w:val="21"/>
        </w:rPr>
      </w:pPr>
      <w:bookmarkStart w:id="148" w:name="_Toc318444123"/>
      <w:bookmarkStart w:id="149" w:name="_Toc252976147"/>
      <w:r w:rsidRPr="00721084">
        <w:rPr>
          <w:rFonts w:asciiTheme="minorEastAsia" w:eastAsiaTheme="minorEastAsia" w:hAnsiTheme="minorEastAsia" w:hint="eastAsia"/>
          <w:szCs w:val="21"/>
        </w:rPr>
        <w:t>4、</w:t>
      </w:r>
      <w:r w:rsidR="00E27BC1" w:rsidRPr="00721084">
        <w:rPr>
          <w:rFonts w:asciiTheme="minorEastAsia" w:eastAsiaTheme="minorEastAsia" w:hAnsiTheme="minorEastAsia" w:hint="eastAsia"/>
          <w:szCs w:val="21"/>
        </w:rPr>
        <w:t>基金转换的数额限制</w:t>
      </w:r>
      <w:bookmarkEnd w:id="148"/>
      <w:bookmarkEnd w:id="149"/>
    </w:p>
    <w:p w:rsidR="00E27BC1" w:rsidRPr="00721084" w:rsidRDefault="00D54B99" w:rsidP="00CE3F81">
      <w:pPr>
        <w:autoSpaceDE w:val="0"/>
        <w:autoSpaceDN w:val="0"/>
        <w:snapToGrid w:val="0"/>
        <w:spacing w:line="360" w:lineRule="auto"/>
        <w:ind w:firstLine="480"/>
        <w:textAlignment w:val="bottom"/>
        <w:rPr>
          <w:rFonts w:asciiTheme="minorEastAsia" w:eastAsiaTheme="minorEastAsia" w:hAnsiTheme="minorEastAsia"/>
          <w:szCs w:val="21"/>
        </w:rPr>
      </w:pPr>
      <w:r w:rsidRPr="00721084">
        <w:rPr>
          <w:rFonts w:asciiTheme="minorEastAsia" w:eastAsiaTheme="minorEastAsia" w:hAnsiTheme="minorEastAsia" w:hint="eastAsia"/>
        </w:rPr>
        <w:t>基金份额持有人可将其全部或部分基金份额转换成另一只基金，本基金单笔转出申请不得少于1份（如该账户在该销售机构托管的该基金余额不足1份，则必须一次性赎回或转出该基金全部份额）；若某笔转换导致投资者在</w:t>
      </w:r>
      <w:r w:rsidR="00C7734A" w:rsidRPr="00721084">
        <w:rPr>
          <w:rFonts w:asciiTheme="minorEastAsia" w:eastAsiaTheme="minorEastAsia" w:hAnsiTheme="minorEastAsia" w:hint="eastAsia"/>
        </w:rPr>
        <w:t>该</w:t>
      </w:r>
      <w:r w:rsidRPr="00721084">
        <w:rPr>
          <w:rFonts w:asciiTheme="minorEastAsia" w:eastAsiaTheme="minorEastAsia" w:hAnsiTheme="minorEastAsia" w:hint="eastAsia"/>
        </w:rPr>
        <w:t>销售机构托管的该基金余额不足1份时，基金管理人有权将投资者在该销售机构托管的该基金剩余份额一次性全部赎回。</w:t>
      </w:r>
    </w:p>
    <w:p w:rsidR="00E27BC1" w:rsidRPr="00721084" w:rsidRDefault="00E27BC1" w:rsidP="00CE3F81">
      <w:pPr>
        <w:pStyle w:val="ac"/>
        <w:snapToGrid w:val="0"/>
        <w:spacing w:after="0"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基金管理人可以根据市场情况在不违</w:t>
      </w:r>
      <w:r w:rsidR="00D54B99" w:rsidRPr="00721084">
        <w:rPr>
          <w:rFonts w:asciiTheme="minorEastAsia" w:eastAsiaTheme="minorEastAsia" w:hAnsiTheme="minorEastAsia" w:hint="eastAsia"/>
          <w:szCs w:val="21"/>
        </w:rPr>
        <w:t>反</w:t>
      </w:r>
      <w:r w:rsidRPr="00721084">
        <w:rPr>
          <w:rFonts w:asciiTheme="minorEastAsia" w:eastAsiaTheme="minorEastAsia" w:hAnsiTheme="minorEastAsia" w:hint="eastAsia"/>
          <w:szCs w:val="21"/>
        </w:rPr>
        <w:t>有关法律法规和基金合同的规定之前提下调整上述基金转</w:t>
      </w:r>
      <w:r w:rsidR="00D54B99" w:rsidRPr="00721084">
        <w:rPr>
          <w:rFonts w:asciiTheme="minorEastAsia" w:eastAsiaTheme="minorEastAsia" w:hAnsiTheme="minorEastAsia" w:hint="eastAsia"/>
          <w:szCs w:val="21"/>
        </w:rPr>
        <w:t>换的程序及有关限制，但应在调整生效前在至少一种中国证监会指定的媒介</w:t>
      </w:r>
      <w:r w:rsidRPr="00721084">
        <w:rPr>
          <w:rFonts w:asciiTheme="minorEastAsia" w:eastAsiaTheme="minorEastAsia" w:hAnsiTheme="minorEastAsia" w:hint="eastAsia"/>
          <w:szCs w:val="21"/>
        </w:rPr>
        <w:t>上予以公告。</w:t>
      </w:r>
    </w:p>
    <w:p w:rsidR="00E27BC1" w:rsidRPr="00721084" w:rsidRDefault="006A1D96" w:rsidP="00CE3F81">
      <w:pPr>
        <w:snapToGrid w:val="0"/>
        <w:spacing w:line="360" w:lineRule="auto"/>
        <w:ind w:firstLineChars="200" w:firstLine="420"/>
        <w:rPr>
          <w:rFonts w:asciiTheme="minorEastAsia" w:eastAsiaTheme="minorEastAsia" w:hAnsiTheme="minorEastAsia"/>
          <w:szCs w:val="21"/>
        </w:rPr>
      </w:pPr>
      <w:bookmarkStart w:id="150" w:name="_Toc318444124"/>
      <w:bookmarkStart w:id="151" w:name="_Toc252976148"/>
      <w:bookmarkStart w:id="152" w:name="_Toc87367293"/>
      <w:r w:rsidRPr="00721084">
        <w:rPr>
          <w:rFonts w:asciiTheme="minorEastAsia" w:eastAsiaTheme="minorEastAsia" w:hAnsiTheme="minorEastAsia" w:hint="eastAsia"/>
          <w:szCs w:val="21"/>
        </w:rPr>
        <w:t>5、</w:t>
      </w:r>
      <w:r w:rsidR="00E27BC1" w:rsidRPr="00721084">
        <w:rPr>
          <w:rFonts w:asciiTheme="minorEastAsia" w:eastAsiaTheme="minorEastAsia" w:hAnsiTheme="minorEastAsia" w:hint="eastAsia"/>
          <w:szCs w:val="21"/>
        </w:rPr>
        <w:t>基金转换费率</w:t>
      </w:r>
      <w:bookmarkEnd w:id="150"/>
      <w:bookmarkEnd w:id="151"/>
      <w:bookmarkEnd w:id="152"/>
    </w:p>
    <w:p w:rsidR="00E27BC1" w:rsidRPr="00721084" w:rsidRDefault="00E27BC1" w:rsidP="00CE3F81">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721084">
        <w:rPr>
          <w:rFonts w:asciiTheme="minorEastAsia" w:eastAsiaTheme="minorEastAsia" w:hAnsiTheme="minorEastAsia" w:hint="eastAsia"/>
          <w:szCs w:val="21"/>
        </w:rPr>
        <w:t>基金转换费用由转出基金赎回费用和基金申购补差费用构成，其中转出基金赎回费按照</w:t>
      </w:r>
      <w:r w:rsidR="00764FB0" w:rsidRPr="00721084">
        <w:rPr>
          <w:rFonts w:asciiTheme="minorEastAsia" w:eastAsiaTheme="minorEastAsia" w:hAnsiTheme="minorEastAsia" w:hint="eastAsia"/>
          <w:szCs w:val="21"/>
        </w:rPr>
        <w:t>各</w:t>
      </w:r>
      <w:r w:rsidR="00764FB0" w:rsidRPr="00721084">
        <w:rPr>
          <w:rFonts w:asciiTheme="minorEastAsia" w:eastAsiaTheme="minorEastAsia" w:hAnsiTheme="minorEastAsia"/>
          <w:szCs w:val="21"/>
        </w:rPr>
        <w:t>基金的</w:t>
      </w:r>
      <w:r w:rsidRPr="00721084">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Pr="00721084">
        <w:rPr>
          <w:rFonts w:asciiTheme="minorEastAsia" w:eastAsiaTheme="minorEastAsia" w:hAnsiTheme="minorEastAsia" w:hint="eastAsia"/>
        </w:rPr>
        <w:t>基金转换费率详见相关公告。</w:t>
      </w:r>
      <w:r w:rsidRPr="00721084">
        <w:rPr>
          <w:rFonts w:asciiTheme="minorEastAsia" w:eastAsiaTheme="minorEastAsia" w:hAnsiTheme="minorEastAsia" w:hint="eastAsia"/>
          <w:szCs w:val="21"/>
        </w:rPr>
        <w:t>转换费用以人民币元为单位，计算结果按照四舍五入方法，保留小数点后两位</w:t>
      </w:r>
      <w:r w:rsidRPr="00721084">
        <w:rPr>
          <w:rFonts w:asciiTheme="minorEastAsia" w:eastAsiaTheme="minorEastAsia" w:hAnsiTheme="minorEastAsia" w:hint="eastAsia"/>
        </w:rPr>
        <w:t>。</w:t>
      </w:r>
    </w:p>
    <w:p w:rsidR="00E27BC1" w:rsidRPr="00721084" w:rsidRDefault="00E27BC1" w:rsidP="00CE3F81">
      <w:pPr>
        <w:snapToGrid w:val="0"/>
        <w:spacing w:line="360" w:lineRule="auto"/>
        <w:ind w:firstLine="435"/>
        <w:rPr>
          <w:rFonts w:asciiTheme="minorEastAsia" w:eastAsiaTheme="minorEastAsia" w:hAnsiTheme="minorEastAsia"/>
          <w:szCs w:val="21"/>
        </w:rPr>
      </w:pPr>
      <w:r w:rsidRPr="00721084">
        <w:rPr>
          <w:rFonts w:asciiTheme="minorEastAsia" w:eastAsiaTheme="minorEastAsia" w:hAnsiTheme="minorEastAsia" w:hint="eastAsia"/>
          <w:szCs w:val="21"/>
        </w:rPr>
        <w:t>基金管理人可以根据市场情况调整基金转换费率，转换费率如发生变更，基金管理人应在调整生效前在至少一种中国证监会指定的</w:t>
      </w:r>
      <w:r w:rsidR="00D54B99" w:rsidRPr="00721084">
        <w:rPr>
          <w:rFonts w:asciiTheme="minorEastAsia" w:eastAsiaTheme="minorEastAsia" w:hAnsiTheme="minorEastAsia" w:hint="eastAsia"/>
          <w:szCs w:val="21"/>
        </w:rPr>
        <w:t>媒介</w:t>
      </w:r>
      <w:r w:rsidRPr="00721084">
        <w:rPr>
          <w:rFonts w:asciiTheme="minorEastAsia" w:eastAsiaTheme="minorEastAsia" w:hAnsiTheme="minorEastAsia" w:hint="eastAsia"/>
          <w:szCs w:val="21"/>
        </w:rPr>
        <w:t>上予以公告。</w:t>
      </w:r>
    </w:p>
    <w:p w:rsidR="00E27BC1" w:rsidRPr="00721084" w:rsidRDefault="00D54B99"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E27BC1" w:rsidRPr="00721084" w:rsidRDefault="006A1D96" w:rsidP="00CE3F81">
      <w:pPr>
        <w:snapToGrid w:val="0"/>
        <w:spacing w:line="360" w:lineRule="auto"/>
        <w:ind w:firstLineChars="200" w:firstLine="420"/>
        <w:rPr>
          <w:rFonts w:asciiTheme="minorEastAsia" w:eastAsiaTheme="minorEastAsia" w:hAnsiTheme="minorEastAsia"/>
          <w:szCs w:val="21"/>
        </w:rPr>
      </w:pPr>
      <w:bookmarkStart w:id="153" w:name="_Toc318444125"/>
      <w:bookmarkStart w:id="154" w:name="_Toc252976149"/>
      <w:r w:rsidRPr="00721084">
        <w:rPr>
          <w:rFonts w:asciiTheme="minorEastAsia" w:eastAsiaTheme="minorEastAsia" w:hAnsiTheme="minorEastAsia" w:hint="eastAsia"/>
          <w:szCs w:val="21"/>
        </w:rPr>
        <w:t>6、</w:t>
      </w:r>
      <w:r w:rsidR="00E27BC1" w:rsidRPr="00721084">
        <w:rPr>
          <w:rFonts w:asciiTheme="minorEastAsia" w:eastAsiaTheme="minorEastAsia" w:hAnsiTheme="minorEastAsia" w:hint="eastAsia"/>
          <w:szCs w:val="21"/>
        </w:rPr>
        <w:t>基金转换份额的计算方式</w:t>
      </w:r>
      <w:bookmarkEnd w:id="153"/>
      <w:bookmarkEnd w:id="154"/>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基金转换份额的计算公式：</w:t>
      </w:r>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A＝［B×C×(1-D)/（1+G）+F］/E</w:t>
      </w:r>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H＝B×C×D</w:t>
      </w:r>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J＝[B×C×(1-D)/(1+G)]×G</w:t>
      </w:r>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其中，A为转入的基金份额；B为转出的基金份额；C为转换申请当日转出基金的基金份额净值；D为转出基金的对应赎回费率；</w:t>
      </w:r>
      <w:r w:rsidR="00231AFF" w:rsidRPr="00721084">
        <w:rPr>
          <w:rFonts w:asciiTheme="minorEastAsia" w:eastAsiaTheme="minorEastAsia" w:hAnsiTheme="minorEastAsia" w:hint="eastAsia"/>
        </w:rPr>
        <w:t>E为转换申请当日转入基金的基金份额净值；</w:t>
      </w:r>
      <w:r w:rsidR="00B90624" w:rsidRPr="00721084">
        <w:rPr>
          <w:rFonts w:asciiTheme="minorEastAsia" w:eastAsiaTheme="minorEastAsia" w:hAnsiTheme="minorEastAsia" w:hint="eastAsia"/>
        </w:rPr>
        <w:t>F为货币市场基金全部转出时注册登记机构已支付的未付收益</w:t>
      </w:r>
      <w:r w:rsidRPr="00721084">
        <w:rPr>
          <w:rFonts w:asciiTheme="minorEastAsia" w:eastAsiaTheme="minorEastAsia" w:hAnsiTheme="minorEastAsia" w:hint="eastAsia"/>
        </w:rPr>
        <w:t>（仅限转出基金为易方达天天理财货币市场基金）；G为对应的申购补差费率；H为转出基金赎回费；J为申购补差费。</w:t>
      </w:r>
    </w:p>
    <w:p w:rsidR="00B90624" w:rsidRPr="00721084" w:rsidRDefault="00B90624"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说明：</w:t>
      </w:r>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（1）基金转换费用由转出基金赎回费用及基金申购补差费用两部分构成。</w:t>
      </w:r>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2）转入基金时，从申购费用低的基金向申购费用高的基金转换时，每次收取申购补差费用；从申购费用高的基金向申购费用低的基金转换时，不收取申购补差费用（注：对通过直销中心申购实施差别申购费率的</w:t>
      </w:r>
      <w:r w:rsidRPr="00721084">
        <w:rPr>
          <w:rFonts w:asciiTheme="minorEastAsia" w:eastAsiaTheme="minorEastAsia" w:hAnsiTheme="minorEastAsia" w:hint="eastAsia"/>
          <w:szCs w:val="21"/>
        </w:rPr>
        <w:t>特定投资群</w:t>
      </w:r>
      <w:r w:rsidRPr="00721084">
        <w:rPr>
          <w:rFonts w:asciiTheme="minorEastAsia" w:eastAsiaTheme="minorEastAsia" w:hAnsiTheme="minorEastAsia" w:hint="eastAsia"/>
        </w:rPr>
        <w:t>体基金份额的申购费，以除通过直销中心申购的</w:t>
      </w:r>
      <w:r w:rsidRPr="00721084">
        <w:rPr>
          <w:rFonts w:asciiTheme="minorEastAsia" w:eastAsiaTheme="minorEastAsia" w:hAnsiTheme="minorEastAsia" w:hint="eastAsia"/>
          <w:szCs w:val="21"/>
        </w:rPr>
        <w:t>特定投资群</w:t>
      </w:r>
      <w:r w:rsidRPr="00721084">
        <w:rPr>
          <w:rFonts w:asciiTheme="minorEastAsia" w:eastAsiaTheme="minorEastAsia" w:hAnsiTheme="minorEastAsia" w:hint="eastAsia"/>
        </w:rPr>
        <w:t>体之外的其他投资者申购费为比较标准）。申购补差费用按照转换金额对应的转出基金与转入基金的申购费率差额进行补差，具体收取情况视每次转换时两只基金的申购费率的差异情况而定并见相关公告。</w:t>
      </w:r>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（3）转出基金时，如涉及的转出基金有赎回费用，收取该基金的赎回费用。收取的赎回费按照</w:t>
      </w:r>
      <w:r w:rsidR="00764FB0" w:rsidRPr="00721084">
        <w:rPr>
          <w:rFonts w:asciiTheme="minorEastAsia" w:eastAsiaTheme="minorEastAsia" w:hAnsiTheme="minorEastAsia" w:hint="eastAsia"/>
        </w:rPr>
        <w:t>各</w:t>
      </w:r>
      <w:r w:rsidR="00764FB0" w:rsidRPr="00721084">
        <w:rPr>
          <w:rFonts w:asciiTheme="minorEastAsia" w:eastAsiaTheme="minorEastAsia" w:hAnsiTheme="minorEastAsia"/>
        </w:rPr>
        <w:t>基金的</w:t>
      </w:r>
      <w:r w:rsidRPr="00721084">
        <w:rPr>
          <w:rFonts w:asciiTheme="minorEastAsia" w:eastAsiaTheme="minorEastAsia" w:hAnsiTheme="minorEastAsia" w:hint="eastAsia"/>
        </w:rPr>
        <w:t>基金合同、更新的招募说明书及最新的相关公告约定的比例归入基金财产，其余部分用于支付注册登记费等相关手续费。</w:t>
      </w:r>
    </w:p>
    <w:p w:rsidR="00E27BC1" w:rsidRPr="00721084" w:rsidRDefault="00E27BC1" w:rsidP="00CE3F81">
      <w:pPr>
        <w:autoSpaceDE w:val="0"/>
        <w:autoSpaceDN w:val="0"/>
        <w:snapToGrid w:val="0"/>
        <w:spacing w:line="360" w:lineRule="auto"/>
        <w:ind w:firstLine="420"/>
        <w:textAlignment w:val="bottom"/>
        <w:rPr>
          <w:rFonts w:asciiTheme="minorEastAsia" w:eastAsiaTheme="minorEastAsia" w:hAnsiTheme="minorEastAsia"/>
        </w:rPr>
      </w:pPr>
      <w:r w:rsidRPr="00721084">
        <w:rPr>
          <w:rFonts w:asciiTheme="minorEastAsia" w:eastAsiaTheme="minorEastAsia" w:hAnsiTheme="minorEastAsia" w:hint="eastAsia"/>
        </w:rPr>
        <w:t>（4）投资者可以发起多次基金转换业务，基金转换费用按每笔申请单独计算。</w:t>
      </w:r>
      <w:r w:rsidRPr="00721084">
        <w:rPr>
          <w:rFonts w:asciiTheme="minorEastAsia" w:eastAsiaTheme="minorEastAsia" w:hAnsiTheme="minorEastAsia" w:hint="eastAsia"/>
          <w:szCs w:val="21"/>
        </w:rPr>
        <w:t>转换费用以人民币元为单位，计算结果按照四舍五入方法，保留小数点后两位。</w:t>
      </w:r>
    </w:p>
    <w:p w:rsidR="00D54B99"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例：</w:t>
      </w:r>
      <w:r w:rsidR="00D54B99" w:rsidRPr="00721084">
        <w:rPr>
          <w:rFonts w:asciiTheme="minorEastAsia" w:eastAsiaTheme="minorEastAsia" w:hAnsiTheme="minorEastAsia" w:hint="eastAsia"/>
        </w:rPr>
        <w:t>假设某持有人（非特定投资群体）持有本基金10,000份，持有90天，现欲转换为易方达天天理财货币市场基金A类份额；假设转出基金T日的基金份额净值为1.100元，转入基金易方达天天理财货币市场基金A类份额T日的基金份额净值为1.0000元，则转出基</w:t>
      </w:r>
      <w:r w:rsidR="00D54B99" w:rsidRPr="00721084">
        <w:rPr>
          <w:rFonts w:asciiTheme="minorEastAsia" w:eastAsiaTheme="minorEastAsia" w:hAnsiTheme="minorEastAsia" w:hint="eastAsia"/>
        </w:rPr>
        <w:lastRenderedPageBreak/>
        <w:t>金的赎回费率为0.5%，申购补差费率为0。转换份额计算如下：</w:t>
      </w:r>
    </w:p>
    <w:p w:rsidR="00D54B99" w:rsidRPr="00721084" w:rsidRDefault="00D54B99"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转换金额=转出基金申请份额×转出基金份额净值=10,000×1.100=11,000.00元</w:t>
      </w:r>
    </w:p>
    <w:p w:rsidR="00D54B99" w:rsidRPr="00721084" w:rsidRDefault="00D54B99"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转出基金赎回费=转换金额×转出基金赎回费率=11,000.00×0.5%=55元</w:t>
      </w:r>
    </w:p>
    <w:p w:rsidR="00D54B99" w:rsidRPr="00721084" w:rsidRDefault="00D54B99"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申购补差费=（转换金额-转出基金赎回费）×申购补差费率÷（1＋申购补差费率）=（11,000.00-55)×0.00%÷(1+0.00%)=0元</w:t>
      </w:r>
    </w:p>
    <w:p w:rsidR="00D54B99" w:rsidRPr="00721084" w:rsidRDefault="00D54B99"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转换费=转出基金赎回费+申购补差费=55+0=55元</w:t>
      </w:r>
    </w:p>
    <w:p w:rsidR="00D54B99" w:rsidRPr="00721084" w:rsidRDefault="00D54B99"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转入金额=转换金额-转换费=11,000.00-55=10,945元</w:t>
      </w:r>
    </w:p>
    <w:p w:rsidR="00463A84" w:rsidRPr="00721084" w:rsidRDefault="00D54B99">
      <w:pPr>
        <w:snapToGrid w:val="0"/>
        <w:spacing w:line="360" w:lineRule="auto"/>
        <w:ind w:firstLine="420"/>
        <w:rPr>
          <w:rFonts w:asciiTheme="minorEastAsia" w:eastAsiaTheme="minorEastAsia" w:hAnsiTheme="minorEastAsia"/>
          <w:szCs w:val="20"/>
        </w:rPr>
      </w:pPr>
      <w:r w:rsidRPr="00721084">
        <w:rPr>
          <w:rFonts w:asciiTheme="minorEastAsia" w:eastAsiaTheme="minorEastAsia" w:hAnsiTheme="minorEastAsia" w:hint="eastAsia"/>
        </w:rPr>
        <w:t>转入份额=转入金额÷转入基金份额净值=10,945÷1.0000=10,945份</w:t>
      </w:r>
    </w:p>
    <w:p w:rsidR="00E27BC1" w:rsidRPr="00721084" w:rsidRDefault="00E27BC1" w:rsidP="00CE3F81">
      <w:pPr>
        <w:snapToGrid w:val="0"/>
        <w:spacing w:line="360" w:lineRule="auto"/>
        <w:rPr>
          <w:rFonts w:asciiTheme="minorEastAsia" w:eastAsiaTheme="minorEastAsia" w:hAnsiTheme="minorEastAsia"/>
          <w:szCs w:val="21"/>
        </w:rPr>
      </w:pPr>
      <w:r w:rsidRPr="00721084">
        <w:rPr>
          <w:rFonts w:asciiTheme="minorEastAsia" w:eastAsiaTheme="minorEastAsia" w:hAnsiTheme="minorEastAsia" w:hint="eastAsia"/>
          <w:szCs w:val="21"/>
        </w:rPr>
        <w:t>注：本基金转出至</w:t>
      </w:r>
      <w:r w:rsidR="00D54B99" w:rsidRPr="00721084">
        <w:rPr>
          <w:rFonts w:asciiTheme="minorEastAsia" w:eastAsiaTheme="minorEastAsia" w:hAnsiTheme="minorEastAsia" w:hint="eastAsia"/>
          <w:szCs w:val="21"/>
        </w:rPr>
        <w:t>易方达天天理财货币市场基金</w:t>
      </w:r>
      <w:r w:rsidRPr="00721084">
        <w:rPr>
          <w:rFonts w:asciiTheme="minorEastAsia" w:eastAsiaTheme="minorEastAsia" w:hAnsiTheme="minorEastAsia" w:hint="eastAsia"/>
          <w:szCs w:val="21"/>
        </w:rPr>
        <w:t>时，转入份额的计算结果保留到小数点后两位，小数点后两位以后的部分四舍五入，由此误差产生的损失由基金财产承担，产生的收益归基金财产所有。</w:t>
      </w:r>
    </w:p>
    <w:p w:rsidR="00E27BC1" w:rsidRPr="00721084" w:rsidRDefault="006A1D96" w:rsidP="00CE3F81">
      <w:pPr>
        <w:snapToGrid w:val="0"/>
        <w:spacing w:line="360" w:lineRule="auto"/>
        <w:ind w:firstLineChars="200" w:firstLine="420"/>
        <w:rPr>
          <w:rFonts w:asciiTheme="minorEastAsia" w:eastAsiaTheme="minorEastAsia" w:hAnsiTheme="minorEastAsia"/>
          <w:szCs w:val="21"/>
        </w:rPr>
      </w:pPr>
      <w:bookmarkStart w:id="155" w:name="_Toc318444126"/>
      <w:bookmarkStart w:id="156" w:name="_Toc252976150"/>
      <w:r w:rsidRPr="00721084">
        <w:rPr>
          <w:rFonts w:asciiTheme="minorEastAsia" w:eastAsiaTheme="minorEastAsia" w:hAnsiTheme="minorEastAsia" w:hint="eastAsia"/>
          <w:szCs w:val="21"/>
        </w:rPr>
        <w:t>7、</w:t>
      </w:r>
      <w:r w:rsidR="00E27BC1" w:rsidRPr="00721084">
        <w:rPr>
          <w:rFonts w:asciiTheme="minorEastAsia" w:eastAsiaTheme="minorEastAsia" w:hAnsiTheme="minorEastAsia" w:hint="eastAsia"/>
          <w:szCs w:val="21"/>
        </w:rPr>
        <w:t>基金转换的注册登记</w:t>
      </w:r>
      <w:bookmarkEnd w:id="155"/>
      <w:bookmarkEnd w:id="156"/>
    </w:p>
    <w:p w:rsidR="00E27BC1" w:rsidRPr="00721084" w:rsidRDefault="009037E5"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投资者T日申请基金转换成功后（包括本基金为转出基金、易方达天天理财货币市场基金为转入基金，或者易方达天天理财货币市场基金为转出基金，本基金为转入基金），注册登记机构将在T+2工作日为投资者办理减少转出基金份额、增加转入基金份额的权益登记手续，转换转出和转换转入均按照T日基金份额净值计算。正常情况下，投资者不晚于T+3工作日（含该日）起有权赎回转入部分的基金份额，具体以直销机构规定时间为准。</w:t>
      </w:r>
    </w:p>
    <w:p w:rsidR="00E27BC1" w:rsidRPr="00721084" w:rsidRDefault="006A1D96" w:rsidP="00CE3F81">
      <w:pPr>
        <w:snapToGrid w:val="0"/>
        <w:spacing w:line="360" w:lineRule="auto"/>
        <w:ind w:firstLineChars="200" w:firstLine="420"/>
        <w:rPr>
          <w:rFonts w:asciiTheme="minorEastAsia" w:eastAsiaTheme="minorEastAsia" w:hAnsiTheme="minorEastAsia"/>
          <w:szCs w:val="21"/>
        </w:rPr>
      </w:pPr>
      <w:bookmarkStart w:id="157" w:name="_Toc318444127"/>
      <w:bookmarkStart w:id="158" w:name="_Toc252976151"/>
      <w:r w:rsidRPr="00721084">
        <w:rPr>
          <w:rFonts w:asciiTheme="minorEastAsia" w:eastAsiaTheme="minorEastAsia" w:hAnsiTheme="minorEastAsia" w:hint="eastAsia"/>
          <w:szCs w:val="21"/>
        </w:rPr>
        <w:t>8、</w:t>
      </w:r>
      <w:r w:rsidR="00E27BC1" w:rsidRPr="00721084">
        <w:rPr>
          <w:rFonts w:asciiTheme="minorEastAsia" w:eastAsiaTheme="minorEastAsia" w:hAnsiTheme="minorEastAsia" w:hint="eastAsia"/>
          <w:szCs w:val="21"/>
        </w:rPr>
        <w:t>基金转换与巨额赎回</w:t>
      </w:r>
      <w:bookmarkEnd w:id="157"/>
      <w:bookmarkEnd w:id="158"/>
    </w:p>
    <w:p w:rsidR="00E27BC1" w:rsidRPr="00721084" w:rsidRDefault="00B12831"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若本基金单个开放日内的基金净赎回申请（赎回申请总数加上基金转换中转出申请份额总数后扣除申购申请总数及基金转换中转入申请份额总数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E27BC1" w:rsidRPr="00721084" w:rsidRDefault="006A1D96" w:rsidP="00CE3F81">
      <w:pPr>
        <w:snapToGrid w:val="0"/>
        <w:spacing w:line="360" w:lineRule="auto"/>
        <w:ind w:firstLineChars="200" w:firstLine="420"/>
        <w:rPr>
          <w:rFonts w:asciiTheme="minorEastAsia" w:eastAsiaTheme="minorEastAsia" w:hAnsiTheme="minorEastAsia"/>
          <w:szCs w:val="21"/>
        </w:rPr>
      </w:pPr>
      <w:bookmarkStart w:id="159" w:name="_Toc318444128"/>
      <w:bookmarkStart w:id="160" w:name="_Toc252976152"/>
      <w:r w:rsidRPr="00721084">
        <w:rPr>
          <w:rFonts w:asciiTheme="minorEastAsia" w:eastAsiaTheme="minorEastAsia" w:hAnsiTheme="minorEastAsia" w:hint="eastAsia"/>
          <w:szCs w:val="21"/>
        </w:rPr>
        <w:t>9、</w:t>
      </w:r>
      <w:r w:rsidR="00E27BC1" w:rsidRPr="00721084">
        <w:rPr>
          <w:rFonts w:asciiTheme="minorEastAsia" w:eastAsiaTheme="minorEastAsia" w:hAnsiTheme="minorEastAsia" w:hint="eastAsia"/>
          <w:szCs w:val="21"/>
        </w:rPr>
        <w:t>拒绝或暂停基金转换的情形</w:t>
      </w:r>
      <w:bookmarkEnd w:id="159"/>
      <w:bookmarkEnd w:id="160"/>
    </w:p>
    <w:p w:rsidR="00E27BC1" w:rsidRPr="00721084" w:rsidRDefault="00E27BC1"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发生下列情况时，基金管理人可拒绝或暂停接受基金投资者的转换申请：</w:t>
      </w:r>
    </w:p>
    <w:p w:rsidR="00D47EAD"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B12831" w:rsidRPr="00721084">
        <w:rPr>
          <w:rFonts w:asciiTheme="minorEastAsia" w:eastAsiaTheme="minorEastAsia" w:hAnsiTheme="minorEastAsia" w:hint="eastAsia"/>
        </w:rPr>
        <w:t>1）</w:t>
      </w:r>
      <w:r w:rsidR="009037E5" w:rsidRPr="00721084">
        <w:rPr>
          <w:rFonts w:asciiTheme="minorEastAsia" w:eastAsiaTheme="minorEastAsia" w:hAnsiTheme="minorEastAsia" w:hint="eastAsia"/>
        </w:rPr>
        <w:t>基金转换是基金管理人提供的一种服务，基金管理人有权因业务规则调整、系统升级或其他因素，暂停或停止接受投资者的转换申请。</w:t>
      </w:r>
    </w:p>
    <w:p w:rsidR="00B12831" w:rsidRPr="00721084" w:rsidRDefault="00D47EAD"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（2）</w:t>
      </w:r>
      <w:r w:rsidR="00B12831" w:rsidRPr="00721084">
        <w:rPr>
          <w:rFonts w:asciiTheme="minorEastAsia" w:eastAsiaTheme="minorEastAsia" w:hAnsiTheme="minorEastAsia" w:hint="eastAsia"/>
        </w:rPr>
        <w:t>不可抗力的原因导致基金无法正常运作。</w:t>
      </w:r>
    </w:p>
    <w:p w:rsidR="00B1283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D47EAD" w:rsidRPr="00721084">
        <w:rPr>
          <w:rFonts w:asciiTheme="minorEastAsia" w:eastAsiaTheme="minorEastAsia" w:hAnsiTheme="minorEastAsia" w:hint="eastAsia"/>
        </w:rPr>
        <w:t>3</w:t>
      </w:r>
      <w:r w:rsidR="00B12831" w:rsidRPr="00721084">
        <w:rPr>
          <w:rFonts w:asciiTheme="minorEastAsia" w:eastAsiaTheme="minorEastAsia" w:hAnsiTheme="minorEastAsia" w:hint="eastAsia"/>
        </w:rPr>
        <w:t>）本基金投资的主要证券交易市场或外汇市场的公众节假日、休市，并可能影响本基金正常估值与投资时。</w:t>
      </w:r>
    </w:p>
    <w:p w:rsidR="00B1283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D47EAD" w:rsidRPr="00721084">
        <w:rPr>
          <w:rFonts w:asciiTheme="minorEastAsia" w:eastAsiaTheme="minorEastAsia" w:hAnsiTheme="minorEastAsia" w:hint="eastAsia"/>
        </w:rPr>
        <w:t>4</w:t>
      </w:r>
      <w:r w:rsidR="00B12831" w:rsidRPr="00721084">
        <w:rPr>
          <w:rFonts w:asciiTheme="minorEastAsia" w:eastAsiaTheme="minorEastAsia" w:hAnsiTheme="minorEastAsia" w:hint="eastAsia"/>
        </w:rPr>
        <w:t>）本基金的资产组合中的重要部分发生暂停交易或其他重大事件，继续接受转换可能会影响或损害其他基金份额持有人利益时。</w:t>
      </w:r>
    </w:p>
    <w:p w:rsidR="00B1283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D47EAD" w:rsidRPr="00721084">
        <w:rPr>
          <w:rFonts w:asciiTheme="minorEastAsia" w:eastAsiaTheme="minorEastAsia" w:hAnsiTheme="minorEastAsia" w:hint="eastAsia"/>
        </w:rPr>
        <w:t>5</w:t>
      </w:r>
      <w:r w:rsidR="00B12831" w:rsidRPr="00721084">
        <w:rPr>
          <w:rFonts w:asciiTheme="minorEastAsia" w:eastAsiaTheme="minorEastAsia" w:hAnsiTheme="minorEastAsia" w:hint="eastAsia"/>
        </w:rPr>
        <w:t>）基金资产规模过大，使基金管理人无法找到合适的投资品种，或可能对基金业绩</w:t>
      </w:r>
      <w:r w:rsidR="00B12831" w:rsidRPr="00721084">
        <w:rPr>
          <w:rFonts w:asciiTheme="minorEastAsia" w:eastAsiaTheme="minorEastAsia" w:hAnsiTheme="minorEastAsia" w:hint="eastAsia"/>
        </w:rPr>
        <w:lastRenderedPageBreak/>
        <w:t>产生负面影响，从而损害现有基金份额持有人的利益。</w:t>
      </w:r>
    </w:p>
    <w:p w:rsidR="00B1283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D47EAD" w:rsidRPr="00721084">
        <w:rPr>
          <w:rFonts w:asciiTheme="minorEastAsia" w:eastAsiaTheme="minorEastAsia" w:hAnsiTheme="minorEastAsia" w:hint="eastAsia"/>
        </w:rPr>
        <w:t>6</w:t>
      </w:r>
      <w:r w:rsidR="00B12831" w:rsidRPr="00721084">
        <w:rPr>
          <w:rFonts w:asciiTheme="minorEastAsia" w:eastAsiaTheme="minorEastAsia" w:hAnsiTheme="minorEastAsia" w:hint="eastAsia"/>
        </w:rPr>
        <w:t>）基金资产规模或者份额数量达到了监管部门或基金管理人规定的上限。</w:t>
      </w:r>
    </w:p>
    <w:p w:rsidR="00B1283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D47EAD" w:rsidRPr="00721084">
        <w:rPr>
          <w:rFonts w:asciiTheme="minorEastAsia" w:eastAsiaTheme="minorEastAsia" w:hAnsiTheme="minorEastAsia" w:hint="eastAsia"/>
        </w:rPr>
        <w:t>7</w:t>
      </w:r>
      <w:r w:rsidR="00B12831" w:rsidRPr="00721084">
        <w:rPr>
          <w:rFonts w:asciiTheme="minorEastAsia" w:eastAsiaTheme="minorEastAsia" w:hAnsiTheme="minorEastAsia" w:hint="eastAsia"/>
        </w:rPr>
        <w:t>）基金管理人、基金托管人、基金销售机构或注册登记机构因技术故障导致基金销售系统或基金注册登记系统或基金会计系统无法正常运行。</w:t>
      </w:r>
    </w:p>
    <w:p w:rsidR="00B1283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D47EAD" w:rsidRPr="00721084">
        <w:rPr>
          <w:rFonts w:asciiTheme="minorEastAsia" w:eastAsiaTheme="minorEastAsia" w:hAnsiTheme="minorEastAsia" w:hint="eastAsia"/>
        </w:rPr>
        <w:t>8</w:t>
      </w:r>
      <w:r w:rsidR="00B12831" w:rsidRPr="00721084">
        <w:rPr>
          <w:rFonts w:asciiTheme="minorEastAsia" w:eastAsiaTheme="minorEastAsia" w:hAnsiTheme="minorEastAsia" w:hint="eastAsia"/>
        </w:rPr>
        <w:t>）基金管理人认为会有损于现有基金份额持有人利益的某笔转换转入。</w:t>
      </w:r>
    </w:p>
    <w:p w:rsidR="00B1283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D47EAD" w:rsidRPr="00721084">
        <w:rPr>
          <w:rFonts w:asciiTheme="minorEastAsia" w:eastAsiaTheme="minorEastAsia" w:hAnsiTheme="minorEastAsia" w:hint="eastAsia"/>
        </w:rPr>
        <w:t>9</w:t>
      </w:r>
      <w:r w:rsidR="00B12831" w:rsidRPr="00721084">
        <w:rPr>
          <w:rFonts w:asciiTheme="minorEastAsia" w:eastAsiaTheme="minorEastAsia" w:hAnsiTheme="minorEastAsia" w:hint="eastAsia"/>
        </w:rPr>
        <w:t>）不可抗力的原因导致基金管理人不能支付转换转出款项。</w:t>
      </w:r>
    </w:p>
    <w:p w:rsidR="00B1283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D47EAD" w:rsidRPr="00721084">
        <w:rPr>
          <w:rFonts w:asciiTheme="minorEastAsia" w:eastAsiaTheme="minorEastAsia" w:hAnsiTheme="minorEastAsia" w:hint="eastAsia"/>
        </w:rPr>
        <w:t>10</w:t>
      </w:r>
      <w:r w:rsidR="00B12831" w:rsidRPr="00721084">
        <w:rPr>
          <w:rFonts w:asciiTheme="minorEastAsia" w:eastAsiaTheme="minorEastAsia" w:hAnsiTheme="minorEastAsia" w:hint="eastAsia"/>
        </w:rPr>
        <w:t>）本基金进行交易的主要证券交易市场或外汇市场交易时间非正常停市或遇公众节假日，可能影响本基金投资，或导致基金管理人无法计算当日基金资产净值。</w:t>
      </w:r>
    </w:p>
    <w:p w:rsidR="00B1283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B12831" w:rsidRPr="00721084">
        <w:rPr>
          <w:rFonts w:asciiTheme="minorEastAsia" w:eastAsiaTheme="minorEastAsia" w:hAnsiTheme="minorEastAsia" w:hint="eastAsia"/>
        </w:rPr>
        <w:t>1</w:t>
      </w:r>
      <w:r w:rsidR="00D47EAD" w:rsidRPr="00721084">
        <w:rPr>
          <w:rFonts w:asciiTheme="minorEastAsia" w:eastAsiaTheme="minorEastAsia" w:hAnsiTheme="minorEastAsia" w:hint="eastAsia"/>
        </w:rPr>
        <w:t>1</w:t>
      </w:r>
      <w:r w:rsidR="00B12831" w:rsidRPr="00721084">
        <w:rPr>
          <w:rFonts w:asciiTheme="minorEastAsia" w:eastAsiaTheme="minorEastAsia" w:hAnsiTheme="minorEastAsia" w:hint="eastAsia"/>
        </w:rPr>
        <w:t>）因市场剧烈波动或其他原因而出现连续2个或2个以上开放日巨额转换转出，导致本基金的现金支付出现困难。</w:t>
      </w:r>
    </w:p>
    <w:p w:rsidR="00CD3B3A" w:rsidRPr="00721084" w:rsidRDefault="00C14DE4" w:rsidP="001223DA">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12</w:t>
      </w:r>
      <w:r w:rsidRPr="00721084">
        <w:rPr>
          <w:rFonts w:asciiTheme="minorEastAsia" w:eastAsiaTheme="minorEastAsia" w:hAnsiTheme="minorEastAsia" w:hint="eastAsia"/>
        </w:rPr>
        <w:t>）基金管理人接受某笔或者某些转换转入申请有可能导致单一投资者持有基金份额的比例达到或者超过</w:t>
      </w:r>
      <w:r w:rsidRPr="00721084">
        <w:rPr>
          <w:rFonts w:asciiTheme="minorEastAsia" w:eastAsiaTheme="minorEastAsia" w:hAnsiTheme="minorEastAsia"/>
        </w:rPr>
        <w:t>50%，或者变相规避50%集中度的情形时。</w:t>
      </w:r>
    </w:p>
    <w:p w:rsidR="00CD3B3A" w:rsidRPr="00721084" w:rsidRDefault="00C14DE4" w:rsidP="001223DA">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13</w:t>
      </w:r>
      <w:r w:rsidRPr="00721084">
        <w:rPr>
          <w:rFonts w:asciiTheme="minorEastAsia" w:eastAsiaTheme="minorEastAsia" w:hAnsiTheme="minorEastAsia" w:hint="eastAsia"/>
        </w:rPr>
        <w:t>）当一笔新的转换</w:t>
      </w:r>
      <w:r w:rsidRPr="00721084">
        <w:rPr>
          <w:rFonts w:asciiTheme="minorEastAsia" w:eastAsiaTheme="minorEastAsia" w:hAnsiTheme="minorEastAsia"/>
        </w:rPr>
        <w:t>转入</w:t>
      </w:r>
      <w:r w:rsidRPr="00721084">
        <w:rPr>
          <w:rFonts w:asciiTheme="minorEastAsia" w:eastAsiaTheme="minorEastAsia" w:hAnsiTheme="minorEastAsia" w:hint="eastAsia"/>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CD3B3A" w:rsidRPr="00721084" w:rsidRDefault="00C14DE4" w:rsidP="001223DA">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14</w:t>
      </w:r>
      <w:r w:rsidRPr="00721084">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E27BC1" w:rsidRPr="00721084" w:rsidRDefault="00D6140A" w:rsidP="00CE3F81">
      <w:pPr>
        <w:snapToGrid w:val="0"/>
        <w:spacing w:line="360" w:lineRule="auto"/>
        <w:ind w:firstLine="420"/>
        <w:rPr>
          <w:rFonts w:asciiTheme="minorEastAsia" w:eastAsiaTheme="minorEastAsia" w:hAnsiTheme="minorEastAsia"/>
        </w:rPr>
      </w:pPr>
      <w:r w:rsidRPr="00721084">
        <w:rPr>
          <w:rFonts w:asciiTheme="minorEastAsia" w:eastAsiaTheme="minorEastAsia" w:hAnsiTheme="minorEastAsia" w:hint="eastAsia"/>
        </w:rPr>
        <w:t>（</w:t>
      </w:r>
      <w:r w:rsidR="00C14DE4" w:rsidRPr="00721084">
        <w:rPr>
          <w:rFonts w:asciiTheme="minorEastAsia" w:eastAsiaTheme="minorEastAsia" w:hAnsiTheme="minorEastAsia" w:hint="eastAsia"/>
        </w:rPr>
        <w:t>1</w:t>
      </w:r>
      <w:r w:rsidR="00C14DE4" w:rsidRPr="00721084">
        <w:rPr>
          <w:rFonts w:asciiTheme="minorEastAsia" w:eastAsiaTheme="minorEastAsia" w:hAnsiTheme="minorEastAsia"/>
        </w:rPr>
        <w:t>5</w:t>
      </w:r>
      <w:r w:rsidR="00B12831" w:rsidRPr="00721084">
        <w:rPr>
          <w:rFonts w:asciiTheme="minorEastAsia" w:eastAsiaTheme="minorEastAsia" w:hAnsiTheme="minorEastAsia" w:hint="eastAsia"/>
        </w:rPr>
        <w:t>）法律法规规定或中国证监会认定的其他可暂停转换的情形。</w:t>
      </w:r>
    </w:p>
    <w:p w:rsidR="0064594E" w:rsidRPr="00721084" w:rsidRDefault="009037E5"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szCs w:val="21"/>
        </w:rPr>
        <w:t>基金转换业务的解释权归基金管理人，基金管理人可以根据市场情况在不违反有关法律法规和《基金合同》的规定之前提下调整上述转换的收费方式、费率水平、业务规则、注册登记规则及有关限制等，基金管理人也有权因业务规则调整、系统升级或其他因素，暂停或停止接受投资者的转换申请。但应在调整生效前依照《信息披露办法》的有关规定在指定媒介上公告。</w:t>
      </w:r>
    </w:p>
    <w:p w:rsidR="0064594E" w:rsidRPr="00721084" w:rsidRDefault="0074728F" w:rsidP="00CE3F81">
      <w:pPr>
        <w:pStyle w:val="2"/>
        <w:snapToGrid w:val="0"/>
        <w:spacing w:beforeLines="0" w:afterLines="0" w:line="360" w:lineRule="auto"/>
        <w:ind w:firstLine="560"/>
        <w:rPr>
          <w:rFonts w:asciiTheme="minorEastAsia" w:eastAsiaTheme="minorEastAsia" w:hAnsiTheme="minorEastAsia"/>
          <w:b w:val="0"/>
        </w:rPr>
      </w:pPr>
      <w:bookmarkStart w:id="161" w:name="_Toc79392621"/>
      <w:bookmarkStart w:id="162" w:name="_Toc44351102"/>
      <w:r w:rsidRPr="00721084">
        <w:rPr>
          <w:rFonts w:asciiTheme="minorEastAsia" w:eastAsiaTheme="minorEastAsia" w:hAnsiTheme="minorEastAsia" w:hint="eastAsia"/>
          <w:b w:val="0"/>
        </w:rPr>
        <w:t>十六</w:t>
      </w:r>
      <w:r w:rsidR="00581D5A" w:rsidRPr="00721084">
        <w:rPr>
          <w:rFonts w:asciiTheme="minorEastAsia" w:eastAsiaTheme="minorEastAsia" w:hAnsiTheme="minorEastAsia" w:hint="eastAsia"/>
          <w:b w:val="0"/>
        </w:rPr>
        <w:t>、</w:t>
      </w:r>
      <w:r w:rsidR="0064594E" w:rsidRPr="00721084">
        <w:rPr>
          <w:rFonts w:asciiTheme="minorEastAsia" w:eastAsiaTheme="minorEastAsia" w:hAnsiTheme="minorEastAsia" w:hint="eastAsia"/>
          <w:b w:val="0"/>
        </w:rPr>
        <w:t>转托管</w:t>
      </w:r>
      <w:bookmarkEnd w:id="161"/>
      <w:bookmarkEnd w:id="162"/>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本基金目前实行份额托管的交易制度。投资者可将所持有的基金份额从一个交易账户转入另一个交易账户进行交易。具体办理方法参照《业务规则》的有关规定以及基金</w:t>
      </w:r>
      <w:r w:rsidR="000D6E0C" w:rsidRPr="00721084">
        <w:rPr>
          <w:rFonts w:asciiTheme="minorEastAsia" w:eastAsiaTheme="minorEastAsia" w:hAnsiTheme="minorEastAsia" w:hint="eastAsia"/>
        </w:rPr>
        <w:t>销售</w:t>
      </w:r>
      <w:r w:rsidRPr="00721084">
        <w:rPr>
          <w:rFonts w:asciiTheme="minorEastAsia" w:eastAsiaTheme="minorEastAsia" w:hAnsiTheme="minorEastAsia" w:hint="eastAsia"/>
        </w:rPr>
        <w:t>机构的业务规则。</w:t>
      </w:r>
    </w:p>
    <w:p w:rsidR="0064594E" w:rsidRPr="00721084" w:rsidRDefault="0074728F" w:rsidP="00CE3F81">
      <w:pPr>
        <w:pStyle w:val="2"/>
        <w:snapToGrid w:val="0"/>
        <w:spacing w:beforeLines="0" w:afterLines="0" w:line="360" w:lineRule="auto"/>
        <w:ind w:firstLine="560"/>
        <w:rPr>
          <w:rFonts w:asciiTheme="minorEastAsia" w:eastAsiaTheme="minorEastAsia" w:hAnsiTheme="minorEastAsia"/>
          <w:b w:val="0"/>
        </w:rPr>
      </w:pPr>
      <w:bookmarkStart w:id="163" w:name="_Toc44351103"/>
      <w:r w:rsidRPr="00721084">
        <w:rPr>
          <w:rFonts w:asciiTheme="minorEastAsia" w:eastAsiaTheme="minorEastAsia" w:hAnsiTheme="minorEastAsia" w:hint="eastAsia"/>
          <w:b w:val="0"/>
        </w:rPr>
        <w:t>十</w:t>
      </w:r>
      <w:r w:rsidR="0066166E" w:rsidRPr="00721084">
        <w:rPr>
          <w:rFonts w:asciiTheme="minorEastAsia" w:eastAsiaTheme="minorEastAsia" w:hAnsiTheme="minorEastAsia" w:hint="eastAsia"/>
          <w:b w:val="0"/>
        </w:rPr>
        <w:t>七</w:t>
      </w:r>
      <w:r w:rsidR="00581D5A" w:rsidRPr="00721084">
        <w:rPr>
          <w:rFonts w:asciiTheme="minorEastAsia" w:eastAsiaTheme="minorEastAsia" w:hAnsiTheme="minorEastAsia" w:hint="eastAsia"/>
          <w:b w:val="0"/>
        </w:rPr>
        <w:t>、</w:t>
      </w:r>
      <w:r w:rsidR="0064594E" w:rsidRPr="00721084">
        <w:rPr>
          <w:rFonts w:asciiTheme="minorEastAsia" w:eastAsiaTheme="minorEastAsia" w:hAnsiTheme="minorEastAsia" w:hint="eastAsia"/>
          <w:b w:val="0"/>
        </w:rPr>
        <w:t>基金的非交易过户</w:t>
      </w:r>
      <w:bookmarkEnd w:id="163"/>
    </w:p>
    <w:p w:rsidR="009F5BA4"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szCs w:val="21"/>
        </w:rPr>
        <w:t>1</w:t>
      </w:r>
      <w:r w:rsidR="006A1D96" w:rsidRPr="00721084">
        <w:rPr>
          <w:rFonts w:asciiTheme="minorEastAsia" w:eastAsiaTheme="minorEastAsia" w:hAnsiTheme="minorEastAsia" w:hint="eastAsia"/>
          <w:szCs w:val="21"/>
        </w:rPr>
        <w:t>、</w:t>
      </w:r>
      <w:r w:rsidR="009F5BA4" w:rsidRPr="00721084">
        <w:rPr>
          <w:rFonts w:asciiTheme="minorEastAsia" w:eastAsiaTheme="minorEastAsia" w:hAnsiTheme="minorEastAsia" w:hint="eastAsia"/>
        </w:rPr>
        <w:t>非交易过户是指不采用申购、赎回等基金交易方式，将一定数量的基金份额按照一定规则从某一投资者基金账户转移到另一投资者基金账户的行为。</w:t>
      </w:r>
    </w:p>
    <w:p w:rsidR="009F5BA4" w:rsidRPr="00721084" w:rsidRDefault="009F5BA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基金注册登记机构只受理继承、捐赠、司法强制执行和经注册登记机构认可的其他情况</w:t>
      </w:r>
      <w:r w:rsidRPr="00721084">
        <w:rPr>
          <w:rFonts w:asciiTheme="minorEastAsia" w:eastAsiaTheme="minorEastAsia" w:hAnsiTheme="minorEastAsia" w:hint="eastAsia"/>
        </w:rPr>
        <w:lastRenderedPageBreak/>
        <w:t>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9F5BA4" w:rsidRPr="00721084" w:rsidRDefault="009F5BA4" w:rsidP="00CE3F81">
      <w:pPr>
        <w:snapToGrid w:val="0"/>
        <w:spacing w:line="360" w:lineRule="auto"/>
        <w:ind w:firstLineChars="200" w:firstLine="420"/>
        <w:rPr>
          <w:rFonts w:asciiTheme="minorEastAsia" w:eastAsiaTheme="minorEastAsia" w:hAnsiTheme="minorEastAsia"/>
          <w:kern w:val="0"/>
        </w:rPr>
      </w:pPr>
      <w:r w:rsidRPr="00721084">
        <w:rPr>
          <w:rFonts w:asciiTheme="minorEastAsia" w:eastAsiaTheme="minorEastAsia" w:hAnsiTheme="minorEastAsia" w:hint="eastAsia"/>
          <w:kern w:val="0"/>
        </w:rPr>
        <w:t>基金注册登记机构受理上述情况下</w:t>
      </w:r>
      <w:r w:rsidRPr="00721084">
        <w:rPr>
          <w:rFonts w:asciiTheme="minorEastAsia" w:eastAsiaTheme="minorEastAsia" w:hAnsiTheme="minorEastAsia"/>
          <w:kern w:val="0"/>
        </w:rPr>
        <w:t>的非交易过户</w:t>
      </w:r>
      <w:r w:rsidRPr="00721084">
        <w:rPr>
          <w:rFonts w:asciiTheme="minorEastAsia" w:eastAsiaTheme="minorEastAsia" w:hAnsiTheme="minorEastAsia" w:hint="eastAsia"/>
          <w:kern w:val="0"/>
        </w:rPr>
        <w:t>，其他销售机构不得办理该项业务。</w:t>
      </w:r>
    </w:p>
    <w:p w:rsidR="0064594E" w:rsidRPr="00721084" w:rsidRDefault="009F5BA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对于符合条件的非交易过户申请按《业务规则》的有关规定办理。</w:t>
      </w:r>
    </w:p>
    <w:p w:rsidR="0064594E" w:rsidRPr="00721084" w:rsidRDefault="009F5BA4" w:rsidP="00CE3F81">
      <w:pPr>
        <w:snapToGrid w:val="0"/>
        <w:spacing w:line="360" w:lineRule="auto"/>
        <w:ind w:firstLineChars="200" w:firstLine="420"/>
        <w:rPr>
          <w:rFonts w:asciiTheme="minorEastAsia" w:eastAsiaTheme="minorEastAsia" w:hAnsiTheme="minorEastAsia"/>
          <w:kern w:val="0"/>
        </w:rPr>
      </w:pPr>
      <w:r w:rsidRPr="00721084">
        <w:rPr>
          <w:rFonts w:asciiTheme="minorEastAsia" w:eastAsiaTheme="minorEastAsia" w:hAnsiTheme="minorEastAsia" w:hint="eastAsia"/>
          <w:kern w:val="0"/>
        </w:rPr>
        <w:t>2</w:t>
      </w:r>
      <w:r w:rsidR="006A1D96" w:rsidRPr="00721084">
        <w:rPr>
          <w:rFonts w:asciiTheme="minorEastAsia" w:eastAsiaTheme="minorEastAsia" w:hAnsiTheme="minorEastAsia" w:hint="eastAsia"/>
          <w:kern w:val="0"/>
        </w:rPr>
        <w:t>、</w:t>
      </w:r>
      <w:r w:rsidR="0064594E" w:rsidRPr="00721084">
        <w:rPr>
          <w:rFonts w:asciiTheme="minorEastAsia" w:eastAsiaTheme="minorEastAsia" w:hAnsiTheme="minorEastAsia" w:hint="eastAsia"/>
          <w:kern w:val="0"/>
        </w:rPr>
        <w:t>符合条件的非交易过户申请自申请受理日起，</w:t>
      </w:r>
      <w:r w:rsidR="00EE4632" w:rsidRPr="00721084">
        <w:rPr>
          <w:rFonts w:asciiTheme="minorEastAsia" w:eastAsiaTheme="minorEastAsia" w:hAnsiTheme="minorEastAsia" w:hint="eastAsia"/>
          <w:kern w:val="0"/>
        </w:rPr>
        <w:t>两个月内办理</w:t>
      </w:r>
      <w:r w:rsidR="0064594E" w:rsidRPr="00721084">
        <w:rPr>
          <w:rFonts w:asciiTheme="minorEastAsia" w:eastAsiaTheme="minorEastAsia" w:hAnsiTheme="minorEastAsia" w:hint="eastAsia"/>
          <w:kern w:val="0"/>
        </w:rPr>
        <w:t>；申请人按基金注册登记机构规定的标准缴纳过户费用。</w:t>
      </w:r>
    </w:p>
    <w:p w:rsidR="0064594E" w:rsidRPr="00721084" w:rsidRDefault="0074728F" w:rsidP="00CE3F81">
      <w:pPr>
        <w:pStyle w:val="2"/>
        <w:snapToGrid w:val="0"/>
        <w:spacing w:beforeLines="0" w:afterLines="0" w:line="360" w:lineRule="auto"/>
        <w:ind w:firstLine="560"/>
        <w:rPr>
          <w:rFonts w:asciiTheme="minorEastAsia" w:eastAsiaTheme="minorEastAsia" w:hAnsiTheme="minorEastAsia"/>
          <w:b w:val="0"/>
        </w:rPr>
      </w:pPr>
      <w:bookmarkStart w:id="164" w:name="_Toc44351104"/>
      <w:r w:rsidRPr="00721084">
        <w:rPr>
          <w:rFonts w:asciiTheme="minorEastAsia" w:eastAsiaTheme="minorEastAsia" w:hAnsiTheme="minorEastAsia" w:hint="eastAsia"/>
          <w:b w:val="0"/>
        </w:rPr>
        <w:t>十</w:t>
      </w:r>
      <w:r w:rsidR="0066166E" w:rsidRPr="00721084">
        <w:rPr>
          <w:rFonts w:asciiTheme="minorEastAsia" w:eastAsiaTheme="minorEastAsia" w:hAnsiTheme="minorEastAsia" w:hint="eastAsia"/>
          <w:b w:val="0"/>
        </w:rPr>
        <w:t>八</w:t>
      </w:r>
      <w:r w:rsidR="00581D5A" w:rsidRPr="00721084">
        <w:rPr>
          <w:rFonts w:asciiTheme="minorEastAsia" w:eastAsiaTheme="minorEastAsia" w:hAnsiTheme="minorEastAsia" w:hint="eastAsia"/>
          <w:b w:val="0"/>
        </w:rPr>
        <w:t>、</w:t>
      </w:r>
      <w:r w:rsidR="0064594E" w:rsidRPr="00721084">
        <w:rPr>
          <w:rFonts w:asciiTheme="minorEastAsia" w:eastAsiaTheme="minorEastAsia" w:hAnsiTheme="minorEastAsia" w:hint="eastAsia"/>
          <w:b w:val="0"/>
        </w:rPr>
        <w:t>基金的冻结与解冻</w:t>
      </w:r>
      <w:bookmarkEnd w:id="164"/>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p>
    <w:p w:rsidR="00431525" w:rsidRPr="00721084" w:rsidRDefault="00431525"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431525" w:rsidRPr="00721084">
          <w:pgSz w:w="11906" w:h="16838" w:code="9"/>
          <w:pgMar w:top="1440" w:right="1800" w:bottom="1440" w:left="1800" w:header="851" w:footer="992" w:gutter="0"/>
          <w:cols w:space="425"/>
          <w:docGrid w:type="lines" w:linePitch="312"/>
        </w:sectPr>
      </w:pPr>
      <w:bookmarkStart w:id="165" w:name="_Toc91334992"/>
    </w:p>
    <w:p w:rsidR="0064594E" w:rsidRPr="00721084" w:rsidRDefault="0064594E" w:rsidP="00791EC9">
      <w:pPr>
        <w:pStyle w:val="11"/>
        <w:numPr>
          <w:ilvl w:val="0"/>
          <w:numId w:val="20"/>
        </w:numPr>
        <w:tabs>
          <w:tab w:val="clear" w:pos="1813"/>
        </w:tabs>
        <w:spacing w:before="312" w:after="312" w:line="320" w:lineRule="exact"/>
        <w:ind w:left="0" w:firstLine="643"/>
        <w:rPr>
          <w:rFonts w:asciiTheme="minorEastAsia" w:eastAsiaTheme="minorEastAsia" w:hAnsiTheme="minorEastAsia"/>
        </w:rPr>
      </w:pPr>
      <w:bookmarkStart w:id="166" w:name="_Toc44351105"/>
      <w:r w:rsidRPr="00721084">
        <w:rPr>
          <w:rFonts w:asciiTheme="minorEastAsia" w:eastAsiaTheme="minorEastAsia" w:hAnsiTheme="minorEastAsia" w:hint="eastAsia"/>
        </w:rPr>
        <w:lastRenderedPageBreak/>
        <w:t>基金的费用与税收</w:t>
      </w:r>
      <w:bookmarkEnd w:id="166"/>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67" w:name="_Toc84149669"/>
      <w:bookmarkStart w:id="168" w:name="_Toc86584633"/>
      <w:bookmarkStart w:id="169" w:name="_Toc44351106"/>
      <w:r w:rsidRPr="00721084">
        <w:rPr>
          <w:rFonts w:asciiTheme="minorEastAsia" w:eastAsiaTheme="minorEastAsia" w:hAnsiTheme="minorEastAsia" w:hint="eastAsia"/>
          <w:b w:val="0"/>
        </w:rPr>
        <w:t>一</w:t>
      </w:r>
      <w:r w:rsidR="00E27F93"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与基金运作相关的费用</w:t>
      </w:r>
      <w:bookmarkEnd w:id="167"/>
      <w:bookmarkEnd w:id="168"/>
      <w:bookmarkEnd w:id="169"/>
    </w:p>
    <w:p w:rsidR="0064594E" w:rsidRPr="00721084" w:rsidRDefault="0064594E" w:rsidP="00CE3F81">
      <w:pPr>
        <w:snapToGrid w:val="0"/>
        <w:spacing w:line="360" w:lineRule="auto"/>
        <w:ind w:firstLineChars="200" w:firstLine="420"/>
        <w:rPr>
          <w:rFonts w:asciiTheme="minorEastAsia" w:eastAsiaTheme="minorEastAsia" w:hAnsiTheme="minorEastAsia"/>
          <w:b/>
          <w:bCs/>
          <w:sz w:val="24"/>
        </w:rPr>
      </w:pPr>
      <w:r w:rsidRPr="00721084">
        <w:rPr>
          <w:rFonts w:asciiTheme="minorEastAsia" w:eastAsiaTheme="minorEastAsia" w:hAnsiTheme="minorEastAsia" w:hint="eastAsia"/>
          <w:szCs w:val="21"/>
        </w:rPr>
        <w:t>1</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基金费用的种类</w:t>
      </w:r>
    </w:p>
    <w:p w:rsidR="0064594E"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64594E" w:rsidRPr="00721084">
        <w:rPr>
          <w:rFonts w:asciiTheme="minorEastAsia" w:eastAsiaTheme="minorEastAsia" w:hAnsiTheme="minorEastAsia" w:hint="eastAsia"/>
          <w:szCs w:val="21"/>
        </w:rPr>
        <w:t>基金的管理费；</w:t>
      </w:r>
    </w:p>
    <w:p w:rsidR="0064594E"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64594E" w:rsidRPr="00721084">
        <w:rPr>
          <w:rFonts w:asciiTheme="minorEastAsia" w:eastAsiaTheme="minorEastAsia" w:hAnsiTheme="minorEastAsia" w:hint="eastAsia"/>
          <w:szCs w:val="21"/>
        </w:rPr>
        <w:t>基金的托管费；</w:t>
      </w:r>
    </w:p>
    <w:p w:rsidR="0064594E"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64594E" w:rsidRPr="00721084">
        <w:rPr>
          <w:rFonts w:asciiTheme="minorEastAsia" w:eastAsiaTheme="minorEastAsia" w:hAnsiTheme="minorEastAsia" w:hint="eastAsia"/>
          <w:szCs w:val="21"/>
        </w:rPr>
        <w:t>《基金合同》生效后与基金相关的信息披露费用；</w:t>
      </w:r>
    </w:p>
    <w:p w:rsidR="0064594E"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64594E" w:rsidRPr="00721084">
        <w:rPr>
          <w:rFonts w:asciiTheme="minorEastAsia" w:eastAsiaTheme="minorEastAsia" w:hAnsiTheme="minorEastAsia" w:hint="eastAsia"/>
          <w:szCs w:val="21"/>
        </w:rPr>
        <w:t>《基金合同》生效后与基金相关的会计师费和律师费和其他为基金利益而产生的中介机构费用</w:t>
      </w:r>
      <w:r w:rsidR="00EC4BAC" w:rsidRPr="00721084">
        <w:rPr>
          <w:rFonts w:asciiTheme="minorEastAsia" w:eastAsiaTheme="minorEastAsia" w:hAnsiTheme="minorEastAsia" w:hint="eastAsia"/>
          <w:szCs w:val="21"/>
        </w:rPr>
        <w:t>(包括税务咨询顾问服务费用)</w:t>
      </w:r>
      <w:r w:rsidR="0064594E" w:rsidRPr="00721084">
        <w:rPr>
          <w:rFonts w:asciiTheme="minorEastAsia" w:eastAsiaTheme="minorEastAsia" w:hAnsiTheme="minorEastAsia" w:hint="eastAsia"/>
          <w:szCs w:val="21"/>
        </w:rPr>
        <w:t>；</w:t>
      </w:r>
    </w:p>
    <w:p w:rsidR="0064594E"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64594E" w:rsidRPr="00721084">
        <w:rPr>
          <w:rFonts w:asciiTheme="minorEastAsia" w:eastAsiaTheme="minorEastAsia" w:hAnsiTheme="minorEastAsia" w:hint="eastAsia"/>
          <w:szCs w:val="21"/>
        </w:rPr>
        <w:t>基金份额持有人大会费用；</w:t>
      </w:r>
    </w:p>
    <w:p w:rsidR="0064594E"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（6）</w:t>
      </w:r>
      <w:r w:rsidR="0064594E" w:rsidRPr="00721084">
        <w:rPr>
          <w:rFonts w:asciiTheme="minorEastAsia" w:eastAsiaTheme="minorEastAsia" w:hAnsiTheme="minorEastAsia" w:hint="eastAsia"/>
          <w:szCs w:val="21"/>
        </w:rPr>
        <w:t>基金的证券交易、登记等各项费用；</w:t>
      </w:r>
    </w:p>
    <w:p w:rsidR="0064594E"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（7）</w:t>
      </w:r>
      <w:r w:rsidR="0064594E" w:rsidRPr="00721084">
        <w:rPr>
          <w:rFonts w:asciiTheme="minorEastAsia" w:eastAsiaTheme="minorEastAsia" w:hAnsiTheme="minorEastAsia" w:hint="eastAsia"/>
          <w:szCs w:val="21"/>
        </w:rPr>
        <w:t>基金的银行汇划费用；</w:t>
      </w:r>
    </w:p>
    <w:p w:rsidR="0064594E"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（8）</w:t>
      </w:r>
      <w:r w:rsidR="0064594E" w:rsidRPr="00721084">
        <w:rPr>
          <w:rFonts w:asciiTheme="minorEastAsia" w:eastAsiaTheme="minorEastAsia" w:hAnsiTheme="minorEastAsia" w:hint="eastAsia"/>
          <w:szCs w:val="21"/>
        </w:rPr>
        <w:t>代表基金投票或其他与基金投资活动有关的费用；</w:t>
      </w:r>
    </w:p>
    <w:p w:rsidR="0064594E" w:rsidRPr="00721084" w:rsidRDefault="006A1D96" w:rsidP="006A1D96">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（9）</w:t>
      </w:r>
      <w:r w:rsidR="0064594E" w:rsidRPr="00721084">
        <w:rPr>
          <w:rFonts w:asciiTheme="minorEastAsia" w:eastAsiaTheme="minorEastAsia" w:hAnsiTheme="minorEastAsia" w:hint="eastAsia"/>
          <w:szCs w:val="21"/>
        </w:rPr>
        <w:t>基金依照有关法律法规应当缴纳或预提的任何税收、征费以及相关的利息、罚金及费用；</w:t>
      </w:r>
    </w:p>
    <w:p w:rsidR="00732370" w:rsidRPr="00721084" w:rsidRDefault="006A1D9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00732370" w:rsidRPr="00721084">
        <w:rPr>
          <w:rFonts w:asciiTheme="minorEastAsia" w:eastAsiaTheme="minorEastAsia" w:hAnsiTheme="minorEastAsia" w:hint="eastAsia"/>
          <w:szCs w:val="21"/>
        </w:rPr>
        <w:t>10）与基金有关的诉讼、追索费用；</w:t>
      </w:r>
    </w:p>
    <w:p w:rsidR="0064594E" w:rsidRPr="00721084" w:rsidRDefault="006A1D9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00732370" w:rsidRPr="00721084">
        <w:rPr>
          <w:rFonts w:asciiTheme="minorEastAsia" w:eastAsiaTheme="minorEastAsia" w:hAnsiTheme="minorEastAsia" w:hint="eastAsia"/>
          <w:szCs w:val="21"/>
        </w:rPr>
        <w:t>11）</w:t>
      </w:r>
      <w:r w:rsidR="0064594E" w:rsidRPr="00721084">
        <w:rPr>
          <w:rFonts w:asciiTheme="minorEastAsia" w:eastAsiaTheme="minorEastAsia" w:hAnsiTheme="minorEastAsia" w:hint="eastAsia"/>
          <w:szCs w:val="21"/>
        </w:rPr>
        <w:t>按照国家有关规定和《基金合同》约定，可以在基金财产中列支的其他费用。</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本基金终止清算时所发生费用，按实际支出额从基金财产总值中扣除。</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基金费用计提方法、计提标准和支付方式</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（1）基金管理人的管理费</w:t>
      </w:r>
    </w:p>
    <w:p w:rsidR="00EC4BAC" w:rsidRPr="00721084" w:rsidRDefault="00EC4BA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w:t>
      </w:r>
      <w:r w:rsidRPr="00721084">
        <w:rPr>
          <w:rFonts w:asciiTheme="minorEastAsia" w:eastAsiaTheme="minorEastAsia" w:hAnsiTheme="minorEastAsia"/>
        </w:rPr>
        <w:t>的管理费</w:t>
      </w:r>
      <w:r w:rsidRPr="00721084">
        <w:rPr>
          <w:rFonts w:asciiTheme="minorEastAsia" w:eastAsiaTheme="minorEastAsia" w:hAnsiTheme="minorEastAsia" w:hint="eastAsia"/>
        </w:rPr>
        <w:t>按前一日</w:t>
      </w:r>
      <w:r w:rsidRPr="00721084">
        <w:rPr>
          <w:rFonts w:asciiTheme="minorEastAsia" w:eastAsiaTheme="minorEastAsia" w:hAnsiTheme="minorEastAsia"/>
        </w:rPr>
        <w:t>基金资产净值</w:t>
      </w:r>
      <w:r w:rsidR="00CA5178" w:rsidRPr="00721084">
        <w:rPr>
          <w:rFonts w:asciiTheme="minorEastAsia" w:eastAsiaTheme="minorEastAsia" w:hAnsiTheme="minorEastAsia" w:hint="eastAsia"/>
        </w:rPr>
        <w:t>1.</w:t>
      </w:r>
      <w:r w:rsidR="00DD6640" w:rsidRPr="00721084">
        <w:rPr>
          <w:rFonts w:asciiTheme="minorEastAsia" w:eastAsiaTheme="minorEastAsia" w:hAnsiTheme="minorEastAsia" w:hint="eastAsia"/>
        </w:rPr>
        <w:t>5</w:t>
      </w:r>
      <w:r w:rsidRPr="00721084">
        <w:rPr>
          <w:rFonts w:asciiTheme="minorEastAsia" w:eastAsiaTheme="minorEastAsia" w:hAnsiTheme="minorEastAsia"/>
        </w:rPr>
        <w:t>%</w:t>
      </w:r>
      <w:r w:rsidRPr="00721084">
        <w:rPr>
          <w:rFonts w:asciiTheme="minorEastAsia" w:eastAsiaTheme="minorEastAsia" w:hAnsiTheme="minorEastAsia" w:hint="eastAsia"/>
        </w:rPr>
        <w:t>的</w:t>
      </w:r>
      <w:r w:rsidRPr="00721084">
        <w:rPr>
          <w:rFonts w:asciiTheme="minorEastAsia" w:eastAsiaTheme="minorEastAsia" w:hAnsiTheme="minorEastAsia"/>
        </w:rPr>
        <w:t>年费率计提。计算方法如下：</w:t>
      </w:r>
    </w:p>
    <w:p w:rsidR="00EC4BAC" w:rsidRPr="00721084" w:rsidRDefault="00EC4BA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H＝E×</w:t>
      </w:r>
      <w:r w:rsidR="00CA5178" w:rsidRPr="00721084">
        <w:rPr>
          <w:rFonts w:asciiTheme="minorEastAsia" w:eastAsiaTheme="minorEastAsia" w:hAnsiTheme="minorEastAsia" w:hint="eastAsia"/>
        </w:rPr>
        <w:t>1.</w:t>
      </w:r>
      <w:r w:rsidR="00DD6640" w:rsidRPr="00721084">
        <w:rPr>
          <w:rFonts w:asciiTheme="minorEastAsia" w:eastAsiaTheme="minorEastAsia" w:hAnsiTheme="minorEastAsia" w:hint="eastAsia"/>
        </w:rPr>
        <w:t>5</w:t>
      </w:r>
      <w:r w:rsidRPr="00721084">
        <w:rPr>
          <w:rFonts w:asciiTheme="minorEastAsia" w:eastAsiaTheme="minorEastAsia" w:hAnsiTheme="minorEastAsia"/>
        </w:rPr>
        <w:t>%</w:t>
      </w:r>
      <w:r w:rsidRPr="00721084">
        <w:rPr>
          <w:rFonts w:asciiTheme="minorEastAsia" w:eastAsiaTheme="minorEastAsia" w:hAnsiTheme="minorEastAsia" w:hint="eastAsia"/>
        </w:rPr>
        <w:t>÷</w:t>
      </w:r>
      <w:r w:rsidRPr="00721084">
        <w:rPr>
          <w:rFonts w:asciiTheme="minorEastAsia" w:eastAsiaTheme="minorEastAsia" w:hAnsiTheme="minorEastAsia"/>
        </w:rPr>
        <w:t>当年天数</w:t>
      </w:r>
    </w:p>
    <w:p w:rsidR="00EC4BAC" w:rsidRPr="00721084" w:rsidRDefault="00EC4BA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H为每日应</w:t>
      </w:r>
      <w:r w:rsidRPr="00721084">
        <w:rPr>
          <w:rFonts w:asciiTheme="minorEastAsia" w:eastAsiaTheme="minorEastAsia" w:hAnsiTheme="minorEastAsia" w:hint="eastAsia"/>
        </w:rPr>
        <w:t>计提</w:t>
      </w:r>
      <w:r w:rsidRPr="00721084">
        <w:rPr>
          <w:rFonts w:asciiTheme="minorEastAsia" w:eastAsiaTheme="minorEastAsia" w:hAnsiTheme="minorEastAsia"/>
        </w:rPr>
        <w:t>的</w:t>
      </w:r>
      <w:r w:rsidRPr="00721084">
        <w:rPr>
          <w:rFonts w:asciiTheme="minorEastAsia" w:eastAsiaTheme="minorEastAsia" w:hAnsiTheme="minorEastAsia" w:hint="eastAsia"/>
        </w:rPr>
        <w:t>基金</w:t>
      </w:r>
      <w:r w:rsidRPr="00721084">
        <w:rPr>
          <w:rFonts w:asciiTheme="minorEastAsia" w:eastAsiaTheme="minorEastAsia" w:hAnsiTheme="minorEastAsia"/>
        </w:rPr>
        <w:t>的管理费</w:t>
      </w:r>
    </w:p>
    <w:p w:rsidR="00EC4BAC" w:rsidRPr="00721084" w:rsidRDefault="00EC4BA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E</w:t>
      </w:r>
      <w:r w:rsidRPr="00721084">
        <w:rPr>
          <w:rFonts w:asciiTheme="minorEastAsia" w:eastAsiaTheme="minorEastAsia" w:hAnsiTheme="minorEastAsia"/>
        </w:rPr>
        <w:t>为前一日的基金资产净值</w:t>
      </w:r>
    </w:p>
    <w:p w:rsidR="0064594E" w:rsidRPr="00721084" w:rsidRDefault="00EC4BA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基金的管理费</w:t>
      </w:r>
      <w:r w:rsidRPr="00721084">
        <w:rPr>
          <w:rFonts w:asciiTheme="minorEastAsia" w:eastAsiaTheme="minorEastAsia" w:hAnsiTheme="minorEastAsia"/>
        </w:rPr>
        <w:t>每日计算</w:t>
      </w:r>
      <w:r w:rsidRPr="00721084">
        <w:rPr>
          <w:rFonts w:asciiTheme="minorEastAsia" w:eastAsiaTheme="minorEastAsia" w:hAnsiTheme="minorEastAsia" w:hint="eastAsia"/>
        </w:rPr>
        <w:t>，逐日累计至每月月末，</w:t>
      </w:r>
      <w:r w:rsidRPr="00721084">
        <w:rPr>
          <w:rFonts w:asciiTheme="minorEastAsia" w:eastAsiaTheme="minorEastAsia" w:hAnsiTheme="minorEastAsia"/>
        </w:rPr>
        <w:t>按月支付</w:t>
      </w:r>
      <w:r w:rsidRPr="00721084">
        <w:rPr>
          <w:rFonts w:asciiTheme="minorEastAsia" w:eastAsiaTheme="minorEastAsia" w:hAnsiTheme="minorEastAsia" w:hint="eastAsia"/>
        </w:rPr>
        <w:t>，由基金管理人向基金托管人发送基金管理费划款指令，</w:t>
      </w:r>
      <w:r w:rsidRPr="00721084">
        <w:rPr>
          <w:rFonts w:asciiTheme="minorEastAsia" w:eastAsiaTheme="minorEastAsia" w:hAnsiTheme="minorEastAsia"/>
        </w:rPr>
        <w:t>基金托管人</w:t>
      </w:r>
      <w:r w:rsidRPr="00721084">
        <w:rPr>
          <w:rFonts w:asciiTheme="minorEastAsia" w:eastAsiaTheme="minorEastAsia" w:hAnsiTheme="minorEastAsia" w:hint="eastAsia"/>
        </w:rPr>
        <w:t>复核后</w:t>
      </w:r>
      <w:r w:rsidRPr="00721084">
        <w:rPr>
          <w:rFonts w:asciiTheme="minorEastAsia" w:eastAsiaTheme="minorEastAsia" w:hAnsiTheme="minorEastAsia"/>
        </w:rPr>
        <w:t>于次月前</w:t>
      </w:r>
      <w:r w:rsidRPr="00721084">
        <w:rPr>
          <w:rFonts w:asciiTheme="minorEastAsia" w:eastAsiaTheme="minorEastAsia" w:hAnsiTheme="minorEastAsia" w:hint="eastAsia"/>
        </w:rPr>
        <w:t>2</w:t>
      </w:r>
      <w:r w:rsidRPr="00721084">
        <w:rPr>
          <w:rFonts w:asciiTheme="minorEastAsia" w:eastAsiaTheme="minorEastAsia" w:hAnsiTheme="minorEastAsia"/>
        </w:rPr>
        <w:t>个工作日内从基金</w:t>
      </w:r>
      <w:r w:rsidRPr="00721084">
        <w:rPr>
          <w:rFonts w:asciiTheme="minorEastAsia" w:eastAsiaTheme="minorEastAsia" w:hAnsiTheme="minorEastAsia" w:hint="eastAsia"/>
        </w:rPr>
        <w:t>财产</w:t>
      </w:r>
      <w:r w:rsidRPr="00721084">
        <w:rPr>
          <w:rFonts w:asciiTheme="minorEastAsia" w:eastAsiaTheme="minorEastAsia" w:hAnsiTheme="minorEastAsia"/>
        </w:rPr>
        <w:t>中一次性支付给基金管理人</w:t>
      </w:r>
      <w:r w:rsidRPr="00721084">
        <w:rPr>
          <w:rFonts w:asciiTheme="minorEastAsia" w:eastAsiaTheme="minorEastAsia" w:hAnsiTheme="minorEastAsia" w:hint="eastAsia"/>
        </w:rPr>
        <w:t>。</w:t>
      </w:r>
      <w:r w:rsidRPr="00721084">
        <w:rPr>
          <w:rFonts w:asciiTheme="minorEastAsia" w:eastAsiaTheme="minorEastAsia" w:hAnsiTheme="minorEastAsia"/>
        </w:rPr>
        <w:t>若遇法定节假日、</w:t>
      </w:r>
      <w:r w:rsidRPr="00721084">
        <w:rPr>
          <w:rFonts w:asciiTheme="minorEastAsia" w:eastAsiaTheme="minorEastAsia" w:hAnsiTheme="minorEastAsia" w:hint="eastAsia"/>
        </w:rPr>
        <w:t>公休假</w:t>
      </w:r>
      <w:r w:rsidRPr="00721084">
        <w:rPr>
          <w:rFonts w:asciiTheme="minorEastAsia" w:eastAsiaTheme="minorEastAsia" w:hAnsiTheme="minorEastAsia"/>
        </w:rPr>
        <w:t>等,支付日期顺延。</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（2）基金托管人的托管费</w:t>
      </w:r>
    </w:p>
    <w:p w:rsidR="00EC4BAC" w:rsidRPr="00721084" w:rsidRDefault="00EC4BA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w:t>
      </w:r>
      <w:r w:rsidRPr="00721084">
        <w:rPr>
          <w:rFonts w:asciiTheme="minorEastAsia" w:eastAsiaTheme="minorEastAsia" w:hAnsiTheme="minorEastAsia"/>
        </w:rPr>
        <w:t>基金的托管费</w:t>
      </w:r>
      <w:r w:rsidRPr="00721084">
        <w:rPr>
          <w:rFonts w:asciiTheme="minorEastAsia" w:eastAsiaTheme="minorEastAsia" w:hAnsiTheme="minorEastAsia" w:hint="eastAsia"/>
        </w:rPr>
        <w:t>（如基金托管人委托境外托管人，包括境外托管费）</w:t>
      </w:r>
      <w:r w:rsidRPr="00721084">
        <w:rPr>
          <w:rFonts w:asciiTheme="minorEastAsia" w:eastAsiaTheme="minorEastAsia" w:hAnsiTheme="minorEastAsia"/>
        </w:rPr>
        <w:t>按</w:t>
      </w:r>
      <w:r w:rsidRPr="00721084">
        <w:rPr>
          <w:rFonts w:asciiTheme="minorEastAsia" w:eastAsiaTheme="minorEastAsia" w:hAnsiTheme="minorEastAsia" w:hint="eastAsia"/>
        </w:rPr>
        <w:t>前一日</w:t>
      </w:r>
      <w:r w:rsidRPr="00721084">
        <w:rPr>
          <w:rFonts w:asciiTheme="minorEastAsia" w:eastAsiaTheme="minorEastAsia" w:hAnsiTheme="minorEastAsia"/>
        </w:rPr>
        <w:t>基金资产净值的</w:t>
      </w:r>
      <w:r w:rsidRPr="00721084">
        <w:rPr>
          <w:rFonts w:asciiTheme="minorEastAsia" w:eastAsiaTheme="minorEastAsia" w:hAnsiTheme="minorEastAsia" w:hint="eastAsia"/>
        </w:rPr>
        <w:t>0.35%</w:t>
      </w:r>
      <w:r w:rsidRPr="00721084">
        <w:rPr>
          <w:rFonts w:asciiTheme="minorEastAsia" w:eastAsiaTheme="minorEastAsia" w:hAnsiTheme="minorEastAsia"/>
        </w:rPr>
        <w:t>的年费率计提。</w:t>
      </w:r>
      <w:r w:rsidRPr="00721084">
        <w:rPr>
          <w:rFonts w:asciiTheme="minorEastAsia" w:eastAsiaTheme="minorEastAsia" w:hAnsiTheme="minorEastAsia" w:hint="eastAsia"/>
        </w:rPr>
        <w:t>托管费的</w:t>
      </w:r>
      <w:r w:rsidRPr="00721084">
        <w:rPr>
          <w:rFonts w:asciiTheme="minorEastAsia" w:eastAsiaTheme="minorEastAsia" w:hAnsiTheme="minorEastAsia"/>
        </w:rPr>
        <w:t>计算方法如下：</w:t>
      </w:r>
    </w:p>
    <w:p w:rsidR="00EC4BAC" w:rsidRPr="00721084" w:rsidRDefault="00EC4BA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H＝E×</w:t>
      </w:r>
      <w:r w:rsidRPr="00721084">
        <w:rPr>
          <w:rFonts w:asciiTheme="minorEastAsia" w:eastAsiaTheme="minorEastAsia" w:hAnsiTheme="minorEastAsia" w:hint="eastAsia"/>
        </w:rPr>
        <w:t>0.35%÷</w:t>
      </w:r>
      <w:r w:rsidRPr="00721084">
        <w:rPr>
          <w:rFonts w:asciiTheme="minorEastAsia" w:eastAsiaTheme="minorEastAsia" w:hAnsiTheme="minorEastAsia"/>
        </w:rPr>
        <w:t>当年天数</w:t>
      </w:r>
    </w:p>
    <w:p w:rsidR="00EC4BAC" w:rsidRPr="00721084" w:rsidRDefault="00EC4BA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H为每日应</w:t>
      </w:r>
      <w:r w:rsidRPr="00721084">
        <w:rPr>
          <w:rFonts w:asciiTheme="minorEastAsia" w:eastAsiaTheme="minorEastAsia" w:hAnsiTheme="minorEastAsia" w:hint="eastAsia"/>
        </w:rPr>
        <w:t>计提</w:t>
      </w:r>
      <w:r w:rsidRPr="00721084">
        <w:rPr>
          <w:rFonts w:asciiTheme="minorEastAsia" w:eastAsiaTheme="minorEastAsia" w:hAnsiTheme="minorEastAsia"/>
        </w:rPr>
        <w:t>的基金托管费</w:t>
      </w:r>
    </w:p>
    <w:p w:rsidR="00EC4BAC" w:rsidRPr="00721084" w:rsidRDefault="00EC4BA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E为前一日的基金资产净值</w:t>
      </w:r>
    </w:p>
    <w:p w:rsidR="0064594E" w:rsidRPr="00721084" w:rsidRDefault="00EC4BAC"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lastRenderedPageBreak/>
        <w:t>基金托管费每日计算</w:t>
      </w:r>
      <w:r w:rsidRPr="00721084">
        <w:rPr>
          <w:rFonts w:asciiTheme="minorEastAsia" w:eastAsiaTheme="minorEastAsia" w:hAnsiTheme="minorEastAsia" w:hint="eastAsia"/>
        </w:rPr>
        <w:t>，逐日累计至每月月末，</w:t>
      </w:r>
      <w:r w:rsidRPr="00721084">
        <w:rPr>
          <w:rFonts w:asciiTheme="minorEastAsia" w:eastAsiaTheme="minorEastAsia" w:hAnsiTheme="minorEastAsia"/>
        </w:rPr>
        <w:t>按月支付</w:t>
      </w:r>
      <w:r w:rsidRPr="00721084">
        <w:rPr>
          <w:rFonts w:asciiTheme="minorEastAsia" w:eastAsiaTheme="minorEastAsia" w:hAnsiTheme="minorEastAsia" w:hint="eastAsia"/>
        </w:rPr>
        <w:t>，</w:t>
      </w:r>
      <w:r w:rsidRPr="00721084">
        <w:rPr>
          <w:rFonts w:asciiTheme="minorEastAsia" w:eastAsiaTheme="minorEastAsia" w:hAnsiTheme="minorEastAsia"/>
        </w:rPr>
        <w:t>由</w:t>
      </w:r>
      <w:r w:rsidRPr="00721084">
        <w:rPr>
          <w:rFonts w:asciiTheme="minorEastAsia" w:eastAsiaTheme="minorEastAsia" w:hAnsiTheme="minorEastAsia" w:hint="eastAsia"/>
        </w:rPr>
        <w:t>基金管理人向基金托管人发送基金托管费划款指令，</w:t>
      </w:r>
      <w:r w:rsidRPr="00721084">
        <w:rPr>
          <w:rFonts w:asciiTheme="minorEastAsia" w:eastAsiaTheme="minorEastAsia" w:hAnsiTheme="minorEastAsia"/>
        </w:rPr>
        <w:t>基金托管人</w:t>
      </w:r>
      <w:r w:rsidRPr="00721084">
        <w:rPr>
          <w:rFonts w:asciiTheme="minorEastAsia" w:eastAsiaTheme="minorEastAsia" w:hAnsiTheme="minorEastAsia" w:hint="eastAsia"/>
        </w:rPr>
        <w:t>复核后</w:t>
      </w:r>
      <w:r w:rsidRPr="00721084">
        <w:rPr>
          <w:rFonts w:asciiTheme="minorEastAsia" w:eastAsiaTheme="minorEastAsia" w:hAnsiTheme="minorEastAsia"/>
        </w:rPr>
        <w:t>于次月前</w:t>
      </w:r>
      <w:r w:rsidRPr="00721084">
        <w:rPr>
          <w:rFonts w:asciiTheme="minorEastAsia" w:eastAsiaTheme="minorEastAsia" w:hAnsiTheme="minorEastAsia" w:hint="eastAsia"/>
        </w:rPr>
        <w:t>2</w:t>
      </w:r>
      <w:r w:rsidRPr="00721084">
        <w:rPr>
          <w:rFonts w:asciiTheme="minorEastAsia" w:eastAsiaTheme="minorEastAsia" w:hAnsiTheme="minorEastAsia"/>
        </w:rPr>
        <w:t>个工作日内从基金财产中一次性支取</w:t>
      </w:r>
      <w:r w:rsidRPr="00721084">
        <w:rPr>
          <w:rFonts w:asciiTheme="minorEastAsia" w:eastAsiaTheme="minorEastAsia" w:hAnsiTheme="minorEastAsia" w:hint="eastAsia"/>
        </w:rPr>
        <w:t>。</w:t>
      </w:r>
      <w:r w:rsidRPr="00721084">
        <w:rPr>
          <w:rFonts w:asciiTheme="minorEastAsia" w:eastAsiaTheme="minorEastAsia" w:hAnsiTheme="minorEastAsia"/>
        </w:rPr>
        <w:t>若遇法定节假日、</w:t>
      </w:r>
      <w:r w:rsidRPr="00721084">
        <w:rPr>
          <w:rFonts w:asciiTheme="minorEastAsia" w:eastAsiaTheme="minorEastAsia" w:hAnsiTheme="minorEastAsia" w:hint="eastAsia"/>
        </w:rPr>
        <w:t>公休日</w:t>
      </w:r>
      <w:r w:rsidRPr="00721084">
        <w:rPr>
          <w:rFonts w:asciiTheme="minorEastAsia" w:eastAsiaTheme="minorEastAsia" w:hAnsiTheme="minorEastAsia"/>
        </w:rPr>
        <w:t>等,支付日期顺延。</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rPr>
        <w:t>上述“</w:t>
      </w:r>
      <w:r w:rsidRPr="00721084">
        <w:rPr>
          <w:rFonts w:asciiTheme="minorEastAsia" w:eastAsiaTheme="minorEastAsia" w:hAnsiTheme="minorEastAsia" w:hint="eastAsia"/>
        </w:rPr>
        <w:t>1、</w:t>
      </w:r>
      <w:r w:rsidRPr="00721084">
        <w:rPr>
          <w:rFonts w:asciiTheme="minorEastAsia" w:eastAsiaTheme="minorEastAsia" w:hAnsiTheme="minorEastAsia"/>
        </w:rPr>
        <w:t>基金费用</w:t>
      </w:r>
      <w:r w:rsidRPr="00721084">
        <w:rPr>
          <w:rFonts w:asciiTheme="minorEastAsia" w:eastAsiaTheme="minorEastAsia" w:hAnsiTheme="minorEastAsia" w:hint="eastAsia"/>
        </w:rPr>
        <w:t>的种类</w:t>
      </w:r>
      <w:r w:rsidRPr="00721084">
        <w:rPr>
          <w:rFonts w:asciiTheme="minorEastAsia" w:eastAsiaTheme="minorEastAsia" w:hAnsiTheme="minorEastAsia"/>
        </w:rPr>
        <w:t>”中</w:t>
      </w:r>
      <w:r w:rsidR="00117144" w:rsidRPr="00721084">
        <w:rPr>
          <w:rFonts w:asciiTheme="minorEastAsia" w:eastAsiaTheme="minorEastAsia" w:hAnsiTheme="minorEastAsia"/>
        </w:rPr>
        <w:t>第</w:t>
      </w:r>
      <w:r w:rsidR="006A1D96" w:rsidRPr="00721084">
        <w:rPr>
          <w:rFonts w:asciiTheme="minorEastAsia" w:eastAsiaTheme="minorEastAsia" w:hAnsiTheme="minorEastAsia" w:hint="eastAsia"/>
        </w:rPr>
        <w:t>（</w:t>
      </w:r>
      <w:r w:rsidR="00117144" w:rsidRPr="00721084">
        <w:rPr>
          <w:rFonts w:asciiTheme="minorEastAsia" w:eastAsiaTheme="minorEastAsia" w:hAnsiTheme="minorEastAsia" w:hint="eastAsia"/>
        </w:rPr>
        <w:t>3</w:t>
      </w:r>
      <w:r w:rsidRPr="00721084">
        <w:rPr>
          <w:rFonts w:asciiTheme="minorEastAsia" w:eastAsiaTheme="minorEastAsia" w:hAnsiTheme="minorEastAsia" w:hint="eastAsia"/>
        </w:rPr>
        <w:t>）－</w:t>
      </w:r>
      <w:r w:rsidR="006A1D96" w:rsidRPr="00721084">
        <w:rPr>
          <w:rFonts w:asciiTheme="minorEastAsia" w:eastAsiaTheme="minorEastAsia" w:hAnsiTheme="minorEastAsia" w:hint="eastAsia"/>
        </w:rPr>
        <w:t>（</w:t>
      </w:r>
      <w:r w:rsidR="00A671D5" w:rsidRPr="00721084">
        <w:rPr>
          <w:rFonts w:asciiTheme="minorEastAsia" w:eastAsiaTheme="minorEastAsia" w:hAnsiTheme="minorEastAsia" w:hint="eastAsia"/>
        </w:rPr>
        <w:t>11</w:t>
      </w:r>
      <w:r w:rsidRPr="00721084">
        <w:rPr>
          <w:rFonts w:asciiTheme="minorEastAsia" w:eastAsiaTheme="minorEastAsia" w:hAnsiTheme="minorEastAsia" w:hint="eastAsia"/>
        </w:rPr>
        <w:t>）</w:t>
      </w:r>
      <w:r w:rsidRPr="00721084">
        <w:rPr>
          <w:rFonts w:asciiTheme="minorEastAsia" w:eastAsiaTheme="minorEastAsia" w:hAnsiTheme="minorEastAsia"/>
        </w:rPr>
        <w:t>项费用</w:t>
      </w:r>
      <w:r w:rsidRPr="00721084">
        <w:rPr>
          <w:rFonts w:asciiTheme="minorEastAsia" w:eastAsiaTheme="minorEastAsia" w:hAnsiTheme="minorEastAsia" w:hint="eastAsia"/>
        </w:rPr>
        <w:t>，</w:t>
      </w:r>
      <w:r w:rsidRPr="00721084">
        <w:rPr>
          <w:rFonts w:asciiTheme="minorEastAsia" w:eastAsiaTheme="minorEastAsia" w:hAnsiTheme="minorEastAsia"/>
        </w:rPr>
        <w:t>根据有关法规及相应协议规定</w:t>
      </w:r>
      <w:r w:rsidRPr="00721084">
        <w:rPr>
          <w:rFonts w:asciiTheme="minorEastAsia" w:eastAsiaTheme="minorEastAsia" w:hAnsiTheme="minorEastAsia" w:hint="eastAsia"/>
        </w:rPr>
        <w:t>，</w:t>
      </w:r>
      <w:r w:rsidRPr="00721084">
        <w:rPr>
          <w:rFonts w:asciiTheme="minorEastAsia" w:eastAsiaTheme="minorEastAsia" w:hAnsiTheme="minorEastAsia"/>
        </w:rPr>
        <w:t>按费用实际支出金额列入当期费用</w:t>
      </w:r>
      <w:r w:rsidRPr="00721084">
        <w:rPr>
          <w:rFonts w:asciiTheme="minorEastAsia" w:eastAsiaTheme="minorEastAsia" w:hAnsiTheme="minorEastAsia" w:hint="eastAsia"/>
        </w:rPr>
        <w:t>，</w:t>
      </w:r>
      <w:r w:rsidRPr="00721084">
        <w:rPr>
          <w:rFonts w:asciiTheme="minorEastAsia" w:eastAsiaTheme="minorEastAsia" w:hAnsiTheme="minorEastAsia"/>
        </w:rPr>
        <w:t>由基金托管人从基金财产中支付。</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不列入基金费用的项目</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下列费用不列入基金费用：</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（1）基金管理人和基金托管人因未履行或未完全履行义务导致的费用支出或基金财产的损失；</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（2）基金管理人和基金托管人处理与基金运作无关的事项发生的费用；</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（3）基金合同生效前的相关费用，包括但不限于验资费、会计师和律师费、信息披露费用等费用；</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（4）其他根据相关法律法规及中国证监会的有关规定不得列入基金费用的项目。</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6A1D96"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基金费用的调整</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基金管理人和基金托管人协商一致后，可根据基金发展情况调整基金管理费率、基金托管费率等相关费率。</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调高基金管理费率和基金托管费率，须召开基金份额持有人大会审议，除非基金合同、相关法律法规或监管机构另有规定；调低基金管理费率和基金托管费率，无须召开基金份额持有人大会。</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基金管理人必须最迟于新的费率实施日前2日在</w:t>
      </w:r>
      <w:r w:rsidR="00BD3F77"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公告。</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70" w:name="_Toc44351107"/>
      <w:r w:rsidRPr="00721084">
        <w:rPr>
          <w:rFonts w:asciiTheme="minorEastAsia" w:eastAsiaTheme="minorEastAsia" w:hAnsiTheme="minorEastAsia" w:hint="eastAsia"/>
          <w:b w:val="0"/>
        </w:rPr>
        <w:t>二</w:t>
      </w:r>
      <w:r w:rsidR="00E27F93"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与基金销售有关的费用</w:t>
      </w:r>
      <w:bookmarkEnd w:id="170"/>
    </w:p>
    <w:p w:rsidR="0066166E" w:rsidRPr="00721084" w:rsidRDefault="006A1D96"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1、</w:t>
      </w:r>
      <w:r w:rsidR="0066166E" w:rsidRPr="00721084">
        <w:rPr>
          <w:rFonts w:asciiTheme="minorEastAsia" w:eastAsiaTheme="minorEastAsia" w:hAnsiTheme="minorEastAsia" w:hint="eastAsia"/>
        </w:rPr>
        <w:t>申购费</w:t>
      </w:r>
    </w:p>
    <w:p w:rsidR="009B4EDA" w:rsidRPr="00721084" w:rsidRDefault="009B4EDA"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（1）申购费率</w:t>
      </w:r>
    </w:p>
    <w:p w:rsidR="009B4EDA" w:rsidRPr="00721084" w:rsidRDefault="009B4EDA"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本基金对通过</w:t>
      </w:r>
      <w:r w:rsidR="00764FB0" w:rsidRPr="00721084">
        <w:rPr>
          <w:rFonts w:asciiTheme="minorEastAsia" w:eastAsiaTheme="minorEastAsia" w:hAnsiTheme="minorEastAsia" w:hint="eastAsia"/>
        </w:rPr>
        <w:t>本</w:t>
      </w:r>
      <w:r w:rsidR="00764FB0" w:rsidRPr="00721084">
        <w:rPr>
          <w:rFonts w:asciiTheme="minorEastAsia" w:eastAsiaTheme="minorEastAsia" w:hAnsiTheme="minorEastAsia"/>
        </w:rPr>
        <w:t>公司</w:t>
      </w:r>
      <w:r w:rsidRPr="00721084">
        <w:rPr>
          <w:rFonts w:asciiTheme="minorEastAsia" w:eastAsiaTheme="minorEastAsia" w:hAnsiTheme="minorEastAsia" w:hint="eastAsia"/>
        </w:rPr>
        <w:t>直销中心申购的特定投资群体与除此之外的其他投资者实施差别的申购费率。</w:t>
      </w:r>
    </w:p>
    <w:p w:rsidR="009B4EDA" w:rsidRPr="00721084" w:rsidRDefault="009B4EDA"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9B4EDA" w:rsidRPr="00721084" w:rsidRDefault="009B4EDA"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通过基金管理人的直销中心申购本基金的</w:t>
      </w:r>
      <w:r w:rsidRPr="00721084">
        <w:rPr>
          <w:rFonts w:asciiTheme="minorEastAsia" w:eastAsiaTheme="minorEastAsia" w:hAnsiTheme="minorEastAsia" w:hint="eastAsia"/>
        </w:rPr>
        <w:t>特定投资群体</w:t>
      </w:r>
      <w:r w:rsidRPr="00721084">
        <w:rPr>
          <w:rFonts w:asciiTheme="minorEastAsia" w:eastAsiaTheme="minorEastAsia" w:hAnsiTheme="minorEastAsia" w:hint="eastAsia"/>
          <w:szCs w:val="21"/>
        </w:rPr>
        <w:t>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3338"/>
      </w:tblGrid>
      <w:tr w:rsidR="00721084" w:rsidRPr="00721084"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2"/>
              <w:jc w:val="center"/>
              <w:rPr>
                <w:rFonts w:asciiTheme="minorEastAsia" w:eastAsiaTheme="minorEastAsia" w:hAnsiTheme="minorEastAsia" w:cs="宋体"/>
                <w:b/>
                <w:kern w:val="0"/>
                <w:szCs w:val="21"/>
              </w:rPr>
            </w:pPr>
            <w:r w:rsidRPr="00721084">
              <w:rPr>
                <w:rFonts w:asciiTheme="minorEastAsia" w:eastAsiaTheme="minorEastAsia" w:hAnsiTheme="minorEastAsia" w:cs="宋体" w:hint="eastAsia"/>
                <w:b/>
                <w:kern w:val="0"/>
                <w:szCs w:val="21"/>
              </w:rPr>
              <w:t>申购金额（元）(含申购费)</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2"/>
              <w:jc w:val="center"/>
              <w:rPr>
                <w:rFonts w:asciiTheme="minorEastAsia" w:eastAsiaTheme="minorEastAsia" w:hAnsiTheme="minorEastAsia" w:cs="宋体"/>
                <w:b/>
                <w:kern w:val="0"/>
                <w:szCs w:val="21"/>
              </w:rPr>
            </w:pPr>
            <w:r w:rsidRPr="00721084">
              <w:rPr>
                <w:rFonts w:asciiTheme="minorEastAsia" w:eastAsiaTheme="minorEastAsia" w:hAnsiTheme="minorEastAsia" w:cs="宋体" w:hint="eastAsia"/>
                <w:b/>
                <w:kern w:val="0"/>
                <w:szCs w:val="21"/>
              </w:rPr>
              <w:t>申购费率</w:t>
            </w:r>
          </w:p>
        </w:tc>
      </w:tr>
      <w:tr w:rsidR="00721084" w:rsidRPr="00721084"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100万元以下</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0.16%</w:t>
            </w:r>
          </w:p>
        </w:tc>
      </w:tr>
      <w:tr w:rsidR="00721084" w:rsidRPr="00721084"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lastRenderedPageBreak/>
              <w:t>100万元(含)-500万元</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0.12%</w:t>
            </w:r>
          </w:p>
        </w:tc>
      </w:tr>
      <w:tr w:rsidR="00721084" w:rsidRPr="00721084"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500万元(含)-1000万元</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0.03%</w:t>
            </w:r>
          </w:p>
        </w:tc>
      </w:tr>
      <w:tr w:rsidR="00721084" w:rsidRPr="00721084" w:rsidTr="006A1D96">
        <w:trPr>
          <w:jc w:val="center"/>
        </w:trPr>
        <w:tc>
          <w:tcPr>
            <w:tcW w:w="3716"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1000万元（含）以上</w:t>
            </w:r>
          </w:p>
        </w:tc>
        <w:tc>
          <w:tcPr>
            <w:tcW w:w="3338" w:type="dxa"/>
            <w:tcBorders>
              <w:top w:val="single" w:sz="4" w:space="0" w:color="auto"/>
              <w:left w:val="single" w:sz="4" w:space="0" w:color="auto"/>
              <w:bottom w:val="single" w:sz="4" w:space="0" w:color="auto"/>
              <w:right w:val="single" w:sz="4" w:space="0" w:color="auto"/>
            </w:tcBorders>
            <w:vAlign w:val="center"/>
            <w:hideMark/>
          </w:tcPr>
          <w:p w:rsidR="009B4EDA" w:rsidRPr="00721084" w:rsidRDefault="009B4EDA" w:rsidP="00CE3F81">
            <w:pPr>
              <w:widowControl/>
              <w:snapToGrid w:val="0"/>
              <w:spacing w:line="360" w:lineRule="auto"/>
              <w:ind w:firstLineChars="200" w:firstLine="420"/>
              <w:jc w:val="center"/>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每笔1000元</w:t>
            </w:r>
          </w:p>
        </w:tc>
      </w:tr>
    </w:tbl>
    <w:p w:rsidR="0066166E" w:rsidRPr="00721084" w:rsidRDefault="009B4EDA"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szCs w:val="21"/>
        </w:rPr>
        <w:t>其他投资者申购本基金的申购费率见下表：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420"/>
      </w:tblGrid>
      <w:tr w:rsidR="006D35EC" w:rsidRPr="00721084" w:rsidTr="006A1D96">
        <w:trPr>
          <w:jc w:val="center"/>
        </w:trPr>
        <w:tc>
          <w:tcPr>
            <w:tcW w:w="3708" w:type="dxa"/>
            <w:vAlign w:val="center"/>
          </w:tcPr>
          <w:p w:rsidR="0066166E" w:rsidRPr="00721084" w:rsidRDefault="0066166E" w:rsidP="00CE3F81">
            <w:pPr>
              <w:snapToGrid w:val="0"/>
              <w:spacing w:line="360" w:lineRule="auto"/>
              <w:ind w:firstLineChars="200" w:firstLine="422"/>
              <w:jc w:val="center"/>
              <w:rPr>
                <w:rFonts w:asciiTheme="minorEastAsia" w:eastAsiaTheme="minorEastAsia" w:hAnsiTheme="minorEastAsia"/>
                <w:szCs w:val="21"/>
              </w:rPr>
            </w:pPr>
            <w:r w:rsidRPr="00721084">
              <w:rPr>
                <w:rFonts w:asciiTheme="minorEastAsia" w:eastAsiaTheme="minorEastAsia" w:hAnsiTheme="minorEastAsia" w:hint="eastAsia"/>
                <w:b/>
                <w:kern w:val="0"/>
                <w:szCs w:val="21"/>
              </w:rPr>
              <w:t>申购金额（元）（含申购费）</w:t>
            </w:r>
          </w:p>
        </w:tc>
        <w:tc>
          <w:tcPr>
            <w:tcW w:w="3420" w:type="dxa"/>
            <w:vAlign w:val="center"/>
          </w:tcPr>
          <w:p w:rsidR="0066166E" w:rsidRPr="00721084" w:rsidRDefault="0066166E" w:rsidP="00CE3F81">
            <w:pPr>
              <w:snapToGrid w:val="0"/>
              <w:spacing w:line="360" w:lineRule="auto"/>
              <w:ind w:firstLineChars="200" w:firstLine="422"/>
              <w:jc w:val="center"/>
              <w:rPr>
                <w:rFonts w:asciiTheme="minorEastAsia" w:eastAsiaTheme="minorEastAsia" w:hAnsiTheme="minorEastAsia"/>
                <w:szCs w:val="21"/>
              </w:rPr>
            </w:pPr>
            <w:r w:rsidRPr="00721084">
              <w:rPr>
                <w:rFonts w:asciiTheme="minorEastAsia" w:eastAsiaTheme="minorEastAsia" w:hAnsiTheme="minorEastAsia" w:hint="eastAsia"/>
                <w:b/>
                <w:kern w:val="0"/>
                <w:szCs w:val="21"/>
              </w:rPr>
              <w:t>申购费率</w:t>
            </w:r>
          </w:p>
        </w:tc>
      </w:tr>
      <w:tr w:rsidR="006D35EC" w:rsidRPr="00721084" w:rsidTr="006A1D96">
        <w:trPr>
          <w:jc w:val="center"/>
        </w:trPr>
        <w:tc>
          <w:tcPr>
            <w:tcW w:w="3708" w:type="dxa"/>
            <w:vAlign w:val="center"/>
          </w:tcPr>
          <w:p w:rsidR="00743A93" w:rsidRPr="00721084" w:rsidRDefault="00743A93"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100万</w:t>
            </w:r>
            <w:r w:rsidRPr="00721084">
              <w:rPr>
                <w:rFonts w:asciiTheme="minorEastAsia" w:eastAsiaTheme="minorEastAsia" w:hAnsiTheme="minorEastAsia" w:hint="eastAsia"/>
              </w:rPr>
              <w:t>元</w:t>
            </w:r>
            <w:r w:rsidRPr="00721084">
              <w:rPr>
                <w:rFonts w:asciiTheme="minorEastAsia" w:eastAsiaTheme="minorEastAsia" w:hAnsiTheme="minorEastAsia"/>
              </w:rPr>
              <w:t>以下</w:t>
            </w:r>
          </w:p>
        </w:tc>
        <w:tc>
          <w:tcPr>
            <w:tcW w:w="3420" w:type="dxa"/>
            <w:vAlign w:val="center"/>
          </w:tcPr>
          <w:p w:rsidR="00743A93" w:rsidRPr="00721084" w:rsidRDefault="00743A93"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w:t>
            </w:r>
            <w:r w:rsidRPr="00721084">
              <w:rPr>
                <w:rFonts w:asciiTheme="minorEastAsia" w:eastAsiaTheme="minorEastAsia" w:hAnsiTheme="minorEastAsia" w:hint="eastAsia"/>
              </w:rPr>
              <w:t>.6</w:t>
            </w:r>
            <w:r w:rsidRPr="00721084">
              <w:rPr>
                <w:rFonts w:asciiTheme="minorEastAsia" w:eastAsiaTheme="minorEastAsia" w:hAnsiTheme="minorEastAsia"/>
              </w:rPr>
              <w:t>%</w:t>
            </w:r>
          </w:p>
        </w:tc>
      </w:tr>
      <w:tr w:rsidR="006D35EC" w:rsidRPr="00721084" w:rsidTr="006A1D96">
        <w:trPr>
          <w:jc w:val="center"/>
        </w:trPr>
        <w:tc>
          <w:tcPr>
            <w:tcW w:w="3708" w:type="dxa"/>
            <w:vAlign w:val="center"/>
          </w:tcPr>
          <w:p w:rsidR="00743A93" w:rsidRPr="00721084" w:rsidRDefault="00743A93"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100万</w:t>
            </w:r>
            <w:r w:rsidRPr="00721084">
              <w:rPr>
                <w:rFonts w:asciiTheme="minorEastAsia" w:eastAsiaTheme="minorEastAsia" w:hAnsiTheme="minorEastAsia" w:hint="eastAsia"/>
              </w:rPr>
              <w:t>元</w:t>
            </w:r>
            <w:r w:rsidRPr="00721084">
              <w:rPr>
                <w:rFonts w:asciiTheme="minorEastAsia" w:eastAsiaTheme="minorEastAsia" w:hAnsiTheme="minorEastAsia"/>
              </w:rPr>
              <w:t>(含)-</w:t>
            </w:r>
            <w:r w:rsidRPr="00721084">
              <w:rPr>
                <w:rFonts w:asciiTheme="minorEastAsia" w:eastAsiaTheme="minorEastAsia" w:hAnsiTheme="minorEastAsia" w:hint="eastAsia"/>
              </w:rPr>
              <w:t>5</w:t>
            </w:r>
            <w:r w:rsidRPr="00721084">
              <w:rPr>
                <w:rFonts w:asciiTheme="minorEastAsia" w:eastAsiaTheme="minorEastAsia" w:hAnsiTheme="minorEastAsia"/>
              </w:rPr>
              <w:t>00万</w:t>
            </w:r>
            <w:r w:rsidRPr="00721084">
              <w:rPr>
                <w:rFonts w:asciiTheme="minorEastAsia" w:eastAsiaTheme="minorEastAsia" w:hAnsiTheme="minorEastAsia" w:hint="eastAsia"/>
              </w:rPr>
              <w:t>元</w:t>
            </w:r>
          </w:p>
        </w:tc>
        <w:tc>
          <w:tcPr>
            <w:tcW w:w="3420" w:type="dxa"/>
            <w:vAlign w:val="center"/>
          </w:tcPr>
          <w:p w:rsidR="00743A93" w:rsidRPr="00721084" w:rsidRDefault="00743A93"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hint="eastAsia"/>
              </w:rPr>
              <w:t>1.2%</w:t>
            </w:r>
          </w:p>
        </w:tc>
      </w:tr>
      <w:tr w:rsidR="006D35EC" w:rsidRPr="00721084" w:rsidTr="006A1D96">
        <w:trPr>
          <w:jc w:val="center"/>
        </w:trPr>
        <w:tc>
          <w:tcPr>
            <w:tcW w:w="3708" w:type="dxa"/>
            <w:vAlign w:val="center"/>
          </w:tcPr>
          <w:p w:rsidR="00743A93" w:rsidRPr="00721084" w:rsidRDefault="00743A93"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hint="eastAsia"/>
              </w:rPr>
              <w:t>5</w:t>
            </w:r>
            <w:r w:rsidRPr="00721084">
              <w:rPr>
                <w:rFonts w:asciiTheme="minorEastAsia" w:eastAsiaTheme="minorEastAsia" w:hAnsiTheme="minorEastAsia"/>
              </w:rPr>
              <w:t>00万</w:t>
            </w:r>
            <w:r w:rsidRPr="00721084">
              <w:rPr>
                <w:rFonts w:asciiTheme="minorEastAsia" w:eastAsiaTheme="minorEastAsia" w:hAnsiTheme="minorEastAsia" w:hint="eastAsia"/>
              </w:rPr>
              <w:t>元</w:t>
            </w:r>
            <w:r w:rsidRPr="00721084">
              <w:rPr>
                <w:rFonts w:asciiTheme="minorEastAsia" w:eastAsiaTheme="minorEastAsia" w:hAnsiTheme="minorEastAsia"/>
              </w:rPr>
              <w:t>(含)-</w:t>
            </w:r>
            <w:r w:rsidRPr="00721084">
              <w:rPr>
                <w:rFonts w:asciiTheme="minorEastAsia" w:eastAsiaTheme="minorEastAsia" w:hAnsiTheme="minorEastAsia" w:hint="eastAsia"/>
              </w:rPr>
              <w:t>10</w:t>
            </w:r>
            <w:r w:rsidRPr="00721084">
              <w:rPr>
                <w:rFonts w:asciiTheme="minorEastAsia" w:eastAsiaTheme="minorEastAsia" w:hAnsiTheme="minorEastAsia"/>
              </w:rPr>
              <w:t>00万</w:t>
            </w:r>
            <w:r w:rsidRPr="00721084">
              <w:rPr>
                <w:rFonts w:asciiTheme="minorEastAsia" w:eastAsiaTheme="minorEastAsia" w:hAnsiTheme="minorEastAsia" w:hint="eastAsia"/>
              </w:rPr>
              <w:t>元</w:t>
            </w:r>
          </w:p>
        </w:tc>
        <w:tc>
          <w:tcPr>
            <w:tcW w:w="3420" w:type="dxa"/>
            <w:vAlign w:val="center"/>
          </w:tcPr>
          <w:p w:rsidR="00743A93" w:rsidRPr="00721084" w:rsidRDefault="00743A93"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hint="eastAsia"/>
              </w:rPr>
              <w:t>0.3%</w:t>
            </w:r>
          </w:p>
        </w:tc>
      </w:tr>
      <w:tr w:rsidR="006D35EC" w:rsidRPr="00721084" w:rsidTr="006A1D96">
        <w:trPr>
          <w:jc w:val="center"/>
        </w:trPr>
        <w:tc>
          <w:tcPr>
            <w:tcW w:w="3708" w:type="dxa"/>
            <w:vAlign w:val="center"/>
          </w:tcPr>
          <w:p w:rsidR="00743A93" w:rsidRPr="00721084" w:rsidRDefault="00743A93"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hint="eastAsia"/>
              </w:rPr>
              <w:t>10</w:t>
            </w:r>
            <w:r w:rsidRPr="00721084">
              <w:rPr>
                <w:rFonts w:asciiTheme="minorEastAsia" w:eastAsiaTheme="minorEastAsia" w:hAnsiTheme="minorEastAsia"/>
              </w:rPr>
              <w:t>00万</w:t>
            </w:r>
            <w:r w:rsidRPr="00721084">
              <w:rPr>
                <w:rFonts w:asciiTheme="minorEastAsia" w:eastAsiaTheme="minorEastAsia" w:hAnsiTheme="minorEastAsia" w:hint="eastAsia"/>
              </w:rPr>
              <w:t>元</w:t>
            </w:r>
            <w:r w:rsidRPr="00721084">
              <w:rPr>
                <w:rFonts w:asciiTheme="minorEastAsia" w:eastAsiaTheme="minorEastAsia" w:hAnsiTheme="minorEastAsia"/>
              </w:rPr>
              <w:t>（含）以上</w:t>
            </w:r>
          </w:p>
        </w:tc>
        <w:tc>
          <w:tcPr>
            <w:tcW w:w="3420" w:type="dxa"/>
            <w:vAlign w:val="center"/>
          </w:tcPr>
          <w:p w:rsidR="00743A93" w:rsidRPr="00721084" w:rsidRDefault="00743A93" w:rsidP="00CE3F81">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hint="eastAsia"/>
              </w:rPr>
              <w:t>每笔1000元</w:t>
            </w:r>
          </w:p>
        </w:tc>
      </w:tr>
    </w:tbl>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（2）申购费的收取方式和用途</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在申购费按金额分档的情况下，如果投资者多次申购，申购费适用单笔申购金额所对应的费率。</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rPr>
        <w:t>申购费用</w:t>
      </w:r>
      <w:r w:rsidRPr="00721084">
        <w:rPr>
          <w:rFonts w:asciiTheme="minorEastAsia" w:eastAsiaTheme="minorEastAsia" w:hAnsiTheme="minorEastAsia" w:hint="eastAsia"/>
        </w:rPr>
        <w:t>由申购基金份额的基金投资人承担，不列入基金财产，</w:t>
      </w:r>
      <w:r w:rsidRPr="00721084">
        <w:rPr>
          <w:rFonts w:asciiTheme="minorEastAsia" w:eastAsiaTheme="minorEastAsia" w:hAnsiTheme="minorEastAsia"/>
        </w:rPr>
        <w:t>用于本基金的市场推广、销售、注册登记等各项费用。</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（3）申购份额的计算方式</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本基金的申购金额包括申购费用和净申购金额，其中：</w:t>
      </w:r>
    </w:p>
    <w:p w:rsidR="0066166E" w:rsidRPr="00721084" w:rsidRDefault="0066166E"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净申购金额=申购金额/（1+申购费率）</w:t>
      </w:r>
    </w:p>
    <w:p w:rsidR="0066166E" w:rsidRPr="00721084" w:rsidRDefault="0066166E"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申购费用=申购金额-净申购金额</w:t>
      </w:r>
    </w:p>
    <w:p w:rsidR="0066166E" w:rsidRPr="00721084" w:rsidRDefault="0066166E"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申购份额=净申购金额/申购当日基金份额净值</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szCs w:val="21"/>
        </w:rPr>
        <w:t>对于1000万元</w:t>
      </w:r>
      <w:r w:rsidRPr="00721084">
        <w:rPr>
          <w:rFonts w:asciiTheme="minorEastAsia" w:eastAsiaTheme="minorEastAsia" w:hAnsiTheme="minorEastAsia" w:hint="eastAsia"/>
        </w:rPr>
        <w:t>（含）以上的申购，净申购金额=</w:t>
      </w:r>
      <w:r w:rsidRPr="00721084">
        <w:rPr>
          <w:rFonts w:asciiTheme="minorEastAsia" w:eastAsiaTheme="minorEastAsia" w:hAnsiTheme="minorEastAsia" w:hint="eastAsia"/>
          <w:szCs w:val="21"/>
        </w:rPr>
        <w:t>申</w:t>
      </w:r>
      <w:r w:rsidRPr="00721084">
        <w:rPr>
          <w:rFonts w:asciiTheme="minorEastAsia" w:eastAsiaTheme="minorEastAsia" w:hAnsiTheme="minorEastAsia" w:hint="eastAsia"/>
        </w:rPr>
        <w:t>购金额-绝对数额的</w:t>
      </w:r>
      <w:r w:rsidRPr="00721084">
        <w:rPr>
          <w:rFonts w:asciiTheme="minorEastAsia" w:eastAsiaTheme="minorEastAsia" w:hAnsiTheme="minorEastAsia" w:hint="eastAsia"/>
          <w:szCs w:val="21"/>
        </w:rPr>
        <w:t>申</w:t>
      </w:r>
      <w:r w:rsidRPr="00721084">
        <w:rPr>
          <w:rFonts w:asciiTheme="minorEastAsia" w:eastAsiaTheme="minorEastAsia" w:hAnsiTheme="minorEastAsia" w:hint="eastAsia"/>
        </w:rPr>
        <w:t>购费金额</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申购费用以人民币元为单位，四舍五入，保留至小数点后二位；申购份数采取四舍五入的方法保留小数点后二位，由此产生的误差计入基金财产。</w:t>
      </w:r>
    </w:p>
    <w:p w:rsidR="0066166E" w:rsidRPr="00721084" w:rsidRDefault="006A1D96"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2、</w:t>
      </w:r>
      <w:r w:rsidR="0066166E" w:rsidRPr="00721084">
        <w:rPr>
          <w:rFonts w:asciiTheme="minorEastAsia" w:eastAsiaTheme="minorEastAsia" w:hAnsiTheme="minorEastAsia" w:hint="eastAsia"/>
        </w:rPr>
        <w:t>赎回费</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rPr>
        <w:t>赎回</w:t>
      </w:r>
      <w:r w:rsidRPr="00721084">
        <w:rPr>
          <w:rFonts w:asciiTheme="minorEastAsia" w:eastAsiaTheme="minorEastAsia" w:hAnsiTheme="minorEastAsia" w:hint="eastAsia"/>
        </w:rPr>
        <w:t>费率为</w:t>
      </w:r>
      <w:r w:rsidRPr="00721084">
        <w:rPr>
          <w:rFonts w:asciiTheme="minorEastAsia" w:eastAsiaTheme="minorEastAsia" w:hAnsiTheme="minor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585"/>
      </w:tblGrid>
      <w:tr w:rsidR="006D35EC" w:rsidRPr="00721084" w:rsidTr="006A1D96">
        <w:trPr>
          <w:jc w:val="center"/>
        </w:trPr>
        <w:tc>
          <w:tcPr>
            <w:tcW w:w="3543" w:type="dxa"/>
            <w:vAlign w:val="center"/>
          </w:tcPr>
          <w:p w:rsidR="0066166E" w:rsidRPr="00721084" w:rsidRDefault="0066166E" w:rsidP="00CE3F81">
            <w:pPr>
              <w:widowControl/>
              <w:snapToGrid w:val="0"/>
              <w:spacing w:line="360" w:lineRule="auto"/>
              <w:ind w:firstLineChars="200" w:firstLine="422"/>
              <w:jc w:val="center"/>
              <w:rPr>
                <w:rFonts w:asciiTheme="minorEastAsia" w:eastAsiaTheme="minorEastAsia" w:hAnsiTheme="minorEastAsia" w:cs="宋体"/>
                <w:kern w:val="0"/>
                <w:szCs w:val="21"/>
              </w:rPr>
            </w:pPr>
            <w:r w:rsidRPr="00721084">
              <w:rPr>
                <w:rFonts w:asciiTheme="minorEastAsia" w:eastAsiaTheme="minorEastAsia" w:hAnsiTheme="minorEastAsia" w:hint="eastAsia"/>
                <w:b/>
                <w:kern w:val="0"/>
                <w:szCs w:val="21"/>
              </w:rPr>
              <w:t>持有时间（天）</w:t>
            </w:r>
          </w:p>
        </w:tc>
        <w:tc>
          <w:tcPr>
            <w:tcW w:w="3585" w:type="dxa"/>
            <w:vAlign w:val="center"/>
          </w:tcPr>
          <w:p w:rsidR="0066166E" w:rsidRPr="00721084" w:rsidRDefault="0066166E" w:rsidP="00CE3F81">
            <w:pPr>
              <w:widowControl/>
              <w:snapToGrid w:val="0"/>
              <w:spacing w:line="360" w:lineRule="auto"/>
              <w:ind w:firstLineChars="200" w:firstLine="422"/>
              <w:jc w:val="center"/>
              <w:rPr>
                <w:rFonts w:asciiTheme="minorEastAsia" w:eastAsiaTheme="minorEastAsia" w:hAnsiTheme="minorEastAsia" w:cs="宋体"/>
                <w:kern w:val="0"/>
                <w:szCs w:val="21"/>
              </w:rPr>
            </w:pPr>
            <w:r w:rsidRPr="00721084">
              <w:rPr>
                <w:rFonts w:asciiTheme="minorEastAsia" w:eastAsiaTheme="minorEastAsia" w:hAnsiTheme="minorEastAsia" w:hint="eastAsia"/>
                <w:b/>
                <w:kern w:val="0"/>
                <w:szCs w:val="21"/>
              </w:rPr>
              <w:t>赎回费率</w:t>
            </w:r>
          </w:p>
        </w:tc>
      </w:tr>
      <w:tr w:rsidR="006D35EC" w:rsidRPr="00721084" w:rsidTr="001223DA">
        <w:trPr>
          <w:jc w:val="center"/>
        </w:trPr>
        <w:tc>
          <w:tcPr>
            <w:tcW w:w="3543" w:type="dxa"/>
          </w:tcPr>
          <w:p w:rsidR="005A6383" w:rsidRPr="00721084" w:rsidRDefault="005A6383" w:rsidP="005A6383">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hint="eastAsia"/>
                <w:szCs w:val="21"/>
              </w:rPr>
              <w:t>0-6</w:t>
            </w:r>
          </w:p>
        </w:tc>
        <w:tc>
          <w:tcPr>
            <w:tcW w:w="3585" w:type="dxa"/>
          </w:tcPr>
          <w:p w:rsidR="005A6383" w:rsidRPr="00721084" w:rsidRDefault="005A6383" w:rsidP="005A6383">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hint="eastAsia"/>
                <w:szCs w:val="21"/>
              </w:rPr>
              <w:t>1.5</w:t>
            </w:r>
            <w:r w:rsidRPr="00721084">
              <w:rPr>
                <w:rFonts w:asciiTheme="minorEastAsia" w:eastAsiaTheme="minorEastAsia" w:hAnsiTheme="minorEastAsia"/>
                <w:szCs w:val="21"/>
              </w:rPr>
              <w:t>%</w:t>
            </w:r>
          </w:p>
        </w:tc>
      </w:tr>
      <w:tr w:rsidR="006D35EC" w:rsidRPr="00721084" w:rsidTr="001223DA">
        <w:trPr>
          <w:jc w:val="center"/>
        </w:trPr>
        <w:tc>
          <w:tcPr>
            <w:tcW w:w="3543" w:type="dxa"/>
          </w:tcPr>
          <w:p w:rsidR="009C7732" w:rsidRPr="00721084" w:rsidRDefault="009C7732" w:rsidP="009C7732">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kern w:val="0"/>
                <w:szCs w:val="21"/>
              </w:rPr>
              <w:t>7-364</w:t>
            </w:r>
          </w:p>
        </w:tc>
        <w:tc>
          <w:tcPr>
            <w:tcW w:w="3585" w:type="dxa"/>
            <w:vAlign w:val="center"/>
          </w:tcPr>
          <w:p w:rsidR="009C7732" w:rsidRPr="00721084" w:rsidRDefault="009C7732" w:rsidP="009C7732">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0.5%</w:t>
            </w:r>
          </w:p>
        </w:tc>
      </w:tr>
      <w:tr w:rsidR="006D35EC" w:rsidRPr="00721084" w:rsidTr="001223DA">
        <w:trPr>
          <w:jc w:val="center"/>
        </w:trPr>
        <w:tc>
          <w:tcPr>
            <w:tcW w:w="3543" w:type="dxa"/>
          </w:tcPr>
          <w:p w:rsidR="009C7732" w:rsidRPr="00721084" w:rsidRDefault="009C7732" w:rsidP="009C7732">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kern w:val="0"/>
                <w:szCs w:val="21"/>
              </w:rPr>
              <w:t>365-729</w:t>
            </w:r>
          </w:p>
        </w:tc>
        <w:tc>
          <w:tcPr>
            <w:tcW w:w="3585" w:type="dxa"/>
            <w:vAlign w:val="center"/>
          </w:tcPr>
          <w:p w:rsidR="009C7732" w:rsidRPr="00721084" w:rsidRDefault="009C7732" w:rsidP="009C7732">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0.</w:t>
            </w:r>
            <w:r w:rsidRPr="00721084">
              <w:rPr>
                <w:rFonts w:asciiTheme="minorEastAsia" w:eastAsiaTheme="minorEastAsia" w:hAnsiTheme="minorEastAsia" w:hint="eastAsia"/>
              </w:rPr>
              <w:t>3</w:t>
            </w:r>
            <w:r w:rsidRPr="00721084">
              <w:rPr>
                <w:rFonts w:asciiTheme="minorEastAsia" w:eastAsiaTheme="minorEastAsia" w:hAnsiTheme="minorEastAsia"/>
              </w:rPr>
              <w:t>%</w:t>
            </w:r>
          </w:p>
        </w:tc>
      </w:tr>
      <w:tr w:rsidR="006D35EC" w:rsidRPr="00721084" w:rsidTr="001223DA">
        <w:trPr>
          <w:jc w:val="center"/>
        </w:trPr>
        <w:tc>
          <w:tcPr>
            <w:tcW w:w="3543" w:type="dxa"/>
          </w:tcPr>
          <w:p w:rsidR="009C7732" w:rsidRPr="00721084" w:rsidRDefault="009C7732" w:rsidP="009C7732">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kern w:val="0"/>
                <w:szCs w:val="21"/>
              </w:rPr>
              <w:t>730及以上</w:t>
            </w:r>
          </w:p>
        </w:tc>
        <w:tc>
          <w:tcPr>
            <w:tcW w:w="3585" w:type="dxa"/>
            <w:vAlign w:val="center"/>
          </w:tcPr>
          <w:p w:rsidR="009C7732" w:rsidRPr="00721084" w:rsidRDefault="009C7732" w:rsidP="009C7732">
            <w:pPr>
              <w:snapToGrid w:val="0"/>
              <w:spacing w:line="360" w:lineRule="auto"/>
              <w:ind w:firstLineChars="200" w:firstLine="420"/>
              <w:jc w:val="center"/>
              <w:rPr>
                <w:rFonts w:asciiTheme="minorEastAsia" w:eastAsiaTheme="minorEastAsia" w:hAnsiTheme="minorEastAsia"/>
              </w:rPr>
            </w:pPr>
            <w:r w:rsidRPr="00721084">
              <w:rPr>
                <w:rFonts w:asciiTheme="minorEastAsia" w:eastAsiaTheme="minorEastAsia" w:hAnsiTheme="minorEastAsia"/>
              </w:rPr>
              <w:t>0%</w:t>
            </w:r>
          </w:p>
        </w:tc>
      </w:tr>
    </w:tbl>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（2）赎回费的收取和用途</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本基金的赎回费由赎回人承担，在基金份额持有人赎回基金份额时收取，</w:t>
      </w:r>
      <w:r w:rsidR="005A6383" w:rsidRPr="00721084">
        <w:rPr>
          <w:rFonts w:asciiTheme="minorEastAsia" w:eastAsiaTheme="minorEastAsia" w:hAnsiTheme="minorEastAsia" w:hint="eastAsia"/>
          <w:szCs w:val="21"/>
        </w:rPr>
        <w:t>对持有期少于</w:t>
      </w:r>
      <w:r w:rsidR="005A6383" w:rsidRPr="00721084">
        <w:rPr>
          <w:rFonts w:asciiTheme="minorEastAsia" w:eastAsiaTheme="minorEastAsia" w:hAnsiTheme="minorEastAsia"/>
          <w:szCs w:val="21"/>
        </w:rPr>
        <w:t>7</w:t>
      </w:r>
      <w:r w:rsidR="005A6383" w:rsidRPr="00721084">
        <w:rPr>
          <w:rFonts w:asciiTheme="minorEastAsia" w:eastAsiaTheme="minorEastAsia" w:hAnsiTheme="minorEastAsia" w:hint="eastAsia"/>
          <w:szCs w:val="21"/>
        </w:rPr>
        <w:t>天（不含）的基金份额持有人所收取赎回费用全额计入基金财产；对持有期在</w:t>
      </w:r>
      <w:r w:rsidR="005A6383" w:rsidRPr="00721084">
        <w:rPr>
          <w:rFonts w:asciiTheme="minorEastAsia" w:eastAsiaTheme="minorEastAsia" w:hAnsiTheme="minorEastAsia"/>
          <w:szCs w:val="21"/>
        </w:rPr>
        <w:t>7</w:t>
      </w:r>
      <w:r w:rsidR="005A6383" w:rsidRPr="00721084">
        <w:rPr>
          <w:rFonts w:asciiTheme="minorEastAsia" w:eastAsiaTheme="minorEastAsia" w:hAnsiTheme="minorEastAsia" w:hint="eastAsia"/>
          <w:szCs w:val="21"/>
        </w:rPr>
        <w:t>天以上（含）的基金份额持有人</w:t>
      </w:r>
      <w:r w:rsidRPr="00721084">
        <w:rPr>
          <w:rFonts w:asciiTheme="minorEastAsia" w:eastAsiaTheme="minorEastAsia" w:hAnsiTheme="minorEastAsia" w:hint="eastAsia"/>
        </w:rPr>
        <w:t>所收</w:t>
      </w:r>
      <w:r w:rsidRPr="00721084">
        <w:rPr>
          <w:rFonts w:asciiTheme="minorEastAsia" w:eastAsiaTheme="minorEastAsia" w:hAnsiTheme="minorEastAsia"/>
        </w:rPr>
        <w:t>赎回费总额的25%归基金财产，</w:t>
      </w:r>
      <w:r w:rsidRPr="00721084">
        <w:rPr>
          <w:rFonts w:asciiTheme="minorEastAsia" w:eastAsiaTheme="minorEastAsia" w:hAnsiTheme="minorEastAsia" w:hint="eastAsia"/>
        </w:rPr>
        <w:t>其余</w:t>
      </w:r>
      <w:r w:rsidRPr="00721084">
        <w:rPr>
          <w:rFonts w:asciiTheme="minorEastAsia" w:eastAsiaTheme="minorEastAsia" w:hAnsiTheme="minorEastAsia"/>
        </w:rPr>
        <w:t>用于支付注册登记费和其他必要的手续费</w:t>
      </w:r>
      <w:r w:rsidRPr="00721084">
        <w:rPr>
          <w:rFonts w:asciiTheme="minorEastAsia" w:eastAsiaTheme="minorEastAsia" w:hAnsiTheme="minorEastAsia" w:hint="eastAsia"/>
        </w:rPr>
        <w:t>。</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lastRenderedPageBreak/>
        <w:t>（3）基金赎回金额的计算方式</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本基金的赎回金额为赎回总额扣减赎回费用，其中：</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赎回总额=赎回数量</w:t>
      </w:r>
      <w:r w:rsidRPr="00721084">
        <w:rPr>
          <w:rFonts w:asciiTheme="minorEastAsia" w:eastAsiaTheme="minorEastAsia" w:hAnsiTheme="minorEastAsia" w:hint="eastAsia"/>
        </w:rPr>
        <w:sym w:font="Symbol" w:char="F0B4"/>
      </w:r>
      <w:r w:rsidRPr="00721084">
        <w:rPr>
          <w:rFonts w:asciiTheme="minorEastAsia" w:eastAsiaTheme="minorEastAsia" w:hAnsiTheme="minorEastAsia" w:hint="eastAsia"/>
        </w:rPr>
        <w:t>T日基金份额净值</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赎回费用=赎回总额</w:t>
      </w:r>
      <w:r w:rsidRPr="00721084">
        <w:rPr>
          <w:rFonts w:asciiTheme="minorEastAsia" w:eastAsiaTheme="minorEastAsia" w:hAnsiTheme="minorEastAsia" w:hint="eastAsia"/>
        </w:rPr>
        <w:sym w:font="Symbol" w:char="F0B4"/>
      </w:r>
      <w:r w:rsidRPr="00721084">
        <w:rPr>
          <w:rFonts w:asciiTheme="minorEastAsia" w:eastAsiaTheme="minorEastAsia" w:hAnsiTheme="minorEastAsia" w:hint="eastAsia"/>
        </w:rPr>
        <w:t>赎回费率</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赎回金额=赎回总额</w:t>
      </w:r>
      <w:r w:rsidRPr="00721084">
        <w:rPr>
          <w:rFonts w:asciiTheme="minorEastAsia" w:eastAsiaTheme="minorEastAsia" w:hAnsiTheme="minorEastAsia" w:hint="eastAsia"/>
        </w:rPr>
        <w:sym w:font="Symbol" w:char="F02D"/>
      </w:r>
      <w:r w:rsidRPr="00721084">
        <w:rPr>
          <w:rFonts w:asciiTheme="minorEastAsia" w:eastAsiaTheme="minorEastAsia" w:hAnsiTheme="minorEastAsia" w:hint="eastAsia"/>
        </w:rPr>
        <w:t>赎回费用</w:t>
      </w:r>
    </w:p>
    <w:p w:rsidR="0066166E" w:rsidRPr="00721084" w:rsidRDefault="0066166E" w:rsidP="00CE3F81">
      <w:pPr>
        <w:pStyle w:val="af0"/>
        <w:tabs>
          <w:tab w:val="left" w:pos="420"/>
        </w:tabs>
        <w:snapToGrid w:val="0"/>
        <w:spacing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赎回金额、赎回费用以人民币元为单位，四舍五入，保留小数点后两位，由此产生的误差计入基金财产</w:t>
      </w:r>
      <w:r w:rsidRPr="00721084">
        <w:rPr>
          <w:rFonts w:asciiTheme="minorEastAsia" w:eastAsiaTheme="minorEastAsia" w:hAnsiTheme="minorEastAsia"/>
        </w:rPr>
        <w:t>。</w:t>
      </w:r>
    </w:p>
    <w:p w:rsidR="00A81677" w:rsidRPr="00721084" w:rsidRDefault="00A8167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F96D95" w:rsidRPr="00721084">
        <w:rPr>
          <w:rFonts w:asciiTheme="minorEastAsia" w:eastAsiaTheme="minorEastAsia" w:hAnsiTheme="minorEastAsia" w:hint="eastAsia"/>
        </w:rPr>
        <w:t>、</w:t>
      </w:r>
      <w:r w:rsidR="006C08E8" w:rsidRPr="00721084">
        <w:rPr>
          <w:rFonts w:asciiTheme="minorEastAsia" w:eastAsiaTheme="minorEastAsia" w:hAnsiTheme="minorEastAsia" w:hint="eastAsia"/>
          <w:szCs w:val="21"/>
        </w:rPr>
        <w:t>转换费，基金转换费用由转出基金赎回费用和基金申购补差费用构成，其中转出基金赎回费按照</w:t>
      </w:r>
      <w:r w:rsidR="00764FB0" w:rsidRPr="00721084">
        <w:rPr>
          <w:rFonts w:asciiTheme="minorEastAsia" w:eastAsiaTheme="minorEastAsia" w:hAnsiTheme="minorEastAsia" w:hint="eastAsia"/>
          <w:szCs w:val="21"/>
        </w:rPr>
        <w:t>各</w:t>
      </w:r>
      <w:r w:rsidR="00764FB0" w:rsidRPr="00721084">
        <w:rPr>
          <w:rFonts w:asciiTheme="minorEastAsia" w:eastAsiaTheme="minorEastAsia" w:hAnsiTheme="minorEastAsia"/>
          <w:szCs w:val="21"/>
        </w:rPr>
        <w:t>基金的</w:t>
      </w:r>
      <w:r w:rsidR="006C08E8" w:rsidRPr="00721084">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006C08E8" w:rsidRPr="00721084">
        <w:rPr>
          <w:rFonts w:asciiTheme="minorEastAsia" w:eastAsiaTheme="minorEastAsia" w:hAnsiTheme="minorEastAsia" w:hint="eastAsia"/>
        </w:rPr>
        <w:t>基金转换费率详见相关公告。</w:t>
      </w:r>
      <w:r w:rsidR="006C08E8" w:rsidRPr="00721084">
        <w:rPr>
          <w:rFonts w:asciiTheme="minorEastAsia" w:eastAsiaTheme="minorEastAsia" w:hAnsiTheme="minorEastAsia" w:hint="eastAsia"/>
          <w:szCs w:val="21"/>
        </w:rPr>
        <w:t>转换费用以人民币元为单位，计算结果按照四舍五入方法，保留小数点后两位</w:t>
      </w:r>
      <w:r w:rsidR="006C08E8" w:rsidRPr="00721084">
        <w:rPr>
          <w:rFonts w:asciiTheme="minorEastAsia" w:eastAsiaTheme="minorEastAsia" w:hAnsiTheme="minorEastAsia" w:hint="eastAsia"/>
        </w:rPr>
        <w:t>。</w:t>
      </w:r>
    </w:p>
    <w:p w:rsidR="0066166E" w:rsidRPr="00721084" w:rsidRDefault="00A8167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6A1D96" w:rsidRPr="00721084">
        <w:rPr>
          <w:rFonts w:asciiTheme="minorEastAsia" w:eastAsiaTheme="minorEastAsia" w:hAnsiTheme="minorEastAsia" w:hint="eastAsia"/>
        </w:rPr>
        <w:t>、</w:t>
      </w:r>
      <w:r w:rsidR="0066166E" w:rsidRPr="00721084">
        <w:rPr>
          <w:rFonts w:asciiTheme="minorEastAsia" w:eastAsiaTheme="minorEastAsia" w:hAnsiTheme="minorEastAsia" w:hint="eastAsia"/>
        </w:rPr>
        <w:t>投资者通过本公司网上交易系统（www.efunds.com.cn）进行申购、赎回的交易费率，请具体参照我公司网站上的相关说明。</w:t>
      </w:r>
    </w:p>
    <w:p w:rsidR="0066166E" w:rsidRPr="00721084" w:rsidRDefault="00A8167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006A1D96" w:rsidRPr="00721084">
        <w:rPr>
          <w:rFonts w:asciiTheme="minorEastAsia" w:eastAsiaTheme="minorEastAsia" w:hAnsiTheme="minorEastAsia" w:hint="eastAsia"/>
        </w:rPr>
        <w:t>、</w:t>
      </w:r>
      <w:r w:rsidR="0066166E" w:rsidRPr="00721084">
        <w:rPr>
          <w:rFonts w:asciiTheme="minorEastAsia" w:eastAsiaTheme="minorEastAsia" w:hAnsiTheme="minorEastAsia"/>
        </w:rPr>
        <w:t>基金管理人可以在基金合同规定的范围内调整</w:t>
      </w:r>
      <w:r w:rsidR="0066166E" w:rsidRPr="00721084">
        <w:rPr>
          <w:rFonts w:asciiTheme="minorEastAsia" w:eastAsiaTheme="minorEastAsia" w:hAnsiTheme="minorEastAsia" w:hint="eastAsia"/>
        </w:rPr>
        <w:t>上述</w:t>
      </w:r>
      <w:r w:rsidR="0066166E" w:rsidRPr="00721084">
        <w:rPr>
          <w:rFonts w:asciiTheme="minorEastAsia" w:eastAsiaTheme="minorEastAsia" w:hAnsiTheme="minorEastAsia"/>
        </w:rPr>
        <w:t>费率</w:t>
      </w:r>
      <w:r w:rsidR="0066166E" w:rsidRPr="00721084">
        <w:rPr>
          <w:rFonts w:asciiTheme="minorEastAsia" w:eastAsiaTheme="minorEastAsia" w:hAnsiTheme="minorEastAsia" w:hint="eastAsia"/>
        </w:rPr>
        <w:t>。</w:t>
      </w:r>
      <w:r w:rsidR="0066166E" w:rsidRPr="00721084">
        <w:rPr>
          <w:rFonts w:asciiTheme="minorEastAsia" w:eastAsiaTheme="minorEastAsia" w:hAnsiTheme="minorEastAsia"/>
        </w:rPr>
        <w:t>上述费率如发生变更，基金管理人应</w:t>
      </w:r>
      <w:r w:rsidR="0066166E" w:rsidRPr="00721084">
        <w:rPr>
          <w:rFonts w:asciiTheme="minorEastAsia" w:eastAsiaTheme="minorEastAsia" w:hAnsiTheme="minorEastAsia" w:hint="eastAsia"/>
        </w:rPr>
        <w:t>按照《信息披露办法》或其他相关规定</w:t>
      </w:r>
      <w:r w:rsidR="0066166E" w:rsidRPr="00721084">
        <w:rPr>
          <w:rFonts w:asciiTheme="minorEastAsia" w:eastAsiaTheme="minorEastAsia" w:hAnsiTheme="minorEastAsia"/>
        </w:rPr>
        <w:t>于新的费率实施前在</w:t>
      </w:r>
      <w:r w:rsidR="00BD3F77" w:rsidRPr="00721084">
        <w:rPr>
          <w:rFonts w:asciiTheme="minorEastAsia" w:eastAsiaTheme="minorEastAsia" w:hAnsiTheme="minorEastAsia" w:hint="eastAsia"/>
        </w:rPr>
        <w:t>指定媒介</w:t>
      </w:r>
      <w:r w:rsidR="0066166E" w:rsidRPr="00721084">
        <w:rPr>
          <w:rFonts w:asciiTheme="minorEastAsia" w:eastAsiaTheme="minorEastAsia" w:hAnsiTheme="minorEastAsia"/>
        </w:rPr>
        <w:t>公告。</w:t>
      </w:r>
    </w:p>
    <w:p w:rsidR="0016507D" w:rsidRPr="00721084" w:rsidRDefault="00A8167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006A1D96" w:rsidRPr="00721084">
        <w:rPr>
          <w:rFonts w:asciiTheme="minorEastAsia" w:eastAsiaTheme="minorEastAsia" w:hAnsiTheme="minorEastAsia" w:hint="eastAsia"/>
        </w:rPr>
        <w:t>、</w:t>
      </w:r>
      <w:r w:rsidR="00E27BC1" w:rsidRPr="00721084">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64594E" w:rsidRPr="00721084" w:rsidRDefault="0064594E" w:rsidP="00CE3F81">
      <w:pPr>
        <w:pStyle w:val="2"/>
        <w:snapToGrid w:val="0"/>
        <w:spacing w:beforeLines="0" w:afterLines="0" w:line="360" w:lineRule="auto"/>
        <w:ind w:firstLine="560"/>
        <w:rPr>
          <w:rFonts w:asciiTheme="minorEastAsia" w:eastAsiaTheme="minorEastAsia" w:hAnsiTheme="minorEastAsia"/>
          <w:b w:val="0"/>
        </w:rPr>
      </w:pPr>
      <w:bookmarkStart w:id="171" w:name="_Toc84149673"/>
      <w:bookmarkStart w:id="172" w:name="_Toc86584637"/>
      <w:bookmarkStart w:id="173" w:name="_Toc44351108"/>
      <w:r w:rsidRPr="00721084">
        <w:rPr>
          <w:rFonts w:asciiTheme="minorEastAsia" w:eastAsiaTheme="minorEastAsia" w:hAnsiTheme="minorEastAsia" w:hint="eastAsia"/>
          <w:b w:val="0"/>
        </w:rPr>
        <w:t>三</w:t>
      </w:r>
      <w:r w:rsidR="00E27F93" w:rsidRPr="00721084">
        <w:rPr>
          <w:rFonts w:asciiTheme="minorEastAsia" w:eastAsiaTheme="minorEastAsia" w:hAnsiTheme="minorEastAsia" w:hint="eastAsia"/>
          <w:b w:val="0"/>
        </w:rPr>
        <w:t>、</w:t>
      </w:r>
      <w:r w:rsidRPr="00721084">
        <w:rPr>
          <w:rFonts w:asciiTheme="minorEastAsia" w:eastAsiaTheme="minorEastAsia" w:hAnsiTheme="minorEastAsia" w:hint="eastAsia"/>
          <w:b w:val="0"/>
        </w:rPr>
        <w:t>基金税收</w:t>
      </w:r>
      <w:bookmarkEnd w:id="171"/>
      <w:bookmarkEnd w:id="172"/>
      <w:bookmarkEnd w:id="173"/>
    </w:p>
    <w:p w:rsidR="0064594E" w:rsidRPr="00721084" w:rsidRDefault="00CA2929"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本基金运作过程中涉及的各纳税主体，其纳税义务按各个国家税收法律、法规执行。</w:t>
      </w:r>
    </w:p>
    <w:bookmarkEnd w:id="165"/>
    <w:p w:rsidR="0039181F" w:rsidRPr="00721084" w:rsidRDefault="0064594E"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r w:rsidRPr="00721084">
        <w:rPr>
          <w:rFonts w:asciiTheme="minorEastAsia" w:eastAsiaTheme="minorEastAsia" w:hAnsiTheme="minorEastAsia"/>
          <w:bCs/>
        </w:rPr>
        <w:br w:type="page"/>
      </w:r>
      <w:bookmarkStart w:id="174" w:name="_Toc44351109"/>
      <w:r w:rsidR="0039181F" w:rsidRPr="00721084">
        <w:rPr>
          <w:rFonts w:asciiTheme="minorEastAsia" w:eastAsiaTheme="minorEastAsia" w:hAnsiTheme="minorEastAsia" w:hint="eastAsia"/>
        </w:rPr>
        <w:lastRenderedPageBreak/>
        <w:t>基金的财产</w:t>
      </w:r>
      <w:bookmarkEnd w:id="174"/>
    </w:p>
    <w:p w:rsidR="008337A1"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75" w:name="_Toc44351110"/>
      <w:bookmarkStart w:id="176" w:name="_Toc79392635"/>
      <w:bookmarkStart w:id="177" w:name="_Toc79556449"/>
      <w:r w:rsidRPr="00721084">
        <w:rPr>
          <w:rFonts w:asciiTheme="minorEastAsia" w:eastAsiaTheme="minorEastAsia" w:hAnsiTheme="minorEastAsia" w:hint="eastAsia"/>
          <w:b w:val="0"/>
        </w:rPr>
        <w:t>一</w:t>
      </w:r>
      <w:r w:rsidRPr="00721084">
        <w:rPr>
          <w:rFonts w:asciiTheme="minorEastAsia" w:eastAsiaTheme="minorEastAsia" w:hAnsiTheme="minorEastAsia"/>
          <w:b w:val="0"/>
        </w:rPr>
        <w:t>、</w:t>
      </w:r>
      <w:r w:rsidR="008337A1" w:rsidRPr="00721084">
        <w:rPr>
          <w:rFonts w:asciiTheme="minorEastAsia" w:eastAsiaTheme="minorEastAsia" w:hAnsiTheme="minorEastAsia" w:hint="eastAsia"/>
          <w:b w:val="0"/>
        </w:rPr>
        <w:t>基金资产总值</w:t>
      </w:r>
      <w:bookmarkEnd w:id="175"/>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基金资产总值是指购买的各类证券及票据价值、银行存款本息和基金应收的申购基金款以及其他投资所形成的价值总和。</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其构成主要有：</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银行存款及其应计利息；</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清算备付金及其应计利息；</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根据有关规定缴纳的保证金及其应收利息；</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应收证券交易清算款；</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应收申购款；</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基金投资</w:t>
      </w:r>
      <w:r w:rsidR="008C7ADA" w:rsidRPr="00721084">
        <w:rPr>
          <w:rFonts w:asciiTheme="minorEastAsia" w:eastAsiaTheme="minorEastAsia" w:hAnsiTheme="minorEastAsia" w:hint="eastAsia"/>
        </w:rPr>
        <w:t>及其</w:t>
      </w:r>
      <w:r w:rsidRPr="00721084">
        <w:rPr>
          <w:rFonts w:asciiTheme="minorEastAsia" w:eastAsiaTheme="minorEastAsia" w:hAnsiTheme="minorEastAsia" w:hint="eastAsia"/>
        </w:rPr>
        <w:t>估值调整；</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股票投资及其估值调整；</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债券投资及其估值调整和应计利息；</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其他投资及其估值调整；</w:t>
      </w:r>
    </w:p>
    <w:p w:rsidR="0064594E"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其他资产等。</w:t>
      </w:r>
      <w:bookmarkEnd w:id="176"/>
      <w:bookmarkEnd w:id="177"/>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78" w:name="_Toc44351111"/>
      <w:r w:rsidRPr="00721084">
        <w:rPr>
          <w:rFonts w:asciiTheme="minorEastAsia" w:eastAsiaTheme="minorEastAsia" w:hAnsiTheme="minorEastAsia" w:hint="eastAsia"/>
          <w:b w:val="0"/>
        </w:rPr>
        <w:t>二</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基金资产净值</w:t>
      </w:r>
      <w:bookmarkEnd w:id="178"/>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基金资产净值是指基金资产总值减去基金负债后的价值。</w:t>
      </w:r>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79" w:name="_Toc44351112"/>
      <w:r w:rsidRPr="00721084">
        <w:rPr>
          <w:rFonts w:asciiTheme="minorEastAsia" w:eastAsiaTheme="minorEastAsia" w:hAnsiTheme="minorEastAsia" w:hint="eastAsia"/>
          <w:b w:val="0"/>
        </w:rPr>
        <w:t>三</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基金财产的账户</w:t>
      </w:r>
      <w:bookmarkEnd w:id="179"/>
    </w:p>
    <w:p w:rsidR="00247BE0" w:rsidRPr="00721084" w:rsidRDefault="00247BE0"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本基金根据相关法律法规开立基金资金账户以及证券账户。</w:t>
      </w:r>
      <w:r w:rsidRPr="00721084">
        <w:rPr>
          <w:rFonts w:asciiTheme="minorEastAsia" w:eastAsiaTheme="minorEastAsia" w:hAnsiTheme="minorEastAsia" w:cs="宋体" w:hint="eastAsia"/>
          <w:kern w:val="0"/>
          <w:szCs w:val="21"/>
        </w:rPr>
        <w:t>基金托管人或境外资产托管人按照规定或境外市场惯例开设基金财产的所有资金账户和证券账户。</w:t>
      </w:r>
      <w:r w:rsidRPr="00721084">
        <w:rPr>
          <w:rFonts w:asciiTheme="minorEastAsia" w:eastAsiaTheme="minorEastAsia" w:hAnsiTheme="minorEastAsia" w:hint="eastAsia"/>
          <w:szCs w:val="21"/>
        </w:rPr>
        <w:t>基金托管人应确保基金管理人所管理的基金或基金份额持有人始终是所有证券的实益所有人(beneficial</w:t>
      </w:r>
      <w:r w:rsidR="00296722">
        <w:rPr>
          <w:rFonts w:asciiTheme="minorEastAsia" w:eastAsiaTheme="minorEastAsia" w:hAnsiTheme="minorEastAsia"/>
          <w:szCs w:val="21"/>
        </w:rPr>
        <w:t xml:space="preserve"> </w:t>
      </w:r>
      <w:r w:rsidRPr="00721084">
        <w:rPr>
          <w:rFonts w:asciiTheme="minorEastAsia" w:eastAsiaTheme="minorEastAsia" w:hAnsiTheme="minorEastAsia" w:hint="eastAsia"/>
          <w:szCs w:val="21"/>
        </w:rPr>
        <w:t>owner)的方式持有基金财产中的所有证券。</w:t>
      </w:r>
      <w:r w:rsidRPr="00721084">
        <w:rPr>
          <w:rFonts w:asciiTheme="minorEastAsia" w:eastAsiaTheme="minorEastAsia" w:hAnsiTheme="minorEastAsia" w:cs="宋体" w:hint="eastAsia"/>
          <w:kern w:val="0"/>
          <w:szCs w:val="21"/>
        </w:rPr>
        <w:t>有关</w:t>
      </w:r>
      <w:r w:rsidRPr="00721084">
        <w:rPr>
          <w:rFonts w:asciiTheme="minorEastAsia" w:eastAsiaTheme="minorEastAsia" w:hAnsiTheme="minorEastAsia" w:hint="eastAsia"/>
          <w:szCs w:val="21"/>
        </w:rPr>
        <w:t>境外证券的注册登记方式应符合投资当地市场的有关法律、法规和市场惯例。</w:t>
      </w:r>
    </w:p>
    <w:p w:rsidR="0064594E"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开立的基金专用账户与基金管理人、基金托管人、境外托管人、境外投资顾问、基金</w:t>
      </w:r>
      <w:r w:rsidR="000D6E0C" w:rsidRPr="00721084">
        <w:rPr>
          <w:rFonts w:asciiTheme="minorEastAsia" w:eastAsiaTheme="minorEastAsia" w:hAnsiTheme="minorEastAsia" w:hint="eastAsia"/>
        </w:rPr>
        <w:t>销售</w:t>
      </w:r>
      <w:r w:rsidRPr="00721084">
        <w:rPr>
          <w:rFonts w:asciiTheme="minorEastAsia" w:eastAsiaTheme="minorEastAsia" w:hAnsiTheme="minorEastAsia" w:hint="eastAsia"/>
        </w:rPr>
        <w:t>机构和基金注册登记机构自有的财产账户以及其他基金财产账户相独立。</w:t>
      </w:r>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80" w:name="_Toc44351113"/>
      <w:r w:rsidRPr="00721084">
        <w:rPr>
          <w:rFonts w:asciiTheme="minorEastAsia" w:eastAsiaTheme="minorEastAsia" w:hAnsiTheme="minorEastAsia" w:hint="eastAsia"/>
          <w:b w:val="0"/>
        </w:rPr>
        <w:t>四</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基金财产的保管和处分</w:t>
      </w:r>
      <w:bookmarkEnd w:id="180"/>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本基金财产独立于基金管理人、基金托管人、境外托管人和</w:t>
      </w:r>
      <w:r w:rsidR="00000DCB" w:rsidRPr="00721084">
        <w:rPr>
          <w:rFonts w:asciiTheme="minorEastAsia" w:eastAsiaTheme="minorEastAsia" w:hAnsiTheme="minorEastAsia" w:hint="eastAsia"/>
        </w:rPr>
        <w:t>销售</w:t>
      </w:r>
      <w:r w:rsidRPr="00721084">
        <w:rPr>
          <w:rFonts w:asciiTheme="minorEastAsia" w:eastAsiaTheme="minorEastAsia" w:hAnsiTheme="minorEastAsia" w:hint="eastAsia"/>
        </w:rPr>
        <w:t>机构的财产，并由基金托管人保管。基金管理人、基金托管人、境外托管人不得将基金财产归入其固有财产；基金管理人、基金托管人、境外托管人因基金财产的管理、运用或其他情形而取得的财产和收益，归入基金财产。基金管理人、基金托管人、境外托管人和基金</w:t>
      </w:r>
      <w:r w:rsidR="00000DCB" w:rsidRPr="00721084">
        <w:rPr>
          <w:rFonts w:asciiTheme="minorEastAsia" w:eastAsiaTheme="minorEastAsia" w:hAnsiTheme="minorEastAsia" w:hint="eastAsia"/>
        </w:rPr>
        <w:t>销售</w:t>
      </w:r>
      <w:r w:rsidRPr="00721084">
        <w:rPr>
          <w:rFonts w:asciiTheme="minorEastAsia" w:eastAsiaTheme="minorEastAsia" w:hAnsiTheme="minorEastAsia" w:hint="eastAsia"/>
        </w:rPr>
        <w:t>机构以其自有的财产承担其自身的法律责任，其债权人不得对本基金财产行使请求冻结、扣押或其他权利。基金管理</w:t>
      </w:r>
      <w:r w:rsidRPr="00721084">
        <w:rPr>
          <w:rFonts w:asciiTheme="minorEastAsia" w:eastAsiaTheme="minorEastAsia" w:hAnsiTheme="minorEastAsia" w:hint="eastAsia"/>
        </w:rPr>
        <w:lastRenderedPageBreak/>
        <w:t>人、基金托管人、境外托管人因依法解散、被依法撤销或者被依法宣告破产等原因进行清算的，基金财产不属于其清算财产。</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除依法律法规和《基金合同》的规定处分外，基金财产不得被处分。非因基金财产本身承担的债务，不得对基金财产强制执行。</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基金管理人管理运作基金财产所产生的债权，不得与其固有资产产生的债务相互抵消；基金管理人管理运作不同基金的基金财产所产生的债权债务不得相互抵消。</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在符合</w:t>
      </w:r>
      <w:r w:rsidR="00AE12FE" w:rsidRPr="00721084">
        <w:rPr>
          <w:rFonts w:asciiTheme="minorEastAsia" w:eastAsiaTheme="minorEastAsia" w:hAnsiTheme="minorEastAsia" w:hint="eastAsia"/>
        </w:rPr>
        <w:t>基金</w:t>
      </w:r>
      <w:r w:rsidRPr="00721084">
        <w:rPr>
          <w:rFonts w:asciiTheme="minorEastAsia" w:eastAsiaTheme="minorEastAsia" w:hAnsiTheme="minorEastAsia" w:hint="eastAsia"/>
        </w:rPr>
        <w:t>合同和托管协议有关资产保管的要求下，对境外托管人的破产而产生的损失，基金托管人应采取措施进行追偿，基金管理人配合基金托管人进行追偿，基金托管人存在故意或过失行为的，应承担赔偿责任。</w:t>
      </w:r>
    </w:p>
    <w:p w:rsidR="00247BE0"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除非基金管理人、基金托管人及其境外托管人存在过失、疏忽、欺诈或故意不当行为，基金管理人、基金托管人将不保证托管人或境外托管人所接收基金财产中的证券的所有权、合法性或真实性（包括是否以良好形式转让）。</w:t>
      </w:r>
    </w:p>
    <w:p w:rsidR="0064594E" w:rsidRPr="00721084" w:rsidRDefault="00247BE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rsidR="0064594E" w:rsidRPr="00721084" w:rsidRDefault="0064594E" w:rsidP="00CE3F81">
      <w:pPr>
        <w:snapToGrid w:val="0"/>
        <w:spacing w:line="360" w:lineRule="auto"/>
        <w:ind w:firstLineChars="200" w:firstLine="420"/>
        <w:rPr>
          <w:rFonts w:asciiTheme="minorEastAsia" w:eastAsiaTheme="minorEastAsia" w:hAnsiTheme="minorEastAsia"/>
          <w:kern w:val="0"/>
          <w:szCs w:val="21"/>
        </w:rPr>
      </w:pPr>
    </w:p>
    <w:p w:rsidR="0064594E" w:rsidRPr="00721084" w:rsidRDefault="0064594E" w:rsidP="00CE3F81">
      <w:pPr>
        <w:snapToGrid w:val="0"/>
        <w:spacing w:line="360" w:lineRule="auto"/>
        <w:ind w:firstLineChars="200" w:firstLine="420"/>
        <w:rPr>
          <w:rFonts w:asciiTheme="minorEastAsia" w:eastAsiaTheme="minorEastAsia" w:hAnsiTheme="minorEastAsia"/>
        </w:rPr>
      </w:pPr>
    </w:p>
    <w:p w:rsidR="000C2077" w:rsidRPr="00721084" w:rsidRDefault="000C2077"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b/>
          <w:bCs/>
        </w:rPr>
      </w:pPr>
    </w:p>
    <w:p w:rsidR="006A1D96" w:rsidRPr="00721084" w:rsidRDefault="006A1D96" w:rsidP="006A1D96">
      <w:pPr>
        <w:snapToGrid w:val="0"/>
        <w:spacing w:line="360" w:lineRule="auto"/>
        <w:rPr>
          <w:rFonts w:asciiTheme="minorEastAsia" w:eastAsiaTheme="minorEastAsia" w:hAnsiTheme="minorEastAsia"/>
        </w:rPr>
      </w:pPr>
    </w:p>
    <w:p w:rsidR="00F32420" w:rsidRPr="00721084" w:rsidRDefault="000C2077"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181" w:name="_Toc44351114"/>
      <w:r w:rsidRPr="00721084">
        <w:rPr>
          <w:rFonts w:asciiTheme="minorEastAsia" w:eastAsiaTheme="minorEastAsia" w:hAnsiTheme="minorEastAsia" w:hint="eastAsia"/>
        </w:rPr>
        <w:t>基金资产估值</w:t>
      </w:r>
      <w:bookmarkEnd w:id="181"/>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82" w:name="_Toc66706733"/>
      <w:bookmarkStart w:id="183" w:name="_Toc86584624"/>
      <w:bookmarkStart w:id="184" w:name="_Toc44351115"/>
      <w:bookmarkStart w:id="185" w:name="_Toc84149655"/>
      <w:r w:rsidRPr="00721084">
        <w:rPr>
          <w:rFonts w:asciiTheme="minorEastAsia" w:eastAsiaTheme="minorEastAsia" w:hAnsiTheme="minorEastAsia" w:hint="eastAsia"/>
          <w:b w:val="0"/>
        </w:rPr>
        <w:t>一</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估值目的</w:t>
      </w:r>
      <w:bookmarkEnd w:id="182"/>
      <w:bookmarkEnd w:id="183"/>
      <w:bookmarkEnd w:id="184"/>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基金资产估值的目的是客观、准确地反映基金资产是否保值、增值，依据经基金资产估值后确定的基金资产净值而计算出的基金份额净值，是计算基金申购与赎回价格的基础。</w:t>
      </w:r>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86" w:name="_Toc66706734"/>
      <w:bookmarkStart w:id="187" w:name="_Toc86584625"/>
      <w:bookmarkStart w:id="188" w:name="_Toc44351116"/>
      <w:r w:rsidRPr="00721084">
        <w:rPr>
          <w:rFonts w:asciiTheme="minorEastAsia" w:eastAsiaTheme="minorEastAsia" w:hAnsiTheme="minorEastAsia" w:hint="eastAsia"/>
          <w:b w:val="0"/>
        </w:rPr>
        <w:t>二</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估值日</w:t>
      </w:r>
      <w:bookmarkEnd w:id="186"/>
      <w:bookmarkEnd w:id="187"/>
      <w:bookmarkEnd w:id="188"/>
    </w:p>
    <w:p w:rsidR="0064594E" w:rsidRPr="00721084" w:rsidRDefault="0064594E" w:rsidP="00CE3F81">
      <w:pPr>
        <w:snapToGrid w:val="0"/>
        <w:spacing w:line="360" w:lineRule="auto"/>
        <w:ind w:firstLineChars="200" w:firstLine="420"/>
        <w:rPr>
          <w:rFonts w:asciiTheme="minorEastAsia" w:eastAsiaTheme="minorEastAsia" w:hAnsiTheme="minorEastAsia"/>
        </w:rPr>
      </w:pPr>
      <w:bookmarkStart w:id="189" w:name="_Toc66706735"/>
      <w:bookmarkStart w:id="190" w:name="_Toc86584626"/>
      <w:r w:rsidRPr="00721084">
        <w:rPr>
          <w:rFonts w:asciiTheme="minorEastAsia" w:eastAsiaTheme="minorEastAsia" w:hAnsiTheme="minorEastAsia" w:hint="eastAsia"/>
        </w:rPr>
        <w:t>本基金的估值日为</w:t>
      </w:r>
      <w:r w:rsidR="00D75269" w:rsidRPr="00721084">
        <w:rPr>
          <w:rFonts w:asciiTheme="minorEastAsia" w:eastAsiaTheme="minorEastAsia" w:hAnsiTheme="minorEastAsia" w:hint="eastAsia"/>
        </w:rPr>
        <w:t>本基金的开放日以及国家法律法规规定需要对外披露基金净值的非开放日</w:t>
      </w:r>
      <w:r w:rsidRPr="00721084">
        <w:rPr>
          <w:rFonts w:asciiTheme="minorEastAsia" w:eastAsiaTheme="minorEastAsia" w:hAnsiTheme="minorEastAsia" w:hint="eastAsia"/>
        </w:rPr>
        <w:t>。</w:t>
      </w:r>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91" w:name="_Toc44351117"/>
      <w:r w:rsidRPr="00721084">
        <w:rPr>
          <w:rFonts w:asciiTheme="minorEastAsia" w:eastAsiaTheme="minorEastAsia" w:hAnsiTheme="minorEastAsia" w:hint="eastAsia"/>
          <w:b w:val="0"/>
        </w:rPr>
        <w:t>三</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估值对象</w:t>
      </w:r>
      <w:bookmarkEnd w:id="189"/>
      <w:bookmarkEnd w:id="190"/>
      <w:bookmarkEnd w:id="191"/>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rPr>
        <w:t>本基金所拥有的</w:t>
      </w:r>
      <w:r w:rsidRPr="00721084">
        <w:rPr>
          <w:rFonts w:asciiTheme="minorEastAsia" w:eastAsiaTheme="minorEastAsia" w:hAnsiTheme="minorEastAsia" w:hint="eastAsia"/>
        </w:rPr>
        <w:t>各类</w:t>
      </w:r>
      <w:r w:rsidRPr="00721084">
        <w:rPr>
          <w:rFonts w:asciiTheme="minorEastAsia" w:eastAsiaTheme="minorEastAsia" w:hAnsiTheme="minorEastAsia"/>
        </w:rPr>
        <w:t>有价证券。</w:t>
      </w:r>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92" w:name="_Toc66706736"/>
      <w:bookmarkStart w:id="193" w:name="_Toc86584627"/>
      <w:bookmarkStart w:id="194" w:name="_Toc44351118"/>
      <w:r w:rsidRPr="00721084">
        <w:rPr>
          <w:rFonts w:asciiTheme="minorEastAsia" w:eastAsiaTheme="minorEastAsia" w:hAnsiTheme="minorEastAsia" w:hint="eastAsia"/>
          <w:b w:val="0"/>
        </w:rPr>
        <w:t>四</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估值方法</w:t>
      </w:r>
      <w:bookmarkEnd w:id="192"/>
      <w:bookmarkEnd w:id="193"/>
      <w:bookmarkEnd w:id="194"/>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本基金按以下方式进行估值：</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已上市流通</w:t>
      </w:r>
      <w:r w:rsidR="00127DBB" w:rsidRPr="00721084">
        <w:rPr>
          <w:rFonts w:asciiTheme="minorEastAsia" w:eastAsiaTheme="minorEastAsia" w:hAnsiTheme="minorEastAsia" w:hint="eastAsia"/>
        </w:rPr>
        <w:t>股票</w:t>
      </w:r>
      <w:r w:rsidRPr="00721084">
        <w:rPr>
          <w:rFonts w:asciiTheme="minorEastAsia" w:eastAsiaTheme="minorEastAsia" w:hAnsiTheme="minorEastAsia" w:hint="eastAsia"/>
        </w:rPr>
        <w:t>的估值</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上市流通的股票以其估值日在证券交易所挂牌的收盘价估值；估值日无交易的，以最近交易日的收盘价估值。</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处于未上市期间的</w:t>
      </w:r>
      <w:r w:rsidR="00127DBB" w:rsidRPr="00721084">
        <w:rPr>
          <w:rFonts w:asciiTheme="minorEastAsia" w:eastAsiaTheme="minorEastAsia" w:hAnsiTheme="minorEastAsia" w:hint="eastAsia"/>
        </w:rPr>
        <w:t>股票</w:t>
      </w:r>
      <w:r w:rsidRPr="00721084">
        <w:rPr>
          <w:rFonts w:asciiTheme="minorEastAsia" w:eastAsiaTheme="minorEastAsia" w:hAnsiTheme="minorEastAsia" w:hint="eastAsia"/>
        </w:rPr>
        <w:t>应区分如下情况处理：</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1）送股、转增股、配股和增发新股，按估值日在证券交易所挂牌的同一股票的收盘价估值；该日无交易的，以最近一日的收盘价估值；</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2）首次发行未上市的股票，采用估值技术确定公允价值，在估值技术难以可靠计量的情况下，按成本估值</w:t>
      </w:r>
      <w:r w:rsidRPr="00721084">
        <w:rPr>
          <w:rFonts w:asciiTheme="minorEastAsia" w:eastAsiaTheme="minorEastAsia" w:hAnsiTheme="minorEastAsia" w:hint="eastAsia"/>
        </w:rPr>
        <w:t>；</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Pr="00721084">
        <w:rPr>
          <w:rFonts w:asciiTheme="minorEastAsia" w:eastAsiaTheme="minorEastAsia" w:hAnsiTheme="minorEastAsia"/>
        </w:rPr>
        <w:t>首次公开发行有明确锁定期的股票，同一股票在交易所上市后，按交易所上市的同一股票的收盘价估值；非公开发行且处于明确锁定期的股票，按监管机构或行业协会的有关规定确定公允价值。</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开放式基金以估值时点能够取得的最新基金份额净值进行估值。</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配股权证，从配股除权日起到配股确认日止，如果收盘价高于配股价，按收盘价高于配股价的差额估值</w:t>
      </w:r>
      <w:r w:rsidR="00127DBB" w:rsidRPr="00721084">
        <w:rPr>
          <w:rFonts w:asciiTheme="minorEastAsia" w:eastAsiaTheme="minorEastAsia" w:hAnsiTheme="minorEastAsia" w:hint="eastAsia"/>
        </w:rPr>
        <w:t>；</w:t>
      </w:r>
      <w:r w:rsidRPr="00721084">
        <w:rPr>
          <w:rFonts w:asciiTheme="minorEastAsia" w:eastAsiaTheme="minorEastAsia" w:hAnsiTheme="minorEastAsia" w:hint="eastAsia"/>
        </w:rPr>
        <w:t>收盘价等于或低于配股价，则估值为零。</w:t>
      </w:r>
    </w:p>
    <w:p w:rsidR="00810E86" w:rsidRPr="00721084" w:rsidRDefault="00810E86"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rPr>
        <w:t>5</w:t>
      </w:r>
      <w:r w:rsidR="006A1D96" w:rsidRPr="00721084">
        <w:rPr>
          <w:rFonts w:asciiTheme="minorEastAsia" w:eastAsiaTheme="minorEastAsia" w:hAnsiTheme="minorEastAsia" w:hint="eastAsia"/>
        </w:rPr>
        <w:t>、</w:t>
      </w:r>
      <w:r w:rsidRPr="00721084">
        <w:rPr>
          <w:rFonts w:asciiTheme="minorEastAsia" w:eastAsiaTheme="minorEastAsia" w:hAnsiTheme="minorEastAsia"/>
          <w:kern w:val="0"/>
          <w:szCs w:val="21"/>
        </w:rPr>
        <w:t>基金持有的</w:t>
      </w:r>
      <w:r w:rsidRPr="00721084">
        <w:rPr>
          <w:rFonts w:asciiTheme="minorEastAsia" w:eastAsiaTheme="minorEastAsia" w:hAnsiTheme="minorEastAsia" w:hint="eastAsia"/>
        </w:rPr>
        <w:t>衍生工具</w:t>
      </w:r>
      <w:r w:rsidR="00127DBB" w:rsidRPr="00721084">
        <w:rPr>
          <w:rFonts w:asciiTheme="minorEastAsia" w:eastAsiaTheme="minorEastAsia" w:hAnsiTheme="minorEastAsia" w:hint="eastAsia"/>
        </w:rPr>
        <w:t>、债券、交易型开放式指数基金（ETF）</w:t>
      </w:r>
      <w:r w:rsidRPr="00721084">
        <w:rPr>
          <w:rFonts w:asciiTheme="minorEastAsia" w:eastAsiaTheme="minorEastAsia" w:hAnsiTheme="minorEastAsia" w:hint="eastAsia"/>
        </w:rPr>
        <w:t>等</w:t>
      </w:r>
      <w:r w:rsidRPr="00721084">
        <w:rPr>
          <w:rFonts w:asciiTheme="minorEastAsia" w:eastAsiaTheme="minorEastAsia" w:hAnsiTheme="minorEastAsia" w:hint="eastAsia"/>
          <w:kern w:val="0"/>
          <w:szCs w:val="21"/>
        </w:rPr>
        <w:t>其他有价证券</w:t>
      </w:r>
      <w:r w:rsidRPr="00721084">
        <w:rPr>
          <w:rFonts w:asciiTheme="minorEastAsia" w:eastAsiaTheme="minorEastAsia" w:hAnsiTheme="minorEastAsia"/>
          <w:kern w:val="0"/>
          <w:szCs w:val="21"/>
        </w:rPr>
        <w:t>，上市交易的</w:t>
      </w:r>
      <w:r w:rsidRPr="00721084">
        <w:rPr>
          <w:rFonts w:asciiTheme="minorEastAsia" w:eastAsiaTheme="minorEastAsia" w:hAnsiTheme="minorEastAsia" w:hint="eastAsia"/>
          <w:kern w:val="0"/>
          <w:szCs w:val="21"/>
        </w:rPr>
        <w:t>有价证券</w:t>
      </w:r>
      <w:r w:rsidRPr="00721084">
        <w:rPr>
          <w:rFonts w:asciiTheme="minorEastAsia" w:eastAsiaTheme="minorEastAsia" w:hAnsiTheme="minorEastAsia"/>
          <w:kern w:val="0"/>
          <w:szCs w:val="21"/>
        </w:rPr>
        <w:t>按估值日的收盘价估值；估值日没有交易的，按最近交易日的收盘价估值；未上市交易的</w:t>
      </w:r>
      <w:r w:rsidRPr="00721084">
        <w:rPr>
          <w:rFonts w:asciiTheme="minorEastAsia" w:eastAsiaTheme="minorEastAsia" w:hAnsiTheme="minorEastAsia" w:hint="eastAsia"/>
          <w:kern w:val="0"/>
          <w:szCs w:val="21"/>
        </w:rPr>
        <w:t>，</w:t>
      </w:r>
      <w:r w:rsidRPr="00721084">
        <w:rPr>
          <w:rFonts w:asciiTheme="minorEastAsia" w:eastAsiaTheme="minorEastAsia" w:hAnsiTheme="minorEastAsia"/>
        </w:rPr>
        <w:t>采用估值技术确定公允价值，在估值技术难以可靠计量的情况下，按成本估值；停止交易、但未行权的</w:t>
      </w:r>
      <w:r w:rsidRPr="00721084">
        <w:rPr>
          <w:rFonts w:asciiTheme="minorEastAsia" w:eastAsiaTheme="minorEastAsia" w:hAnsiTheme="minorEastAsia" w:hint="eastAsia"/>
          <w:kern w:val="0"/>
          <w:szCs w:val="21"/>
        </w:rPr>
        <w:t>有价证券</w:t>
      </w:r>
      <w:r w:rsidRPr="00721084">
        <w:rPr>
          <w:rFonts w:asciiTheme="minorEastAsia" w:eastAsiaTheme="minorEastAsia" w:hAnsiTheme="minorEastAsia"/>
        </w:rPr>
        <w:t>，采用估值技术确定公允价值。</w:t>
      </w:r>
    </w:p>
    <w:p w:rsidR="00810E86" w:rsidRPr="00721084" w:rsidRDefault="00810E86"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rPr>
        <w:t>6</w:t>
      </w:r>
      <w:r w:rsidR="006A1D96" w:rsidRPr="00721084">
        <w:rPr>
          <w:rFonts w:asciiTheme="minorEastAsia" w:eastAsiaTheme="minorEastAsia" w:hAnsiTheme="minorEastAsia" w:hint="eastAsia"/>
        </w:rPr>
        <w:t>、</w:t>
      </w:r>
      <w:r w:rsidRPr="00721084">
        <w:rPr>
          <w:rFonts w:asciiTheme="minorEastAsia" w:eastAsiaTheme="minorEastAsia" w:hAnsiTheme="minorEastAsia"/>
          <w:kern w:val="0"/>
          <w:szCs w:val="21"/>
        </w:rPr>
        <w:t>在任何情况下，基金管理人如采用</w:t>
      </w:r>
      <w:r w:rsidRPr="00721084">
        <w:rPr>
          <w:rFonts w:asciiTheme="minorEastAsia" w:eastAsiaTheme="minorEastAsia" w:hAnsiTheme="minorEastAsia" w:hint="eastAsia"/>
          <w:kern w:val="0"/>
          <w:szCs w:val="21"/>
        </w:rPr>
        <w:t>上述</w:t>
      </w:r>
      <w:r w:rsidRPr="00721084">
        <w:rPr>
          <w:rFonts w:asciiTheme="minorEastAsia" w:eastAsiaTheme="minorEastAsia" w:hAnsiTheme="minorEastAsia"/>
          <w:kern w:val="0"/>
          <w:szCs w:val="21"/>
        </w:rPr>
        <w:t>第</w:t>
      </w:r>
      <w:r w:rsidRPr="00721084">
        <w:rPr>
          <w:rFonts w:asciiTheme="minorEastAsia" w:eastAsiaTheme="minorEastAsia" w:hAnsiTheme="minorEastAsia" w:hint="eastAsia"/>
          <w:kern w:val="0"/>
          <w:szCs w:val="21"/>
        </w:rPr>
        <w:t>1-5</w:t>
      </w:r>
      <w:r w:rsidRPr="00721084">
        <w:rPr>
          <w:rFonts w:asciiTheme="minorEastAsia" w:eastAsiaTheme="minorEastAsia" w:hAnsiTheme="minorEastAsia"/>
          <w:kern w:val="0"/>
          <w:szCs w:val="21"/>
        </w:rPr>
        <w:t>项规定的方法对基金资产进行估值，</w:t>
      </w:r>
      <w:r w:rsidRPr="00721084">
        <w:rPr>
          <w:rFonts w:asciiTheme="minorEastAsia" w:eastAsiaTheme="minorEastAsia" w:hAnsiTheme="minorEastAsia"/>
          <w:kern w:val="0"/>
          <w:szCs w:val="21"/>
        </w:rPr>
        <w:lastRenderedPageBreak/>
        <w:t>均应被认为采用了适当的估值方法。</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kern w:val="0"/>
          <w:szCs w:val="21"/>
        </w:rPr>
        <w:t>7</w:t>
      </w:r>
      <w:r w:rsidR="006A1D96" w:rsidRPr="00721084">
        <w:rPr>
          <w:rFonts w:asciiTheme="minorEastAsia" w:eastAsiaTheme="minorEastAsia" w:hAnsiTheme="minorEastAsia" w:hint="eastAsia"/>
          <w:kern w:val="0"/>
          <w:szCs w:val="21"/>
        </w:rPr>
        <w:t>、</w:t>
      </w:r>
      <w:r w:rsidRPr="00721084">
        <w:rPr>
          <w:rFonts w:asciiTheme="minorEastAsia" w:eastAsiaTheme="minorEastAsia" w:hAnsiTheme="minorEastAsia" w:hint="eastAsia"/>
        </w:rPr>
        <w:t>如有确凿证据表明按上述方法进行估值不能客观反映其公允价值的，基金管理人可根据具体情况与基金托管人商定后，按最能反映公允价值的价格估值。</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相关法律法规以及监管部门有强制规定的，从其规定。如有新增事项，按国家最新规定估值。</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kern w:val="0"/>
          <w:szCs w:val="21"/>
        </w:rPr>
        <w:t>9</w:t>
      </w:r>
      <w:r w:rsidR="006A1D96" w:rsidRPr="00721084">
        <w:rPr>
          <w:rFonts w:asciiTheme="minorEastAsia" w:eastAsiaTheme="minorEastAsia" w:hAnsiTheme="minorEastAsia" w:hint="eastAsia"/>
          <w:kern w:val="0"/>
          <w:szCs w:val="21"/>
        </w:rPr>
        <w:t>、</w:t>
      </w:r>
      <w:r w:rsidRPr="00721084">
        <w:rPr>
          <w:rFonts w:asciiTheme="minorEastAsia" w:eastAsiaTheme="minorEastAsia" w:hAnsiTheme="minorEastAsia" w:hint="eastAsia"/>
        </w:rPr>
        <w:t>估值中的汇率选取原则：</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（1）估值计算中涉及美元、港币、日元、欧元、英镑等五种主要货币对人民币汇率的，将依据下列信息提供机构所提供的汇率为基准：当日中国人民银行公布的人民币与主要货币的中间价。</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（2）其他货币采用美元作为中间货币进行换算</w:t>
      </w:r>
      <w:r w:rsidR="00BD134C" w:rsidRPr="00721084">
        <w:rPr>
          <w:rFonts w:asciiTheme="minorEastAsia" w:eastAsiaTheme="minorEastAsia" w:hAnsiTheme="minorEastAsia" w:hint="eastAsia"/>
        </w:rPr>
        <w:t>，</w:t>
      </w:r>
      <w:r w:rsidR="00E84618" w:rsidRPr="00721084">
        <w:rPr>
          <w:rFonts w:asciiTheme="minorEastAsia" w:eastAsiaTheme="minorEastAsia" w:hAnsiTheme="minorEastAsia" w:hint="eastAsia"/>
        </w:rPr>
        <w:t>采用路透</w:t>
      </w:r>
      <w:r w:rsidR="00B52D8C" w:rsidRPr="00721084">
        <w:rPr>
          <w:rFonts w:asciiTheme="minorEastAsia" w:eastAsiaTheme="minorEastAsia" w:hAnsiTheme="minorEastAsia" w:hint="eastAsia"/>
        </w:rPr>
        <w:t>伦敦下午四点的汇率套算</w:t>
      </w:r>
      <w:r w:rsidRPr="00721084">
        <w:rPr>
          <w:rFonts w:asciiTheme="minorEastAsia" w:eastAsiaTheme="minorEastAsia" w:hAnsiTheme="minorEastAsia" w:hint="eastAsia"/>
        </w:rPr>
        <w:t>。</w:t>
      </w:r>
      <w:r w:rsidR="006A14B5" w:rsidRPr="00721084">
        <w:rPr>
          <w:rFonts w:asciiTheme="minorEastAsia" w:eastAsiaTheme="minorEastAsia" w:hAnsiTheme="minorEastAsia" w:hint="eastAsia"/>
        </w:rPr>
        <w:t>基金管理人和托管人经协商可对所采用的汇率来源进行调整。</w:t>
      </w:r>
    </w:p>
    <w:p w:rsidR="00810E86" w:rsidRPr="00721084" w:rsidRDefault="00810E8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若无法取得上述汇率价格信息时，以托管银行中国工商银行或境外托管人所提供的合理公开外汇市埸交易价格为准。</w:t>
      </w:r>
    </w:p>
    <w:p w:rsidR="0064594E" w:rsidRPr="00721084" w:rsidRDefault="00810E86"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195" w:name="_Toc44229106"/>
      <w:bookmarkStart w:id="196" w:name="_Toc44229201"/>
      <w:bookmarkStart w:id="197" w:name="_Toc44229107"/>
      <w:bookmarkStart w:id="198" w:name="_Toc44229202"/>
      <w:bookmarkStart w:id="199" w:name="_Toc44229108"/>
      <w:bookmarkStart w:id="200" w:name="_Toc44229203"/>
      <w:bookmarkStart w:id="201" w:name="_Toc44229109"/>
      <w:bookmarkStart w:id="202" w:name="_Toc44229204"/>
      <w:bookmarkStart w:id="203" w:name="_Toc44229110"/>
      <w:bookmarkStart w:id="204" w:name="_Toc44229205"/>
      <w:bookmarkStart w:id="205" w:name="_Toc44229111"/>
      <w:bookmarkStart w:id="206" w:name="_Toc44229206"/>
      <w:bookmarkStart w:id="207" w:name="_Toc44229112"/>
      <w:bookmarkStart w:id="208" w:name="_Toc44229207"/>
      <w:bookmarkStart w:id="209" w:name="_Toc44229113"/>
      <w:bookmarkStart w:id="210" w:name="_Toc44229208"/>
      <w:bookmarkStart w:id="211" w:name="_Toc66706737"/>
      <w:bookmarkStart w:id="212" w:name="_Toc86584628"/>
      <w:bookmarkStart w:id="213" w:name="_Toc4435111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721084">
        <w:rPr>
          <w:rFonts w:asciiTheme="minorEastAsia" w:eastAsiaTheme="minorEastAsia" w:hAnsiTheme="minorEastAsia" w:hint="eastAsia"/>
          <w:b w:val="0"/>
        </w:rPr>
        <w:t>五</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估值程序</w:t>
      </w:r>
      <w:bookmarkEnd w:id="211"/>
      <w:bookmarkEnd w:id="212"/>
      <w:bookmarkEnd w:id="213"/>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基金日常估值由基金管理人进行。基金管理人于估值日的下一工作日完成估值后，将估值结果加盖业务公章以书面形式加密传真</w:t>
      </w:r>
      <w:r w:rsidR="009177CA" w:rsidRPr="00721084">
        <w:rPr>
          <w:rFonts w:asciiTheme="minorEastAsia" w:eastAsiaTheme="minorEastAsia" w:hAnsiTheme="minorEastAsia" w:hint="eastAsia"/>
        </w:rPr>
        <w:t>或以其它双方均认可的方式传递</w:t>
      </w:r>
      <w:r w:rsidRPr="00721084">
        <w:rPr>
          <w:rFonts w:asciiTheme="minorEastAsia" w:eastAsiaTheme="minorEastAsia" w:hAnsiTheme="minorEastAsia" w:hint="eastAsia"/>
        </w:rPr>
        <w:t>至基金托管人，基金托管人按法律法规、《基金合同》规定的估值方法、时间、程序进行复核，复核无误后在基金管理人传真的书面估值结果上加盖业务公章返回给基金管理人</w:t>
      </w:r>
      <w:r w:rsidR="00B20DC3" w:rsidRPr="00721084">
        <w:rPr>
          <w:rFonts w:asciiTheme="minorEastAsia" w:eastAsiaTheme="minorEastAsia" w:hAnsiTheme="minorEastAsia" w:hint="eastAsia"/>
        </w:rPr>
        <w:t>或以其它双方均认可的方式对估值结果进行确认</w:t>
      </w:r>
      <w:r w:rsidRPr="00721084">
        <w:rPr>
          <w:rFonts w:asciiTheme="minorEastAsia" w:eastAsiaTheme="minorEastAsia" w:hAnsiTheme="minorEastAsia" w:hint="eastAsia"/>
        </w:rPr>
        <w:t>；月末、年中和年末估值复核与基金会计账目的核对同时进行。</w:t>
      </w:r>
    </w:p>
    <w:p w:rsidR="0064594E"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kern w:val="0"/>
          <w:szCs w:val="21"/>
        </w:rPr>
        <w:t>在法律法规和中国证监会允许的情况下，基金管理人与基金托管人可以各自委托第三方机构进行基金资产估值，但不改变基金管理人与基金托管人对基金资产估值各自承担的责任。</w:t>
      </w:r>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214" w:name="_Toc66706738"/>
      <w:bookmarkStart w:id="215" w:name="_Toc86584629"/>
      <w:bookmarkStart w:id="216" w:name="_Toc44351120"/>
      <w:r w:rsidRPr="00721084">
        <w:rPr>
          <w:rFonts w:asciiTheme="minorEastAsia" w:eastAsiaTheme="minorEastAsia" w:hAnsiTheme="minorEastAsia" w:hint="eastAsia"/>
          <w:b w:val="0"/>
        </w:rPr>
        <w:t>六</w:t>
      </w:r>
      <w:r w:rsidRPr="00721084">
        <w:rPr>
          <w:rFonts w:asciiTheme="minorEastAsia" w:eastAsiaTheme="minorEastAsia" w:hAnsiTheme="minorEastAsia"/>
          <w:b w:val="0"/>
        </w:rPr>
        <w:t>、</w:t>
      </w:r>
      <w:r w:rsidR="002D0A71" w:rsidRPr="00721084">
        <w:rPr>
          <w:rFonts w:asciiTheme="minorEastAsia" w:eastAsiaTheme="minorEastAsia" w:hAnsiTheme="minorEastAsia" w:hint="eastAsia"/>
          <w:b w:val="0"/>
        </w:rPr>
        <w:t>可</w:t>
      </w:r>
      <w:r w:rsidR="0064594E" w:rsidRPr="00721084">
        <w:rPr>
          <w:rFonts w:asciiTheme="minorEastAsia" w:eastAsiaTheme="minorEastAsia" w:hAnsiTheme="minorEastAsia" w:hint="eastAsia"/>
          <w:b w:val="0"/>
        </w:rPr>
        <w:t>暂停估值的情形</w:t>
      </w:r>
      <w:bookmarkEnd w:id="214"/>
      <w:bookmarkEnd w:id="215"/>
      <w:bookmarkEnd w:id="216"/>
    </w:p>
    <w:p w:rsidR="00A47680" w:rsidRPr="00721084" w:rsidRDefault="00A47680"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kern w:val="0"/>
          <w:szCs w:val="21"/>
        </w:rPr>
        <w:t>1</w:t>
      </w:r>
      <w:r w:rsidR="006A1D96" w:rsidRPr="00721084">
        <w:rPr>
          <w:rFonts w:asciiTheme="minorEastAsia" w:eastAsiaTheme="minorEastAsia" w:hAnsiTheme="minorEastAsia" w:hint="eastAsia"/>
          <w:kern w:val="0"/>
          <w:szCs w:val="21"/>
        </w:rPr>
        <w:t>、</w:t>
      </w:r>
      <w:r w:rsidRPr="00721084">
        <w:rPr>
          <w:rFonts w:asciiTheme="minorEastAsia" w:eastAsiaTheme="minorEastAsia" w:hAnsiTheme="minorEastAsia" w:hint="eastAsia"/>
          <w:kern w:val="0"/>
          <w:szCs w:val="21"/>
        </w:rPr>
        <w:t>基金投资所涉及的主要证券交易所或市场或外汇市场遇法定节假日或因其他原因暂停营业时；</w:t>
      </w:r>
    </w:p>
    <w:p w:rsidR="00A47680" w:rsidRPr="00721084" w:rsidRDefault="00A47680"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kern w:val="0"/>
          <w:szCs w:val="21"/>
        </w:rPr>
        <w:t>2</w:t>
      </w:r>
      <w:r w:rsidR="006A1D96" w:rsidRPr="00721084">
        <w:rPr>
          <w:rFonts w:asciiTheme="minorEastAsia" w:eastAsiaTheme="minorEastAsia" w:hAnsiTheme="minorEastAsia" w:hint="eastAsia"/>
          <w:kern w:val="0"/>
          <w:szCs w:val="21"/>
        </w:rPr>
        <w:t>、</w:t>
      </w:r>
      <w:r w:rsidRPr="00721084">
        <w:rPr>
          <w:rFonts w:asciiTheme="minorEastAsia" w:eastAsiaTheme="minorEastAsia" w:hAnsiTheme="minorEastAsia" w:hint="eastAsia"/>
          <w:kern w:val="0"/>
          <w:szCs w:val="21"/>
        </w:rPr>
        <w:t>因不可抗力或其他情形致使基金管理人无法准确评估基金资产价值时；</w:t>
      </w:r>
    </w:p>
    <w:p w:rsidR="00CD3B3A" w:rsidRPr="00721084" w:rsidRDefault="000E5F6B" w:rsidP="006D35EC">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kern w:val="0"/>
          <w:szCs w:val="21"/>
        </w:rPr>
        <w:t>3</w:t>
      </w:r>
      <w:r w:rsidRPr="00721084">
        <w:rPr>
          <w:rFonts w:asciiTheme="minorEastAsia" w:eastAsiaTheme="minorEastAsia" w:hAnsiTheme="minorEastAsia" w:hint="eastAsia"/>
          <w:kern w:val="0"/>
          <w:szCs w:val="21"/>
        </w:rPr>
        <w:t>、前一估值日基金资产净值</w:t>
      </w:r>
      <w:r w:rsidRPr="00721084">
        <w:rPr>
          <w:rFonts w:asciiTheme="minorEastAsia" w:eastAsiaTheme="minorEastAsia" w:hAnsiTheme="minorEastAsia"/>
          <w:kern w:val="0"/>
          <w:szCs w:val="21"/>
        </w:rPr>
        <w:t>50%以上的资产出现无可参考的活跃市场价格且采用估值技术仍导致公允价值存在重大不确定性时，经与基金托管人协商一致的</w:t>
      </w:r>
      <w:r w:rsidRPr="00721084">
        <w:rPr>
          <w:rFonts w:asciiTheme="minorEastAsia" w:eastAsiaTheme="minorEastAsia" w:hAnsiTheme="minorEastAsia" w:hint="eastAsia"/>
          <w:kern w:val="0"/>
          <w:szCs w:val="21"/>
        </w:rPr>
        <w:t>；</w:t>
      </w:r>
    </w:p>
    <w:p w:rsidR="0064594E" w:rsidRPr="00721084" w:rsidRDefault="005C3ABC"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kern w:val="0"/>
          <w:szCs w:val="21"/>
        </w:rPr>
        <w:t>4</w:t>
      </w:r>
      <w:r w:rsidR="006A1D96" w:rsidRPr="00721084">
        <w:rPr>
          <w:rFonts w:asciiTheme="minorEastAsia" w:eastAsiaTheme="minorEastAsia" w:hAnsiTheme="minorEastAsia" w:hint="eastAsia"/>
          <w:kern w:val="0"/>
          <w:szCs w:val="21"/>
        </w:rPr>
        <w:t>、</w:t>
      </w:r>
      <w:r w:rsidR="00A47680" w:rsidRPr="00721084">
        <w:rPr>
          <w:rFonts w:asciiTheme="minorEastAsia" w:eastAsiaTheme="minorEastAsia" w:hAnsiTheme="minorEastAsia" w:hint="eastAsia"/>
          <w:kern w:val="0"/>
          <w:szCs w:val="21"/>
        </w:rPr>
        <w:t>中国证监会认定的其他情形。</w:t>
      </w:r>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217" w:name="_Toc66706739"/>
      <w:bookmarkStart w:id="218" w:name="_Toc86584630"/>
      <w:bookmarkStart w:id="219" w:name="_Toc44351121"/>
      <w:r w:rsidRPr="00721084">
        <w:rPr>
          <w:rFonts w:asciiTheme="minorEastAsia" w:eastAsiaTheme="minorEastAsia" w:hAnsiTheme="minorEastAsia" w:hint="eastAsia"/>
          <w:b w:val="0"/>
        </w:rPr>
        <w:lastRenderedPageBreak/>
        <w:t>七</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基金份额净值的确认和估值错误</w:t>
      </w:r>
      <w:r w:rsidR="00EB1C69" w:rsidRPr="00721084">
        <w:rPr>
          <w:rFonts w:asciiTheme="minorEastAsia" w:eastAsiaTheme="minorEastAsia" w:hAnsiTheme="minorEastAsia" w:hint="eastAsia"/>
          <w:b w:val="0"/>
        </w:rPr>
        <w:t>的</w:t>
      </w:r>
      <w:r w:rsidR="0064594E" w:rsidRPr="00721084">
        <w:rPr>
          <w:rFonts w:asciiTheme="minorEastAsia" w:eastAsiaTheme="minorEastAsia" w:hAnsiTheme="minorEastAsia" w:hint="eastAsia"/>
          <w:b w:val="0"/>
        </w:rPr>
        <w:t>处理</w:t>
      </w:r>
      <w:bookmarkEnd w:id="217"/>
      <w:bookmarkEnd w:id="218"/>
      <w:bookmarkEnd w:id="219"/>
    </w:p>
    <w:p w:rsidR="00A47680" w:rsidRPr="00721084" w:rsidRDefault="00A47680" w:rsidP="00CE3F81">
      <w:pPr>
        <w:snapToGrid w:val="0"/>
        <w:spacing w:line="360" w:lineRule="auto"/>
        <w:ind w:firstLineChars="200" w:firstLine="420"/>
        <w:rPr>
          <w:rFonts w:asciiTheme="minorEastAsia" w:eastAsiaTheme="minorEastAsia" w:hAnsiTheme="minorEastAsia"/>
        </w:rPr>
      </w:pPr>
      <w:bookmarkStart w:id="220" w:name="_Toc97031289"/>
      <w:bookmarkStart w:id="221" w:name="_Toc97107249"/>
      <w:bookmarkEnd w:id="185"/>
      <w:bookmarkEnd w:id="220"/>
      <w:bookmarkEnd w:id="221"/>
      <w:r w:rsidRPr="00721084">
        <w:rPr>
          <w:rFonts w:asciiTheme="minorEastAsia" w:eastAsiaTheme="minorEastAsia" w:hAnsiTheme="minorEastAsia" w:hint="eastAsia"/>
        </w:rPr>
        <w:t>基金份额净值的计算采用四舍五入的方法保留小数点后3位。当基金份额净值偏差达到基金份额净值的0.5%时，基金管理人应当立即纠正，并采取合理的措施防止损失进一步扩大。当基金份额净值计算差错小于基金份额净值0.5%时，基金管理人与基金托管人应在发现日对账务进行更正调整，不做追溯处理；当基金管理人将其义务委托第三方处理时，应当对第三方处理有关基金事务的行为承担责任。</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关于差错处理，</w:t>
      </w:r>
      <w:r w:rsidR="00AE12FE" w:rsidRPr="00721084">
        <w:rPr>
          <w:rFonts w:asciiTheme="minorEastAsia" w:eastAsiaTheme="minorEastAsia" w:hAnsiTheme="minorEastAsia" w:hint="eastAsia"/>
        </w:rPr>
        <w:t>基金</w:t>
      </w:r>
      <w:r w:rsidRPr="00721084">
        <w:rPr>
          <w:rFonts w:asciiTheme="minorEastAsia" w:eastAsiaTheme="minorEastAsia" w:hAnsiTheme="minorEastAsia" w:hint="eastAsia"/>
        </w:rPr>
        <w:t>合同的当事人按照以下约定处理：</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1</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差错类型</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2</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差错处理原则</w:t>
      </w:r>
    </w:p>
    <w:p w:rsidR="00A47680" w:rsidRPr="00721084" w:rsidRDefault="00A47680"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因基金估值错误给投资者造成损失，在基金管理人可承担的范围内应先由基金管理人承担，基金管理人对不应由其承担的责任，有权根据过错原则，向过错人追偿，本协议的当事人应将按照以下约定处理。</w:t>
      </w:r>
    </w:p>
    <w:p w:rsidR="00A47680" w:rsidRPr="00721084" w:rsidRDefault="00A47680"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A47680" w:rsidRPr="00721084" w:rsidRDefault="00A47680"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A47680" w:rsidRPr="00721084" w:rsidRDefault="00A47680"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由于证券交易所，交易市场及登记结算公司及数据供应商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A47680" w:rsidRPr="00721084" w:rsidRDefault="00A47680"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（4）当基金管理人计算的基金资产净值与基金托管人的计算结果不一致时，相关各方</w:t>
      </w:r>
      <w:r w:rsidRPr="00721084">
        <w:rPr>
          <w:rFonts w:asciiTheme="minorEastAsia" w:eastAsiaTheme="minorEastAsia" w:hAnsiTheme="minorEastAsia" w:hint="eastAsia"/>
          <w:szCs w:val="21"/>
        </w:rPr>
        <w:lastRenderedPageBreak/>
        <w:t>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A47680" w:rsidRPr="00721084" w:rsidRDefault="00A47680"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（5）法律法规或者监管部门另有规定的，从其规定。如果行业有通行做法，基金管理人和基金托管人双方应本着平等和保护基金</w:t>
      </w:r>
      <w:r w:rsidR="005F5B54" w:rsidRPr="00721084">
        <w:rPr>
          <w:rFonts w:asciiTheme="minorEastAsia" w:eastAsiaTheme="minorEastAsia" w:hAnsiTheme="minorEastAsia" w:hint="eastAsia"/>
          <w:szCs w:val="21"/>
        </w:rPr>
        <w:t>份额</w:t>
      </w:r>
      <w:r w:rsidRPr="00721084">
        <w:rPr>
          <w:rFonts w:asciiTheme="minorEastAsia" w:eastAsiaTheme="minorEastAsia" w:hAnsiTheme="minorEastAsia" w:hint="eastAsia"/>
          <w:szCs w:val="21"/>
        </w:rPr>
        <w:t>持有人利益的原则进行协商。</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szCs w:val="21"/>
        </w:rPr>
        <w:t>（6）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w:t>
      </w:r>
      <w:r w:rsidRPr="00721084">
        <w:rPr>
          <w:rFonts w:asciiTheme="minorEastAsia" w:eastAsiaTheme="minorEastAsia" w:hAnsiTheme="minorEastAsia" w:hint="eastAsia"/>
        </w:rPr>
        <w:t>正的情况向有关当事人进行确认，确保差错已得到更正。</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（7）差错的责任方对可能导致有关当事人的直接损失负责，不对间接损失负责，并且仅对差错的有关直接当事人负责，不对第三方负责。</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（9）差错调整采用尽量恢复至假设未发生差错的正确情形的方式。</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（10）如果因基金管理人过错造成基金资产损失时，基金托管人应为基金的利益向基金管理人追偿，如果因基金托管人过错造成基金资产损失时，基金管理人应为基金的利益向基金托管人追偿。除基金管理人和</w:t>
      </w:r>
      <w:r w:rsidR="005F5B54" w:rsidRPr="00721084">
        <w:rPr>
          <w:rFonts w:asciiTheme="minorEastAsia" w:eastAsiaTheme="minorEastAsia" w:hAnsiTheme="minorEastAsia" w:hint="eastAsia"/>
        </w:rPr>
        <w:t>基金</w:t>
      </w:r>
      <w:r w:rsidRPr="00721084">
        <w:rPr>
          <w:rFonts w:asciiTheme="minorEastAsia" w:eastAsiaTheme="minorEastAsia" w:hAnsiTheme="minorEastAsia" w:hint="eastAsia"/>
        </w:rPr>
        <w:t>托管人之外的第三方造成基金资产的损失，并拒绝进行赔偿时，由基金管理人负责向差错方追偿，但该第三方是由</w:t>
      </w:r>
      <w:r w:rsidR="005F5B54" w:rsidRPr="00721084">
        <w:rPr>
          <w:rFonts w:asciiTheme="minorEastAsia" w:eastAsiaTheme="minorEastAsia" w:hAnsiTheme="minorEastAsia" w:hint="eastAsia"/>
        </w:rPr>
        <w:t>基金</w:t>
      </w:r>
      <w:r w:rsidRPr="00721084">
        <w:rPr>
          <w:rFonts w:asciiTheme="minorEastAsia" w:eastAsiaTheme="minorEastAsia" w:hAnsiTheme="minorEastAsia" w:hint="eastAsia"/>
        </w:rPr>
        <w:t>托管人委托的情况下，应由基金托管人负责赔偿并向差错方追偿。</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（12）按法律法规规定的其他原则处理差错。</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3</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差错处理程序</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差错被发现后，有关的当事人应当及时进行处理，处理的程序如下：</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w:t>
      </w:r>
      <w:r w:rsidRPr="00721084">
        <w:rPr>
          <w:rFonts w:asciiTheme="minorEastAsia" w:eastAsiaTheme="minorEastAsia" w:hAnsiTheme="minorEastAsia" w:hint="eastAsia"/>
        </w:rPr>
        <w:t>）查明差错发生的原因，列明所有的当事人，并根据差错发生的原因确定差错的责任方；</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2</w:t>
      </w:r>
      <w:r w:rsidRPr="00721084">
        <w:rPr>
          <w:rFonts w:asciiTheme="minorEastAsia" w:eastAsiaTheme="minorEastAsia" w:hAnsiTheme="minorEastAsia" w:hint="eastAsia"/>
        </w:rPr>
        <w:t>）根据差错处理原则或当事人协商的方法对因差错造成的损失进行评估；</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w:t>
      </w:r>
      <w:r w:rsidRPr="00721084">
        <w:rPr>
          <w:rFonts w:asciiTheme="minorEastAsia" w:eastAsiaTheme="minorEastAsia" w:hAnsiTheme="minorEastAsia"/>
        </w:rPr>
        <w:t>3</w:t>
      </w:r>
      <w:r w:rsidRPr="00721084">
        <w:rPr>
          <w:rFonts w:asciiTheme="minorEastAsia" w:eastAsiaTheme="minorEastAsia" w:hAnsiTheme="minorEastAsia" w:hint="eastAsia"/>
        </w:rPr>
        <w:t>）根据差错处理原则或当事人协商的方法由差错的责任方进行更正和赔偿损失；</w:t>
      </w:r>
    </w:p>
    <w:p w:rsidR="00A47680" w:rsidRPr="00721084" w:rsidRDefault="00A47680"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4</w:t>
      </w:r>
      <w:r w:rsidRPr="00721084">
        <w:rPr>
          <w:rFonts w:asciiTheme="minorEastAsia" w:eastAsiaTheme="minorEastAsia" w:hAnsiTheme="minorEastAsia" w:hint="eastAsia"/>
        </w:rPr>
        <w:t>）根据差错处理的方法，需要修改基金注册登记机构的交易数据的，由基金注册登记机构进行更正，并就差错的更正向有关当事人进行确认；</w:t>
      </w:r>
    </w:p>
    <w:p w:rsidR="0064594E" w:rsidRPr="00721084" w:rsidRDefault="00A47680" w:rsidP="00CE3F81">
      <w:pPr>
        <w:snapToGrid w:val="0"/>
        <w:spacing w:line="360" w:lineRule="auto"/>
        <w:ind w:firstLineChars="200" w:firstLine="420"/>
        <w:rPr>
          <w:rFonts w:asciiTheme="minorEastAsia" w:eastAsiaTheme="minorEastAsia" w:hAnsiTheme="minorEastAsia"/>
          <w:sz w:val="24"/>
        </w:rPr>
      </w:pPr>
      <w:r w:rsidRPr="00721084">
        <w:rPr>
          <w:rFonts w:asciiTheme="minorEastAsia" w:eastAsiaTheme="minorEastAsia" w:hAnsiTheme="minorEastAsia" w:hint="eastAsia"/>
        </w:rPr>
        <w:t>（</w:t>
      </w:r>
      <w:r w:rsidRPr="00721084">
        <w:rPr>
          <w:rFonts w:asciiTheme="minorEastAsia" w:eastAsiaTheme="minorEastAsia" w:hAnsiTheme="minorEastAsia"/>
        </w:rPr>
        <w:t>5</w:t>
      </w:r>
      <w:r w:rsidRPr="00721084">
        <w:rPr>
          <w:rFonts w:asciiTheme="minorEastAsia" w:eastAsiaTheme="minorEastAsia" w:hAnsiTheme="minorEastAsia" w:hint="eastAsia"/>
        </w:rPr>
        <w:t>）基金管理人及基金托管人基金份额净值计算错误偏差达到基金份额净值的</w:t>
      </w:r>
      <w:r w:rsidRPr="00721084">
        <w:rPr>
          <w:rFonts w:asciiTheme="minorEastAsia" w:eastAsiaTheme="minorEastAsia" w:hAnsiTheme="minorEastAsia"/>
        </w:rPr>
        <w:t>0.5%</w:t>
      </w:r>
      <w:r w:rsidRPr="00721084">
        <w:rPr>
          <w:rFonts w:asciiTheme="minorEastAsia" w:eastAsiaTheme="minorEastAsia" w:hAnsiTheme="minorEastAsia" w:hint="eastAsia"/>
        </w:rPr>
        <w:t>时，基金管理人应当公告并报中国证监会备案。</w:t>
      </w:r>
    </w:p>
    <w:p w:rsidR="0064594E" w:rsidRPr="00721084" w:rsidRDefault="005A3EE0" w:rsidP="005A3EE0">
      <w:pPr>
        <w:pStyle w:val="2"/>
        <w:snapToGrid w:val="0"/>
        <w:spacing w:beforeLines="0" w:afterLines="0" w:line="360" w:lineRule="auto"/>
        <w:ind w:firstLine="560"/>
        <w:rPr>
          <w:rFonts w:asciiTheme="minorEastAsia" w:eastAsiaTheme="minorEastAsia" w:hAnsiTheme="minorEastAsia"/>
          <w:b w:val="0"/>
        </w:rPr>
      </w:pPr>
      <w:bookmarkStart w:id="222" w:name="_Toc44351122"/>
      <w:r w:rsidRPr="00721084">
        <w:rPr>
          <w:rFonts w:asciiTheme="minorEastAsia" w:eastAsiaTheme="minorEastAsia" w:hAnsiTheme="minorEastAsia" w:hint="eastAsia"/>
          <w:b w:val="0"/>
        </w:rPr>
        <w:t>八</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特殊情形的处理</w:t>
      </w:r>
      <w:bookmarkEnd w:id="222"/>
    </w:p>
    <w:p w:rsidR="0064594E" w:rsidRPr="00721084" w:rsidRDefault="00BD589F"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基金管理人按估值方法的第7项进行估值时，所造成的误差不作为基金资产估值错误处理。</w:t>
      </w:r>
    </w:p>
    <w:p w:rsidR="00BD4C5B" w:rsidRPr="00721084" w:rsidRDefault="00BD4C5B" w:rsidP="00CE3F81">
      <w:pPr>
        <w:snapToGrid w:val="0"/>
        <w:spacing w:line="360" w:lineRule="auto"/>
        <w:ind w:firstLineChars="200" w:firstLine="420"/>
        <w:rPr>
          <w:rFonts w:asciiTheme="minorEastAsia" w:eastAsiaTheme="minorEastAsia" w:hAnsiTheme="minorEastAsia"/>
          <w:szCs w:val="21"/>
        </w:rPr>
        <w:sectPr w:rsidR="00BD4C5B" w:rsidRPr="00721084">
          <w:pgSz w:w="11906" w:h="16838" w:code="9"/>
          <w:pgMar w:top="1440" w:right="1800" w:bottom="1440" w:left="1800" w:header="851" w:footer="992" w:gutter="0"/>
          <w:cols w:space="425"/>
          <w:docGrid w:type="lines" w:linePitch="312"/>
        </w:sectPr>
      </w:pPr>
    </w:p>
    <w:p w:rsidR="0055619F" w:rsidRPr="00721084" w:rsidRDefault="0055619F"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23" w:name="_Toc185222016"/>
      <w:bookmarkStart w:id="224" w:name="_Toc185222488"/>
      <w:bookmarkStart w:id="225" w:name="_Toc185222591"/>
      <w:bookmarkStart w:id="226" w:name="_Toc185222757"/>
      <w:bookmarkStart w:id="227" w:name="_Toc44351123"/>
      <w:bookmarkStart w:id="228" w:name="_Toc84149664"/>
      <w:bookmarkStart w:id="229" w:name="_Toc86584639"/>
      <w:bookmarkEnd w:id="223"/>
      <w:bookmarkEnd w:id="224"/>
      <w:bookmarkEnd w:id="225"/>
      <w:bookmarkEnd w:id="226"/>
      <w:r w:rsidRPr="00721084">
        <w:rPr>
          <w:rFonts w:asciiTheme="minorEastAsia" w:eastAsiaTheme="minorEastAsia" w:hAnsiTheme="minorEastAsia" w:hint="eastAsia"/>
        </w:rPr>
        <w:lastRenderedPageBreak/>
        <w:t>基金的收益与分配</w:t>
      </w:r>
      <w:bookmarkEnd w:id="227"/>
    </w:p>
    <w:p w:rsidR="000D5124" w:rsidRPr="00721084"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0" w:name="_Toc44351124"/>
      <w:r w:rsidRPr="00721084">
        <w:rPr>
          <w:rFonts w:asciiTheme="minorEastAsia" w:eastAsiaTheme="minorEastAsia" w:hAnsiTheme="minorEastAsia" w:hint="eastAsia"/>
          <w:b w:val="0"/>
        </w:rPr>
        <w:t>一、基金利润的构成</w:t>
      </w:r>
      <w:bookmarkEnd w:id="230"/>
    </w:p>
    <w:p w:rsidR="000D5124" w:rsidRPr="00721084" w:rsidRDefault="000D512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基金利润指基金利息收入、投资收益、公允价值变动收益和其他收入扣除相关费用后的余额；基金已实现收益指基金利润减去公允价值变动收益后的余额。</w:t>
      </w:r>
    </w:p>
    <w:p w:rsidR="000D5124" w:rsidRPr="00721084"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1" w:name="_Toc44351125"/>
      <w:r w:rsidRPr="00721084">
        <w:rPr>
          <w:rFonts w:asciiTheme="minorEastAsia" w:eastAsiaTheme="minorEastAsia" w:hAnsiTheme="minorEastAsia" w:hint="eastAsia"/>
          <w:b w:val="0"/>
        </w:rPr>
        <w:t>二、基金可供分配利润</w:t>
      </w:r>
      <w:bookmarkEnd w:id="231"/>
    </w:p>
    <w:p w:rsidR="000D5124" w:rsidRPr="00721084" w:rsidRDefault="000D512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基金可供分配利润指截至收益分配基准日基金未分配利润与未分配利润中已实现收益的孰低数。</w:t>
      </w:r>
    </w:p>
    <w:p w:rsidR="000D5124" w:rsidRPr="00721084"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2" w:name="_Toc44351126"/>
      <w:r w:rsidRPr="00721084">
        <w:rPr>
          <w:rFonts w:asciiTheme="minorEastAsia" w:eastAsiaTheme="minorEastAsia" w:hAnsiTheme="minorEastAsia" w:hint="eastAsia"/>
          <w:b w:val="0"/>
        </w:rPr>
        <w:t>三、基金收益分配原则</w:t>
      </w:r>
      <w:bookmarkEnd w:id="232"/>
    </w:p>
    <w:p w:rsidR="000D5124" w:rsidRPr="00721084" w:rsidRDefault="000D512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每一基金份额享有同等分配权；</w:t>
      </w:r>
    </w:p>
    <w:p w:rsidR="000D5124" w:rsidRPr="00721084" w:rsidRDefault="000D512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本基金收益分配方式分两种：现金分红与红利再投资，投资者可选择现金红利或将现金红利自动转为基金份额进行再投资；若投资者不选择，本基金默认的收益分配方式是现金分红；</w:t>
      </w:r>
    </w:p>
    <w:p w:rsidR="000D5124" w:rsidRPr="00721084" w:rsidRDefault="000D512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在符合有关基金分红条件的前提下，本基金每年收益分配次数最多为12次，</w:t>
      </w:r>
      <w:r w:rsidR="00717557" w:rsidRPr="00721084">
        <w:rPr>
          <w:rFonts w:asciiTheme="minorEastAsia" w:eastAsiaTheme="minorEastAsia" w:hAnsiTheme="minorEastAsia" w:hint="eastAsia"/>
        </w:rPr>
        <w:t>每份基金份额</w:t>
      </w:r>
      <w:r w:rsidRPr="00721084">
        <w:rPr>
          <w:rFonts w:asciiTheme="minorEastAsia" w:eastAsiaTheme="minorEastAsia" w:hAnsiTheme="minorEastAsia" w:hint="eastAsia"/>
        </w:rPr>
        <w:t>每次分配比例不得低于收益分配基准日每份基金份额可供分配利润的10%；若基金合同生效不满3个月，可不进行收益分配；</w:t>
      </w:r>
    </w:p>
    <w:p w:rsidR="000D5124" w:rsidRPr="00721084" w:rsidRDefault="000D512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基金收益分配基准日的基金份额净值减去每单位基金份额收益分配金额后不能低于面值；</w:t>
      </w:r>
    </w:p>
    <w:p w:rsidR="000D5124" w:rsidRPr="00721084" w:rsidRDefault="000D5124"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006A1D96" w:rsidRPr="00721084">
        <w:rPr>
          <w:rFonts w:asciiTheme="minorEastAsia" w:eastAsiaTheme="minorEastAsia" w:hAnsiTheme="minorEastAsia" w:hint="eastAsia"/>
        </w:rPr>
        <w:t>、</w:t>
      </w:r>
      <w:r w:rsidRPr="00721084">
        <w:rPr>
          <w:rFonts w:asciiTheme="minorEastAsia" w:eastAsiaTheme="minorEastAsia" w:hAnsiTheme="minorEastAsia" w:hint="eastAsia"/>
        </w:rPr>
        <w:t>法律法规或监管机关另有规定的，从其规定。</w:t>
      </w:r>
    </w:p>
    <w:p w:rsidR="000D5124" w:rsidRPr="00721084"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3" w:name="_Toc44351127"/>
      <w:r w:rsidRPr="00721084">
        <w:rPr>
          <w:rFonts w:asciiTheme="minorEastAsia" w:eastAsiaTheme="minorEastAsia" w:hAnsiTheme="minorEastAsia" w:hint="eastAsia"/>
          <w:b w:val="0"/>
        </w:rPr>
        <w:t>四、收益分配方案</w:t>
      </w:r>
      <w:bookmarkEnd w:id="233"/>
    </w:p>
    <w:p w:rsidR="000D5124" w:rsidRPr="00721084" w:rsidRDefault="000D5124"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基金收益分配方案中应载明基金收益分配基准日可供分配利润、基金收益分配对象、分配时间、</w:t>
      </w:r>
      <w:r w:rsidRPr="00721084">
        <w:rPr>
          <w:rFonts w:asciiTheme="minorEastAsia" w:eastAsiaTheme="minorEastAsia" w:hAnsiTheme="minorEastAsia" w:hint="eastAsia"/>
          <w:bCs/>
          <w:szCs w:val="21"/>
        </w:rPr>
        <w:t>分配数额及比例</w:t>
      </w:r>
      <w:r w:rsidRPr="00721084">
        <w:rPr>
          <w:rFonts w:asciiTheme="minorEastAsia" w:eastAsiaTheme="minorEastAsia" w:hAnsiTheme="minorEastAsia" w:hint="eastAsia"/>
          <w:szCs w:val="21"/>
        </w:rPr>
        <w:t>、分配方式等内容。</w:t>
      </w:r>
    </w:p>
    <w:p w:rsidR="000D5124" w:rsidRPr="00721084"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4" w:name="_Toc44351128"/>
      <w:r w:rsidRPr="00721084">
        <w:rPr>
          <w:rFonts w:asciiTheme="minorEastAsia" w:eastAsiaTheme="minorEastAsia" w:hAnsiTheme="minorEastAsia" w:hint="eastAsia"/>
          <w:b w:val="0"/>
        </w:rPr>
        <w:t>五、收益分配方案的确定、公告与实施</w:t>
      </w:r>
      <w:bookmarkEnd w:id="234"/>
    </w:p>
    <w:p w:rsidR="00E310CD" w:rsidRPr="00721084" w:rsidRDefault="00E310CD" w:rsidP="006D35EC">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本基金收益分配方案由基金管理人拟定，并由基金托管人复核，在指定媒介公告。</w:t>
      </w:r>
    </w:p>
    <w:p w:rsidR="000D5124" w:rsidRPr="00721084" w:rsidRDefault="000D5124"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本基金收益分配的发放日距离收益分配基准日的时间不超过15个工作日。</w:t>
      </w:r>
    </w:p>
    <w:p w:rsidR="000D5124" w:rsidRPr="00721084" w:rsidRDefault="000D5124"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法律法规或监管机关另有规定的，从其规定。</w:t>
      </w:r>
    </w:p>
    <w:p w:rsidR="000D5124" w:rsidRPr="00721084" w:rsidRDefault="000D5124" w:rsidP="006A1D96">
      <w:pPr>
        <w:pStyle w:val="2"/>
        <w:snapToGrid w:val="0"/>
        <w:spacing w:beforeLines="0" w:afterLines="0" w:line="360" w:lineRule="auto"/>
        <w:ind w:left="560" w:firstLineChars="0" w:firstLine="0"/>
        <w:rPr>
          <w:rFonts w:asciiTheme="minorEastAsia" w:eastAsiaTheme="minorEastAsia" w:hAnsiTheme="minorEastAsia"/>
          <w:b w:val="0"/>
        </w:rPr>
      </w:pPr>
      <w:bookmarkStart w:id="235" w:name="_Toc22006048"/>
      <w:bookmarkStart w:id="236" w:name="_Toc44351129"/>
      <w:r w:rsidRPr="00721084">
        <w:rPr>
          <w:rFonts w:asciiTheme="minorEastAsia" w:eastAsiaTheme="minorEastAsia" w:hAnsiTheme="minorEastAsia" w:hint="eastAsia"/>
          <w:b w:val="0"/>
        </w:rPr>
        <w:t>六、基金收益分配中发生的费用</w:t>
      </w:r>
      <w:bookmarkEnd w:id="235"/>
      <w:bookmarkEnd w:id="236"/>
    </w:p>
    <w:p w:rsidR="000D5124" w:rsidRPr="00721084" w:rsidRDefault="000D5124"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bookmarkEnd w:id="228"/>
    <w:bookmarkEnd w:id="229"/>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p>
    <w:p w:rsidR="002A3B1B" w:rsidRPr="00721084" w:rsidRDefault="002A3B1B"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37" w:name="_Toc44351130"/>
      <w:r w:rsidRPr="00721084">
        <w:rPr>
          <w:rFonts w:asciiTheme="minorEastAsia" w:eastAsiaTheme="minorEastAsia" w:hAnsiTheme="minorEastAsia" w:hint="eastAsia"/>
        </w:rPr>
        <w:lastRenderedPageBreak/>
        <w:t>基金的会计与审计</w:t>
      </w:r>
      <w:bookmarkEnd w:id="237"/>
    </w:p>
    <w:p w:rsidR="0064594E" w:rsidRPr="00721084"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238" w:name="_Toc44351131"/>
      <w:r w:rsidRPr="00721084">
        <w:rPr>
          <w:rFonts w:asciiTheme="minorEastAsia" w:eastAsiaTheme="minorEastAsia" w:hAnsiTheme="minorEastAsia" w:hint="eastAsia"/>
          <w:b w:val="0"/>
        </w:rPr>
        <w:t>一</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基金会计政策</w:t>
      </w:r>
      <w:bookmarkEnd w:id="238"/>
    </w:p>
    <w:p w:rsidR="009D370E" w:rsidRPr="00721084" w:rsidRDefault="009D370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基金管理人为本基金的基金会计责任方；</w:t>
      </w:r>
    </w:p>
    <w:p w:rsidR="009D370E" w:rsidRPr="00721084" w:rsidRDefault="009D370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基金的会计年度为公历年度的</w:t>
      </w:r>
      <w:r w:rsidRPr="00721084">
        <w:rPr>
          <w:rFonts w:asciiTheme="minorEastAsia" w:eastAsiaTheme="minorEastAsia" w:hAnsiTheme="minorEastAsia"/>
        </w:rPr>
        <w:t>1</w:t>
      </w:r>
      <w:r w:rsidRPr="00721084">
        <w:rPr>
          <w:rFonts w:asciiTheme="minorEastAsia" w:eastAsiaTheme="minorEastAsia" w:hAnsiTheme="minorEastAsia" w:hint="eastAsia"/>
        </w:rPr>
        <w:t>月</w:t>
      </w:r>
      <w:r w:rsidRPr="00721084">
        <w:rPr>
          <w:rFonts w:asciiTheme="minorEastAsia" w:eastAsiaTheme="minorEastAsia" w:hAnsiTheme="minorEastAsia"/>
        </w:rPr>
        <w:t>1</w:t>
      </w:r>
      <w:r w:rsidRPr="00721084">
        <w:rPr>
          <w:rFonts w:asciiTheme="minorEastAsia" w:eastAsiaTheme="minorEastAsia" w:hAnsiTheme="minorEastAsia" w:hint="eastAsia"/>
        </w:rPr>
        <w:t>日至</w:t>
      </w:r>
      <w:r w:rsidRPr="00721084">
        <w:rPr>
          <w:rFonts w:asciiTheme="minorEastAsia" w:eastAsiaTheme="minorEastAsia" w:hAnsiTheme="minorEastAsia"/>
        </w:rPr>
        <w:t>12</w:t>
      </w:r>
      <w:r w:rsidRPr="00721084">
        <w:rPr>
          <w:rFonts w:asciiTheme="minorEastAsia" w:eastAsiaTheme="minorEastAsia" w:hAnsiTheme="minorEastAsia" w:hint="eastAsia"/>
        </w:rPr>
        <w:t>月</w:t>
      </w:r>
      <w:r w:rsidRPr="00721084">
        <w:rPr>
          <w:rFonts w:asciiTheme="minorEastAsia" w:eastAsiaTheme="minorEastAsia" w:hAnsiTheme="minorEastAsia"/>
        </w:rPr>
        <w:t>31</w:t>
      </w:r>
      <w:r w:rsidRPr="00721084">
        <w:rPr>
          <w:rFonts w:asciiTheme="minorEastAsia" w:eastAsiaTheme="minorEastAsia" w:hAnsiTheme="minorEastAsia" w:hint="eastAsia"/>
        </w:rPr>
        <w:t>日；</w:t>
      </w:r>
    </w:p>
    <w:p w:rsidR="009D370E" w:rsidRPr="00721084" w:rsidRDefault="009D370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3</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基金核算以人民币为记账本位币，以人民币元为记账单位；</w:t>
      </w:r>
    </w:p>
    <w:p w:rsidR="009D370E" w:rsidRPr="00721084" w:rsidRDefault="009D370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4</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会计制度执行国家有关会计制度；</w:t>
      </w:r>
    </w:p>
    <w:p w:rsidR="009D370E" w:rsidRPr="00721084" w:rsidRDefault="009D370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5</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本基金独立建账、独立核算；</w:t>
      </w:r>
    </w:p>
    <w:p w:rsidR="009D370E" w:rsidRPr="00721084" w:rsidRDefault="009D370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6</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基金管理人及基金托管人各自保留完整的会计账目、凭证并进行日常的会计核算，按照有关规定编制基金会计报表；</w:t>
      </w:r>
    </w:p>
    <w:p w:rsidR="009D370E" w:rsidRPr="00721084" w:rsidRDefault="009D370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7</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基金托管人每月与基金管理人就基金的会计核算、报表编制等进行核对并以书面方式确认。</w:t>
      </w:r>
    </w:p>
    <w:p w:rsidR="0064594E" w:rsidRPr="00721084"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239" w:name="_Toc44351132"/>
      <w:r w:rsidRPr="00721084">
        <w:rPr>
          <w:rFonts w:asciiTheme="minorEastAsia" w:eastAsiaTheme="minorEastAsia" w:hAnsiTheme="minorEastAsia" w:hint="eastAsia"/>
          <w:b w:val="0"/>
        </w:rPr>
        <w:t>二</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基金年度审计</w:t>
      </w:r>
      <w:bookmarkEnd w:id="239"/>
    </w:p>
    <w:p w:rsidR="00E310CD" w:rsidRPr="00721084" w:rsidRDefault="00E310CD"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1</w:t>
      </w:r>
      <w:r w:rsidRPr="00721084">
        <w:rPr>
          <w:rFonts w:asciiTheme="minorEastAsia" w:eastAsiaTheme="minorEastAsia" w:hAnsiTheme="minorEastAsia" w:hint="eastAsia"/>
        </w:rPr>
        <w:t>、基金管理人聘请与基金管理人、基金托管人相互独立的具有证券、</w:t>
      </w:r>
      <w:r w:rsidRPr="00721084">
        <w:rPr>
          <w:rFonts w:asciiTheme="minorEastAsia" w:eastAsiaTheme="minorEastAsia" w:hAnsiTheme="minorEastAsia"/>
        </w:rPr>
        <w:t>期货</w:t>
      </w:r>
      <w:r w:rsidRPr="00721084">
        <w:rPr>
          <w:rFonts w:asciiTheme="minorEastAsia" w:eastAsiaTheme="minorEastAsia" w:hAnsiTheme="minorEastAsia" w:hint="eastAsia"/>
        </w:rPr>
        <w:t>相关业务资格的会计师事务所及其注册会计师对本基金的年度财务报表进行审计；</w:t>
      </w:r>
    </w:p>
    <w:p w:rsidR="00E310CD" w:rsidRPr="00721084" w:rsidRDefault="00E310CD"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2</w:t>
      </w:r>
      <w:r w:rsidRPr="00721084">
        <w:rPr>
          <w:rFonts w:asciiTheme="minorEastAsia" w:eastAsiaTheme="minorEastAsia" w:hAnsiTheme="minorEastAsia" w:hint="eastAsia"/>
        </w:rPr>
        <w:t>、会计师事务所更换经办注册会计师，应事先征得基金管理人和基金托管人同意；</w:t>
      </w:r>
    </w:p>
    <w:p w:rsidR="00E310CD" w:rsidRPr="00721084" w:rsidRDefault="00E310CD"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3</w:t>
      </w:r>
      <w:r w:rsidRPr="00721084">
        <w:rPr>
          <w:rFonts w:asciiTheme="minorEastAsia" w:eastAsiaTheme="minorEastAsia" w:hAnsiTheme="minorEastAsia" w:hint="eastAsia"/>
        </w:rPr>
        <w:t>、基金管理人认为有充足理由更换会计师事务所，须通报基金托管人。更换会计师事务所需在</w:t>
      </w:r>
      <w:r w:rsidRPr="00721084">
        <w:rPr>
          <w:rFonts w:asciiTheme="minorEastAsia" w:eastAsiaTheme="minorEastAsia" w:hAnsiTheme="minorEastAsia"/>
        </w:rPr>
        <w:t>2日内在指定媒介公告。</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p>
    <w:p w:rsidR="004F51E0" w:rsidRPr="00721084" w:rsidRDefault="004F51E0"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rPr>
      </w:pPr>
    </w:p>
    <w:p w:rsidR="004F51E0" w:rsidRPr="00721084" w:rsidRDefault="004F51E0"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40" w:name="_Toc44351133"/>
      <w:r w:rsidRPr="00721084">
        <w:rPr>
          <w:rFonts w:asciiTheme="minorEastAsia" w:eastAsiaTheme="minorEastAsia" w:hAnsiTheme="minorEastAsia" w:hint="eastAsia"/>
        </w:rPr>
        <w:lastRenderedPageBreak/>
        <w:t>基金的信息披露</w:t>
      </w:r>
      <w:bookmarkEnd w:id="240"/>
    </w:p>
    <w:p w:rsidR="000E11E7" w:rsidRPr="00721084"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1" w:name="_Toc44351134"/>
      <w:r w:rsidRPr="00721084">
        <w:rPr>
          <w:rFonts w:asciiTheme="minorEastAsia" w:eastAsiaTheme="minorEastAsia" w:hAnsiTheme="minorEastAsia" w:hint="eastAsia"/>
          <w:b w:val="0"/>
        </w:rPr>
        <w:t>一、本基金的信息披露应符合《基金法》、《运作办法》、《信息披露办法》、《基金合同》及其他有关规定。</w:t>
      </w:r>
      <w:bookmarkEnd w:id="241"/>
    </w:p>
    <w:p w:rsidR="000E11E7" w:rsidRPr="00721084"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2" w:name="_Toc44351135"/>
      <w:r w:rsidRPr="00721084">
        <w:rPr>
          <w:rFonts w:asciiTheme="minorEastAsia" w:eastAsiaTheme="minorEastAsia" w:hAnsiTheme="minorEastAsia" w:hint="eastAsia"/>
          <w:b w:val="0"/>
        </w:rPr>
        <w:t>二、信息披露义务人</w:t>
      </w:r>
      <w:bookmarkEnd w:id="242"/>
    </w:p>
    <w:p w:rsidR="00E310CD" w:rsidRPr="00721084" w:rsidRDefault="00E310CD"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本基金信息披露义务人包括基金管理人、基金托管人、召集基金份额持有人大会的基金份额持有人等法律、行政法规和中国证监会规定的自然人、法人和非法人组织。</w:t>
      </w:r>
    </w:p>
    <w:p w:rsidR="00E310CD" w:rsidRPr="00721084" w:rsidRDefault="00E310CD"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本基金信息披露义务人以保护基金份额持有人利益为根本出发点，按照法律法规和中国证监会的规定披露基金信息，并保证所披露信息的真实性、准确性、完整性、及时性、简明性和易得性。</w:t>
      </w:r>
    </w:p>
    <w:p w:rsidR="00E310CD" w:rsidRPr="00721084" w:rsidRDefault="00E310CD"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0E11E7" w:rsidRPr="00721084"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3" w:name="_Toc44351136"/>
      <w:r w:rsidRPr="00721084">
        <w:rPr>
          <w:rFonts w:asciiTheme="minorEastAsia" w:eastAsiaTheme="minorEastAsia" w:hAnsiTheme="minorEastAsia" w:hint="eastAsia"/>
          <w:b w:val="0"/>
        </w:rPr>
        <w:t>三、本基金信息披露义务人承诺公开披露的基金信息，不得有下列行为：</w:t>
      </w:r>
      <w:bookmarkEnd w:id="243"/>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虚假记载、误导性陈述或者重大遗漏；</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对证券投资业绩进行预测；</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3</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违规承诺收益或者承担损失；</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4</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诋毁其他基金管理人、基金托管人或者基金销售机构；</w:t>
      </w:r>
    </w:p>
    <w:p w:rsidR="00E310CD" w:rsidRPr="00721084" w:rsidRDefault="00E310CD"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5</w:t>
      </w:r>
      <w:r w:rsidRPr="00721084">
        <w:rPr>
          <w:rFonts w:asciiTheme="minorEastAsia" w:eastAsiaTheme="minorEastAsia" w:hAnsiTheme="minorEastAsia" w:hint="eastAsia"/>
        </w:rPr>
        <w:t>、登载任何自然人、法人和非法人组织的祝贺性、恭维性或推荐性的文字；</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6</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中国证监会禁止的其他行为。</w:t>
      </w:r>
    </w:p>
    <w:p w:rsidR="004D1E0F" w:rsidRPr="00721084"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4" w:name="_Toc44351137"/>
      <w:r w:rsidRPr="00721084">
        <w:rPr>
          <w:rFonts w:asciiTheme="minorEastAsia" w:eastAsiaTheme="minorEastAsia" w:hAnsiTheme="minorEastAsia" w:hint="eastAsia"/>
          <w:b w:val="0"/>
        </w:rPr>
        <w:t>四、本基金公开披露的信息应采用中文文本。</w:t>
      </w:r>
      <w:bookmarkEnd w:id="244"/>
    </w:p>
    <w:p w:rsidR="00E310CD" w:rsidRPr="00721084" w:rsidRDefault="00E310CD"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如同时采用外文文本的，基金信息披露义务人应保证不同文本的内容一致。不同文本之间发生歧义的，以中文文本为准。</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本基金公开披露的信息采用阿拉伯数字；除特别说明外，货币单位为人民币元。</w:t>
      </w:r>
    </w:p>
    <w:p w:rsidR="000E11E7" w:rsidRPr="00721084"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5" w:name="_Toc44351138"/>
      <w:r w:rsidRPr="00721084">
        <w:rPr>
          <w:rFonts w:asciiTheme="minorEastAsia" w:eastAsiaTheme="minorEastAsia" w:hAnsiTheme="minorEastAsia" w:hint="eastAsia"/>
          <w:b w:val="0"/>
        </w:rPr>
        <w:t>五、公开披露的基金信息</w:t>
      </w:r>
      <w:bookmarkEnd w:id="245"/>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公开披露的基金信息包括：</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（一）《招募说明书》、《基金合同》、《托管协议》</w:t>
      </w:r>
      <w:r w:rsidR="00E310CD" w:rsidRPr="00721084">
        <w:rPr>
          <w:rFonts w:asciiTheme="minorEastAsia" w:eastAsiaTheme="minorEastAsia" w:hAnsiTheme="minorEastAsia" w:hint="eastAsia"/>
        </w:rPr>
        <w:t>、基金产品资料概要</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基金募集申请经中国证监会核准后，基金管理人在基金份额发售的</w:t>
      </w:r>
      <w:r w:rsidRPr="00721084">
        <w:rPr>
          <w:rFonts w:asciiTheme="minorEastAsia" w:eastAsiaTheme="minorEastAsia" w:hAnsiTheme="minorEastAsia"/>
        </w:rPr>
        <w:t>3</w:t>
      </w:r>
      <w:r w:rsidRPr="00721084">
        <w:rPr>
          <w:rFonts w:asciiTheme="minorEastAsia" w:eastAsiaTheme="minorEastAsia" w:hAnsiTheme="minorEastAsia" w:hint="eastAsia"/>
        </w:rPr>
        <w:t>日前，将《招募说明书》、《基金合同》摘要登载在</w:t>
      </w:r>
      <w:r w:rsidR="00CF5E13"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；基金管理人、基金托管人应当将《基金合同》、《托管协议》登载在网站上。</w:t>
      </w:r>
    </w:p>
    <w:p w:rsidR="00E310CD" w:rsidRPr="00721084" w:rsidRDefault="000E11E7" w:rsidP="00E310C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《招募说明书》应当最大限度地披露影响基金投资者决策的全部事项，说明基金认购、</w:t>
      </w:r>
      <w:r w:rsidRPr="00721084">
        <w:rPr>
          <w:rFonts w:asciiTheme="minorEastAsia" w:eastAsiaTheme="minorEastAsia" w:hAnsiTheme="minorEastAsia" w:hint="eastAsia"/>
        </w:rPr>
        <w:lastRenderedPageBreak/>
        <w:t>申购和赎回安排、基金投资、基金产品特性、风险揭示、信息披露及基金份额持有人服务等内容。</w:t>
      </w:r>
      <w:r w:rsidR="00E310CD" w:rsidRPr="00721084">
        <w:rPr>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《基金合同》是界定《基金合同》当事人的各项权利、义务关系，明确基金份额持有人大会召开的规则及具体程序，说明基金产品的特性等涉及基金投资者重大利益的事项的法律文件。</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《托管协议》是界定基金托管人和基金管理人在基金财产保管及基金运作监督等活动中的权利、义务关系的法律文件。</w:t>
      </w:r>
    </w:p>
    <w:p w:rsidR="00776BEB" w:rsidRPr="00721084" w:rsidRDefault="00776BEB" w:rsidP="00776BEB">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4</w:t>
      </w:r>
      <w:r w:rsidRPr="00721084">
        <w:rPr>
          <w:rFonts w:asciiTheme="minorEastAsia" w:eastAsiaTheme="minorEastAsia" w:hAnsiTheme="minorEastAsia"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（二）基金份额发售公告</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基金管理人应当就基金份额发售的具体事宜编制《发售公告》，并在披露《招募说明书》的当日登载于</w:t>
      </w:r>
      <w:r w:rsidR="00CF5E13"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（三）《基金合同》生效公告</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基金管理人应当在《基金合同》生效的次日在</w:t>
      </w:r>
      <w:r w:rsidR="00CF5E13"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登载《基金合同》生效公告。</w:t>
      </w:r>
    </w:p>
    <w:p w:rsidR="0097267F" w:rsidRPr="00721084" w:rsidRDefault="000E11E7"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（四）</w:t>
      </w:r>
      <w:r w:rsidR="0097267F" w:rsidRPr="00721084">
        <w:rPr>
          <w:rFonts w:asciiTheme="minorEastAsia" w:eastAsiaTheme="minorEastAsia" w:hAnsiTheme="minorEastAsia" w:hint="eastAsia"/>
        </w:rPr>
        <w:t>基金净值信息</w:t>
      </w:r>
    </w:p>
    <w:p w:rsidR="0097267F" w:rsidRPr="00721084" w:rsidRDefault="0097267F"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97267F" w:rsidRPr="00721084" w:rsidRDefault="0097267F"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在开始办理基金份额申购或者赎回后，基金管理人应当在不晚于每个开放日后的第二</w:t>
      </w:r>
      <w:r w:rsidRPr="00721084">
        <w:rPr>
          <w:rFonts w:asciiTheme="minorEastAsia" w:eastAsiaTheme="minorEastAsia" w:hAnsiTheme="minorEastAsia"/>
        </w:rPr>
        <w:t>个工作日</w:t>
      </w:r>
      <w:r w:rsidRPr="00721084">
        <w:rPr>
          <w:rFonts w:asciiTheme="minorEastAsia" w:eastAsiaTheme="minorEastAsia" w:hAnsiTheme="minorEastAsia" w:hint="eastAsia"/>
        </w:rPr>
        <w:t>，通过指定网站、基金销售机构网站或者营业网点，披露开放日的基金份额净值和基金份额累计净值。</w:t>
      </w:r>
    </w:p>
    <w:p w:rsidR="0097267F" w:rsidRPr="00721084" w:rsidRDefault="0097267F"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基金管理人应当在不晚于半年度和年度最后一日后的第二</w:t>
      </w:r>
      <w:r w:rsidRPr="00721084">
        <w:rPr>
          <w:rFonts w:asciiTheme="minorEastAsia" w:eastAsiaTheme="minorEastAsia" w:hAnsiTheme="minorEastAsia"/>
        </w:rPr>
        <w:t>个工作日</w:t>
      </w:r>
      <w:r w:rsidRPr="00721084">
        <w:rPr>
          <w:rFonts w:asciiTheme="minorEastAsia" w:eastAsiaTheme="minorEastAsia" w:hAnsiTheme="minorEastAsia" w:hint="eastAsia"/>
        </w:rPr>
        <w:t>，在指定网站披露半年度和年度最后一日的基金份额净值和基金份额累计净值。</w:t>
      </w:r>
    </w:p>
    <w:p w:rsidR="000E11E7" w:rsidRPr="00721084" w:rsidRDefault="000E11E7" w:rsidP="0097267F">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（五）基金份额申购、赎回价格</w:t>
      </w:r>
    </w:p>
    <w:p w:rsidR="009A31C3" w:rsidRPr="00721084" w:rsidRDefault="000E11E7"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基金管理人应当在《基金合同》、《招募说明书》等信息披露文件上载明基金份额申购、赎回价格的计算方式及有关申购、赎回费率</w:t>
      </w:r>
      <w:r w:rsidR="009A31C3" w:rsidRPr="00721084">
        <w:rPr>
          <w:rFonts w:asciiTheme="minorEastAsia" w:eastAsiaTheme="minorEastAsia" w:hAnsiTheme="minorEastAsia" w:hint="eastAsia"/>
        </w:rPr>
        <w:t>，并保证投资者能够在基金销售机构网站或营业网点查阅或者复制前述信息资料。</w:t>
      </w:r>
    </w:p>
    <w:p w:rsidR="007A22BD" w:rsidRPr="00721084" w:rsidRDefault="000E11E7"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（六）</w:t>
      </w:r>
      <w:r w:rsidR="007A22BD" w:rsidRPr="00721084">
        <w:rPr>
          <w:rFonts w:asciiTheme="minorEastAsia" w:eastAsiaTheme="minorEastAsia" w:hAnsiTheme="minorEastAsia" w:hint="eastAsia"/>
        </w:rPr>
        <w:t>基金定期报告，包括基金年度报告、基金中期报告和基金季度报告</w:t>
      </w:r>
    </w:p>
    <w:p w:rsidR="007A22BD" w:rsidRPr="00721084" w:rsidRDefault="007A22BD" w:rsidP="007A22BD">
      <w:pPr>
        <w:spacing w:line="336"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A22BD" w:rsidRPr="00721084" w:rsidRDefault="007A22BD" w:rsidP="007A22BD">
      <w:pPr>
        <w:spacing w:line="336"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基金管理人应当在上半年结束之日起两个月内，编制完成基金中期报告，将中期报告登载在指定网站上，并将中期报告提示性公告登载在指定报刊上。</w:t>
      </w:r>
    </w:p>
    <w:p w:rsidR="007A22BD" w:rsidRPr="00721084" w:rsidRDefault="007A22BD" w:rsidP="007A22BD">
      <w:pPr>
        <w:spacing w:line="336"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基金管理人应当在季度结束之日起</w:t>
      </w:r>
      <w:r w:rsidRPr="00721084">
        <w:rPr>
          <w:rFonts w:asciiTheme="minorEastAsia" w:eastAsiaTheme="minorEastAsia" w:hAnsiTheme="minorEastAsia"/>
        </w:rPr>
        <w:t>15</w:t>
      </w:r>
      <w:r w:rsidRPr="00721084">
        <w:rPr>
          <w:rFonts w:asciiTheme="minorEastAsia" w:eastAsiaTheme="minorEastAsia" w:hAnsiTheme="minorEastAsia" w:hint="eastAsia"/>
        </w:rPr>
        <w:t>个工作日内，编制完成基金季度报告，将季度报告登载在指定网站上，并将季度报告提示性公告登载在指定报刊上。</w:t>
      </w:r>
    </w:p>
    <w:p w:rsidR="007A22BD" w:rsidRPr="00721084" w:rsidRDefault="007A22BD" w:rsidP="007A22BD">
      <w:pPr>
        <w:spacing w:line="336"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《基金合同》生效不足</w:t>
      </w:r>
      <w:r w:rsidRPr="00721084">
        <w:rPr>
          <w:rFonts w:asciiTheme="minorEastAsia" w:eastAsiaTheme="minorEastAsia" w:hAnsiTheme="minorEastAsia"/>
        </w:rPr>
        <w:t>2</w:t>
      </w:r>
      <w:r w:rsidRPr="00721084">
        <w:rPr>
          <w:rFonts w:asciiTheme="minorEastAsia" w:eastAsiaTheme="minorEastAsia" w:hAnsiTheme="minorEastAsia" w:hint="eastAsia"/>
        </w:rPr>
        <w:t>个月的，基金管理人可以不编制当期季度报告、中期报告或者年度报告。</w:t>
      </w:r>
    </w:p>
    <w:p w:rsidR="00B20E00" w:rsidRPr="00721084" w:rsidRDefault="00B20E00" w:rsidP="006D35EC">
      <w:pPr>
        <w:spacing w:line="336"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本基金可以将不高于</w:t>
      </w:r>
      <w:r w:rsidRPr="00721084">
        <w:rPr>
          <w:rFonts w:asciiTheme="minorEastAsia" w:eastAsiaTheme="minorEastAsia" w:hAnsiTheme="minorEastAsia"/>
        </w:rPr>
        <w:t>20%的股票资产投资于除在亚洲地区（日本除外）证券市场交易的企业以及在其他证券市场交易的亚洲企业（日本除外）之外的其他企业，该部分股票的投资比例应在定期报告中披露。</w:t>
      </w:r>
    </w:p>
    <w:p w:rsidR="007A22BD" w:rsidRPr="00721084" w:rsidRDefault="007A22BD" w:rsidP="007A22BD">
      <w:pPr>
        <w:spacing w:line="336"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7A22BD" w:rsidRPr="00721084" w:rsidRDefault="007A22BD" w:rsidP="007A22BD">
      <w:pPr>
        <w:spacing w:line="336"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基金持续运作过程中，基金</w:t>
      </w:r>
      <w:r w:rsidRPr="00721084">
        <w:rPr>
          <w:rFonts w:asciiTheme="minorEastAsia" w:eastAsiaTheme="minorEastAsia" w:hAnsiTheme="minorEastAsia"/>
        </w:rPr>
        <w:t>管理人</w:t>
      </w:r>
      <w:r w:rsidRPr="00721084">
        <w:rPr>
          <w:rFonts w:asciiTheme="minorEastAsia" w:eastAsiaTheme="minorEastAsia" w:hAnsiTheme="minorEastAsia" w:hint="eastAsia"/>
        </w:rPr>
        <w:t>应当在基金年度报告和中期报告中披露基金组合资产情况及其流动性风险分析等。</w:t>
      </w:r>
    </w:p>
    <w:p w:rsidR="000E11E7" w:rsidRPr="00721084" w:rsidRDefault="000E11E7" w:rsidP="006D35EC">
      <w:pPr>
        <w:spacing w:line="336"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（七）临时报告</w:t>
      </w:r>
    </w:p>
    <w:p w:rsidR="007A22BD" w:rsidRPr="00721084" w:rsidRDefault="007A22BD" w:rsidP="007A22BD">
      <w:pPr>
        <w:spacing w:line="336"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本基金发生重大事件，有关信息披露义务人应当在</w:t>
      </w:r>
      <w:r w:rsidRPr="00721084">
        <w:rPr>
          <w:rFonts w:asciiTheme="minorEastAsia" w:eastAsiaTheme="minorEastAsia" w:hAnsiTheme="minorEastAsia"/>
        </w:rPr>
        <w:t>2</w:t>
      </w:r>
      <w:r w:rsidRPr="00721084">
        <w:rPr>
          <w:rFonts w:asciiTheme="minorEastAsia" w:eastAsiaTheme="minorEastAsia" w:hAnsiTheme="minorEastAsia" w:hint="eastAsia"/>
        </w:rPr>
        <w:t>日内编制临时报告书，并登载在指定报刊和指定网站上。</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前款所称重大事件，是指可能对基金份额持有人权益或者基金份额的价格产生重大影响的下列事件：</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w:t>
      </w:r>
      <w:r w:rsidRPr="00721084">
        <w:rPr>
          <w:rFonts w:asciiTheme="minorEastAsia" w:eastAsiaTheme="minorEastAsia" w:hAnsiTheme="minorEastAsia" w:hint="eastAsia"/>
        </w:rPr>
        <w:t>）基金份额持有人大会的召开及决定的事项；</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2</w:t>
      </w:r>
      <w:r w:rsidRPr="00721084">
        <w:rPr>
          <w:rFonts w:asciiTheme="minorEastAsia" w:eastAsiaTheme="minorEastAsia" w:hAnsiTheme="minorEastAsia" w:hint="eastAsia"/>
        </w:rPr>
        <w:t>）基金合同终止、基金清算；</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3</w:t>
      </w:r>
      <w:r w:rsidRPr="00721084">
        <w:rPr>
          <w:rFonts w:asciiTheme="minorEastAsia" w:eastAsiaTheme="minorEastAsia" w:hAnsiTheme="minorEastAsia" w:hint="eastAsia"/>
        </w:rPr>
        <w:t>）转换基金运作方式、基金合并；</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4</w:t>
      </w:r>
      <w:r w:rsidRPr="00721084">
        <w:rPr>
          <w:rFonts w:asciiTheme="minorEastAsia" w:eastAsiaTheme="minorEastAsia" w:hAnsiTheme="minorEastAsia" w:hint="eastAsia"/>
        </w:rPr>
        <w:t>）更换基金管理人、基金托管人、基金份额登记机构，基金改聘会计师事务所；</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5</w:t>
      </w:r>
      <w:r w:rsidRPr="00721084">
        <w:rPr>
          <w:rFonts w:asciiTheme="minorEastAsia" w:eastAsiaTheme="minorEastAsia" w:hAnsiTheme="minorEastAsia" w:hint="eastAsia"/>
        </w:rPr>
        <w:t>）基金管理人委托基金服务机构代为办理基金的份额登记、核算、估值等事项，基金托管人委托基金服务机构代为办理基金的核算、估值、复核等事项；</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6</w:t>
      </w:r>
      <w:r w:rsidRPr="00721084">
        <w:rPr>
          <w:rFonts w:asciiTheme="minorEastAsia" w:eastAsiaTheme="minorEastAsia" w:hAnsiTheme="minorEastAsia" w:hint="eastAsia"/>
        </w:rPr>
        <w:t>）基金管理人、基金托管人的法定名称、住所发生变更；</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7</w:t>
      </w:r>
      <w:r w:rsidRPr="00721084">
        <w:rPr>
          <w:rFonts w:asciiTheme="minorEastAsia" w:eastAsiaTheme="minorEastAsia" w:hAnsiTheme="minorEastAsia" w:hint="eastAsia"/>
        </w:rPr>
        <w:t>）基金管理公司变更持有百分之五以上股权的股东、基金管理人的实际控制人变更；</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8</w:t>
      </w:r>
      <w:r w:rsidRPr="00721084">
        <w:rPr>
          <w:rFonts w:asciiTheme="minorEastAsia" w:eastAsiaTheme="minorEastAsia" w:hAnsiTheme="minorEastAsia" w:hint="eastAsia"/>
        </w:rPr>
        <w:t>）基金募集期延长或提前结束募集；</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w:t>
      </w:r>
      <w:r w:rsidRPr="00721084">
        <w:rPr>
          <w:rFonts w:asciiTheme="minorEastAsia" w:eastAsiaTheme="minorEastAsia" w:hAnsiTheme="minorEastAsia"/>
        </w:rPr>
        <w:t>9</w:t>
      </w:r>
      <w:r w:rsidRPr="00721084">
        <w:rPr>
          <w:rFonts w:asciiTheme="minorEastAsia" w:eastAsiaTheme="minorEastAsia" w:hAnsiTheme="minorEastAsia" w:hint="eastAsia"/>
        </w:rPr>
        <w:t>）基金管理人的高级管理人员、基金经理和基金托管人专门基金托管部门负责人发生变动；</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10</w:t>
      </w:r>
      <w:r w:rsidRPr="00721084">
        <w:rPr>
          <w:rFonts w:asciiTheme="minorEastAsia" w:eastAsiaTheme="minorEastAsia" w:hAnsiTheme="minorEastAsia" w:hint="eastAsia"/>
        </w:rPr>
        <w:t>）基金管理人的董事在最近</w:t>
      </w:r>
      <w:r w:rsidRPr="00721084">
        <w:rPr>
          <w:rFonts w:asciiTheme="minorEastAsia" w:eastAsiaTheme="minorEastAsia" w:hAnsiTheme="minorEastAsia"/>
        </w:rPr>
        <w:t>12</w:t>
      </w:r>
      <w:r w:rsidRPr="00721084">
        <w:rPr>
          <w:rFonts w:asciiTheme="minorEastAsia" w:eastAsiaTheme="minorEastAsia" w:hAnsiTheme="minorEastAsia" w:hint="eastAsia"/>
        </w:rPr>
        <w:t>个月内变更超过百分之五十，基金管理人、基金托管人专门基金托管部门的主要业务人员在最近</w:t>
      </w:r>
      <w:r w:rsidRPr="00721084">
        <w:rPr>
          <w:rFonts w:asciiTheme="minorEastAsia" w:eastAsiaTheme="minorEastAsia" w:hAnsiTheme="minorEastAsia"/>
        </w:rPr>
        <w:t>12</w:t>
      </w:r>
      <w:r w:rsidRPr="00721084">
        <w:rPr>
          <w:rFonts w:asciiTheme="minorEastAsia" w:eastAsiaTheme="minorEastAsia" w:hAnsiTheme="minorEastAsia" w:hint="eastAsia"/>
        </w:rPr>
        <w:t>个月内变动超过百分之三十；</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11</w:t>
      </w:r>
      <w:r w:rsidRPr="00721084">
        <w:rPr>
          <w:rFonts w:asciiTheme="minorEastAsia" w:eastAsiaTheme="minorEastAsia" w:hAnsiTheme="minorEastAsia" w:hint="eastAsia"/>
        </w:rPr>
        <w:t>）涉及基金财产、基金管理业务、基金托管业务的诉讼或仲裁；</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12</w:t>
      </w:r>
      <w:r w:rsidRPr="00721084">
        <w:rPr>
          <w:rFonts w:asciiTheme="minorEastAsia" w:eastAsiaTheme="minorEastAsia" w:hAnsiTheme="minorEastAsia" w:hint="eastAsia"/>
        </w:rPr>
        <w:t>）基金管理人或其高级管理人员、基金经理因基金管理业务相关行为受到重大行政处罚、刑事处罚，基金托管人或其专门基金托管部门负责人因基金托管业务相关行为受到重大行政处罚、刑事处罚；</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13</w:t>
      </w:r>
      <w:r w:rsidRPr="00721084">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14</w:t>
      </w:r>
      <w:r w:rsidRPr="00721084">
        <w:rPr>
          <w:rFonts w:asciiTheme="minorEastAsia" w:eastAsiaTheme="minorEastAsia" w:hAnsiTheme="minorEastAsia" w:hint="eastAsia"/>
        </w:rPr>
        <w:t>）基金收益分配事项；</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15</w:t>
      </w:r>
      <w:r w:rsidRPr="00721084">
        <w:rPr>
          <w:rFonts w:asciiTheme="minorEastAsia" w:eastAsiaTheme="minorEastAsia" w:hAnsiTheme="minorEastAsia" w:hint="eastAsia"/>
        </w:rPr>
        <w:t>）管理费、托管费、申购费、赎回费等费用计提标准、计提方式和费率发生变更；</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16</w:t>
      </w:r>
      <w:r w:rsidRPr="00721084">
        <w:rPr>
          <w:rFonts w:asciiTheme="minorEastAsia" w:eastAsiaTheme="minorEastAsia" w:hAnsiTheme="minorEastAsia" w:hint="eastAsia"/>
        </w:rPr>
        <w:t>）基金份额净值计价错误达基金份额净值百分之零点五；</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17</w:t>
      </w:r>
      <w:r w:rsidRPr="00721084">
        <w:rPr>
          <w:rFonts w:asciiTheme="minorEastAsia" w:eastAsiaTheme="minorEastAsia" w:hAnsiTheme="minorEastAsia" w:hint="eastAsia"/>
        </w:rPr>
        <w:t>）本基金开始办理申购、赎回；</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18</w:t>
      </w:r>
      <w:r w:rsidRPr="00721084">
        <w:rPr>
          <w:rFonts w:asciiTheme="minorEastAsia" w:eastAsiaTheme="minorEastAsia" w:hAnsiTheme="minorEastAsia" w:hint="eastAsia"/>
        </w:rPr>
        <w:t>）本基金暂停接受申购、赎回申请或重新接受申购、赎回申请；</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19</w:t>
      </w:r>
      <w:r w:rsidRPr="00721084">
        <w:rPr>
          <w:rFonts w:asciiTheme="minorEastAsia" w:eastAsiaTheme="minorEastAsia" w:hAnsiTheme="minorEastAsia" w:hint="eastAsia"/>
        </w:rPr>
        <w:t>）调整基金份额类别的设置；</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20</w:t>
      </w:r>
      <w:r w:rsidRPr="00721084">
        <w:rPr>
          <w:rFonts w:asciiTheme="minorEastAsia" w:eastAsiaTheme="minorEastAsia" w:hAnsiTheme="minorEastAsia" w:hint="eastAsia"/>
        </w:rPr>
        <w:t>）基金推出新业务或服务；</w:t>
      </w:r>
    </w:p>
    <w:p w:rsidR="007A22BD" w:rsidRPr="00721084" w:rsidRDefault="007A22BD" w:rsidP="007A22BD">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21</w:t>
      </w:r>
      <w:r w:rsidRPr="00721084">
        <w:rPr>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（八）澄清公告</w:t>
      </w:r>
    </w:p>
    <w:p w:rsidR="00CB5EBC" w:rsidRPr="00721084" w:rsidRDefault="00CB5EBC"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B5EBC" w:rsidRPr="00721084" w:rsidRDefault="00CB5EBC"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（九）清算报告</w:t>
      </w:r>
    </w:p>
    <w:p w:rsidR="00CB5EBC" w:rsidRPr="00721084" w:rsidRDefault="00CB5EBC"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00CB5EBC" w:rsidRPr="00721084">
        <w:rPr>
          <w:rFonts w:asciiTheme="minorEastAsia" w:eastAsiaTheme="minorEastAsia" w:hAnsiTheme="minorEastAsia" w:hint="eastAsia"/>
        </w:rPr>
        <w:t>十</w:t>
      </w:r>
      <w:r w:rsidRPr="00721084">
        <w:rPr>
          <w:rFonts w:asciiTheme="minorEastAsia" w:eastAsiaTheme="minorEastAsia" w:hAnsiTheme="minorEastAsia" w:hint="eastAsia"/>
        </w:rPr>
        <w:t>）基金份额持有人大会决议</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基金份额持有人大会决定的事项，应当依法报国务院证券监督管理机构核准或者备案，并予以公告。召开基金份额持有人大会的，召集人应当至少提前4</w:t>
      </w:r>
      <w:r w:rsidRPr="00721084">
        <w:rPr>
          <w:rFonts w:asciiTheme="minorEastAsia" w:eastAsiaTheme="minorEastAsia" w:hAnsiTheme="minorEastAsia"/>
        </w:rPr>
        <w:t>0</w:t>
      </w:r>
      <w:r w:rsidRPr="00721084">
        <w:rPr>
          <w:rFonts w:asciiTheme="minorEastAsia" w:eastAsiaTheme="minorEastAsia" w:hAnsiTheme="minorEastAsia" w:hint="eastAsia"/>
        </w:rPr>
        <w:t>日公告基金份额持有人</w:t>
      </w:r>
      <w:r w:rsidRPr="00721084">
        <w:rPr>
          <w:rFonts w:asciiTheme="minorEastAsia" w:eastAsiaTheme="minorEastAsia" w:hAnsiTheme="minorEastAsia" w:hint="eastAsia"/>
        </w:rPr>
        <w:lastRenderedPageBreak/>
        <w:t>大会的召开时间、会议形式、审议事项、议事程序和表决方式等事项。</w:t>
      </w:r>
    </w:p>
    <w:p w:rsidR="000E11E7" w:rsidRPr="00721084" w:rsidRDefault="000E11E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基金份额持有人依法自行召集基金份额持有人大会，基金管理人、基金托管人对基金份额持有人大会决定的事项不依法履行信息披露义务的，召集人应当履行相关信息披露义务。</w:t>
      </w:r>
    </w:p>
    <w:p w:rsidR="000E11E7" w:rsidRPr="00721084" w:rsidRDefault="000E11E7" w:rsidP="004D1E0F">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（十</w:t>
      </w:r>
      <w:r w:rsidR="00CB5EBC" w:rsidRPr="00721084">
        <w:rPr>
          <w:rFonts w:asciiTheme="minorEastAsia" w:eastAsiaTheme="minorEastAsia" w:hAnsiTheme="minorEastAsia" w:hint="eastAsia"/>
        </w:rPr>
        <w:t>一</w:t>
      </w:r>
      <w:r w:rsidRPr="00721084">
        <w:rPr>
          <w:rFonts w:asciiTheme="minorEastAsia" w:eastAsiaTheme="minorEastAsia" w:hAnsiTheme="minorEastAsia" w:hint="eastAsia"/>
        </w:rPr>
        <w:t>）中国证监会规定的其他信息。</w:t>
      </w:r>
    </w:p>
    <w:p w:rsidR="000E11E7" w:rsidRPr="00721084"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6" w:name="_Toc44351139"/>
      <w:r w:rsidRPr="00721084">
        <w:rPr>
          <w:rFonts w:asciiTheme="minorEastAsia" w:eastAsiaTheme="minorEastAsia" w:hAnsiTheme="minorEastAsia" w:hint="eastAsia"/>
          <w:b w:val="0"/>
        </w:rPr>
        <w:t>六、信息披露事务管理</w:t>
      </w:r>
      <w:bookmarkEnd w:id="246"/>
    </w:p>
    <w:p w:rsidR="008F0DC0" w:rsidRPr="00721084" w:rsidRDefault="008F0DC0"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基金管理人、基金托管人应当建立健全信息披露管理制度，指定专门部门及高级管理人员负责管理信息披露事务。</w:t>
      </w:r>
    </w:p>
    <w:p w:rsidR="008F0DC0" w:rsidRPr="00721084" w:rsidRDefault="008F0DC0"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基金信息披露义务人公开披露基金信息，应当符合中国证监会相关基金信息披露内容与格式准则等法规的规定。</w:t>
      </w:r>
    </w:p>
    <w:p w:rsidR="008F0DC0" w:rsidRPr="00721084" w:rsidRDefault="008F0DC0"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F0DC0" w:rsidRPr="00721084" w:rsidRDefault="008F0DC0"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8F0DC0" w:rsidRPr="00721084" w:rsidRDefault="008F0DC0"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基金管理人、基金托管人除依法在指定媒介披露信息外，还可以根据需要在其他公共媒介披露信息，但是其他公共媒介不得早于指定媒介披露信息，并且在不同媒介上披露同一信息的内容应当一致。</w:t>
      </w:r>
    </w:p>
    <w:p w:rsidR="008F0DC0" w:rsidRPr="00721084" w:rsidRDefault="008F0DC0"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E11E7" w:rsidRPr="00721084" w:rsidRDefault="000E11E7" w:rsidP="004D1E0F">
      <w:pPr>
        <w:pStyle w:val="2"/>
        <w:snapToGrid w:val="0"/>
        <w:spacing w:beforeLines="0" w:afterLines="0" w:line="360" w:lineRule="auto"/>
        <w:ind w:left="560" w:firstLineChars="0" w:firstLine="0"/>
        <w:rPr>
          <w:rFonts w:asciiTheme="minorEastAsia" w:eastAsiaTheme="minorEastAsia" w:hAnsiTheme="minorEastAsia"/>
          <w:b w:val="0"/>
        </w:rPr>
      </w:pPr>
      <w:bookmarkStart w:id="247" w:name="_Toc44351140"/>
      <w:r w:rsidRPr="00721084">
        <w:rPr>
          <w:rFonts w:asciiTheme="minorEastAsia" w:eastAsiaTheme="minorEastAsia" w:hAnsiTheme="minorEastAsia" w:hint="eastAsia"/>
          <w:b w:val="0"/>
        </w:rPr>
        <w:t>七、信息披露文件的存放与查阅</w:t>
      </w:r>
      <w:bookmarkEnd w:id="247"/>
    </w:p>
    <w:p w:rsidR="008F0DC0" w:rsidRPr="00721084" w:rsidRDefault="008F0DC0"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依法必须披露的信息发布后，基金管理人、基金托管人应当按照相关法律法规规定将信息置备于公司办公场所，供社会公众查阅、复制。</w:t>
      </w:r>
    </w:p>
    <w:p w:rsidR="0064594E" w:rsidRPr="00721084" w:rsidRDefault="001C5DC8"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有关基金交易管理、佣金返还安排、代理投票政策、流程、记录等文件，应当根据法律法规的规定，置备于基金管理人的住所，供投资者查阅。</w:t>
      </w:r>
    </w:p>
    <w:p w:rsidR="00256D1B" w:rsidRPr="00721084" w:rsidRDefault="00256D1B" w:rsidP="00CE3F81">
      <w:pPr>
        <w:snapToGrid w:val="0"/>
        <w:spacing w:line="360" w:lineRule="auto"/>
        <w:ind w:firstLineChars="200" w:firstLine="420"/>
        <w:rPr>
          <w:rFonts w:asciiTheme="minorEastAsia" w:eastAsiaTheme="minorEastAsia" w:hAnsiTheme="minorEastAsia"/>
        </w:rPr>
      </w:pPr>
    </w:p>
    <w:p w:rsidR="00256D1B" w:rsidRPr="00721084" w:rsidRDefault="00256D1B" w:rsidP="00CE3F81">
      <w:pPr>
        <w:numPr>
          <w:ilvl w:val="0"/>
          <w:numId w:val="20"/>
        </w:numPr>
        <w:tabs>
          <w:tab w:val="clear" w:pos="1813"/>
          <w:tab w:val="num" w:pos="0"/>
        </w:tabs>
        <w:snapToGrid w:val="0"/>
        <w:spacing w:line="360" w:lineRule="auto"/>
        <w:ind w:left="0" w:firstLineChars="200" w:firstLine="643"/>
        <w:jc w:val="center"/>
        <w:outlineLvl w:val="0"/>
        <w:rPr>
          <w:rFonts w:asciiTheme="minorEastAsia" w:eastAsiaTheme="minorEastAsia" w:hAnsiTheme="minorEastAsia"/>
          <w:b/>
          <w:sz w:val="32"/>
          <w:szCs w:val="32"/>
        </w:rPr>
        <w:sectPr w:rsidR="00256D1B" w:rsidRPr="00721084">
          <w:pgSz w:w="11906" w:h="16838" w:code="9"/>
          <w:pgMar w:top="1440" w:right="1800" w:bottom="1440" w:left="1800" w:header="851" w:footer="992" w:gutter="0"/>
          <w:cols w:space="425"/>
          <w:docGrid w:type="lines" w:linePitch="312"/>
        </w:sectPr>
      </w:pPr>
    </w:p>
    <w:p w:rsidR="00256D1B" w:rsidRPr="00721084" w:rsidRDefault="00256D1B"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48" w:name="_Toc44351141"/>
      <w:r w:rsidRPr="00721084">
        <w:rPr>
          <w:rFonts w:asciiTheme="minorEastAsia" w:eastAsiaTheme="minorEastAsia" w:hAnsiTheme="minorEastAsia" w:hint="eastAsia"/>
        </w:rPr>
        <w:lastRenderedPageBreak/>
        <w:t>基金合同的终止与基金财产的清算</w:t>
      </w:r>
      <w:bookmarkEnd w:id="248"/>
    </w:p>
    <w:p w:rsidR="0064594E" w:rsidRPr="00721084"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249" w:name="_Toc97031319"/>
      <w:bookmarkStart w:id="250" w:name="_Toc97107279"/>
      <w:bookmarkStart w:id="251" w:name="_Toc86584659"/>
      <w:bookmarkStart w:id="252" w:name="_Toc44351142"/>
      <w:bookmarkEnd w:id="249"/>
      <w:bookmarkEnd w:id="250"/>
      <w:r w:rsidRPr="00721084">
        <w:rPr>
          <w:rFonts w:asciiTheme="minorEastAsia" w:eastAsiaTheme="minorEastAsia" w:hAnsiTheme="minorEastAsia" w:hint="eastAsia"/>
          <w:b w:val="0"/>
        </w:rPr>
        <w:t>一</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基金合同的终止</w:t>
      </w:r>
      <w:bookmarkEnd w:id="251"/>
      <w:bookmarkEnd w:id="252"/>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出现下列情形之一的，经中国证监会核准后基金合同终止：</w:t>
      </w:r>
    </w:p>
    <w:p w:rsidR="005A7908" w:rsidRPr="00721084" w:rsidRDefault="005A7908"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基金份额持有人大会决定终止的；</w:t>
      </w:r>
    </w:p>
    <w:p w:rsidR="005A7908" w:rsidRPr="00721084" w:rsidRDefault="005A7908"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基金管理人、基金托管人职责终止，在6个月内没有新基金管理人、新基金托管人承接的；</w:t>
      </w:r>
    </w:p>
    <w:p w:rsidR="005A7908" w:rsidRPr="00721084" w:rsidRDefault="005A7908"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《基金合同》约定的其他情形；</w:t>
      </w:r>
    </w:p>
    <w:p w:rsidR="0064594E" w:rsidRPr="00721084" w:rsidRDefault="005A7908" w:rsidP="00CE3F81">
      <w:pPr>
        <w:autoSpaceDE w:val="0"/>
        <w:autoSpaceDN w:val="0"/>
        <w:snapToGrid w:val="0"/>
        <w:spacing w:line="360" w:lineRule="auto"/>
        <w:ind w:firstLineChars="200" w:firstLine="420"/>
        <w:textAlignment w:val="bottom"/>
        <w:rPr>
          <w:rFonts w:asciiTheme="minorEastAsia" w:eastAsiaTheme="minorEastAsia" w:hAnsiTheme="minorEastAsia"/>
        </w:rPr>
      </w:pPr>
      <w:r w:rsidRPr="00721084">
        <w:rPr>
          <w:rFonts w:asciiTheme="minorEastAsia" w:eastAsiaTheme="minorEastAsia" w:hAnsiTheme="minorEastAsia" w:hint="eastAsia"/>
        </w:rPr>
        <w:t>4</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相关法律法规和中国证监会规定的其他情况。</w:t>
      </w:r>
    </w:p>
    <w:p w:rsidR="0064594E" w:rsidRPr="00721084"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253" w:name="_Toc86584660"/>
      <w:bookmarkStart w:id="254" w:name="_Toc44351143"/>
      <w:r w:rsidRPr="00721084">
        <w:rPr>
          <w:rFonts w:asciiTheme="minorEastAsia" w:eastAsiaTheme="minorEastAsia" w:hAnsiTheme="minorEastAsia" w:hint="eastAsia"/>
          <w:b w:val="0"/>
        </w:rPr>
        <w:t>二</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基金财产的清算</w:t>
      </w:r>
      <w:bookmarkEnd w:id="253"/>
      <w:bookmarkEnd w:id="254"/>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基金财产清算小组：自出现《基金合同》终止事由之日起</w:t>
      </w:r>
      <w:r w:rsidRPr="00721084">
        <w:rPr>
          <w:rFonts w:asciiTheme="minorEastAsia" w:eastAsiaTheme="minorEastAsia" w:hAnsiTheme="minorEastAsia"/>
        </w:rPr>
        <w:t>30</w:t>
      </w:r>
      <w:r w:rsidRPr="00721084">
        <w:rPr>
          <w:rFonts w:asciiTheme="minorEastAsia" w:eastAsiaTheme="minorEastAsia" w:hAnsiTheme="minorEastAsia" w:hint="eastAsia"/>
        </w:rPr>
        <w:t>个工作日内成立基金财产清算小组，基金管理人组织基金财产清算小组并在中国证监会的监督下进行基金清算。</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基金财产清算小组职责：基金财产清算小组负责基金财产的保管、清理、估价、变现和分配。基金财产清算小组可以依法进行必要的民事活动。</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基金财产清算程序：</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（1）《基金合同》终止后，由基金财产清算小组统一接管基金财产；</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（2）对基金财产和债权债务进行清理和确认；</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（3）对基金财产进行估值和变现；</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（4）制作清算报告；</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（5）聘请会计师事务所对清算报告进行外部审计，聘请律师事务所对清算报告出具法律意见书；</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（6）将清算报告报中国证监会备案并公告；</w:t>
      </w:r>
    </w:p>
    <w:p w:rsidR="00512792"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（7）对基金剩余财产进行分配。</w:t>
      </w:r>
    </w:p>
    <w:p w:rsidR="0064594E" w:rsidRPr="00721084" w:rsidRDefault="00512792"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基金财产清算的期限为6个月。</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p>
    <w:p w:rsidR="00256D1B" w:rsidRPr="00721084" w:rsidRDefault="00256D1B"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b/>
          <w:bCs/>
        </w:rPr>
      </w:pPr>
    </w:p>
    <w:p w:rsidR="004D1E0F" w:rsidRPr="00721084" w:rsidRDefault="004D1E0F" w:rsidP="004D1E0F">
      <w:pPr>
        <w:snapToGrid w:val="0"/>
        <w:spacing w:line="360" w:lineRule="auto"/>
        <w:rPr>
          <w:rFonts w:asciiTheme="minorEastAsia" w:eastAsiaTheme="minorEastAsia" w:hAnsiTheme="minorEastAsia"/>
        </w:rPr>
      </w:pPr>
    </w:p>
    <w:p w:rsidR="00256D1B" w:rsidRPr="00721084" w:rsidRDefault="00256D1B"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55" w:name="_Toc44351144"/>
      <w:r w:rsidRPr="00721084">
        <w:rPr>
          <w:rFonts w:asciiTheme="minorEastAsia" w:eastAsiaTheme="minorEastAsia" w:hAnsiTheme="minorEastAsia" w:hint="eastAsia"/>
        </w:rPr>
        <w:lastRenderedPageBreak/>
        <w:t>基金托管人</w:t>
      </w:r>
      <w:bookmarkEnd w:id="255"/>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 xml:space="preserve">（一）基金托管人基本情况 </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名称：中国工商银行股份有限公司</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注册地址：北京市西城区复兴门内大街55号</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成立时间：</w:t>
      </w:r>
      <w:r w:rsidRPr="00721084">
        <w:rPr>
          <w:rFonts w:asciiTheme="minorEastAsia" w:eastAsiaTheme="minorEastAsia" w:hAnsiTheme="minorEastAsia" w:hint="eastAsia"/>
          <w:spacing w:val="6"/>
        </w:rPr>
        <w:t>1984年1月1日</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法定代表人：陈四清</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注册资本：人民币35,640,625.7089万元</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联系电话：010-66105799</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联系人：郭明</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（二）主要人员情况</w:t>
      </w:r>
    </w:p>
    <w:p w:rsidR="002465F1" w:rsidRPr="00721084" w:rsidRDefault="002465F1" w:rsidP="002465F1">
      <w:pPr>
        <w:pStyle w:val="af"/>
        <w:autoSpaceDE w:val="0"/>
        <w:autoSpaceDN w:val="0"/>
        <w:adjustRightInd w:val="0"/>
        <w:snapToGrid w:val="0"/>
        <w:spacing w:line="360" w:lineRule="auto"/>
        <w:ind w:firstLineChars="200" w:firstLine="444"/>
        <w:rPr>
          <w:rFonts w:asciiTheme="minorEastAsia" w:eastAsiaTheme="minorEastAsia" w:hAnsiTheme="minorEastAsia"/>
          <w:szCs w:val="21"/>
        </w:rPr>
      </w:pPr>
      <w:r w:rsidRPr="00721084">
        <w:rPr>
          <w:rFonts w:asciiTheme="minorEastAsia" w:eastAsiaTheme="minorEastAsia" w:hAnsiTheme="minorEastAsia" w:hint="eastAsia"/>
          <w:spacing w:val="6"/>
        </w:rPr>
        <w:t>截至2019年9月，中国工商银行资产托管部共有员工208人，平均年龄33岁，95%以上员工拥有大学本科以上学历，高管人员均拥有研究生以上学历或高级技术职称。</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（三）基金托管业务经营情况</w:t>
      </w:r>
    </w:p>
    <w:p w:rsidR="002465F1" w:rsidRPr="00721084" w:rsidRDefault="002465F1" w:rsidP="002465F1">
      <w:pPr>
        <w:pStyle w:val="af"/>
        <w:autoSpaceDE w:val="0"/>
        <w:autoSpaceDN w:val="0"/>
        <w:adjustRightInd w:val="0"/>
        <w:snapToGrid w:val="0"/>
        <w:spacing w:line="360" w:lineRule="auto"/>
        <w:ind w:firstLineChars="200" w:firstLine="444"/>
        <w:rPr>
          <w:rFonts w:asciiTheme="minorEastAsia" w:eastAsiaTheme="minorEastAsia" w:hAnsiTheme="minorEastAsia"/>
          <w:szCs w:val="21"/>
        </w:rPr>
      </w:pPr>
      <w:r w:rsidRPr="00721084">
        <w:rPr>
          <w:rFonts w:asciiTheme="minorEastAsia" w:eastAsiaTheme="minorEastAsia" w:hAnsiTheme="minorEastAsia" w:hint="eastAsia"/>
          <w:spacing w:val="6"/>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（四）基金托管人的内部控制制度</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织内部控制</w:t>
      </w:r>
      <w:r w:rsidRPr="00721084">
        <w:rPr>
          <w:rFonts w:asciiTheme="minorEastAsia" w:eastAsiaTheme="minorEastAsia" w:hAnsiTheme="minorEastAsia" w:hint="eastAsia"/>
          <w:szCs w:val="21"/>
        </w:rPr>
        <w:lastRenderedPageBreak/>
        <w:t>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1、内部风险控制目标</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2、内部风险控制组织结构</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3、内部风险控制原则</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（1）合法性原则。内控制度应当符合国家法律法规及监管机构的监管要求，并贯穿于托管业务经营管理活动的始终。</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（2）完整性原则。托管业务的各项经营管理活动都必须有相应的规范程序和监督制约；监督制约应渗透到托管业务的全过程和各个操作环节，覆盖所有的部门、岗位和人员。</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（3）及时性原则。托管业务经营活动必须在发生时能准确及时地记录；按照“内控优先”的原则，新设机构或新增业务品种时，必须做到已建立相关的规章制度。</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（4）审慎性原则。各项业务经营活动必须防范风险，审慎经营，保证基金资产和其他委托资产的安全与完整。</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（5）有效性原则。内控制度应根据国家政策、法律及经营管理的需要适时修改完善，并保证得到全面落实执行，不得有任何空间、时限及人员的例外。</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（6）独立性原则。设立专门履行托管人职责的管理部门；直接操作人员和控制人员必须相对独立，适当分离；内控制度的检查、评价部门必须独立于内控制度的制定和执行部门。</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4、内部风险控制措施实施</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（4）经营控制。资产托管部通过制定计划、编制预算等方法开展各种业务营销活动、处理各项事务，从而有效地控制和配置组织资源，达到资源利用和效益最大化目的。</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（6）数据安全控制。我们通过业务操作区相对独立、数据和传真加密、数据传输线路的冗余备份、监控设施的运用和保障等措施来保障数据安全。</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5、资产托管部内部风险控制情况</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（1）资产托管部内部设置专职稽核监察部门，配备专职稽核监察人员，在总经理的直接领导下，依照有关法律规章，全面贯彻落实全程监控思想，确保资产托管业务健康、稳定地发展。</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（4）内部风险控制始终是托管部工作重点之一，保持与业务发展同等地位。资产托管业务是商业银行新兴的中间业务，资产托管部从成立之日起就特别强调规范运作，一直将建</w:t>
      </w:r>
      <w:r w:rsidRPr="00721084">
        <w:rPr>
          <w:rFonts w:asciiTheme="minorEastAsia" w:eastAsiaTheme="minorEastAsia" w:hAnsiTheme="minorEastAsia" w:hint="eastAsia"/>
          <w:szCs w:val="21"/>
        </w:rPr>
        <w:lastRenderedPageBreak/>
        <w:t xml:space="preserve">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（五）基金托管人对基金管理人运作基金进行监督的方法和程序</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5E2802"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基金托管人发现基金管理人有重大违规行为，应立即报告中国证监会，同时通知基金管理人限期纠正。</w:t>
      </w:r>
    </w:p>
    <w:p w:rsidR="005E2802" w:rsidRPr="00721084" w:rsidRDefault="005E2802">
      <w:pPr>
        <w:widowControl/>
        <w:jc w:val="left"/>
        <w:rPr>
          <w:rFonts w:asciiTheme="minorEastAsia" w:eastAsiaTheme="minorEastAsia" w:hAnsiTheme="minorEastAsia"/>
          <w:szCs w:val="21"/>
        </w:rPr>
      </w:pPr>
      <w:r w:rsidRPr="00721084">
        <w:rPr>
          <w:rFonts w:asciiTheme="minorEastAsia" w:eastAsiaTheme="minorEastAsia" w:hAnsiTheme="minorEastAsia"/>
          <w:szCs w:val="21"/>
        </w:rPr>
        <w:br w:type="page"/>
      </w: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p>
    <w:p w:rsidR="002465F1" w:rsidRPr="00721084" w:rsidRDefault="002465F1" w:rsidP="002465F1">
      <w:pPr>
        <w:pStyle w:val="af"/>
        <w:autoSpaceDE w:val="0"/>
        <w:autoSpaceDN w:val="0"/>
        <w:adjustRightInd w:val="0"/>
        <w:snapToGrid w:val="0"/>
        <w:spacing w:line="360" w:lineRule="auto"/>
        <w:ind w:firstLineChars="200"/>
        <w:rPr>
          <w:rFonts w:asciiTheme="minorEastAsia" w:eastAsiaTheme="minorEastAsia" w:hAnsiTheme="minorEastAsia"/>
          <w:szCs w:val="21"/>
        </w:rPr>
      </w:pPr>
    </w:p>
    <w:p w:rsidR="00011968" w:rsidRPr="00721084" w:rsidRDefault="00011968"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256" w:name="_Toc40458065"/>
      <w:bookmarkStart w:id="257" w:name="_Toc40458066"/>
      <w:bookmarkStart w:id="258" w:name="_Toc40458067"/>
      <w:bookmarkStart w:id="259" w:name="_Toc40458068"/>
      <w:bookmarkStart w:id="260" w:name="_Toc40458069"/>
      <w:bookmarkStart w:id="261" w:name="_Toc40458070"/>
      <w:bookmarkStart w:id="262" w:name="_Toc40458071"/>
      <w:bookmarkStart w:id="263" w:name="_Toc40458072"/>
      <w:bookmarkStart w:id="264" w:name="_Toc40458073"/>
      <w:bookmarkStart w:id="265" w:name="_Toc40458074"/>
      <w:bookmarkStart w:id="266" w:name="_Toc40458075"/>
      <w:bookmarkStart w:id="267" w:name="_Toc40458076"/>
      <w:bookmarkStart w:id="268" w:name="_Toc40458077"/>
      <w:bookmarkStart w:id="269" w:name="_Toc40458078"/>
      <w:bookmarkStart w:id="270" w:name="_Toc40458079"/>
      <w:bookmarkStart w:id="271" w:name="_Toc40458080"/>
      <w:bookmarkStart w:id="272" w:name="_Toc40458081"/>
      <w:bookmarkStart w:id="273" w:name="_Toc40458082"/>
      <w:bookmarkStart w:id="274" w:name="_Toc40458083"/>
      <w:bookmarkStart w:id="275" w:name="_Toc40458084"/>
      <w:bookmarkStart w:id="276" w:name="_Toc40458085"/>
      <w:bookmarkStart w:id="277" w:name="_Toc40458086"/>
      <w:bookmarkStart w:id="278" w:name="_Toc40458087"/>
      <w:bookmarkStart w:id="279" w:name="_Toc40458088"/>
      <w:bookmarkStart w:id="280" w:name="_Toc40458089"/>
      <w:bookmarkStart w:id="281" w:name="_Toc40458090"/>
      <w:bookmarkStart w:id="282" w:name="_Toc40458091"/>
      <w:bookmarkStart w:id="283" w:name="_Toc40458092"/>
      <w:bookmarkStart w:id="284" w:name="_Toc40458093"/>
      <w:bookmarkStart w:id="285" w:name="_Toc40458094"/>
      <w:bookmarkStart w:id="286" w:name="_Toc40458095"/>
      <w:bookmarkStart w:id="287" w:name="_Toc40458096"/>
      <w:bookmarkStart w:id="288" w:name="_Toc40458097"/>
      <w:bookmarkStart w:id="289" w:name="_Toc40458098"/>
      <w:bookmarkStart w:id="290" w:name="_Toc40458099"/>
      <w:bookmarkStart w:id="291" w:name="_Toc40458100"/>
      <w:bookmarkStart w:id="292" w:name="_Toc40458101"/>
      <w:bookmarkStart w:id="293" w:name="_Toc40458102"/>
      <w:bookmarkStart w:id="294" w:name="_Toc40458103"/>
      <w:bookmarkStart w:id="295" w:name="_Toc40458104"/>
      <w:bookmarkStart w:id="296" w:name="_Toc40458105"/>
      <w:bookmarkStart w:id="297" w:name="_Toc40458106"/>
      <w:bookmarkStart w:id="298" w:name="_Toc40458107"/>
      <w:bookmarkStart w:id="299" w:name="_Toc40458108"/>
      <w:bookmarkStart w:id="300" w:name="_Toc40458109"/>
      <w:bookmarkStart w:id="301" w:name="_Toc4435114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721084">
        <w:rPr>
          <w:rFonts w:asciiTheme="minorEastAsia" w:eastAsiaTheme="minorEastAsia" w:hAnsiTheme="minorEastAsia" w:hint="eastAsia"/>
        </w:rPr>
        <w:t>境外资产托管人</w:t>
      </w:r>
      <w:bookmarkEnd w:id="301"/>
    </w:p>
    <w:p w:rsidR="00296722" w:rsidRPr="000E63C1" w:rsidRDefault="00296722" w:rsidP="00296722">
      <w:pPr>
        <w:tabs>
          <w:tab w:val="left" w:pos="1758"/>
        </w:tabs>
        <w:snapToGrid w:val="0"/>
        <w:spacing w:line="360" w:lineRule="auto"/>
        <w:ind w:firstLineChars="200" w:firstLine="560"/>
        <w:rPr>
          <w:rFonts w:ascii="宋体" w:hAnsi="宋体"/>
          <w:sz w:val="28"/>
          <w:szCs w:val="28"/>
        </w:rPr>
      </w:pPr>
      <w:r w:rsidRPr="000E63C1">
        <w:rPr>
          <w:rFonts w:ascii="宋体" w:hAnsi="宋体" w:hint="eastAsia"/>
          <w:sz w:val="28"/>
          <w:szCs w:val="28"/>
        </w:rPr>
        <w:t>一、</w:t>
      </w:r>
      <w:r w:rsidRPr="000E63C1">
        <w:rPr>
          <w:rFonts w:ascii="宋体" w:hAnsi="宋体"/>
          <w:sz w:val="28"/>
          <w:szCs w:val="28"/>
        </w:rPr>
        <w:t xml:space="preserve"> </w:t>
      </w:r>
      <w:r w:rsidRPr="000E63C1">
        <w:rPr>
          <w:rFonts w:ascii="宋体" w:hAnsi="宋体" w:hint="eastAsia"/>
          <w:sz w:val="28"/>
          <w:szCs w:val="28"/>
        </w:rPr>
        <w:t>基本情况</w:t>
      </w:r>
      <w:r w:rsidRPr="000E63C1">
        <w:rPr>
          <w:rFonts w:ascii="宋体" w:hAnsi="宋体"/>
          <w:sz w:val="28"/>
          <w:szCs w:val="28"/>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名称：渣打银行（香港）有限公司</w:t>
      </w:r>
      <w:r w:rsidRPr="000E63C1">
        <w:rPr>
          <w:rFonts w:ascii="宋体" w:hAnsi="宋体"/>
          <w:szCs w:val="21"/>
        </w:rPr>
        <w:t xml:space="preserve"> [Standard Chartered Bank (Hong Kong) Limited]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法定代表人：禤惠仪女士</w:t>
      </w:r>
      <w:r w:rsidRPr="000E63C1">
        <w:rPr>
          <w:rFonts w:ascii="宋体" w:hAnsi="宋体"/>
          <w:szCs w:val="21"/>
        </w:rPr>
        <w:t xml:space="preserve">( Ms. Mary Huen )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组织形式：有限责任公司</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成立时间：渣打银行（香港）</w:t>
      </w:r>
      <w:r w:rsidRPr="000E63C1">
        <w:rPr>
          <w:rFonts w:ascii="宋体" w:hAnsi="宋体"/>
          <w:szCs w:val="21"/>
        </w:rPr>
        <w:t xml:space="preserve"> </w:t>
      </w:r>
      <w:r w:rsidRPr="000E63C1">
        <w:rPr>
          <w:rFonts w:ascii="宋体" w:hAnsi="宋体" w:hint="eastAsia"/>
          <w:szCs w:val="21"/>
        </w:rPr>
        <w:t>有限公司于</w:t>
      </w:r>
      <w:r w:rsidRPr="000E63C1">
        <w:rPr>
          <w:rFonts w:ascii="宋体" w:hAnsi="宋体"/>
          <w:szCs w:val="21"/>
        </w:rPr>
        <w:t>2004</w:t>
      </w:r>
      <w:r w:rsidRPr="000E63C1">
        <w:rPr>
          <w:rFonts w:ascii="宋体" w:hAnsi="宋体" w:hint="eastAsia"/>
          <w:szCs w:val="21"/>
        </w:rPr>
        <w:t>年</w:t>
      </w:r>
      <w:r w:rsidRPr="000E63C1">
        <w:rPr>
          <w:rFonts w:ascii="宋体" w:hAnsi="宋体"/>
          <w:szCs w:val="21"/>
        </w:rPr>
        <w:t>7</w:t>
      </w:r>
      <w:r w:rsidRPr="000E63C1">
        <w:rPr>
          <w:rFonts w:ascii="宋体" w:hAnsi="宋体" w:hint="eastAsia"/>
          <w:szCs w:val="21"/>
        </w:rPr>
        <w:t>月</w:t>
      </w:r>
      <w:r w:rsidRPr="000E63C1">
        <w:rPr>
          <w:rFonts w:ascii="宋体" w:hAnsi="宋体"/>
          <w:szCs w:val="21"/>
        </w:rPr>
        <w:t>1</w:t>
      </w:r>
      <w:r w:rsidRPr="000E63C1">
        <w:rPr>
          <w:rFonts w:ascii="宋体" w:hAnsi="宋体" w:hint="eastAsia"/>
          <w:szCs w:val="21"/>
        </w:rPr>
        <w:t>日完成在香港本地注册的手续。</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办公地址</w:t>
      </w:r>
      <w:r w:rsidRPr="000E63C1">
        <w:rPr>
          <w:rFonts w:ascii="宋体" w:hAnsi="宋体"/>
          <w:szCs w:val="21"/>
        </w:rPr>
        <w:t xml:space="preserve">: </w:t>
      </w:r>
      <w:r w:rsidRPr="000E63C1">
        <w:rPr>
          <w:rFonts w:ascii="宋体" w:hAnsi="宋体" w:hint="eastAsia"/>
          <w:szCs w:val="21"/>
        </w:rPr>
        <w:t>香港九龙官塘道</w:t>
      </w:r>
      <w:r w:rsidRPr="000E63C1">
        <w:rPr>
          <w:rFonts w:ascii="宋体" w:hAnsi="宋体"/>
          <w:szCs w:val="21"/>
        </w:rPr>
        <w:t>388</w:t>
      </w:r>
      <w:r w:rsidRPr="000E63C1">
        <w:rPr>
          <w:rFonts w:ascii="宋体" w:hAnsi="宋体" w:hint="eastAsia"/>
          <w:szCs w:val="21"/>
        </w:rPr>
        <w:t>号渣打中心十五楼</w:t>
      </w:r>
      <w:r w:rsidRPr="000E63C1">
        <w:rPr>
          <w:rFonts w:ascii="宋体" w:hAnsi="宋体"/>
          <w:szCs w:val="21"/>
        </w:rPr>
        <w:t xml:space="preserve"> 15/F., Standard Chartered Tower, 388 Kwun Tong Road, Kowloon, Hong Kong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注册地址：香港中环德辅道中四至四</w:t>
      </w:r>
      <w:r w:rsidRPr="000E63C1">
        <w:rPr>
          <w:rFonts w:ascii="宋体" w:hAnsi="宋体"/>
          <w:szCs w:val="21"/>
        </w:rPr>
        <w:t>A</w:t>
      </w:r>
      <w:r w:rsidRPr="000E63C1">
        <w:rPr>
          <w:rFonts w:ascii="宋体" w:hAnsi="宋体" w:hint="eastAsia"/>
          <w:szCs w:val="21"/>
        </w:rPr>
        <w:t>渣打银行大厦三十二楼</w:t>
      </w:r>
      <w:r w:rsidRPr="000E63C1">
        <w:rPr>
          <w:rFonts w:ascii="宋体" w:hAnsi="宋体"/>
          <w:szCs w:val="21"/>
        </w:rPr>
        <w:t xml:space="preserve"> 32/F., Standard Chartered Bank Building, 4-4A Des Voeux Road, Central, Hong Kong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已发行及缴足股本</w:t>
      </w:r>
      <w:r w:rsidRPr="000E63C1">
        <w:rPr>
          <w:rFonts w:ascii="宋体" w:hAnsi="宋体"/>
          <w:szCs w:val="21"/>
        </w:rPr>
        <w:t xml:space="preserve">: HKD20,256,000,000.00 </w:t>
      </w:r>
      <w:r w:rsidRPr="000E63C1">
        <w:rPr>
          <w:rFonts w:ascii="宋体" w:hAnsi="宋体" w:hint="eastAsia"/>
          <w:szCs w:val="21"/>
        </w:rPr>
        <w:t>截至</w:t>
      </w:r>
      <w:r w:rsidRPr="000E63C1">
        <w:rPr>
          <w:rFonts w:ascii="宋体" w:hAnsi="宋体"/>
          <w:szCs w:val="21"/>
        </w:rPr>
        <w:t>2017</w:t>
      </w:r>
      <w:r w:rsidRPr="000E63C1">
        <w:rPr>
          <w:rFonts w:ascii="宋体" w:hAnsi="宋体" w:hint="eastAsia"/>
          <w:szCs w:val="21"/>
        </w:rPr>
        <w:t>年</w:t>
      </w:r>
      <w:r w:rsidRPr="000E63C1">
        <w:rPr>
          <w:rFonts w:ascii="宋体" w:hAnsi="宋体"/>
          <w:szCs w:val="21"/>
        </w:rPr>
        <w:t>6</w:t>
      </w:r>
      <w:r w:rsidRPr="000E63C1">
        <w:rPr>
          <w:rFonts w:ascii="宋体" w:hAnsi="宋体" w:hint="eastAsia"/>
          <w:szCs w:val="21"/>
        </w:rPr>
        <w:t>月</w:t>
      </w:r>
      <w:r w:rsidRPr="000E63C1">
        <w:rPr>
          <w:rFonts w:ascii="宋体" w:hAnsi="宋体"/>
          <w:szCs w:val="21"/>
        </w:rPr>
        <w:t>30</w:t>
      </w:r>
      <w:r w:rsidRPr="000E63C1">
        <w:rPr>
          <w:rFonts w:ascii="宋体" w:hAnsi="宋体" w:hint="eastAsia"/>
          <w:szCs w:val="21"/>
        </w:rPr>
        <w:t>日</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存续期间：持续经营</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渣打银行在</w:t>
      </w:r>
      <w:r w:rsidRPr="000E63C1">
        <w:rPr>
          <w:rFonts w:ascii="宋体" w:hAnsi="宋体"/>
          <w:szCs w:val="21"/>
        </w:rPr>
        <w:t>1853</w:t>
      </w:r>
      <w:r w:rsidRPr="000E63C1">
        <w:rPr>
          <w:rFonts w:ascii="宋体" w:hAnsi="宋体" w:hint="eastAsia"/>
          <w:szCs w:val="21"/>
        </w:rPr>
        <w:t>年获得英国皇家特许状注册成立，至今已有超过</w:t>
      </w:r>
      <w:r w:rsidRPr="000E63C1">
        <w:rPr>
          <w:rFonts w:ascii="宋体" w:hAnsi="宋体"/>
          <w:szCs w:val="21"/>
        </w:rPr>
        <w:t>160</w:t>
      </w:r>
      <w:r w:rsidRPr="000E63C1">
        <w:rPr>
          <w:rFonts w:ascii="宋体" w:hAnsi="宋体" w:hint="eastAsia"/>
          <w:szCs w:val="21"/>
        </w:rPr>
        <w:t>年的历史。渣打集团的业务遍及全球增长最快的市场，拥有超过</w:t>
      </w:r>
      <w:r w:rsidRPr="000E63C1">
        <w:rPr>
          <w:rFonts w:ascii="宋体" w:hAnsi="宋体"/>
          <w:szCs w:val="21"/>
        </w:rPr>
        <w:t>1,100</w:t>
      </w:r>
      <w:r w:rsidRPr="000E63C1">
        <w:rPr>
          <w:rFonts w:ascii="宋体" w:hAnsi="宋体" w:hint="eastAsia"/>
          <w:szCs w:val="21"/>
        </w:rPr>
        <w:t>个经营网点（包括子公司、关联公司和合资公司），涉及亚太地区、南亚、中东、非洲、英国和美国等</w:t>
      </w:r>
      <w:r w:rsidRPr="000E63C1">
        <w:rPr>
          <w:rFonts w:ascii="宋体" w:hAnsi="宋体"/>
          <w:szCs w:val="21"/>
        </w:rPr>
        <w:t>60</w:t>
      </w:r>
      <w:r w:rsidRPr="000E63C1">
        <w:rPr>
          <w:rFonts w:ascii="宋体" w:hAnsi="宋体" w:hint="eastAsia"/>
          <w:szCs w:val="21"/>
        </w:rPr>
        <w:t>个国家。渣打银行现有超过</w:t>
      </w:r>
      <w:r w:rsidRPr="000E63C1">
        <w:rPr>
          <w:rFonts w:ascii="宋体" w:hAnsi="宋体"/>
          <w:szCs w:val="21"/>
        </w:rPr>
        <w:t>80,000</w:t>
      </w:r>
      <w:r w:rsidRPr="000E63C1">
        <w:rPr>
          <w:rFonts w:ascii="宋体" w:hAnsi="宋体" w:hint="eastAsia"/>
          <w:szCs w:val="21"/>
        </w:rPr>
        <w:t>名雇员，来自</w:t>
      </w:r>
      <w:r w:rsidRPr="000E63C1">
        <w:rPr>
          <w:rFonts w:ascii="宋体" w:hAnsi="宋体"/>
          <w:szCs w:val="21"/>
        </w:rPr>
        <w:t>130</w:t>
      </w:r>
      <w:r w:rsidRPr="000E63C1">
        <w:rPr>
          <w:rFonts w:ascii="宋体" w:hAnsi="宋体" w:hint="eastAsia"/>
          <w:szCs w:val="21"/>
        </w:rPr>
        <w:t>个国家。</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渣打银行（香港）有限公司的证券资产托管规模截至</w:t>
      </w:r>
      <w:r w:rsidRPr="000E63C1">
        <w:rPr>
          <w:rFonts w:ascii="宋体" w:hAnsi="宋体"/>
          <w:szCs w:val="21"/>
        </w:rPr>
        <w:t>2017</w:t>
      </w:r>
      <w:r w:rsidRPr="000E63C1">
        <w:rPr>
          <w:rFonts w:ascii="宋体" w:hAnsi="宋体" w:hint="eastAsia"/>
          <w:szCs w:val="21"/>
        </w:rPr>
        <w:t>年</w:t>
      </w:r>
      <w:r w:rsidRPr="000E63C1">
        <w:rPr>
          <w:rFonts w:ascii="宋体" w:hAnsi="宋体"/>
          <w:szCs w:val="21"/>
        </w:rPr>
        <w:t>6</w:t>
      </w:r>
      <w:r w:rsidRPr="000E63C1">
        <w:rPr>
          <w:rFonts w:ascii="宋体" w:hAnsi="宋体" w:hint="eastAsia"/>
          <w:szCs w:val="21"/>
        </w:rPr>
        <w:t>月</w:t>
      </w:r>
      <w:r w:rsidRPr="000E63C1">
        <w:rPr>
          <w:rFonts w:ascii="宋体" w:hAnsi="宋体"/>
          <w:szCs w:val="21"/>
        </w:rPr>
        <w:t>30</w:t>
      </w:r>
      <w:r w:rsidRPr="000E63C1">
        <w:rPr>
          <w:rFonts w:ascii="宋体" w:hAnsi="宋体" w:hint="eastAsia"/>
          <w:szCs w:val="21"/>
        </w:rPr>
        <w:t>日维持在</w:t>
      </w:r>
      <w:r w:rsidRPr="000E63C1">
        <w:rPr>
          <w:rFonts w:ascii="宋体" w:hAnsi="宋体"/>
          <w:szCs w:val="21"/>
        </w:rPr>
        <w:t>4,300</w:t>
      </w:r>
      <w:r w:rsidRPr="000E63C1">
        <w:rPr>
          <w:rFonts w:ascii="宋体" w:hAnsi="宋体" w:hint="eastAsia"/>
          <w:szCs w:val="21"/>
        </w:rPr>
        <w:t>亿美元以上。</w:t>
      </w:r>
      <w:r w:rsidRPr="000E63C1">
        <w:rPr>
          <w:rFonts w:ascii="宋体" w:hAnsi="宋体"/>
          <w:szCs w:val="21"/>
        </w:rPr>
        <w:t xml:space="preserve"> </w:t>
      </w:r>
    </w:p>
    <w:p w:rsidR="00296722" w:rsidRPr="000E63C1" w:rsidRDefault="00296722" w:rsidP="00296722">
      <w:pPr>
        <w:tabs>
          <w:tab w:val="left" w:pos="1758"/>
        </w:tabs>
        <w:snapToGrid w:val="0"/>
        <w:spacing w:line="360" w:lineRule="auto"/>
        <w:ind w:firstLineChars="200" w:firstLine="560"/>
        <w:rPr>
          <w:rFonts w:ascii="宋体" w:hAnsi="宋体"/>
          <w:sz w:val="28"/>
          <w:szCs w:val="28"/>
        </w:rPr>
      </w:pPr>
      <w:r w:rsidRPr="000E63C1">
        <w:rPr>
          <w:rFonts w:ascii="宋体" w:hAnsi="宋体" w:hint="eastAsia"/>
          <w:sz w:val="28"/>
          <w:szCs w:val="28"/>
        </w:rPr>
        <w:t>二、</w:t>
      </w:r>
      <w:r w:rsidRPr="000E63C1">
        <w:rPr>
          <w:rFonts w:ascii="宋体" w:hAnsi="宋体"/>
          <w:sz w:val="28"/>
          <w:szCs w:val="28"/>
        </w:rPr>
        <w:t xml:space="preserve"> </w:t>
      </w:r>
      <w:r w:rsidRPr="000E63C1">
        <w:rPr>
          <w:rFonts w:ascii="宋体" w:hAnsi="宋体" w:hint="eastAsia"/>
          <w:sz w:val="28"/>
          <w:szCs w:val="28"/>
        </w:rPr>
        <w:t>托管业务及主要人员情况</w:t>
      </w:r>
      <w:r>
        <w:rPr>
          <w:rFonts w:ascii="宋体" w:hAnsi="宋体"/>
          <w:sz w:val="28"/>
          <w:szCs w:val="28"/>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渣打银行证券托管业务是渣打银行的核心业务之一，主要提供托管和投资组合会计服务，机构客户群广泛分布在北美，欧洲及亚洲。渣打银行在香港有超过五十年的证券托管经验，是亚洲区具备较强实力的托管银行之一。证券托管服务业务不仅是渣打银行的核心业务之一，该部门也是债打银行主要的利润来源部门。渣打银行集团董事会对证券托管业务提供了巨大支持，为证券托管业务发展提供相应的财务支持。</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渣打银行（香港）有限公司作为渣打银行的地区托管运作中心，支持该行在美洲、欧洲、澳洲、非洲、中东和亚洲的托管业务。渣打银行也在亚洲，非洲和中东</w:t>
      </w:r>
      <w:r w:rsidRPr="000E63C1">
        <w:rPr>
          <w:rFonts w:ascii="宋体" w:hAnsi="宋体"/>
          <w:szCs w:val="21"/>
        </w:rPr>
        <w:t>40</w:t>
      </w:r>
      <w:r w:rsidRPr="000E63C1">
        <w:rPr>
          <w:rFonts w:ascii="宋体" w:hAnsi="宋体" w:hint="eastAsia"/>
          <w:szCs w:val="21"/>
        </w:rPr>
        <w:t>个市場通过本地分行提供托管服务。</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基金托管人可以委托境外资产托管人履行以下职责：</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szCs w:val="21"/>
        </w:rPr>
        <w:t>1.</w:t>
      </w:r>
      <w:r w:rsidRPr="000E63C1">
        <w:rPr>
          <w:rFonts w:ascii="宋体" w:hAnsi="宋体" w:hint="eastAsia"/>
          <w:szCs w:val="21"/>
        </w:rPr>
        <w:t>安全保管基金财产；</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szCs w:val="21"/>
        </w:rPr>
        <w:lastRenderedPageBreak/>
        <w:t>2.</w:t>
      </w:r>
      <w:r w:rsidRPr="000E63C1">
        <w:rPr>
          <w:rFonts w:ascii="宋体" w:hAnsi="宋体" w:hint="eastAsia"/>
          <w:szCs w:val="21"/>
        </w:rPr>
        <w:t>计算境外基金资产的资产净值；</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szCs w:val="21"/>
        </w:rPr>
        <w:t>3.</w:t>
      </w:r>
      <w:r w:rsidRPr="000E63C1">
        <w:rPr>
          <w:rFonts w:ascii="宋体" w:hAnsi="宋体" w:hint="eastAsia"/>
          <w:szCs w:val="21"/>
        </w:rPr>
        <w:t>按照相关合同的约定，及时办理基金资产的清算、交割事宜；</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szCs w:val="21"/>
        </w:rPr>
        <w:t>4.</w:t>
      </w:r>
      <w:r w:rsidRPr="000E63C1">
        <w:rPr>
          <w:rFonts w:ascii="宋体" w:hAnsi="宋体" w:hint="eastAsia"/>
          <w:szCs w:val="21"/>
        </w:rPr>
        <w:t>按照相关合同的约定和所适用国家、地区法律法规的规定，开设基金资产的资金</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账户以及证券账户；</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szCs w:val="21"/>
        </w:rPr>
        <w:t>5.</w:t>
      </w:r>
      <w:r w:rsidRPr="000E63C1">
        <w:rPr>
          <w:rFonts w:ascii="宋体" w:hAnsi="宋体" w:hint="eastAsia"/>
          <w:szCs w:val="21"/>
        </w:rPr>
        <w:t>按照相关合同的约定，提供与基金资产业务活动有关的会计记录、交易信息；</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szCs w:val="21"/>
        </w:rPr>
        <w:t>6.</w:t>
      </w:r>
      <w:r w:rsidRPr="000E63C1">
        <w:rPr>
          <w:rFonts w:ascii="宋体" w:hAnsi="宋体" w:hint="eastAsia"/>
          <w:szCs w:val="21"/>
        </w:rPr>
        <w:t>保存基金资产托管业务活动的记录、账册以及其他相关资料；</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szCs w:val="21"/>
        </w:rPr>
        <w:t>7.</w:t>
      </w:r>
      <w:r w:rsidRPr="000E63C1">
        <w:rPr>
          <w:rFonts w:ascii="宋体" w:hAnsi="宋体" w:hint="eastAsia"/>
          <w:szCs w:val="21"/>
        </w:rPr>
        <w:t>其他由基金托管人委托其履行的职责。</w:t>
      </w:r>
      <w:r w:rsidRPr="000E63C1">
        <w:rPr>
          <w:rFonts w:ascii="宋体" w:hAnsi="宋体"/>
          <w:szCs w:val="21"/>
        </w:rPr>
        <w:t xml:space="preserve"> </w:t>
      </w:r>
    </w:p>
    <w:p w:rsidR="00296722" w:rsidRPr="000E63C1" w:rsidRDefault="00296722" w:rsidP="00296722">
      <w:pPr>
        <w:tabs>
          <w:tab w:val="left" w:pos="1758"/>
        </w:tabs>
        <w:snapToGrid w:val="0"/>
        <w:spacing w:line="360" w:lineRule="auto"/>
        <w:ind w:firstLineChars="200" w:firstLine="560"/>
        <w:rPr>
          <w:rFonts w:ascii="宋体" w:hAnsi="宋体"/>
          <w:sz w:val="28"/>
          <w:szCs w:val="28"/>
        </w:rPr>
      </w:pPr>
      <w:r w:rsidRPr="000E63C1">
        <w:rPr>
          <w:rFonts w:ascii="宋体" w:hAnsi="宋体" w:hint="eastAsia"/>
          <w:sz w:val="28"/>
          <w:szCs w:val="28"/>
        </w:rPr>
        <w:t>三、</w:t>
      </w:r>
      <w:r w:rsidRPr="000E63C1">
        <w:rPr>
          <w:rFonts w:ascii="宋体" w:hAnsi="宋体"/>
          <w:sz w:val="28"/>
          <w:szCs w:val="28"/>
        </w:rPr>
        <w:t xml:space="preserve"> </w:t>
      </w:r>
      <w:r w:rsidRPr="000E63C1">
        <w:rPr>
          <w:rFonts w:ascii="宋体" w:hAnsi="宋体" w:hint="eastAsia"/>
          <w:sz w:val="28"/>
          <w:szCs w:val="28"/>
        </w:rPr>
        <w:t>实收资本证明文件或境外注册会计师出具的上一年度度末资产托管规模证明文件；</w:t>
      </w:r>
      <w:r w:rsidRPr="000E63C1">
        <w:rPr>
          <w:rFonts w:ascii="宋体" w:hAnsi="宋体"/>
          <w:sz w:val="28"/>
          <w:szCs w:val="28"/>
        </w:rPr>
        <w:t xml:space="preserve"> </w:t>
      </w:r>
    </w:p>
    <w:p w:rsidR="00296722" w:rsidRDefault="00296722" w:rsidP="00296722">
      <w:pPr>
        <w:pStyle w:val="Default"/>
        <w:rPr>
          <w:rFonts w:hAnsi="Courier New"/>
          <w:sz w:val="20"/>
          <w:szCs w:val="20"/>
        </w:rPr>
      </w:pP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渣打银行（香港）有限公司的实收资本为</w:t>
      </w:r>
      <w:r w:rsidRPr="000E63C1">
        <w:rPr>
          <w:rFonts w:ascii="宋体" w:hAnsi="宋体"/>
          <w:szCs w:val="21"/>
        </w:rPr>
        <w:t xml:space="preserve">: HKD20,256,000,000.00 </w:t>
      </w:r>
      <w:r w:rsidRPr="000E63C1">
        <w:rPr>
          <w:rFonts w:ascii="宋体" w:hAnsi="宋体" w:hint="eastAsia"/>
          <w:szCs w:val="21"/>
        </w:rPr>
        <w:t>截至</w:t>
      </w:r>
      <w:r w:rsidRPr="000E63C1">
        <w:rPr>
          <w:rFonts w:ascii="宋体" w:hAnsi="宋体"/>
          <w:szCs w:val="21"/>
        </w:rPr>
        <w:t>2017</w:t>
      </w:r>
      <w:r w:rsidRPr="000E63C1">
        <w:rPr>
          <w:rFonts w:ascii="宋体" w:hAnsi="宋体" w:hint="eastAsia"/>
          <w:szCs w:val="21"/>
        </w:rPr>
        <w:t>年</w:t>
      </w:r>
      <w:r w:rsidRPr="000E63C1">
        <w:rPr>
          <w:rFonts w:ascii="宋体" w:hAnsi="宋体"/>
          <w:szCs w:val="21"/>
        </w:rPr>
        <w:t>6</w:t>
      </w:r>
      <w:r w:rsidRPr="000E63C1">
        <w:rPr>
          <w:rFonts w:ascii="宋体" w:hAnsi="宋体" w:hint="eastAsia"/>
          <w:szCs w:val="21"/>
        </w:rPr>
        <w:t>月</w:t>
      </w:r>
      <w:r w:rsidRPr="000E63C1">
        <w:rPr>
          <w:rFonts w:ascii="宋体" w:hAnsi="宋体"/>
          <w:szCs w:val="21"/>
        </w:rPr>
        <w:t>30</w:t>
      </w:r>
      <w:r w:rsidRPr="000E63C1">
        <w:rPr>
          <w:rFonts w:ascii="宋体" w:hAnsi="宋体" w:hint="eastAsia"/>
          <w:szCs w:val="21"/>
        </w:rPr>
        <w:t>日</w:t>
      </w:r>
      <w:r w:rsidRPr="000E63C1">
        <w:rPr>
          <w:rFonts w:ascii="宋体" w:hAnsi="宋体"/>
          <w:szCs w:val="21"/>
        </w:rPr>
        <w:t xml:space="preserve"> </w:t>
      </w:r>
    </w:p>
    <w:p w:rsidR="00296722" w:rsidRPr="00A13161" w:rsidRDefault="00296722" w:rsidP="00296722">
      <w:pPr>
        <w:snapToGrid w:val="0"/>
        <w:spacing w:line="360" w:lineRule="auto"/>
        <w:ind w:firstLine="482"/>
        <w:rPr>
          <w:rFonts w:ascii="宋体" w:hAnsi="宋体"/>
          <w:szCs w:val="21"/>
        </w:rPr>
      </w:pPr>
      <w:r w:rsidRPr="000E63C1">
        <w:rPr>
          <w:rFonts w:ascii="宋体" w:hAnsi="宋体"/>
          <w:szCs w:val="21"/>
        </w:rPr>
        <w:t xml:space="preserve">https://www.sc.com/global/av/hk-scb-pressrelease1H2017.pdf </w:t>
      </w:r>
    </w:p>
    <w:p w:rsidR="00296722" w:rsidRPr="00A13161" w:rsidRDefault="00296722" w:rsidP="00296722">
      <w:pPr>
        <w:tabs>
          <w:tab w:val="left" w:pos="1758"/>
        </w:tabs>
        <w:snapToGrid w:val="0"/>
        <w:spacing w:line="360" w:lineRule="auto"/>
        <w:ind w:firstLineChars="200" w:firstLine="560"/>
        <w:rPr>
          <w:rFonts w:ascii="宋体" w:hAnsi="宋体"/>
          <w:sz w:val="28"/>
          <w:szCs w:val="28"/>
        </w:rPr>
      </w:pPr>
      <w:r w:rsidRPr="000E63C1">
        <w:rPr>
          <w:rFonts w:ascii="宋体" w:hAnsi="宋体" w:hint="eastAsia"/>
          <w:sz w:val="28"/>
          <w:szCs w:val="28"/>
        </w:rPr>
        <w:t>四、</w:t>
      </w:r>
      <w:r w:rsidRPr="000E63C1">
        <w:rPr>
          <w:rFonts w:ascii="宋体" w:hAnsi="宋体"/>
          <w:sz w:val="28"/>
          <w:szCs w:val="28"/>
        </w:rPr>
        <w:t xml:space="preserve"> </w:t>
      </w:r>
      <w:r w:rsidRPr="000E63C1">
        <w:rPr>
          <w:rFonts w:ascii="宋体" w:hAnsi="宋体" w:hint="eastAsia"/>
          <w:sz w:val="28"/>
          <w:szCs w:val="28"/>
        </w:rPr>
        <w:t>托管部门人员配备、安全保管资产条件的说明</w:t>
      </w:r>
      <w:r w:rsidRPr="000E63C1">
        <w:rPr>
          <w:rFonts w:ascii="宋体" w:hAnsi="宋体"/>
          <w:sz w:val="28"/>
          <w:szCs w:val="28"/>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渣打银行（香港）有限公司作为渣打银行的地区托管运作中心，支持该行在美洲、欧洲、澳洲、非洲、中东和亚洲的托管业务。对于国际投资者，他们根据多种直接托管模型或区域托管模型选择任命我们。</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在多种直接托管模型中，该客户与我们提供托管服务的分行</w:t>
      </w:r>
      <w:r w:rsidRPr="000E63C1">
        <w:rPr>
          <w:rFonts w:ascii="宋体" w:hAnsi="宋体"/>
          <w:szCs w:val="21"/>
        </w:rPr>
        <w:t>/</w:t>
      </w:r>
      <w:r w:rsidRPr="000E63C1">
        <w:rPr>
          <w:rFonts w:ascii="宋体" w:hAnsi="宋体" w:hint="eastAsia"/>
          <w:szCs w:val="21"/>
        </w:rPr>
        <w:t>支行直接签约或互动。</w:t>
      </w:r>
      <w:r w:rsidRPr="000E63C1">
        <w:rPr>
          <w:rFonts w:ascii="宋体" w:hAnsi="宋体"/>
          <w:szCs w:val="21"/>
        </w:rPr>
        <w:t xml:space="preserve"> </w:t>
      </w:r>
      <w:r w:rsidRPr="000E63C1">
        <w:rPr>
          <w:rFonts w:ascii="宋体" w:hAnsi="宋体" w:hint="eastAsia"/>
          <w:szCs w:val="21"/>
        </w:rPr>
        <w:t>另外，国际投资者可任命香港渣打银行作为区域托管银行，香港渣打银行在多个国家作为客户投资的单点联系人。我们的香港中心将为中国的</w:t>
      </w:r>
      <w:r w:rsidRPr="000E63C1">
        <w:rPr>
          <w:rFonts w:ascii="宋体" w:hAnsi="宋体"/>
          <w:szCs w:val="21"/>
        </w:rPr>
        <w:t>QDII</w:t>
      </w:r>
      <w:r w:rsidRPr="000E63C1">
        <w:rPr>
          <w:rFonts w:ascii="宋体" w:hAnsi="宋体" w:hint="eastAsia"/>
          <w:szCs w:val="21"/>
        </w:rPr>
        <w:t>客户提供服务。</w:t>
      </w:r>
      <w:r w:rsidRPr="000E63C1">
        <w:rPr>
          <w:rFonts w:ascii="宋体" w:hAnsi="宋体"/>
          <w:szCs w:val="21"/>
        </w:rPr>
        <w:t xml:space="preserve"> </w:t>
      </w:r>
      <w:r w:rsidRPr="000E63C1">
        <w:rPr>
          <w:rFonts w:ascii="宋体" w:hAnsi="宋体" w:hint="eastAsia"/>
          <w:szCs w:val="21"/>
        </w:rPr>
        <w:t>从内部运营程序外部采购来看，我们已经在印度陈奈和马来西亚吉隆坡建立了共享服务中心，在此采购各个国家的某些运营业务。</w:t>
      </w:r>
      <w:r w:rsidRPr="000E63C1">
        <w:rPr>
          <w:rFonts w:ascii="宋体" w:hAnsi="宋体"/>
          <w:szCs w:val="21"/>
        </w:rPr>
        <w:t xml:space="preserve"> </w:t>
      </w:r>
      <w:r w:rsidRPr="000E63C1">
        <w:rPr>
          <w:rFonts w:ascii="宋体" w:hAnsi="宋体" w:hint="eastAsia"/>
          <w:szCs w:val="21"/>
        </w:rPr>
        <w:t>在我们的所有服务中心，员工根据职能分组，例如结算、公司行动等等。渣打香港的托管部门现时大概有</w:t>
      </w:r>
      <w:r w:rsidRPr="000E63C1">
        <w:rPr>
          <w:rFonts w:ascii="宋体" w:hAnsi="宋体"/>
          <w:szCs w:val="21"/>
        </w:rPr>
        <w:t xml:space="preserve">100 </w:t>
      </w:r>
      <w:r w:rsidRPr="000E63C1">
        <w:rPr>
          <w:rFonts w:ascii="宋体" w:hAnsi="宋体" w:hint="eastAsia"/>
          <w:szCs w:val="21"/>
        </w:rPr>
        <w:t>名员工以上。</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在保管客户资产方面</w:t>
      </w:r>
      <w:r w:rsidRPr="000E63C1">
        <w:rPr>
          <w:rFonts w:ascii="宋体" w:hAnsi="宋体"/>
          <w:szCs w:val="21"/>
        </w:rPr>
        <w:t>,</w:t>
      </w:r>
      <w:r w:rsidRPr="000E63C1">
        <w:rPr>
          <w:rFonts w:ascii="宋体" w:hAnsi="宋体" w:hint="eastAsia"/>
          <w:szCs w:val="21"/>
        </w:rPr>
        <w:t>渣打银行的战略是集中我们的力量作为证券服务供应商提供独特的现场专家服务。我们据此对业务进行了战略审核，以评估我们对客户的价值理念。董事会明确支持和致力于业务，投资支出将与战略实施相符合。我们直接安排了经验丰富的人员，他们在当地市场了解和专门技术方面都具有极高水准。我们从结构和组织上调整我们的运营以协助</w:t>
      </w:r>
      <w:r w:rsidRPr="000E63C1">
        <w:rPr>
          <w:rFonts w:ascii="宋体" w:hAnsi="宋体"/>
          <w:szCs w:val="21"/>
        </w:rPr>
        <w:t>ICBC</w:t>
      </w:r>
      <w:r w:rsidRPr="000E63C1">
        <w:rPr>
          <w:rFonts w:ascii="宋体" w:hAnsi="宋体" w:hint="eastAsia"/>
          <w:szCs w:val="21"/>
        </w:rPr>
        <w:t>降低商业风险。</w:t>
      </w:r>
      <w:r w:rsidRPr="000E63C1">
        <w:rPr>
          <w:rFonts w:ascii="宋体" w:hAnsi="宋体"/>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 xml:space="preserve">渣打银行坚定执行风险控制政策和程序并将严格升级程序纳入高级管理。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 xml:space="preserve">我们拥有独立合规官确保我们所有的行为均符合当地和全球的有关规则和规定。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我们具有完整和齐全的运营业务持续性计划，包括灾难恢复计划和全装备后备点，这确保了贵行不会遭受业务上的任何中断。</w:t>
      </w:r>
      <w:r>
        <w:rPr>
          <w:rFonts w:ascii="宋体" w:hAnsi="宋体" w:hint="eastAsia"/>
          <w:szCs w:val="21"/>
        </w:rPr>
        <w:t xml:space="preserve">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t xml:space="preserve">至于托管业务系统结构,渣打银行使用SeCCuRe 作为其核心证券处理系统。 </w:t>
      </w:r>
    </w:p>
    <w:p w:rsidR="00296722" w:rsidRPr="000E63C1" w:rsidRDefault="00296722" w:rsidP="00296722">
      <w:pPr>
        <w:snapToGrid w:val="0"/>
        <w:spacing w:line="360" w:lineRule="auto"/>
        <w:ind w:firstLine="482"/>
        <w:rPr>
          <w:rFonts w:ascii="宋体" w:hAnsi="宋体"/>
          <w:szCs w:val="21"/>
        </w:rPr>
      </w:pPr>
      <w:r w:rsidRPr="000E63C1">
        <w:rPr>
          <w:rFonts w:ascii="宋体" w:hAnsi="宋体" w:hint="eastAsia"/>
          <w:szCs w:val="21"/>
        </w:rPr>
        <w:lastRenderedPageBreak/>
        <w:t xml:space="preserve">SeCCuRe系统的功能包括：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直通式处理（ STP ）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全自动交易状态跟踪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投资组合估值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公司行动处理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产生业务支持与管理信息的综合报告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专项客户报告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费用计算和会计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实时离港信息与SWIFT的充分一体化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登记处理 </w:t>
      </w:r>
    </w:p>
    <w:p w:rsidR="00296722" w:rsidRPr="000E63C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托管管理 </w:t>
      </w:r>
    </w:p>
    <w:p w:rsidR="00296722" w:rsidRPr="00A13161" w:rsidRDefault="00296722" w:rsidP="00296722">
      <w:pPr>
        <w:pStyle w:val="aff1"/>
        <w:widowControl w:val="0"/>
        <w:numPr>
          <w:ilvl w:val="0"/>
          <w:numId w:val="93"/>
        </w:numPr>
        <w:snapToGrid w:val="0"/>
        <w:spacing w:line="360" w:lineRule="auto"/>
        <w:ind w:left="319" w:firstLine="731"/>
        <w:jc w:val="both"/>
        <w:rPr>
          <w:rFonts w:cs="Times New Roman"/>
          <w:kern w:val="2"/>
          <w:sz w:val="21"/>
          <w:szCs w:val="21"/>
          <w:lang w:val="en-US"/>
        </w:rPr>
      </w:pPr>
      <w:r w:rsidRPr="000E63C1">
        <w:rPr>
          <w:rFonts w:cs="Times New Roman" w:hint="eastAsia"/>
          <w:kern w:val="2"/>
          <w:sz w:val="21"/>
          <w:szCs w:val="21"/>
          <w:lang w:val="en-US"/>
        </w:rPr>
        <w:t xml:space="preserve">存放接口 </w:t>
      </w:r>
    </w:p>
    <w:p w:rsidR="00296722" w:rsidRPr="005B08D1" w:rsidRDefault="00296722" w:rsidP="00296722">
      <w:pPr>
        <w:tabs>
          <w:tab w:val="left" w:pos="1758"/>
        </w:tabs>
        <w:snapToGrid w:val="0"/>
        <w:spacing w:line="360" w:lineRule="auto"/>
        <w:ind w:firstLineChars="200" w:firstLine="560"/>
        <w:rPr>
          <w:rFonts w:ascii="宋体" w:hAnsi="宋体"/>
          <w:sz w:val="28"/>
          <w:szCs w:val="28"/>
        </w:rPr>
      </w:pPr>
      <w:r w:rsidRPr="005B08D1">
        <w:rPr>
          <w:rFonts w:ascii="宋体" w:hAnsi="宋体" w:hint="eastAsia"/>
          <w:sz w:val="28"/>
          <w:szCs w:val="28"/>
        </w:rPr>
        <w:t>五、 托管业务的主要管理制度</w:t>
      </w:r>
      <w:r>
        <w:rPr>
          <w:rFonts w:ascii="宋体" w:hAnsi="宋体" w:hint="eastAsia"/>
          <w:sz w:val="28"/>
          <w:szCs w:val="28"/>
        </w:rPr>
        <w:t xml:space="preserve"> </w:t>
      </w:r>
    </w:p>
    <w:p w:rsidR="00296722" w:rsidRPr="005B08D1" w:rsidRDefault="00296722" w:rsidP="00296722">
      <w:pPr>
        <w:snapToGrid w:val="0"/>
        <w:spacing w:line="360" w:lineRule="auto"/>
        <w:ind w:firstLine="482"/>
        <w:rPr>
          <w:rFonts w:ascii="宋体" w:hAnsi="宋体"/>
          <w:szCs w:val="21"/>
        </w:rPr>
      </w:pPr>
      <w:r w:rsidRPr="005B08D1">
        <w:rPr>
          <w:rFonts w:ascii="宋体" w:hAnsi="宋体" w:hint="eastAsia"/>
          <w:szCs w:val="21"/>
        </w:rPr>
        <w:t xml:space="preserve">渣打银行认为风险管理是管理层的主要职责。渣打银行有不同的风险控制部门来监控不同的风险，集团信贷风险控制部门，集团操作风险控制部门，集团法律与合规部来统一管理业务和操作部门的不同风险。另外，在每一个证券服务中心都有一个指定的合规部经理来保证集团风险政策的实行。所有这些政策和程序都会记录在我们的部门运作规则和关键监控标准以便全行员工参照。 </w:t>
      </w:r>
    </w:p>
    <w:p w:rsidR="00296722" w:rsidRPr="005B08D1" w:rsidRDefault="00296722" w:rsidP="00296722">
      <w:pPr>
        <w:snapToGrid w:val="0"/>
        <w:spacing w:line="360" w:lineRule="auto"/>
        <w:ind w:firstLine="482"/>
        <w:rPr>
          <w:rFonts w:ascii="宋体" w:hAnsi="宋体"/>
          <w:szCs w:val="21"/>
        </w:rPr>
      </w:pPr>
      <w:r w:rsidRPr="005B08D1">
        <w:rPr>
          <w:rFonts w:ascii="宋体" w:hAnsi="宋体" w:hint="eastAsia"/>
          <w:szCs w:val="21"/>
        </w:rPr>
        <w:t xml:space="preserve">渣打银行在集团内拥有适当的关键监控标准。关键监控是为所有主要程序设立的最低监控标准，以确保营业员、管理人员和高级经理交易处理的准确性和完整性。关键监控标准有三个关键部分： </w:t>
      </w:r>
    </w:p>
    <w:p w:rsidR="00296722" w:rsidRPr="005B08D1" w:rsidRDefault="00296722" w:rsidP="00296722">
      <w:pPr>
        <w:pStyle w:val="aff1"/>
        <w:widowControl w:val="0"/>
        <w:numPr>
          <w:ilvl w:val="0"/>
          <w:numId w:val="94"/>
        </w:numPr>
        <w:snapToGrid w:val="0"/>
        <w:spacing w:line="360" w:lineRule="auto"/>
        <w:ind w:left="319" w:firstLine="731"/>
        <w:jc w:val="both"/>
        <w:rPr>
          <w:rFonts w:cs="Times New Roman"/>
          <w:kern w:val="2"/>
          <w:sz w:val="21"/>
          <w:szCs w:val="21"/>
          <w:lang w:val="en-US"/>
        </w:rPr>
      </w:pPr>
      <w:r w:rsidRPr="005B08D1">
        <w:rPr>
          <w:rFonts w:cs="Times New Roman" w:hint="eastAsia"/>
          <w:kern w:val="2"/>
          <w:sz w:val="21"/>
          <w:szCs w:val="21"/>
          <w:lang w:val="en-US"/>
        </w:rPr>
        <w:t xml:space="preserve">监控执行 </w:t>
      </w:r>
    </w:p>
    <w:p w:rsidR="00296722" w:rsidRPr="005B08D1" w:rsidRDefault="00296722" w:rsidP="00296722">
      <w:pPr>
        <w:pStyle w:val="aff1"/>
        <w:widowControl w:val="0"/>
        <w:numPr>
          <w:ilvl w:val="0"/>
          <w:numId w:val="94"/>
        </w:numPr>
        <w:snapToGrid w:val="0"/>
        <w:spacing w:line="360" w:lineRule="auto"/>
        <w:ind w:left="319" w:firstLine="731"/>
        <w:jc w:val="both"/>
        <w:rPr>
          <w:rFonts w:cs="Times New Roman"/>
          <w:kern w:val="2"/>
          <w:sz w:val="21"/>
          <w:szCs w:val="21"/>
          <w:lang w:val="en-US"/>
        </w:rPr>
      </w:pPr>
      <w:r w:rsidRPr="005B08D1">
        <w:rPr>
          <w:rFonts w:cs="Times New Roman" w:hint="eastAsia"/>
          <w:kern w:val="2"/>
          <w:sz w:val="21"/>
          <w:szCs w:val="21"/>
          <w:lang w:val="en-US"/>
        </w:rPr>
        <w:t xml:space="preserve">检查/授权 </w:t>
      </w:r>
    </w:p>
    <w:p w:rsidR="00296722" w:rsidRPr="005B08D1" w:rsidRDefault="00296722" w:rsidP="00296722">
      <w:pPr>
        <w:pStyle w:val="aff1"/>
        <w:widowControl w:val="0"/>
        <w:numPr>
          <w:ilvl w:val="0"/>
          <w:numId w:val="94"/>
        </w:numPr>
        <w:snapToGrid w:val="0"/>
        <w:spacing w:line="360" w:lineRule="auto"/>
        <w:ind w:left="319" w:firstLine="731"/>
        <w:jc w:val="both"/>
        <w:rPr>
          <w:rFonts w:cs="Times New Roman"/>
          <w:kern w:val="2"/>
          <w:sz w:val="21"/>
          <w:szCs w:val="21"/>
          <w:lang w:val="en-US"/>
        </w:rPr>
      </w:pPr>
      <w:r w:rsidRPr="005B08D1">
        <w:rPr>
          <w:rFonts w:cs="Times New Roman" w:hint="eastAsia"/>
          <w:kern w:val="2"/>
          <w:sz w:val="21"/>
          <w:szCs w:val="21"/>
          <w:lang w:val="en-US"/>
        </w:rPr>
        <w:t xml:space="preserve">管理控制 </w:t>
      </w:r>
    </w:p>
    <w:p w:rsidR="00296722" w:rsidRPr="00A13161" w:rsidRDefault="00296722" w:rsidP="00296722">
      <w:pPr>
        <w:snapToGrid w:val="0"/>
        <w:spacing w:line="360" w:lineRule="auto"/>
        <w:ind w:firstLine="482"/>
        <w:rPr>
          <w:rFonts w:ascii="宋体" w:hAnsi="宋体"/>
          <w:szCs w:val="21"/>
        </w:rPr>
      </w:pPr>
      <w:r w:rsidRPr="005B08D1">
        <w:rPr>
          <w:rFonts w:ascii="宋体" w:hAnsi="宋体" w:hint="eastAsia"/>
          <w:szCs w:val="21"/>
        </w:rPr>
        <w:t xml:space="preserve">我们的关键监控标准取决于此业务的高级管理层，只要运营/程序发生变动或审计导致为预防/纠正目的而进行审核，此标准即应重新审核。 </w:t>
      </w:r>
    </w:p>
    <w:p w:rsidR="00296722" w:rsidRPr="00A13161" w:rsidRDefault="00296722" w:rsidP="00296722">
      <w:pPr>
        <w:tabs>
          <w:tab w:val="left" w:pos="1758"/>
        </w:tabs>
        <w:snapToGrid w:val="0"/>
        <w:spacing w:line="360" w:lineRule="auto"/>
        <w:ind w:firstLineChars="200" w:firstLine="560"/>
        <w:rPr>
          <w:rFonts w:ascii="宋体" w:hAnsi="宋体"/>
          <w:sz w:val="28"/>
          <w:szCs w:val="28"/>
        </w:rPr>
      </w:pPr>
      <w:r w:rsidRPr="005B08D1">
        <w:rPr>
          <w:rFonts w:ascii="宋体" w:hAnsi="宋体" w:hint="eastAsia"/>
          <w:sz w:val="28"/>
          <w:szCs w:val="28"/>
        </w:rPr>
        <w:t xml:space="preserve">六、 最近3年没有受到所在国家或地区监管机构的重大处罚，没有重大事项正在接受司法部门、监管机构立案调查的说明 </w:t>
      </w:r>
    </w:p>
    <w:p w:rsidR="00296722" w:rsidRPr="005B08D1" w:rsidRDefault="00296722" w:rsidP="00296722">
      <w:pPr>
        <w:snapToGrid w:val="0"/>
        <w:spacing w:line="360" w:lineRule="auto"/>
        <w:ind w:firstLine="482"/>
        <w:rPr>
          <w:rFonts w:ascii="宋体" w:hAnsi="宋体"/>
          <w:szCs w:val="21"/>
        </w:rPr>
      </w:pPr>
      <w:r w:rsidRPr="005B08D1">
        <w:rPr>
          <w:rFonts w:ascii="宋体" w:hAnsi="宋体" w:hint="eastAsia"/>
          <w:szCs w:val="21"/>
        </w:rPr>
        <w:t>香港渣打银行在最近三年内没有受到所在国家或地区监管机构的重大处罚。</w:t>
      </w:r>
    </w:p>
    <w:p w:rsidR="006A16DD" w:rsidRPr="00296722" w:rsidRDefault="006A16DD" w:rsidP="006A16DD">
      <w:pPr>
        <w:snapToGrid w:val="0"/>
        <w:spacing w:line="360" w:lineRule="auto"/>
        <w:ind w:firstLine="482"/>
        <w:rPr>
          <w:rFonts w:asciiTheme="minorEastAsia" w:eastAsiaTheme="minorEastAsia" w:hAnsiTheme="minorEastAsia"/>
          <w:szCs w:val="21"/>
        </w:rPr>
      </w:pPr>
    </w:p>
    <w:p w:rsidR="006A16DD" w:rsidRPr="00721084" w:rsidRDefault="006A16DD" w:rsidP="006A16DD">
      <w:pPr>
        <w:snapToGrid w:val="0"/>
        <w:spacing w:line="360" w:lineRule="auto"/>
        <w:ind w:firstLine="482"/>
        <w:rPr>
          <w:rFonts w:asciiTheme="minorEastAsia" w:eastAsiaTheme="minorEastAsia" w:hAnsiTheme="minorEastAsia"/>
          <w:szCs w:val="21"/>
        </w:rPr>
        <w:sectPr w:rsidR="006A16DD" w:rsidRPr="00721084">
          <w:pgSz w:w="11906" w:h="16838" w:code="9"/>
          <w:pgMar w:top="1440" w:right="1800" w:bottom="1440" w:left="1800" w:header="851" w:footer="992" w:gutter="0"/>
          <w:cols w:space="425"/>
          <w:docGrid w:type="lines" w:linePitch="312"/>
        </w:sectPr>
      </w:pPr>
    </w:p>
    <w:p w:rsidR="006E6514" w:rsidRPr="00721084" w:rsidRDefault="006E651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02" w:name="_Toc44351146"/>
      <w:r w:rsidRPr="00721084">
        <w:rPr>
          <w:rFonts w:asciiTheme="minorEastAsia" w:eastAsiaTheme="minorEastAsia" w:hAnsiTheme="minorEastAsia" w:hint="eastAsia"/>
        </w:rPr>
        <w:lastRenderedPageBreak/>
        <w:t>相关服务机构</w:t>
      </w:r>
      <w:bookmarkEnd w:id="302"/>
    </w:p>
    <w:p w:rsidR="0064594E" w:rsidRPr="00721084"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303" w:name="_Toc44351147"/>
      <w:r w:rsidRPr="00721084">
        <w:rPr>
          <w:rFonts w:asciiTheme="minorEastAsia" w:eastAsiaTheme="minorEastAsia" w:hAnsiTheme="minorEastAsia" w:hint="eastAsia"/>
          <w:b w:val="0"/>
        </w:rPr>
        <w:t>一</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基金份额</w:t>
      </w:r>
      <w:r w:rsidR="00134354" w:rsidRPr="00721084">
        <w:rPr>
          <w:rFonts w:asciiTheme="minorEastAsia" w:eastAsiaTheme="minorEastAsia" w:hAnsiTheme="minorEastAsia" w:hint="eastAsia"/>
          <w:b w:val="0"/>
        </w:rPr>
        <w:t>销售</w:t>
      </w:r>
      <w:r w:rsidR="0064594E" w:rsidRPr="00721084">
        <w:rPr>
          <w:rFonts w:asciiTheme="minorEastAsia" w:eastAsiaTheme="minorEastAsia" w:hAnsiTheme="minorEastAsia" w:hint="eastAsia"/>
          <w:b w:val="0"/>
        </w:rPr>
        <w:t>机构</w:t>
      </w:r>
      <w:bookmarkEnd w:id="303"/>
    </w:p>
    <w:p w:rsidR="00451DB8" w:rsidRPr="00721084" w:rsidRDefault="004D1E0F"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451DB8" w:rsidRPr="00721084">
        <w:rPr>
          <w:rFonts w:asciiTheme="minorEastAsia" w:eastAsiaTheme="minorEastAsia" w:hAnsiTheme="minorEastAsia" w:hint="eastAsia"/>
          <w:szCs w:val="21"/>
        </w:rPr>
        <w:t>直销机构：易方达基金管理有限公司</w:t>
      </w:r>
    </w:p>
    <w:p w:rsidR="00451DB8" w:rsidRPr="00721084" w:rsidRDefault="00451DB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注册地址：</w:t>
      </w:r>
      <w:r w:rsidR="002B6994" w:rsidRPr="00721084">
        <w:rPr>
          <w:rFonts w:asciiTheme="minorEastAsia" w:eastAsiaTheme="minorEastAsia" w:hAnsiTheme="minorEastAsia"/>
          <w:szCs w:val="21"/>
        </w:rPr>
        <w:t>广东省珠海市横琴新区宝华路6号105室－42891（集中办公区）</w:t>
      </w:r>
    </w:p>
    <w:p w:rsidR="00451DB8" w:rsidRPr="00721084" w:rsidRDefault="00451DB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办公地址：</w:t>
      </w:r>
      <w:r w:rsidR="00B866FF" w:rsidRPr="00721084">
        <w:rPr>
          <w:rFonts w:asciiTheme="minorEastAsia" w:eastAsiaTheme="minorEastAsia" w:hAnsiTheme="minorEastAsia" w:hint="eastAsia"/>
          <w:szCs w:val="21"/>
        </w:rPr>
        <w:t>广州市天河区珠江新城珠江东路30号广州银行大厦40-43楼</w:t>
      </w:r>
    </w:p>
    <w:p w:rsidR="00451DB8" w:rsidRPr="00721084" w:rsidRDefault="00451DB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法定代表人：</w:t>
      </w:r>
      <w:r w:rsidR="00383278" w:rsidRPr="00721084">
        <w:rPr>
          <w:rFonts w:asciiTheme="minorEastAsia" w:eastAsiaTheme="minorEastAsia" w:hAnsiTheme="minorEastAsia" w:hint="eastAsia"/>
          <w:szCs w:val="21"/>
        </w:rPr>
        <w:t>刘晓艳</w:t>
      </w:r>
    </w:p>
    <w:p w:rsidR="00451DB8" w:rsidRPr="00721084" w:rsidRDefault="00451DB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电话：020-85102506</w:t>
      </w:r>
    </w:p>
    <w:p w:rsidR="00451DB8" w:rsidRPr="00721084" w:rsidRDefault="00451DB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传真：4008818099</w:t>
      </w:r>
    </w:p>
    <w:p w:rsidR="00451DB8" w:rsidRPr="00721084" w:rsidRDefault="00451DB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联系人：</w:t>
      </w:r>
      <w:r w:rsidR="005E2802" w:rsidRPr="00721084">
        <w:rPr>
          <w:rFonts w:asciiTheme="minorEastAsia" w:eastAsiaTheme="minorEastAsia" w:hAnsiTheme="minorEastAsia" w:hint="eastAsia"/>
        </w:rPr>
        <w:t>王峰</w:t>
      </w:r>
    </w:p>
    <w:p w:rsidR="00451DB8" w:rsidRPr="00721084" w:rsidRDefault="00451DB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网址：</w:t>
      </w:r>
      <w:hyperlink r:id="rId17" w:history="1">
        <w:r w:rsidRPr="00721084">
          <w:rPr>
            <w:rFonts w:asciiTheme="minorEastAsia" w:eastAsiaTheme="minorEastAsia" w:hAnsiTheme="minorEastAsia" w:hint="eastAsia"/>
            <w:szCs w:val="21"/>
          </w:rPr>
          <w:t>www.efunds.com.cn</w:t>
        </w:r>
      </w:hyperlink>
    </w:p>
    <w:p w:rsidR="00451DB8" w:rsidRPr="00721084" w:rsidRDefault="00451DB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直销机构网点信息：</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1</w:t>
      </w:r>
      <w:r w:rsidRPr="00721084">
        <w:rPr>
          <w:rFonts w:asciiTheme="minorEastAsia" w:eastAsiaTheme="minorEastAsia" w:hAnsiTheme="minorEastAsia" w:hint="eastAsia"/>
          <w:szCs w:val="21"/>
        </w:rPr>
        <w:t>）易方达基金管理有限公司广州直销中心</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办公地址：广州市天河区珠江新城珠江东路</w:t>
      </w:r>
      <w:r w:rsidRPr="00721084">
        <w:rPr>
          <w:rFonts w:asciiTheme="minorEastAsia" w:eastAsiaTheme="minorEastAsia" w:hAnsiTheme="minorEastAsia"/>
          <w:szCs w:val="21"/>
        </w:rPr>
        <w:t>30</w:t>
      </w:r>
      <w:r w:rsidRPr="00721084">
        <w:rPr>
          <w:rFonts w:asciiTheme="minorEastAsia" w:eastAsiaTheme="minorEastAsia" w:hAnsiTheme="minorEastAsia" w:hint="eastAsia"/>
          <w:szCs w:val="21"/>
        </w:rPr>
        <w:t>号广州银行大厦</w:t>
      </w:r>
      <w:r w:rsidRPr="00721084">
        <w:rPr>
          <w:rFonts w:asciiTheme="minorEastAsia" w:eastAsiaTheme="minorEastAsia" w:hAnsiTheme="minorEastAsia"/>
          <w:szCs w:val="21"/>
        </w:rPr>
        <w:t>40</w:t>
      </w:r>
      <w:r w:rsidRPr="00721084">
        <w:rPr>
          <w:rFonts w:asciiTheme="minorEastAsia" w:eastAsiaTheme="minorEastAsia" w:hAnsiTheme="minorEastAsia" w:hint="eastAsia"/>
          <w:szCs w:val="21"/>
        </w:rPr>
        <w:t>楼</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电话：</w:t>
      </w:r>
      <w:r w:rsidRPr="00721084">
        <w:rPr>
          <w:rFonts w:asciiTheme="minorEastAsia" w:eastAsiaTheme="minorEastAsia" w:hAnsiTheme="minorEastAsia"/>
          <w:szCs w:val="21"/>
        </w:rPr>
        <w:t>020-85102506</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传真：</w:t>
      </w:r>
      <w:r w:rsidRPr="00721084">
        <w:rPr>
          <w:rFonts w:asciiTheme="minorEastAsia" w:eastAsiaTheme="minorEastAsia" w:hAnsiTheme="minorEastAsia"/>
          <w:szCs w:val="21"/>
        </w:rPr>
        <w:t>4008818099</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联系人：</w:t>
      </w:r>
      <w:r w:rsidR="005E2802" w:rsidRPr="00721084">
        <w:rPr>
          <w:rFonts w:asciiTheme="minorEastAsia" w:eastAsiaTheme="minorEastAsia" w:hAnsiTheme="minorEastAsia" w:hint="eastAsia"/>
        </w:rPr>
        <w:t>王峰</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2</w:t>
      </w:r>
      <w:r w:rsidRPr="00721084">
        <w:rPr>
          <w:rFonts w:asciiTheme="minorEastAsia" w:eastAsiaTheme="minorEastAsia" w:hAnsiTheme="minorEastAsia" w:hint="eastAsia"/>
          <w:szCs w:val="21"/>
        </w:rPr>
        <w:t>）易方达基金管理有限公司北京直销中心</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办公地址：</w:t>
      </w:r>
      <w:r w:rsidR="00EC7BEC" w:rsidRPr="00721084">
        <w:rPr>
          <w:rFonts w:asciiTheme="minorEastAsia" w:eastAsiaTheme="minorEastAsia" w:hAnsiTheme="minorEastAsia" w:hint="eastAsia"/>
          <w:szCs w:val="21"/>
        </w:rPr>
        <w:t>北京市西城区武定侯街2号泰康国际大厦18层</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电话：</w:t>
      </w:r>
      <w:r w:rsidRPr="00721084">
        <w:rPr>
          <w:rFonts w:asciiTheme="minorEastAsia" w:eastAsiaTheme="minorEastAsia" w:hAnsiTheme="minorEastAsia"/>
          <w:szCs w:val="21"/>
        </w:rPr>
        <w:t>010-63213377</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传真：</w:t>
      </w:r>
      <w:r w:rsidRPr="00721084">
        <w:rPr>
          <w:rFonts w:asciiTheme="minorEastAsia" w:eastAsiaTheme="minorEastAsia" w:hAnsiTheme="minorEastAsia"/>
          <w:szCs w:val="21"/>
        </w:rPr>
        <w:t>4008818099</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联系人：刘蕾</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3</w:t>
      </w:r>
      <w:r w:rsidRPr="00721084">
        <w:rPr>
          <w:rFonts w:asciiTheme="minorEastAsia" w:eastAsiaTheme="minorEastAsia" w:hAnsiTheme="minorEastAsia" w:hint="eastAsia"/>
          <w:szCs w:val="21"/>
        </w:rPr>
        <w:t>）易方达基金管理有限公司上海直销中心</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办公地址：上海市浦东新区世纪大道</w:t>
      </w:r>
      <w:r w:rsidRPr="00721084">
        <w:rPr>
          <w:rFonts w:asciiTheme="minorEastAsia" w:eastAsiaTheme="minorEastAsia" w:hAnsiTheme="minorEastAsia"/>
          <w:szCs w:val="21"/>
        </w:rPr>
        <w:t>88</w:t>
      </w:r>
      <w:r w:rsidRPr="00721084">
        <w:rPr>
          <w:rFonts w:asciiTheme="minorEastAsia" w:eastAsiaTheme="minorEastAsia" w:hAnsiTheme="minorEastAsia" w:hint="eastAsia"/>
          <w:szCs w:val="21"/>
        </w:rPr>
        <w:t>号金茂大厦</w:t>
      </w:r>
      <w:r w:rsidRPr="00721084">
        <w:rPr>
          <w:rFonts w:asciiTheme="minorEastAsia" w:eastAsiaTheme="minorEastAsia" w:hAnsiTheme="minorEastAsia"/>
          <w:szCs w:val="21"/>
        </w:rPr>
        <w:t>46</w:t>
      </w:r>
      <w:r w:rsidRPr="00721084">
        <w:rPr>
          <w:rFonts w:asciiTheme="minorEastAsia" w:eastAsiaTheme="minorEastAsia" w:hAnsiTheme="minorEastAsia" w:hint="eastAsia"/>
          <w:szCs w:val="21"/>
        </w:rPr>
        <w:t>楼</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电话：</w:t>
      </w:r>
      <w:r w:rsidRPr="00721084">
        <w:rPr>
          <w:rFonts w:asciiTheme="minorEastAsia" w:eastAsiaTheme="minorEastAsia" w:hAnsiTheme="minorEastAsia"/>
          <w:szCs w:val="21"/>
        </w:rPr>
        <w:t>021-50476668</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传真：</w:t>
      </w:r>
      <w:r w:rsidRPr="00721084">
        <w:rPr>
          <w:rFonts w:asciiTheme="minorEastAsia" w:eastAsiaTheme="minorEastAsia" w:hAnsiTheme="minorEastAsia"/>
          <w:szCs w:val="21"/>
        </w:rPr>
        <w:t>4008818099</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联系人：</w:t>
      </w:r>
      <w:r w:rsidR="00721084" w:rsidRPr="00721084">
        <w:rPr>
          <w:rFonts w:asciiTheme="minorEastAsia" w:eastAsiaTheme="minorEastAsia" w:hAnsiTheme="minorEastAsia" w:hint="eastAsia"/>
          <w:szCs w:val="21"/>
        </w:rPr>
        <w:t>王程</w:t>
      </w:r>
    </w:p>
    <w:p w:rsidR="005C0821" w:rsidRPr="00721084" w:rsidRDefault="00CC329E" w:rsidP="005C082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4</w:t>
      </w:r>
      <w:r w:rsidRPr="00721084">
        <w:rPr>
          <w:rFonts w:asciiTheme="minorEastAsia" w:eastAsiaTheme="minorEastAsia" w:hAnsiTheme="minorEastAsia" w:hint="eastAsia"/>
          <w:szCs w:val="21"/>
        </w:rPr>
        <w:t>）易方达基金管理有限公司网上交易系统</w:t>
      </w:r>
    </w:p>
    <w:p w:rsidR="005C0821" w:rsidRPr="00721084" w:rsidRDefault="00CC329E" w:rsidP="005C082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t>
      </w:r>
      <w:r w:rsidRPr="00721084">
        <w:rPr>
          <w:rFonts w:asciiTheme="minorEastAsia" w:eastAsiaTheme="minorEastAsia" w:hAnsiTheme="minorEastAsia"/>
        </w:rPr>
        <w:t>www.efunds.com.cn</w:t>
      </w:r>
    </w:p>
    <w:p w:rsidR="00576267" w:rsidRPr="00721084" w:rsidRDefault="00CC329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2、</w:t>
      </w:r>
      <w:r w:rsidRPr="00721084">
        <w:rPr>
          <w:rFonts w:asciiTheme="minorEastAsia" w:eastAsiaTheme="minorEastAsia" w:hAnsiTheme="minorEastAsia" w:hint="eastAsia"/>
        </w:rPr>
        <w:t>非直销销售机构（以下排序不分先后）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 中国工商银行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注册地址：北京西城区复兴门内大街55号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办公地址：北京西城区复兴门内大街55号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法定代表人：陈四清</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联系人：杨菲</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网址：www.icbc.com.cn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 渤海银行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注册地址：天津市河东区海河东路218号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办公地址：天津市河东区海河东路218号渤海银行大厦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法定代表人：李伏安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联系电话：022-58316666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客户服务电话：95541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传真：022-58316569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网址：www.cbhb.com.cn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 广发银行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注册地址：广东省广州市越秀区东风东路713号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办公地址：广东省广州市越秀区东风东路713号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法定代表人：王滨</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客户服务电话：400-830-8003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网址：www.cgbchina.com.cn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 华夏银行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注册地址：北京市东城区建国门内大街22号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办公地址：北京市东城区建国门内大街22号华夏银行大厦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法定代表人：李民吉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联系人：刘湘波</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传真：010-85238680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网址：www.hxb.com.cn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 交通银行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注册地址：中国（上海）自由贸易试验区银城中路188号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办公地址：中国（上海）自由贸易试验区银城中路188号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法定代表人：任德奇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联系人：王菁</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联系电话：021-58781234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客户服务电话：95559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网址：www.bankcomm.com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 平安银行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注册地址：广东省深圳市罗湖区深南东路5047号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办公地址：广东省深圳市罗湖区深南东路5047号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法定代表人：谢永林</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联系人：赵杨</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联系电话：0755-22166574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客户服务电话：95511-3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传真：021-50979507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网址：bank.pingan.com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 浦发银行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注册地址：上海市中山东一路12号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办公地址：上海市中山东一路12号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法定代表人：郑杨</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联系人：赵守良</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联系电话：021-61618888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客户服务电话：95528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传真：021-63604196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网址：www.spdb.com.cn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 招商银行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注册地址：深圳市福田区深南大道7088号招商银行大厦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办公地址：深圳市福田区深南大道7088号招商银行大厦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法定代表人：李建红</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联系人：季平伟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客户服务电话：95555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网址：www.cmbchina.com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 浙商银行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注册地址：浙江省杭州市萧山区鸿宁路1788号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办公地址：浙江杭州市庆春路288号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法定代表人：沈仁康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联系人：沈崟杰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联系电话：0571- 88261822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客户服务电话：95527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传真：0571-87659954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网址：www.czbank.com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 中国光大银行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注册地址：北京市西城区太平桥大街25号、甲25号中国光大中心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办公地址：北京市西城区太平桥大街25号金融街F3大厦（中国光大中心）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法定代表人：李晓鹏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联系人：朱红</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联系电话：010-63636153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传真：010-63639709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网址：www.cebbank.com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 中国民生银行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注册地址：北京市西城区复兴门内大街2号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办公地址：北京市西城区复兴门内大街2号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法定代表人：洪崎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联系人：徐野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客户服务电话：95568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网址：www.cmbc.com.cn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 中国农业银行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注册地址：北京市东城区建国门内大街69号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办公地址：北京市东城区建国门内大街69号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法定代表人：周慕冰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联系人：李紫钰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传真：010-85109219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网址：www.abchina.com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 中国银行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注册地址：北京市西城区复兴门内大街1号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办公地址：北京市西城区复兴门内大街1号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法定代表人：刘连舸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网址：www.boc.cn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 中国邮政储蓄银行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注册地址：北京市西城区金融大街3号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办公地址：北京市西城区金融大街3号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法定代表人：张金良</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联系人：王硕</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客户服务电话：95580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传真：010-68858057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网址：www.psbc.com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 包商银行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注册地址：内蒙古自治区包头市青山区钢铁大街6号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办公地址：内蒙古自治区包头市青山区钢铁大街6号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法定代表人：周学东</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联系人：张晶</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联系电话：0472-5189165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客户服务电话：95352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传真：010-84596546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网址：www.bsb.com.cn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 北京银行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注册地址：北京市西城区金融大街甲17号首层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办公地址：北京市西城区金融大街丙17号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法定代表人：张东宁</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联系人：周黎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客户服务电话：95526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网址：www.bankofbeijing.com.cn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 长安银行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注册地址：西安市高新技术产业开发区高新四路13号1幢1单元10101室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办公地址：西安市高新技术产业开发区高新四路13号朗臣大厦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法定代表人：赵永军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联系人：闫石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客户服务电话：400-05-96669；（029）96669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传真：029-88609566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网址：http://www.ccabchina.com/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 大连银行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注册地址：辽宁省大连市中山区中山路88号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办公地址：大连市中山区中山路88号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法定代表人：崔磊</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联系人：卜书慧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联系电话：0411-82311936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客户服务电话：400-664-0099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网址：www.bankofdl.com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 东莞农村商业银行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注册地址：广东省东莞市东城区鸿福东路2号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办公地址：广东省东莞市东城区鸿福东路2号东莞农商银行大厦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法定代表人：王耀球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联系人：钟燕珊</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客户服务电话：0769-961122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网址：www.drcbank.com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 东莞银行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注册地址：东莞市莞城区体育路21号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办公地址：东莞市莞城区体育路21号东莞银行大厦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法定代表人：卢国锋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联系人：朱杰霞</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联系电话：0769-22865177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客户服务电话：956033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网址：www.dongguanbank.cn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(21) 佛山农商银行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注册地址：佛山市禅城区华远东路5号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办公地址：佛山市禅城区华远东路5号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法定代表人：李川</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联系人：陈棠熙</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客户服务电话：96138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网址：www.foshanbank.cn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(22) 富滇银行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注册地址：云南省昆明市拓东路41号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办公地址：云南省昆明市拓东路41号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法定代表人：洪维智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联系人：杨翊琳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电话：0871-63140324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客户服务电话：400-88-96533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传真：0871-63194471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网址：http://www.fudian-bank.com/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(23) 广东华兴银行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注册地址：广东省汕头市龙湖区黄山路28号四层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办公地址：广州市天河区天河路533号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法定代表人：周泽荣</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联系人：许悦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联系电话：020-38173552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客户服务电话：400-830-8001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传真：020-38173857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网址：www.ghbank.com.cn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(24) 广东南粤银行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注册地址：广东省湛江市经济技术开发区乐山大道60号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办公地址：广东省湛江市经济技术开发区乐山大道60号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法定代表人：蒋丹</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联系人：陈静</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联系电话：020-28308757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客户服务电话：4000-961818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网址：www.gdnybank.com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(25) 广州农商银行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注册地址：广州市黄埔区映日路9号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办公地址：广州市天河区珠江新城华夏路1号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法定代表人：王继康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联系人：刘强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联系电话：020-22389067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客户服务电话：95313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传真：020-22389031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网址：www.grcbank.com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(26) 广州银行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注册地址：广州市天河区珠江东路30号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办公地址：广州市天河区珠江东路30号广州银行大厦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法定代表人：黄子励</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联系人：唐荟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客户服务电话：96699（广东）400-83-96699（全国）</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网址：www.gzcb.com.cn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(27) 哈尔滨银行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注册地址：哈尔滨市道里区尚志大街160号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办公地址：哈尔滨市道里区上江街888号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法定代表人：郭志文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联系人：何岩岩</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电话：0451-87792450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客户服务电话：95537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传真：0451-87792682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网址：www.hrbb.com.cn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(28) 杭州联合银行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注册地址：浙江省杭州市上城区建国中路99号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办公地址：杭州市建国中路99号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法定代表人：张海林</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联系人：吴徐立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联系电话：0571-87923324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客户服务电话：96596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传真：0571-87923214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网址：www.urcb.com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(29) 杭州银行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注册地址：浙江省杭州市下城区庆春路46号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办公地址：杭州市下城区庆春路46号杭州银行大厦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法定代表人：陈震山</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联系人：蒋梦君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联系电话：0571-85120718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客户服务电话：95398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传真：0571-85106576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网址：www.hzbank.com.cn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(30) 河北银行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注册地址：石家庄市平安北大街28号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办公地址：石家庄市平安北大街28号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法定代表人：乔志强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联系人：李博</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联系电话：0311-88627587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客户服务电话：400-612-9999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传真：0311-67806407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网址：www.hebbank.com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(31) 华融湘江银行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注册地址：长沙市天心区芙蓉南路一段828号杰座大厦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办公地址：湖南省长沙市湘府东路二段208号万境财智中心南栋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法定代表人：黄卫忠</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联系人：闾娇蓉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联系电话：0731-89828182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客户服务电话：0731-96599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传真：0731-89828806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网址：www.hrxjbank.com.cn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(32) 吉林银行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注册地址：吉林省长春市经济技术开发区东南湖大路1817号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办公地址：吉林省长春市经济技术开发区东南湖大路1817号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法定代表人：陈宇龙</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联系人：孟明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联系电话：0431-84992680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客户服务电话：400-88-96666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传真：0431-84992649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网址：www.jlbank.com.cn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(33) 嘉兴银行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注册地址：浙江省嘉兴市昌盛南路1001号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办公地址：浙江省嘉兴市昌盛南路1001号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法定代表人：夏林生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联系人：余舟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联系电话：0573-82080201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客户服务电话：0573-96528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网址：http://www.bojx.com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(34) 江南农村商业银行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注册地址：常州市和平中路413号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办公地址：常州市和平中路413号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法定代表人：陆向阳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联系人：李仙</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电话：0519-80585939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客户服务电话：0519-96005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传真：0519-89995170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网址：http://www.jnbank.com.cn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(35) 江苏银行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注册地址：南京市中华路26号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办公地址：南京市中华路26号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法定代表人：夏平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联系人：展海军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联系电话：025-58587039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客户服务电话：95319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传真：025-58587820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网址：www.jsbchina.cn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(36) 江西银行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注册地址：江西省南昌市红谷滩新区金融大街699号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办公地址：江西省南昌市红谷滩新区金融大街699号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法定代表人：陈晓明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联系人：陈云波</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联系电话：0791-86796029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客户服务电话：956055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传真：0791-86790795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网址：www.jx-bank.com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(37) 金华银行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注册地址：浙江省金华市丹溪路1388号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办公地址：浙江省金华市金东区光南路668号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法定代表人：徐雅清</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联系人：何赛丽、陈霞</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联系电话：0579-82178270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客户服务电话：400-711-6668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传真：0579-82178321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网址：www.jhccb.com.cn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(38) 锦州银行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注册地址：辽宁省锦州市科技路68号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办公地址：辽宁省锦州市科技路68号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法定代表人：魏学坤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联系人：庞璐璐</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客户服务电话：400-66-96178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网址：www.jinzhoubank.com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(39) 乐清农商银行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注册地址：浙江省乐清市城南街道伯乐西路99号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办公地址：浙江省乐清市城南街道伯乐西路99号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法定代表人：高剑飞</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联系人：金晓娇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联系电话：0577-61566028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客户服务电话：4008896596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传真：0577-61566063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网址：www.yqbank.com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(40) 龙江银行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注册地址：黑龙江省哈尔滨市道里区友谊路436号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办公地址：黑龙江省哈尔滨市道里区友谊路436号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法定代表人：张建辉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联系人：闫勇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联系电话：0451-85706107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客户服务电话：400-645-8888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传真：0451-85706036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网址：http://www.lj-bank.com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(41) 龙湾农商银行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注册地址：浙江省温州市龙湾区永中街道永宁西路555号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办公地址：浙江省温州市龙湾区永中街道永宁西路555号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法定代表人：朱朋远</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联系人：胡俊杰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联系电话：0577-86923223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客户服务电话：4008296596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传真：0577-86921250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网址：www.lwrcb.com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(42) 洛阳银行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注册地址：洛阳市洛阳新区开元大道与通济街交叉口</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办公地址：河南省洛阳市开元大道256号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法定代表人：王建甫</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联系人：郭文博</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联系电话：0379-65921977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客户服务电话：0379-96699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传真：0379-65938595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网址：www.bankofluoyang.com.cn/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(43) 南洋商业银行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注册地址：中国（上海）自由贸易试验区世纪大道800号三层、六层至九层（不含六层A座）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办公地址：中国（上海）自由贸易试验区世纪大道800号三层、六层至九层（不含六层A座）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法定代表人：陈孝周</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联系人：马小明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联系电话：021-38566452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客户服务电话：8008207898（内地固话用户）、4008207898（内地手机用户）、（86551）64360499（港澳台及境外）</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传真：021-38566400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网址：http://www.ncbchina.cn/cn/index.html</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(44) 宁波银行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注册地址：浙江省宁波市鄞州区宁东路345号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办公地址：浙江省宁波市鄞州区宁东路345号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法定代表人：陆华裕</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联系人：夏禾</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客户服务电话：95574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网址：www.nbcb.com.cn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(45) 齐商银行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注册地址：淄博市张店区中心路105号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办公地址：山东省淄博市张店区金晶大道105号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法定代表人：杲传勇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联系人：焦浦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联系电话：0533-2178888-9907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客户服务电话：400-86-96588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传真：0533-2180303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网址：www.qsbank.cc</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(46) 青岛银行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注册地址：山东省青岛市崂山区秦岭路6号3号楼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办公地址：山东省青岛市崂山区秦岭路6号3号楼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法定代表人：郭少泉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联系人：陈界交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联系电话：0532-68629956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客户服务电话：96588（青岛）400-66-96588（全国）</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网址：http://www.qdccb.com/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(47) 泉州银行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注册地址：泉州市丰泽区云鹿路3号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办公地址：泉州市丰泽区云鹿路3号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法定代表人：傅子能</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联系人：董培姗</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联系电话：0595-22551071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客户服务电话：400-88-96312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传真：0595-22578871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网址：http://www.qzccbank.com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(48) 日照银行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注册地址：山东省日照市烟台路197号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办公地址：山东省日照市烟台路197号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法定代表人：王森</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联系人：孔颖</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联系电话：0633-8081590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客户服务电话：400-68-96588（全国）、0633-96588（日照）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传真：0633-8081276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网址：http://www.bankofrizhao.com.cn/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(49) 瑞安农商银行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注册地址：瑞安市安阳街道万松东路148号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办公地址：瑞安市安阳街道万松东路148号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法定代表人：王光领</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联系人：吴小娜</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联系电话：0577-66681245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客户服务电话：4008057702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(50) 上海农村商业银行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注册地址：上海市黄浦区中山东二路70号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办公地址：上海市黄浦区中山东二路70号上海农商银行大厦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法定代表人：徐力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联系人：施传荣</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联系电话：021-61899999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客户服务电话：021-962999、4006962999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开放式基金业务传真：021-50105124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网址：www.srcb.com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(51) 上海银行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注册地址：中国（上海）自由贸易试验区银城中路168号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办公地址：上海市浦东新区银城中路168号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法定代表人：金煜</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联系电话：021-68475732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客户服务电话：95594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网址：http://www.bosc.cn/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(52) 深圳农村商业银行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注册地址：深圳市罗湖区深南东路3038号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办公地址：深圳市罗湖区深南东路3038号合作金融大厦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法定代表人：李光安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联系人：陈泽鑫</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联系电话：0755-25188271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客户服务电话：4001961200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网址：http://www.4001961200.com/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(53) 顺德农村商业银行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注册地址：广东佛山市顺德区大良德和居委会拥翠路2号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办公地址：广东佛山市顺德区大良德和居委会拥翠路2号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法定代表人：姚真勇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联系人：杨素苗、区敏欣</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联系电话：0757-22382524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客户服务电话：0757-22223388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传真：0757-22388235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网址：www.sdebank.com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(54) 四川天府银行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注册地址：四川省南充市涪江路1号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办公地址：四川省成都市锦江区东大街下东大街258号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法定代表人：邢敏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联系人：周乃雍</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联系电话：028-67676038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客户服务电话：400-16-96869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网址：www.tf.cn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(55) 苏州银行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注册地址：江苏省苏州市工业园区钟园路728号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办公地址：江苏省苏州市工业园区钟园路728号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法定代表人：王兰凤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联系人：吴骏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联系电话：0512-69868373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客户服务电话：96067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传真：0512-69868373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网址：www.suzhoubank.com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(56) 天津银行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注册地址：天津市河西区友谊路15号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办公地址：天津市河西区友谊路15号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法定代表人：李宗唐</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联系人：李岩</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联系电话：022-28405684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客户服务电话：956056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传真：022-28405631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网址：www.bank-of-tianjin.com.cn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(57) 威海市商业银行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注册地址：威海市宝泉路9号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办公地址：威海市宝泉路9号财政大厦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法定代表人：谭先国</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联系人：冯十卉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联系电话：0531-68978175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客户服务电话：山东省内96636、中国境内40000-96636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传真：0531-68978176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网址：www.whccb.com，www.whccb.com.cn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(58) 微众银行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注册地址：深圳市前海深港合作区前湾一路1号A栋201室（入驻深圳市前海商务秘书</w:t>
      </w:r>
      <w:r w:rsidRPr="00721084">
        <w:rPr>
          <w:rFonts w:asciiTheme="minorEastAsia" w:eastAsiaTheme="minorEastAsia" w:hAnsiTheme="minorEastAsia" w:hint="eastAsia"/>
        </w:rPr>
        <w:lastRenderedPageBreak/>
        <w:t>有限公司）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办公地址：广东省深圳市南山区沙河西路1819号深圳湾科技生态园7栋A座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法定代表人：顾敏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客户服务电话：95384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网址：http://www.webank.com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(59) 潍坊银行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注册地址：山东省潍坊市奎文区胜利东街5139号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办公地址：山东省潍坊市奎文区胜利东街5139号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法定代表人：郭虎英</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联系人：井靖</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联系电话：0536-8051904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客户服务电话：400-61-96588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传真：0536-8056061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网址：www.wfccb.com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(60) 乌鲁木齐银行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注册地址：新疆乌鲁木齐市水磨沟区会展大道599号新疆财富中心A座4层至31层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办公地址：新疆乌鲁木齐市水磨沟区会展大道599号新疆财富中心A座4层至31层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法定代表人：任思宇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联系人：王小培</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联系电话：0991-4500319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客户服务电话：0991-96518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传真：0991-8824667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网址：www.uccb.com.cn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(61) 西安银行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注册地址：西安市高新路60号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办公地址：西安市高新路60号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法定代表人：郭军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联系人：白智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联系电话：029-88992881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客户服务电话：40086-96779（全国）、96779（陕西）</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网址：www.xacbank.com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(62) 新昌农商银行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注册地址：浙江省绍兴市新昌县七星街道七星路18号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办公地址：浙江省绍兴市新昌县七星街道七星路18号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法定代表人：陆斌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联系人：陈春华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联系电话：0575-86266991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客户服务电话：96596、0575-86266928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传真：0575-86383121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网址：http://xcbank.com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(63) 烟台银行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注册地址：山东省烟台市芝罘区海港路25号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办公地址：山东省烟台市芝罘区海港路25号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法定代表人：吴明理</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联系人：张卓智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联系电话：0535-6699671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客户服务电话：4008-311-777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传真：0535-6699884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网址：www.yantaibank.net</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(64) 余杭农村商业银行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注册地址：杭州市余杭区南苑街道南大街72号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办公地址：杭州市余杭区南苑街道南大街72号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法定代表人：来煜标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联系人：蔡亮</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联系电话：0571-86209980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客户服务电话：96596，4008896596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网址：www.yhrcb.com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(65) 浙江稠州商业银行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注册地址：浙江省义乌市江滨路义乌乐园东侧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办公地址：杭州市上城区望潮路158号稠银大厦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法定代表人：金子军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联系人：谢圆圆</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联系电话：0571-87117661/13777805250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客户服务电话：0571-96527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传真：0571-87117607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网址：http://www.czcb.com.cn/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(66) 浙江泰隆商业银行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注册地址：浙江省台州市路桥区南官大道188号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办公地址：浙江省台州市路桥区南官大道188号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联系人：陈妍宇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联系电话：0571-87219677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客户服务电话：95347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网址：www.zjtlcb.com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(67) 中原银行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注册地址：河南省郑州市郑东新区CBD商务外环路23号中科金座大厦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办公地址：河南省郑州市郑东新区CBD商务外环路23号中科金座大厦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法定代表人：窦荣兴</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联系人：张辉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联系电话：0371-61910217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客户服务电话：95186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网址：www.zybank.com.cn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(68) 重庆农村商业银行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注册地址：重庆市江北区金沙门路36号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办公地址：重庆市江北区金沙门路36号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法定代表人：刘建忠</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联系人：范亮</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联系电话：023-61110146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客户服务电话：95389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传真：023-61110146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网址：www.cqrcb.com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(69) 珠海华润银行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注册地址：广东省珠海市吉大九洲大道东1346号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办公地址：广东省珠海市吉大九洲大道东1346号珠海华润银行大厦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法定代表人：刘晓勇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联系电话：4008800338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客户服务电话：96588（广东省外请加拨0756），400-8800-338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网址：www.crbank.com.cn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(70) 安信证券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注册地址：深圳市福田区金田路4018号安联大厦35层、28层A02单元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办公地址：深圳市福田区金田路4018号安联大厦35层、28层A02单元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 xml:space="preserve">          深圳市福田区深南大道2008号中国凤凰大厦1栋9层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法定代表人：王连志</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联系人：陈剑虹</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联系电话：0755-82825551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客户服务电话：95517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传真：0755-82558355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网址：www.essence.com.cn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(71) 渤海证券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注册地址：天津市经济技术开发区第二大街42号写字楼101室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办公地址：天津市南开区宾水西道8号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法定代表人：安志勇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联系电话：022-28451922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客户服务电话：400-651-5988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传真：022-28451892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网址：www.ewww.com.cn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(72) 财达证券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注册地址：河北省石家庄市桥西区自强路35号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办公地址：河北省石家庄市桥西区自强路35号庄家金融大厦23-26层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法定代表人：翟建强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联系人：李卓颖</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联系电话：0311-66008561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客户服务电话：95363（河北省内）；0311-95363（河北省外）</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传真：0311-66006414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网址：www.s10000.com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(73) 财通证券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注册地址：杭州市西湖区天目山路198号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办公地址：杭州市西湖区天目山路198号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法定代表人：陆建强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联系人：陶志华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联系电话：0571－87789160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客户服务电话：95336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网址：www.ctsec.com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(74) 财信证券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注册地址：长沙市芙蓉中路二段80号顺天国际财富中心26层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办公地址：长沙市芙蓉中路二段80号顺天国际财富中心26-28层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法定代表人：刘宛晨</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联系人：郭静</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联系电话：0731-84403347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客户服务电话：95317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传真：0731-84403439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网址：www.cfzq.com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(75) 长城国瑞证券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注册地址：厦门市思明区莲前西路2号莲富大厦17楼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办公地址：厦门市思明区深田路46号深田国际大厦20楼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联系人：邱震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联系电话：0592-2079259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客户服务电话：400-0099-886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传真：0592-2079602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网址：www.gwgsc.com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(76) 长城证券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注册地址：深圳市福田区福田街道金田路2026号能源大厦南塔楼10-19层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办公地址：深圳市福田区福田街道金田路2026号能源大厦南塔楼10-19层长城证券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法定代表人：曹宏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联系人：梁浩</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联系电话：0755-83530715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客户服务电话：400-6666-888或95514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传真：0755--83515567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网址：www.cgws.com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(77) 长江证券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注册地址：湖北省武汉市新华路特8号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办公地址：湖北省武汉市新华路特8号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法定代表人：李新华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联系人：奚博宇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联系电话：027-65799999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客户服务电话：95579或4008-888-999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传真：027-85481900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网址：www.95579.com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(78) 川财证券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注册地址：中国（四川）自由贸易试验区成都高新区交子大道177号中海国际中心B座17楼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办公地址：四川省成都高新区交子大道177号中海国际中心B座17楼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法定代表人：孟建军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联系人：匡婷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联系电话：028-86583053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客户服务电话：028-962708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网址：www.cczq.com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(79) 大通证券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注册地址：辽宁省大连市沙河口区会展路129号大连国际金融中心A座-大连期货大厦38、39层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办公地址：辽宁省大连市沙河口区会展路129号大连国际金融中心A座-大连期货大厦38、39层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法定代表人：赵玺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联系人：谢立军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联系电话：0411-39991807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客户服务电话：4008-169-169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传真：0411-39673214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网址：www.daton.com.cn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(80) 大同证券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注册地址：山西省大同市城区迎宾街15号桐城中央21层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办公地址：山西省太原市小店区长治路111号山西世贸中心A座F12、F13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法定代表人：董祥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联系人：薛津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联系电话：0351-4130322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客户服务电话：4007121212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传真：0351-7219891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网址：www.dtsbc.com.cn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(81) 德邦证券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注册地址：上海市普陀区曹杨路510号南半幢9楼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办公地址：上海市福山路500号城建国际中心29楼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法定代表人：武晓春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联系人：刘熠</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联系电话：021-68761616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客户服务电话：400-8888-128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传真：021-68767880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网址：http://www.tebon.com.cn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(82) 第一创业证券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注册地址：深圳市福田区福华一路115号投行大厦20楼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办公地址：深圳市福田区福华一路115号投行大厦20楼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法定代表人：刘学民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联系人：单晶</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联系电话：0755-23838750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客户服务电话：95358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网址：www.firstcapital.com.cn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(83) 东北证券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注册地址：长春市生态大街6666号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办公地址：长春市生态大街6666号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法定代表人：李福春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联系人：安岩岩</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联系电话：0431-85096517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客户服务电话：95360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传真：0431-85096795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网址：www.nesc.cn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(84) 东方证券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注册地址：上海市中山南路318号2号楼22层、23层、25层-29层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办公地址：上海市中山南路318号2号楼22层、23层、25层-29层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法定代表人：潘鑫军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联系人：龚玉君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联系电话：021-63325888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客户服务电话：95503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传真：021-63326729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网址：http://www.dfzq.com.cn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(85) 东莞证券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注册地址：东莞市莞城区可园南路一号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办公地址：东莞市莞城区可园南路1号金源中心30楼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法定代表人：陈照星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联系人：李荣</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联系电话：0769-22115712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客户服务电话：95328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传真：0769-22115712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网址：www.dgzq.com.cn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(86) 东海证券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注册地址：江苏省常州市延陵西路23号投资广场18层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办公地址：上海市浦东新区东方路1928号东海证券大厦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法定代表人：钱俊文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联系人：王一彦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联系电话：021-20333333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客户服务电话：95531、400-8888-588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传真：021-50498825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网址：www.longone.com.cn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(87) 东吴证券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注册地址：苏州工业园区星阳街5号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办公地址：苏州工业园区星阳街5号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法定代表人：范力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联系人：陆晓</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联系电话：0512-62938521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客户服务电话：95330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传真：0512-65588021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网址：www.dwzq.com.cn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(88) 东兴证券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注册地址：北京市西城区金融大街5号（新盛大厦）12、15层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办公地址：北京市西城区金融大街5号新盛大厦B座10层、12层、15层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法定代表人：魏庆华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联系人：夏锐</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联系电话：010-66559079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客户服务电话：95309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传真：010-66555133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网址：www.dxzq.net</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(89) 方正证券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注册地址：湖南省长沙市天心区湘江中路二段36号华远华中心4、5号楼3701-3717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办公地址：北京市朝阳区北四环中路27号盘古大观A座40F</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法定代表人：施华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联系人：周静</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联系电话：010-59355412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客户服务电话：95571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传真：010-56437030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网址：www.foundersc.com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(90) 光大证券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注册地址：上海市静安区新闸路1508号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办公地址：上海市静安区新闸路1508号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法定代表人：刘秋明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联系人：郁疆</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联系电话：021-22169999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客户服务电话：95525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网址：www.ebscn.com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(91) 广发证券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注册地址：广东省广州市黄埔区中新广州知识城腾飞一街2号618室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办公地址：广州市天河区马场路26号广发证券大厦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法定代表人：孙树明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联系人：黄岚</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客户服务电话：95575或02095575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网址：www.gf.com.cn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(92) 国都证券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注册地址：北京市东城区东直门南大街3号国华投资大厦9层10层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办公地址：北京市东城区东直门南大街3号国华投资大厦9层10层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法定代表人：王少华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联系人：黄静</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联系电话：010-84183389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客户服务电话：400-818-8118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传真：010-84183311-3122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网址：www.guodu.com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(93) 国海证券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注册地址：广西桂林市辅星路13号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办公地址：深圳市福田区竹子林四路光大银行大厦3楼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法定代表人：何春梅</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联系人：田密</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联系电话：0755-83716916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客户服务电话：95563或0771-95563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网址：www.ghzq.com.cn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(94) 国金证券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注册地址：成都市青羊区东城根上街95号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办公地址：成都市青羊区东城根上街95号成证大厦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法定代表人：冉云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联系人：杜晶、黎建平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联系电话：028-86690057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客户服务电话：95310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传真：028-86690126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网址：www.gjzq.com.cn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(95) 国联证券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注册地址：江苏省无锡市太湖新城金融一街8号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办公地址：江苏省无锡市太湖新城金融一街8号国联金融大厦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法定代表人：姚志勇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联系人：祁昊</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联系电话：0510-82831662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客户服务电话：95570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传真：0510-82830162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网址：www.glsc.com.cn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(96) 国融证券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注册地址：内蒙古自治区呼和浩特市武川县腾飞大道1号4楼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办公地址：北京市西城区宣武门西大街甲129号金隅大厦16层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法定代表人：张智河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联系人：李思萱</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联系电话：010-83991848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客户服务电话：95385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传真：010-66412537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网址：www.grzq.com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(97) 国盛证券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注册地址：江西省南昌市新建区子实路1589号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办公地址：江西省南昌市红谷滩新区凤凰中大道1115号北京银行大厦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法定代表人：徐丽峰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联系人：占文驰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联系电话：0791-88250812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客户服务电话：956080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传真：0791-86281305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网址：www.gszq.com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(98) 国泰君安证券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注册地址：中国（上海）自由贸易试验区商城路618号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办公地址：上海市静安区南京西路768号国泰君安大厦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法定代表人：贺青</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联系人：芮敏祺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客户服务电话：95521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传真：021-38670666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网址：www.gtja.com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(99) 国信证券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注册地址：深圳市罗湖区红岭中路1012号国信证券大厦十六层至二十六层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办公地址：深圳市罗湖区红岭中路1012号国信证券大厦十六层至二十六层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法定代表人：何如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联系人：李颖</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联系电话：0755-82130833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客户服务电话：95536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传真：0755-82133952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网址：www.guosen.com.cn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(100) 国元证券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注册地址：安徽省合肥市梅山路18号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办公地址：安徽省合肥市梅山路18号安徽国际金融中心A座国元证券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法定代表人：俞仕新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联系人：李蔡</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客户服务电话：95578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传真：0551-2272100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网址：www.gyzq.com.cn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(101) 海通证券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注册地址：上海市广东路689号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办公地址：上海市广东路689号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法定代表人：周杰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联系人：金芸、李笑鸣</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联系电话：021-23219000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客户服务电话：95553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传真：021-23219100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网址：www.htsec.com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(102) 红塔证券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注册地址：云南省昆明市北京路155号附1号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办公地址：云南省昆明市北京路155号附1号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法定代表人：李素明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联系人：罗德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联系电话：0871-63582843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客户服务电话：956060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传真：0871-63578827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网址：http://www.hongtastock.com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(103) 华安证券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注册地址：安徽省合肥市政务文化新区天鹅湖路198号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办公地址：安徽省合肥市政务文化新区天鹅湖路198号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法定代表人：章宏韬</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联系人：范超</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联系电话：0551-65161821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传真：0551-65161825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网址：www.hazq.com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(104) 华宝证券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注册地址：中国（上海）自由贸易试验区世纪大道100号57层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办公地址：中国（上海）自由贸易试验区世纪大道100号57层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法定代表人：刘加海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联系人：刘闻川</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联系电话：021-20657517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客户服务电话：400-820-9898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传真：021-20515593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网址：www.cnhbstock.com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(105) 华福证券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注册地址：福建省福州市鼓楼区鼓屏路27号1#楼3层、4层、5层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办公地址：上海市浦东新区陆家嘴环路1088号招商银行大厦18-19楼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法定代表人：黄金琳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联系人：王虹</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联系电话：021-20655183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客户服务电话：95547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传真：021-20655196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网址：www.hfzq.com.cn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(106) 华林证券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注册地址：拉萨市柳梧新区国际总部城3幢1单元5-5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办公地址：深圳市福田区民田路178号华融大厦6楼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法定代表人：林立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联系人：胡倩</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联系电话：0755-83255199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客户服务电话：400-188-3888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网址：www.chinalin.com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(107) 华龙证券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注册地址：兰州市城关区东岗西路638号兰州财富中心21楼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办公地址：兰州市城关区东岗西路638号兰州财富中心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法定代表人：陈牧原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联系人：范坤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联系电话：0931-4890208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客户服务电话：95368、400-689-8888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传真：0931-4890628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网址：www.hlzq.com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(108) 华融证券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注册地址：北京市西城区金融大街8号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办公地址：北京市朝阳区朝阳门北大街18号中国人保寿险大厦12至18层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法定代表人：张海文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联系人：孙燕波</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联系电话：010-85556048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客户服务电话：95390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传真：010-85556088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网址：www.hrsec.com.cn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(109) 华泰证券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注册地址：南京市江东中路228号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办公地址：南京市建邺区江东中路228号华泰证券广场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联系人：庞晓芸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联系电话：0755-82492193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客户服务电话：95597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传真：025-83387523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网址：www.htsc.com.cn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(110) 华西证券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注册地址：四川省成都市高新区天府二街198号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办公地址：四川省成都市高新区天府二街198号华西证券大厦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法定代表人：杨炯洋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联系人：张彬</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联系电话：010-58124967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客户服务电话：95584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传真：028-86150040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网址：www.hx168.com.cn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(111) 华鑫证券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注册地址：深圳市福田区莲花街道福中社区深南大道2008号中国凤凰大厦1栋20C-1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办公地址：上海市徐汇区宛平南路8号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法定代表人：俞洋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联系人：杨莉娟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联系电话：021-54967552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客户服务电话：95323（全国）、400-109-9918（全国）、029-68918888（西安）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传真：021-54967293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网址：www.cfsc.com.cn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(112) 华信证券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注册地址：上海浦东新区世纪大道100号环球金融中心9楼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办公地址：上海市黄浦区南京西路399号明天广场23楼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法定代表人：陈灿辉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联系人：徐璐</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联系电话：021-63898952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客户服务电话：400-820-5999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传真：021-68776977转8952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网址：www.shhxzq.com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(113) 江海证券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注册地址：黑龙江省哈尔滨市香坊区赣水路56号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办公地址：黑龙江省哈尔滨市松北区创新三路833号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法定代表人：赵洪波</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联系人：姜志伟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联系电话：0451-87765732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客户服务电话：956007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传真：0451-82337279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网址：www.jhzq.com.cn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(114) 金元证券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注册地址：海口市南宝路36号证券大厦4楼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办公地址：深圳市深南大道4001号时代金融中心大厦17楼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法定代表人：王作义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联系人：刘萍</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联系电话：0755-83025693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客户服务电话：95372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传真：0755-83025625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网址：www.jyzq.cn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(115) 开源证券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注册地址：陕西省西安市高新区锦业路1号都市之门B座5层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办公地址：陕西省西安市高新区锦业路1号都市之门B座5层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法定代表人：李刚</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联系人：张蕊</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联系电话：029-88365809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客户服务电话：95325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网址：www.kysec.cn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(116) 联储证券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注册地址：广东省深圳市福田区福田街道岗厦社区深南大道南侧金地中心大厦9楼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办公地址：上海市浦东新区陆家嘴环路333号金砖大厦8楼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法定代表人：吕春卫</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联系人：张婉婷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联系电话：010-86499765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客户服务电话：400-620-6868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网址：www.lczq.com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(117) 南京证券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注册地址：南京市江东中路389号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办公地址：南京市江东中路389号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法定代表人：李剑锋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联系人：王万君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联系电话：025-58519523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客户服务电话：95386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传真：025-83369725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网址：www.njzq.com.cn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(118) 平安证券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注册地址：深圳市福田区福田街道益田路5023号平安金融中心B座第22-25层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办公地址：深圳市福田区金田路4036号荣超大厦16-20层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法定代表人：何之江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联系人：周驰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联系电话：021-38643230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客户服务电话：95511-8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传真：021-58991896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网址：stock.pingan.com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(119) 瑞银证券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注册地址：北京市西城区金融大街7号英蓝国际金融中心12层、15层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办公地址：北京市西城区金融大街7号英蓝国际金融中心12层、15层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法定代表人：钱于军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联系人：谢丹</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联系电话：0755-22158878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客户服务电话：400-887-8827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传真：010-58328170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网址：https://www.ubs.com/ubssecurities</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(120) 山西证券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注册地址：太原市府西街69号山西国际贸易中心东塔楼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办公地址：太原市府西街69号山西国际贸易中心东塔楼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法定代表人：侯巍</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联系人：谢武兵</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联系电话：0351-8686721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客户服务电话：95573或400-666-1618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传真：0351-8686619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网址：www.i618.com.cn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(121) 上海证券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注册地址：上海市黄浦区四川中路213号7楼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办公地址：上海市四川中路213号久事商务大厦7楼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法定代表人：李俊杰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联系人：邵珍珍</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联系电话：021-53686888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客户服务电话：4008-918-918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传真：021-53686100、021-53686200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网址：https://www.shzq.com/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(122) 申万宏源西部证券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注册地址：新疆乌鲁木齐市高新区（新市区）北京南路358号大成国际大厦20楼2005室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办公地址：新疆乌鲁木齐市高新区（新市区）北京南路358号大成国际大厦20楼2005室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联系人：王怀春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联系电话：0991-2307105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客户服务电话：4008-000-562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传真：010-88085195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网址：www.hysec.com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(123) 申万宏源证券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注册地址：上海市徐汇区长乐路989号45层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办公地址：上海市徐汇区长乐路989号世纪商贸广场45层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法定代表人：杨玉成</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联系人：胡馨文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联系电话：021-33388252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客户服务电话：95523、4008895523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传真：021-33388224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网址：www.swhysc.com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(124) 世纪证券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注册地址：深圳市前海深港合作区南山街道桂湾五路128号前海深港基金小镇对冲基金中心406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办公地址：深圳市福田区深南大道招商银行大厦40-42层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联系人：徐玲娟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联系电话：0755-83199553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客户服务电话：4008323000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网址：www.csco.com.cn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(125) 首创证券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注册地址：北京市西城区德胜门外大街115号德胜尚城E座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办公地址：北京市西城区德胜门外大街115号德胜尚城E座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法定代表人：毕劲松</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联系人：刘宇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联系电话：010-59366070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客户服务电话：400-620-0620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传真：010-59366055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网址：http://www.sczq.com.cn/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(126) 天风证券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注册地址：湖北省武汉市东湖新技术开发区关东园路2号高科大厦四楼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办公地址：湖北省武汉市武昌区中南路99号保利广场A座37楼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法定代表人：余磊</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联系人：王雅薇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联系电话：027-87617017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客户服务电话：4008005000、95391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传真：027-87618863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网址：http://www.tfzq.com/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(127) 万联证券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注册地址：广州市天河区珠江东路11号18、19楼全层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办公地址：广州市天河区珠江东路13号高德置地广场E栋12层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法定代表人：罗钦城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联系人：甘蕾</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联系电话：020-38286026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客户服务电话：95322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传真：020-38286588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网址：www.wlzq.cn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(128) 西部证券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注册地址：陕西省西安市新城区东新街319号8幢10000室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办公地址：陕西省西安市新城区东新街319号8幢10000室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法定代表人：徐朝晖</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联系人：梁承华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联系电话：029-87211526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客户服务电话：95582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传真：029-87211478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网址：www.westsecu.com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(129) 西南证券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注册地址：重庆市江北区桥北苑8号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办公地址：重庆市江北区桥北苑8号西南证券大厦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法定代表人：廖庆轩</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联系人：周青</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联系电话：023-63786633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客户服务电话：4008096096或95355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传真：023-63786212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网址：www.swsc.com.cn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(130) 湘财证券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注册地址：湖南省长沙市天心区湘府中路198号新南城商务中心A栋11楼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办公地址：湖南省长沙市天心区湘府中路198号新南城商务中心A栋11楼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法定代表人：孙永祥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联系人：江恩前</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联系电话：021-38784580-8920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客户服务电话：95351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传真：021-68865680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网址：www.xcsc.com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(131) 新时代证券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注册地址：北京市海淀区北三环西路99号院1号楼15层1501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办公地址：北京市海淀区北三环西路99号院1号楼15层1501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法定代表人：叶顺德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联系人：马文玺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联系电话：010-83561072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网址：www.xsdzq.cn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(132) 信达证券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注册地址：北京市西城区闹市口大街9号院1号楼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办公地址：北京市西城区闹市口大街9号院1号楼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法定代表人：肖林</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联系人：尹旭航</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联系电话：010-63081000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客户服务电话：95321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传真：010-63080978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网址：www.cindasc.com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(133) 兴业证券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注册地址：福州市湖东路268号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办公地址：上海浦东新区长柳路36号兴业证券大厦20楼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法定代表人：杨华辉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联系人：乔琳雪</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联系电话：021-38565547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客户服务电话：95562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网址：www.xyzq.com.cn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(134) 银河证券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注册地址：北京市西城区金融大街35号2-6层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办公地址：北京市西城区金融大街35号国际企业大厦C座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法定代表人：陈共炎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联系人：辛国政</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联系电话：010-83574507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客户服务电话：4008-888-888或95551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网址：www.chinastock.com.cn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(135) 粤开证券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注册地址：惠州市江北东江三路55号广播电视新闻中心西面一层大堂和三、四层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办公地址：广东省广州市黄埔区科学大道60号开发区金控中心21-23层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法定代表人：严亦斌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联系人：彭莲</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联系电话：0755-83331195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客户服务电话：95564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公司网址：http://www.ykzq.com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(136) 招商证券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注册地址：深圳市福田区福田街道福华一路111号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办公地址：深圳市福田区福田街道福华一路111号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法定代表人：霍达</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联系人：黄婵君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联系电话：0755-82943666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客户服务电话：95565、400-8888-111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传真：0755-82943636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网址：www.newone.com.cn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(137) 浙商证券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注册地址：浙江省杭州市江干区五星路201号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办公地址：浙江省杭州市江干区五星路201号浙商证券大楼8楼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法定代表人：吴承根</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联系人：高扬</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联系电话：0571-87902974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客户服务电话：95345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传真：0571-87901913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网址：www.stocke.com.cn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(138) 中金财富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注册地址：深圳市福田区益田路与福中路交界处荣超商务中心A栋第18-21层及第04层01.02.03.05.11.12.13.15.16.18.19.20.21.22.23单元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办公地址：深圳福田区益田路6003号荣超商务中心A座4层、18-21层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法定代表人：高涛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联系人：万玉琳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联系电话：0755-82026907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客户服务电话：95532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网址：https://www.ciccwm.com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(139) 中金公司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注册地址：北京市朝阳区建国门外大街1号国贸大厦2座27层及28层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办公地址：北京市朝阳区建国门外大街甲6号SK大厦38层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法定代表人：沈如军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联系人：杨涵宇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联系电话：010-65051166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客户服务电话：4009101166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网址：www.cicc.com.cn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(140) 中山证券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注册地址：深圳市南山区粤海街道蔚蓝海岸社区创业路1777号海信南方大厦21、22层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办公地址：深圳市南山区创业路1777号海信南方大厦21、22层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法定代表人：林炳城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联系人：罗艺琳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电话：0755-82943755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传真：0755-82960582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客户服务电话：95329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网址：www.zszq.com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(141) 中泰证券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注册地址：济南市市中区经七路86号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办公地址：山东省济南市经七路86号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法定代表人：李玮</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联系人：许曼华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联系电话：021-20315290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客户服务电话：95538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传真：0531-68889095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网址：www.zts.com.cn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(142) 中天证券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注册地址：辽宁省沈阳市和平区光荣街23甲</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办公地址：辽宁省沈阳市和平区光荣街23甲</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法定代表人：马功勋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联系人：李泓灏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联系电话：024-23255256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客户服务电话：024-95346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传真：024-23255606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网址：www.iztzq.com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(143) 中信建投证券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注册地址：北京市朝阳区安立路66号4号楼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办公地址：北京市朝阳门内大街188号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法定代表人：王常青</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联系人：刘芸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联系电话：010－85130554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客户服务电话：95587或4008-888-108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网址：http://www.csc108.com/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(144) 中信证券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注册地址：广东省深圳市福田区中心三路8号卓越时代广场（二期）北座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办公地址：北京市朝阳区亮马桥路48号中信证券大厦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法定代表人：张佑君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联系人：王一通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联系电话：010-60838888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客户服务电话：95548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传真：010-60836029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网址：www.cs.ecitic.com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(145) 中信证券华南</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注册地址：广州市天河区珠江西路5号广州国际金融中心主塔19层、20层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办公地址：广州市天河区珠江西路5号广州国际金融中心主塔19层、20层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法定代表人：胡伏云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联系人：陈靖</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联系电话：020-88836999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客户服务电话：95548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传真：020-88836984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网址：www.gzs.com.cn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(146) 中信证券（山东）</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注册地址：青岛市崂山区深圳路222号1号楼2001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办公地址：青岛市市南区东海西路28号龙翔广场东座5层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法定代表人：姜晓林</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联系人：焦刚</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联系电话：0531-89606166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客户服务电话：95548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传真：0532-85022605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网址：http://sd.citics.com/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(147) 中银证券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注册地址：上海市浦东新区银城中路200号中银大厦39层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办公地址：上海市浦东新区银城中路200号中银大厦39-40层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法定代表人：宁敏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联系人：王炜哲</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客户服务电话：400-620-8888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传真：021-50372474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网址：www.bocichina.com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(148) 中邮证券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注册地址：陕西省西安市唐延路5号（陕西邮政信息大厦9-11层）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办公地址：北京市东城区珠市口东大街17号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法定代表人：丁奇文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联系人：岳帅</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 010-67017788-6068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客户服务电话：4008-888-005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传真：010-67017788-9696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网址：www.cnpsec.com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(149) 中原证券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注册地址：郑州市郑东新区商务外环路10号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办公地址：河南省郑州市郑东新区商务外环路10号中原广发金融大厦19楼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法定代表人：菅明军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联系人：程月艳  李盼盼 党静</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联系电话：0371-69099882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客户服务电话：95377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传真：0371-65585899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网址：www.ccnew.com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(150) 百度百盈</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注册地址：北京市海淀区西北旺东路10号院西区4号楼1层103室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办公地址：北京市海淀区西北旺东路10号院西区4号楼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法定代表人：葛新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联系人：孙博超</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联系电话：010-59403028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客户服务电话：95055-4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网址：www.baiyingfund.com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(151) 长量基金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注册地址：上海市浦东新区高翔路526号2幢220室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办公地址：上海市浦东新区东方路1267号陆家嘴金融服务广场二期11层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法定代表人：张跃伟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联系人：党敏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联系电话：021-20691935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客户服务电话：400-820-2899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传真：021-20691861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网址：www.erichfund.com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(152) 朝阳永续</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注册地址：浦东新区上丰路977号1幢B座812室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办公地址：上海市浦东新区碧波路690号4号楼2楼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法人代表：廖冰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联系人：陆纪青</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联系电话：021-80234888-6813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客户服务电话：400-699-1888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网址：www.998fund.com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(153) 创金启富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注册地址：北京市西城区白纸坊东街2号院6号楼712室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办公地址：北京市西城区白纸坊东街2号院6号楼712室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法定代表人：梁蓉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联系人：杨凤椅</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联系电话：010-66154828-8047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客户服务电话：400-6262-818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传真：010-63583991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网址：www.5irich.com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(154) 大智慧基金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注册地址：中国（上海）自由贸易试验区杨高南路428号1号楼1102单元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办公地址：中国（上海）自由贸易试验区杨高南路428号1号楼1102单元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法定代表人：申健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联系人：张蜓</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联系电话：021-20219988-35374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客户服务电话：021-20292031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传真：021-20219923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网址：https://www.wg.com.cn/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(155) 蛋卷基金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注册地址：北京市朝阳区创远路34号院6号楼15层1501室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办公地址：北京市朝阳区创远路 34 号院融新科技中心 C 座 17 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法定代表人：钟斐斐</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联系人：侯芳芳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联系电话：010-61840688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客户服务电话：400-159-9288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网址：https://danjuanapp.com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(156) 鼎信汇金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注册地址：北京市海淀区太月园3号楼5层521室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办公地址：北京市海淀区太月园3号楼5层521室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法定代表人：齐凌峰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联系人：阮志凌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联系电话：010-82050520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客户服务电话：400-158-5050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传真：010-82086110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网址：www.9ifund.com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(157) 富济基金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注册地址：深圳市福田区福田街道岗厦社区金田路3088号中洲大厦3203A单元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办公地址：深圳市福田区福田街道岗厦社区金田路3088号中洲大厦3203A单元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法定代表人：祝中村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联系人：曾瑶敏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联系电话：0755-83999907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客户服务电话：0755-83999907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传真：0755-83999926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网址：www.fujifund.cn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(158) 海银基金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注册地址：中国（上海）自由贸易试验区银城中路8号402室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办公地址：上海市浦东新区银城中路8号海银金融中心4楼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法定代表人：巩巧丽</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联系人：毛林</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联系电话：021-80133597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客户服务电话：400-808-1016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传真：021-80133413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网址：www.fundhaiyin.com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(159) 好买基金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注册地址：上海市虹口区欧阳路196号26号楼2楼41号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办公地址：上海市浦东南路1118号鄂尔多斯国际大厦903～906室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法定代表人：杨文斌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联系人：高源</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联系电话：021-36696312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客户服务电话：400-700-9665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传真：021-68596919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网址：www.ehowbuy.com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(160) 和讯信息</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注册地址：北京市朝阳区朝外大街22号1002室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办公地址：北京市朝阳区朝外大街22号泛利大厦10层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联系人：陈慧慧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联系电话：010-85657353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客户服务电话：400-920-0022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传真：010-65884788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网址：http://licaike.hexun.com/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(161) 恒天明泽</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注册地址：北京市经济技术开发区宏达北路10号五层5122室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办公地址：北京市朝阳区东三环北路甲19号SOHO嘉盛中心30层3001室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法定代表人：周斌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联系人：陈霞</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联系电话：010-59313555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客户服务电话：400-8980-618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传真：010-59313586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网址：www.chtwm.com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(162) 弘业期货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注册地址：江苏省南京市秦淮区中华路50号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办公地址：江苏省南京市秦淮区中华路50号弘业大厦9楼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法人代表：周剑秋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联系人：张苏怡</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联系电话：025-52278981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客户服务电话：400-828-1288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网址：www.ftol.com.cn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(163) 虹点基金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注册地址：北京市朝阳区东三环北路17号10层1015室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办公地址：北京市朝阳区东三环北路17号10层1015室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法定代表人：何静</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联系人：王重阳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联系电话：010-65951887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客户服务电话：400-618-0707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网址：www.hongdianfund.com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(164) 华瑞保险销售</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注册地址：上海市嘉定区南翔镇众仁路399号运通星财富广场1号楼B座13、14层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办公地址：上海市浦东新区向城路288号国华人寿金融大厦8层806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法定代表人：路昊</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联系人：茆勇强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联系电话：021-68595698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客户服务电话：952303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传真：021-68595766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网址：www.huaruisales.com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(165) 华夏财富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注册地址：上海市虹口区东大名路687号1幢2楼268室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办公地址：北京市西城区金融大街33号通泰大厦B座8层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法定代表人：毛淮平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联系人：张静怡</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联系电话：010-88066326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客户服务电话：400-817-5666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传真：010-63136184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网址：www.amcfortune.com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(166) 汇成基金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注册地址：北京市海淀区中关村大街11号11层1108号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办公地址：北京市西城区西直门外大街1号院2号楼 19层 19C13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法定代表人：王伟刚</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联系人：王骁骁</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联系电话：010-56251471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客户服务电话：400-619-9059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网址：www.hcjijin.com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(167) 汇付基金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注册地址：上海市黄浦区黄河路333号201室A区056单元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办公地址：上海市徐汇区宜山路700号普天信息产业园2期C5栋 汇付天下总部大楼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法定代表人：金佶</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联系人：甄宝林</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联系电话：021-34013996-3011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客户服务电话：021-34013999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传真：021-33323837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网址：www.hotjijin.com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(168) 济安财富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注册地址：北京市朝阳区太阳宫中路16号院1号楼3层307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办公地址：北京市朝阳区太阳宫中路16号院1号楼冠捷大厦3层307单元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法定代表人：杨健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联系人：李海燕</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联系电话：010-65309516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客户服务电话：400-673-7010（济安财富官网）  400-071-6766（腾讯财经）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传真：010-65330699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网址：www.jianfortune.com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(169) 加和基金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注册地址：北京市西城区德胜门外大街13号院1号楼5层505室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办公地址：北京市西城区德胜门外大街13号院1号楼5层505室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法定代表人：曲阳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联系人：王梓骄</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联系电话：010-80456756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客户服务电话：400-803-1188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传真：010-80456278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网址：www.bzfunds.com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(170) 嘉实财富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注册地址：中国（上海）自由贸易试验区世纪大道8号上海国金中心办公楼二期53层5312-15单元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办公地址：北京市朝阳区建国路91号金地中心A座6层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法定代表人：赵学军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联系人：李雯</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联系电话：010-60842306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客户服务电话：400-021-8850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传真：010-85712195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网址：www.harvestwm.cn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(171) 久富财富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注册地址：上海市浦东新区莱阳路2819号1幢109室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办公地址：上海市浦东新区民生路1403号上海信息大厦1215室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法定代表人：赵惠蓉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联系人：赵惠蓉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联系电话：021-68682279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客户服务电话：400-102-1813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传真：021-68682297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网址：www.jfcta.com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(172) 凯石财富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注册地址：上海市黄浦区西藏南路765号602-115室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办公地址：上海市黄浦区延安东路1号凯石大厦4楼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法定代表人：陈继武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联系人：冯强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联系电话：021-63333389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客户服务电话：4006-433-389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传真：021-63333390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网址：www.vstonewealth.com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(173) 肯特瑞基金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注册地址：北京市海淀区西三旗建材城中路12号17号平房157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办公地址：北京市大兴区亦庄经济开发区科创十一街十八号院京东集团总部A座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法定代表人：王苏宁</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联系人：娄云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联系电话：010-89189291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客户服务电话：95118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网址：http://fund.jd.com/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(174) 利得基金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注册地址：上海市宝山区蕴川路5475号1033室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办公地址：上海市虹口区东大名路1098号浦江国际金融广场53层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法定代表人：李兴春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联系人：陈孜明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联系电话：86-021-50583533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客户服务电话：95733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传真：86-21-61101630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网址：www.leadfund.com.cn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(175) 联泰基金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注册地址：中国（上海）自由贸易试验区富特北路277号3层310室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办公地址：上海市长宁区福泉北路518号8座3楼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法定代表人：尹彬彬</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联系人：陈东</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联系电话：021-52822063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客户服务电话：400-118-1188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传真：021-52975270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网址：www.66zichan.com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(176) 陆基金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注册地址：中国（上海）自由贸易试验区陆家嘴环路1333号14楼09单元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办公地址：中国（上海）自由贸易试验区陆家嘴环路1333号14楼09单元</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法定代表人：王之光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联系人：宁博宇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联系电话：021-20665952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客户服务电话：4008219031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传真：021-22066653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网址：www.lufunds.com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(177) 蚂蚁基金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注册地址：浙江省杭州市余杭区五常街道文一西路969号3幢5层599室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办公地址：浙江省杭州市西湖区万塘路18号黄龙时代广场B座6F</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法定代表人：祖国明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联系人：韩爱彬</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联系电话：0571-26888888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客户服务电话：4000-766-123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网址：http://www.fund123.cn/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(178) 民商基金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注册地址：上海黄浦区北京东路666号H区（东座）6楼A31室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 xml:space="preserve">办公地址：上海市浦东新区张杨路707号生命人寿大厦32楼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法定代表人：贲惠琴</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联系人：林志枫</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联系电话：021-50206003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客户服务电话：021-50206003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传真：021-50206001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网址：http://www.msftec.com/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(179) 诺亚正行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注册地址：上海市虹口区飞虹路360弄9号3724室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办公地址：上海市杨浦区长阳路1687号长阳谷2号楼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法定代表人：汪静波</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联系电话：021-80358523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客户服务电话：400-821-5399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传真：021-38509777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网址：www.noah-fund.com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(180) 浦领基金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注册地址：北京市朝阳区望京东园四区13号楼A座9层908室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办公地址：北京市朝阳区望京浦项中心A座9层04-08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法定代表人：聂婉君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联系人：李艳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联系电话：010-59497361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客户服务电话：400-012-5899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传真：010-64788016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网址：www.zscffund.com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(181) 钱景基金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注册地址：北京市海淀区中关村东路18号1号楼11层B-1108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办公地址：北京市海淀区中关村东路18号财智国际大厦B-1108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法定代表人：王利刚</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联系人：姚付景</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联系电话：010-59422766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客户服务电话：400-893-6885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传真：010-62565181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网址：www.qianjing.com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(182) 深圳新兰德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注册地址：深圳市福田区福田街道民田路178号华融大厦27层2704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办公地址：北京市西城区宣武门外大街28号富卓大厦A座7层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法定代表人：洪弘</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联系人：张燕</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联系电话：010-83363099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客户服务电话：400-166-1188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传真：010-83363010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网址：http://8.jrj.com.cn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(183) 晟视天下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注册地址：北京市怀柔区九渡河镇黄坎村735号03室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办公地址：北京市朝阳区朝外大街甲六号万通中心D座21层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法定代表人：蒋煜</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联系人：史俊杰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联系电话：010-58170936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客户服务电话：010-58170761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传真：010-58170800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网址：www.shengshiview.com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(184) 苏宁基金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注册地址：南京市玄武区苏宁大道1-5号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办公地址：南京市玄武区苏宁大道1-5号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联系人：冯鹏鹏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联系电话：025-66996699-882796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客户服务电话：95177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网址：www.snjijin.com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(185) 腾安基金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注册地址：深圳市前海深港合作区前湾一路1号A栋201室（入驻深圳市前海商务秘书有限公司）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办公地址：深圳市南山区海天二路33号腾讯滨海大厦15楼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法定代表人：刘明军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联系人：谭广锋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客户服务电话：95017（拨通后转1转8）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公司网址：https://www.txfund.com/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(186) 天天基金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注册地址：上海市徐汇区龙田路190号2号楼2层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办公地址：上海市徐汇区宛平南路88号东方财富大厦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法定代表人：其实</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联系人：屠彦洋</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联系电话：021-54509977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客户服务电话：95021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传真：021-64385308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网址：www.1234567.com.cn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(187) 通华财富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注册地址：上海市虹口区同丰路667弄107号201室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办公地址：上海市浦东新区金沪路55号通华科技大厦2楼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法定代表人：沈丹义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联系人：杨涛、庄洁茹</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联系电话：021-60810586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客户服务电话：400-101-9301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传真：021-60810695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网址：www.tonghuafund.com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(188) 同花顺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注册地址：浙江省杭州市文二西路1号903室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办公地址：杭州市余杭区五常街道同顺街18号同花顺大楼4层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法定代表人：吴强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联系人：吴强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联系电话：0571-88911818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客户服务电话：952555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传真：0571-86800423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网址：www.5ifund.com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(189) 途牛基金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注册地址：江苏省南京市玄武区玄武大道699-1号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办公地址：江苏省南京市玄武区玄武大道699-32号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法人代表：宋时琳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联系人：贺杰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联系电话：025-86853960-66727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客户服务电话：4007-999-999转3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网址：http://jr.tuniu.com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(190) 挖财基金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注册地址：中国（上海）自由贸易试验区杨高南路799号5楼04室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办公地址：上海市浦东新区杨高南路799号陆家嘴世纪金融广场3号楼5层04室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法定代表人：吕柳霞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联系人：曾芸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联系电话：021-50810687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客户服务电话：021-50810673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网址：www.wacaijijin.com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(191) 万得基金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注册地址：中国（上海）自由贸易试验区福山路33号11楼B座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办公地址：上海市浦东新区浦明路1500号万得大厦11楼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法定代表人：黄祎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联系人：徐亚丹</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联系电话：021-50712782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客户服务电话：400-799-1888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网址：www.520fund.com.cn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(192) 万家财富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注册地址：天津自贸区（中心商务区）迎宾大道1988号滨海浙商大厦公寓2-2413室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办公地址：北京市西城区丰盛胡同28号太平洋保险大厦A座5层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联系人：王芳芳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联系电话：010-59013828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客户服务电话：010-59013895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网址：http://www.wanjiawealth.com/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(193) 鑫鼎盛</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注册地址：厦门市思明区鹭江道2号厦门第一广场西座1501-1502室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办公地址：厦门市思明区鹭江道2号厦门第一广场西座1501-1502室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 xml:space="preserve">法定代表人：陈洪生 </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联系人：梁云波</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联系电话：0592-3122757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客户服务电话：400-6533-789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网址：www.xds.com.cn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(194) 阳光人寿保险</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注册地址：海南省三亚市迎宾路360-1号三亚阳光金融广场16层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办公地址：北京市朝阳区朝阳门外大街乙12号院1号昆泰国际大厦12层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法定代表人：李科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联系人：王超</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联系电话：010-85632771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客户服务电话：95510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传真：010-85632773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网址：http://fund.sinosig.com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(195) 一路财富</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注册地址：北京市海淀区宝盛南路1号院20号楼9层101-14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办公地址：北京市海淀区宝盛南路奥北科技园20号楼国泰大厦9层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法定代表人：吴雪秀</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联系人：董宣</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联系电话：010-88312877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客户服务电话：400-001-1566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传真：010-88312099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网址：www.yilucaifu.com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(196) 宜投基金销售</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注册地址：深圳市前海深港合作区前湾一路1号A栋201室（入驻深圳市前海商务秘书有限公司）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办公地址：深圳市福田区嘉里建设广场2座15楼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法定代表人：雷凤潮</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联系人：梁菲菲</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联系电话：0755-88603874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客户服务电话：4008-955-811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网址：www.yitfund.com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(197) 宜信普泽</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注册地址：北京市朝阳区西大望路1号9层公寓1008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办公地址：北京市朝阳区西大望路1号9层公寓1008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法定代表人：戎兵</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联系人：魏晨</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联系电话：010-52413385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客户服务电话：400-6099-200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传真：010-85800047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网址：www.yixinfund.com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(198) 奕丰金融</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注册地址：深圳市前海深港合作区前湾一路1号A栋201室（入驻深圳市前海商务秘书有限公司）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办公地址：深圳市南山区海德三道航天科技广场A座17楼1704室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法定代表人：TEO WEE HOWE</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联系人：叶健</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联系电话：0755-89460507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客户服务电话：400-684-0500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传真：0755-21674453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网址：www.ifastps.com.cn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(199) 盈米基金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注册地址：珠海市横琴新区宝华路6号105室-3491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办公地址：广州市海珠区琶洲大道东路1号保利国际广场南塔1201-1203室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法定代表人：肖雯</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联系人：邱湘湘</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联系电话：020-89629099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客户服务电话：020-89629066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传真：020-89629011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网址：www.yingmi.cn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(200) 云湾基金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注册地址：中国（上海）自由贸易试验区新金桥路27号、明月路1257号1幢1层103-1、103-2办公区</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办公地址：上海市浦东新区新金桥路27号1号楼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法定代表人：冯轶明</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联系人：范泽杰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联系电话：021-20530186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客户服务电话：400-820-1515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传真：021-20539999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网址：http://www.zhengtongfunds.com/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(201) 增财基金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注册地址：北京市西城区南礼士路66号建威大厦1208室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办公地址：北京市西城区南礼士路66号建威大厦1208-1209室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法定代表人：罗细安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联系人：闫丽敏</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联系电话：010-67000988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客户服务电话：400-001-8811</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传真：010-67000988-6000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网址：www.zcvc.com.cn</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(202) 展恒基金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注册地址：北京市朝阳区安苑路11号西楼6层604、607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办公地址：北京市朝阳区北四环中路27号盘古大观3205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法定代表人：闫振杰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联系人：武文佳</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联系电话：010-59601399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客户服务电话：400-818-8000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传真：0351-4110714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网址：www.myfund.com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(203) 中国国际期货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注册地址：北京市朝阳区建国门外光华路14号1幢6层609号、610号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办公地址：北京市朝阳区建国门外光华路14号1幢1层、2层、9层、11层、12层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法定代表人：王兵</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联系人：霍丽文</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联系电话：010-65807827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客户服务电话：95162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传真：010-59539806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网址：http://www.cifco.net/</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(204) 中期时代基金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注册地址：北京市朝阳区建国门外光华路14号1幢11层1103号</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办公地址：北京市朝阳区建国门外光华路14号1幢4层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法定代表人：田宏莉</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联系人：尹庆</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联系电话：010-65807865</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客户服务电话：95162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传真：010-65807864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网址：www.jrtoo.com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(205) 中信建投期货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注册地址：重庆市渝中区中山三路107号上站大楼平街11-B，名义层11-A，8-B4，9-B、</w:t>
      </w:r>
      <w:r w:rsidRPr="00721084">
        <w:rPr>
          <w:rFonts w:asciiTheme="minorEastAsia" w:eastAsiaTheme="minorEastAsia" w:hAnsiTheme="minorEastAsia" w:hint="eastAsia"/>
        </w:rPr>
        <w:lastRenderedPageBreak/>
        <w:t>C</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办公地址：重庆市渝中区中山三路107号皇冠大厦11楼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法定代表人：王广学</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联系人：刘芸</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联系电话：023-86769637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客户服务电话：400-8877-780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传真：023-86769629</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网址：www.cfc108.com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(206) 中信期货</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注册地址：广东省深圳市福田区中心三路8号卓越时代广场（二期）北座13层1301-1305室、14层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办公地址：深圳市福田区中心三路8号卓越时代广场（二期）北座13层1301-1305室、14层</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法定代表人：张皓</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联系人：刘宏莹</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联系电话：010-6083 3754</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客户服务电话：400-990-8826</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传真：021-60819988</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网址：www.citicsf.com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(207) 中正达广</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注册地址：上海市徐汇区龙腾大道2815号302室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办公地址：上海市徐汇区龙腾大道2815号302室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法定代表人：黄欣</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联系人：戴珉微</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联系电话：021-33768132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客户服务电话：400-6767-523</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传真：021-33768132-802</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网址：www.zhongzhengfund.com</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(208) 众禄基金</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注册地址：深圳市罗湖区笋岗街道笋西社区梨园路8号HALO广场一期四层12-13室</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办公地址：深圳市罗湖区梨园路HALO广场4楼</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法定代表人：薛峰</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联系人：龚江江</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联系电话：0755-33227950</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客户服务电话：4006-788-887</w:t>
      </w:r>
    </w:p>
    <w:p w:rsidR="000C7A12" w:rsidRPr="00721084" w:rsidRDefault="000C7A12" w:rsidP="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传真：0755-33227951</w:t>
      </w:r>
    </w:p>
    <w:p w:rsidR="002465F1" w:rsidRPr="00721084" w:rsidRDefault="000C7A12">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网址：www.zlfund.cn    www.jjmmw.com</w:t>
      </w:r>
      <w:bookmarkStart w:id="304" w:name="_Toc38432429"/>
    </w:p>
    <w:p w:rsidR="002465F1" w:rsidRPr="00721084" w:rsidRDefault="000C7A12" w:rsidP="00721084">
      <w:pPr>
        <w:pStyle w:val="2"/>
        <w:snapToGrid w:val="0"/>
        <w:spacing w:beforeLines="0" w:afterLines="0" w:line="360" w:lineRule="auto"/>
        <w:ind w:left="560" w:firstLineChars="0" w:firstLine="0"/>
        <w:rPr>
          <w:rFonts w:asciiTheme="minorEastAsia" w:eastAsiaTheme="minorEastAsia" w:hAnsiTheme="minorEastAsia"/>
        </w:rPr>
      </w:pPr>
      <w:bookmarkStart w:id="305" w:name="_Toc44351148"/>
      <w:r w:rsidRPr="00721084">
        <w:rPr>
          <w:rFonts w:asciiTheme="minorEastAsia" w:eastAsiaTheme="minorEastAsia" w:hAnsiTheme="minorEastAsia" w:hint="eastAsia"/>
          <w:b w:val="0"/>
        </w:rPr>
        <w:t>二、基金注册登记机构</w:t>
      </w:r>
      <w:bookmarkEnd w:id="305"/>
    </w:p>
    <w:bookmarkEnd w:id="304"/>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基金注册登记机构：易方达基金管理有限公司</w:t>
      </w:r>
    </w:p>
    <w:p w:rsidR="00D539E9" w:rsidRPr="00721084" w:rsidRDefault="00EA4817"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住所：</w:t>
      </w:r>
      <w:r w:rsidR="005C0821" w:rsidRPr="00721084">
        <w:rPr>
          <w:rFonts w:asciiTheme="minorEastAsia" w:eastAsiaTheme="minorEastAsia" w:hAnsiTheme="minorEastAsia"/>
          <w:szCs w:val="21"/>
        </w:rPr>
        <w:t>广东省珠海市横琴新区宝华路6号105室-42891（集中办公区）</w:t>
      </w:r>
    </w:p>
    <w:p w:rsidR="0064594E" w:rsidRPr="00721084" w:rsidRDefault="00D539E9"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办公地址：广州市天河区珠江新城珠江东路30号广州银行大厦40-43楼</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法定代表人：</w:t>
      </w:r>
      <w:r w:rsidR="00AD1BC0" w:rsidRPr="00721084">
        <w:rPr>
          <w:rFonts w:asciiTheme="minorEastAsia" w:eastAsiaTheme="minorEastAsia" w:hAnsiTheme="minorEastAsia" w:hint="eastAsia"/>
          <w:szCs w:val="21"/>
        </w:rPr>
        <w:t>刘晓艳</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电话：4008818088</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传真：</w:t>
      </w:r>
      <w:r w:rsidRPr="00721084">
        <w:rPr>
          <w:rFonts w:asciiTheme="minorEastAsia" w:eastAsiaTheme="minorEastAsia" w:hAnsiTheme="minorEastAsia"/>
          <w:szCs w:val="21"/>
        </w:rPr>
        <w:t>020</w:t>
      </w:r>
      <w:r w:rsidRPr="00721084">
        <w:rPr>
          <w:rFonts w:asciiTheme="minorEastAsia" w:eastAsiaTheme="minorEastAsia" w:hAnsiTheme="minorEastAsia" w:hint="eastAsia"/>
          <w:szCs w:val="21"/>
        </w:rPr>
        <w:t>-38799249</w:t>
      </w: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联系人：余贤高</w:t>
      </w:r>
    </w:p>
    <w:p w:rsidR="0064594E" w:rsidRPr="00721084"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306" w:name="_Toc38432430"/>
      <w:bookmarkStart w:id="307" w:name="_Toc44351149"/>
      <w:r w:rsidRPr="00721084">
        <w:rPr>
          <w:rFonts w:asciiTheme="minorEastAsia" w:eastAsiaTheme="minorEastAsia" w:hAnsiTheme="minorEastAsia" w:hint="eastAsia"/>
          <w:b w:val="0"/>
        </w:rPr>
        <w:t>三</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律师事务所和经办律师</w:t>
      </w:r>
      <w:bookmarkEnd w:id="306"/>
      <w:bookmarkEnd w:id="307"/>
    </w:p>
    <w:p w:rsidR="00503EE8" w:rsidRPr="00721084" w:rsidRDefault="00503EE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律师事务所：上海源泰</w:t>
      </w:r>
      <w:r w:rsidRPr="00721084">
        <w:rPr>
          <w:rFonts w:asciiTheme="minorEastAsia" w:eastAsiaTheme="minorEastAsia" w:hAnsiTheme="minorEastAsia"/>
          <w:szCs w:val="21"/>
        </w:rPr>
        <w:t>律师事务所</w:t>
      </w:r>
    </w:p>
    <w:p w:rsidR="00503EE8" w:rsidRPr="00721084" w:rsidRDefault="00503EE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地址</w:t>
      </w:r>
      <w:r w:rsidRPr="00721084">
        <w:rPr>
          <w:rFonts w:asciiTheme="minorEastAsia" w:eastAsiaTheme="minorEastAsia" w:hAnsiTheme="minorEastAsia"/>
          <w:szCs w:val="21"/>
        </w:rPr>
        <w:t>：</w:t>
      </w:r>
      <w:r w:rsidR="00A775A2" w:rsidRPr="00721084">
        <w:rPr>
          <w:rFonts w:asciiTheme="minorEastAsia" w:eastAsiaTheme="minorEastAsia" w:hAnsiTheme="minorEastAsia" w:hint="eastAsia"/>
          <w:szCs w:val="21"/>
        </w:rPr>
        <w:t>上海市浦东新区浦东南路256号华夏银行大厦14层</w:t>
      </w:r>
    </w:p>
    <w:p w:rsidR="00503EE8" w:rsidRPr="00721084" w:rsidRDefault="00503EE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负责人：廖海</w:t>
      </w:r>
    </w:p>
    <w:p w:rsidR="00503EE8" w:rsidRPr="00721084" w:rsidRDefault="00503EE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电话：</w:t>
      </w:r>
      <w:r w:rsidRPr="00721084">
        <w:rPr>
          <w:rFonts w:asciiTheme="minorEastAsia" w:eastAsiaTheme="minorEastAsia" w:hAnsiTheme="minorEastAsia" w:hint="eastAsia"/>
          <w:szCs w:val="21"/>
        </w:rPr>
        <w:t>（021）51150298</w:t>
      </w:r>
    </w:p>
    <w:p w:rsidR="00503EE8" w:rsidRPr="00721084" w:rsidRDefault="00503EE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传真：</w:t>
      </w:r>
      <w:r w:rsidRPr="00721084">
        <w:rPr>
          <w:rFonts w:asciiTheme="minorEastAsia" w:eastAsiaTheme="minorEastAsia" w:hAnsiTheme="minorEastAsia" w:hint="eastAsia"/>
          <w:szCs w:val="21"/>
        </w:rPr>
        <w:t>（021）51150398</w:t>
      </w:r>
    </w:p>
    <w:p w:rsidR="00503EE8" w:rsidRPr="00721084" w:rsidRDefault="00503EE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联系人：</w:t>
      </w:r>
      <w:r w:rsidRPr="00721084">
        <w:rPr>
          <w:rFonts w:asciiTheme="minorEastAsia" w:eastAsiaTheme="minorEastAsia" w:hAnsiTheme="minorEastAsia" w:hint="eastAsia"/>
          <w:szCs w:val="21"/>
        </w:rPr>
        <w:t>廖海</w:t>
      </w:r>
    </w:p>
    <w:p w:rsidR="0064594E" w:rsidRPr="00721084" w:rsidRDefault="00503EE8"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经办律师：</w:t>
      </w:r>
      <w:r w:rsidRPr="00721084">
        <w:rPr>
          <w:rFonts w:asciiTheme="minorEastAsia" w:eastAsiaTheme="minorEastAsia" w:hAnsiTheme="minorEastAsia" w:hint="eastAsia"/>
          <w:szCs w:val="21"/>
        </w:rPr>
        <w:t>廖海、田卫红</w:t>
      </w:r>
    </w:p>
    <w:p w:rsidR="0064594E" w:rsidRPr="00721084" w:rsidRDefault="005A3EE0" w:rsidP="005A3EE0">
      <w:pPr>
        <w:pStyle w:val="2"/>
        <w:snapToGrid w:val="0"/>
        <w:spacing w:beforeLines="0" w:afterLines="0" w:line="360" w:lineRule="auto"/>
        <w:ind w:left="560" w:firstLineChars="0" w:firstLine="0"/>
        <w:rPr>
          <w:rFonts w:asciiTheme="minorEastAsia" w:eastAsiaTheme="minorEastAsia" w:hAnsiTheme="minorEastAsia"/>
          <w:b w:val="0"/>
        </w:rPr>
      </w:pPr>
      <w:bookmarkStart w:id="308" w:name="_Toc38432431"/>
      <w:bookmarkStart w:id="309" w:name="_Toc44351150"/>
      <w:r w:rsidRPr="00721084">
        <w:rPr>
          <w:rFonts w:asciiTheme="minorEastAsia" w:eastAsiaTheme="minorEastAsia" w:hAnsiTheme="minorEastAsia" w:hint="eastAsia"/>
          <w:b w:val="0"/>
        </w:rPr>
        <w:t>四</w:t>
      </w:r>
      <w:r w:rsidRPr="00721084">
        <w:rPr>
          <w:rFonts w:asciiTheme="minorEastAsia" w:eastAsiaTheme="minorEastAsia" w:hAnsiTheme="minorEastAsia"/>
          <w:b w:val="0"/>
        </w:rPr>
        <w:t>、</w:t>
      </w:r>
      <w:r w:rsidR="0064594E" w:rsidRPr="00721084">
        <w:rPr>
          <w:rFonts w:asciiTheme="minorEastAsia" w:eastAsiaTheme="minorEastAsia" w:hAnsiTheme="minorEastAsia" w:hint="eastAsia"/>
          <w:b w:val="0"/>
        </w:rPr>
        <w:t>会计师事务所和经办注册会计师</w:t>
      </w:r>
      <w:bookmarkEnd w:id="308"/>
      <w:bookmarkEnd w:id="309"/>
    </w:p>
    <w:p w:rsidR="00B82F51" w:rsidRPr="00721084" w:rsidRDefault="00B82F51"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szCs w:val="21"/>
        </w:rPr>
        <w:t>名称：</w:t>
      </w:r>
      <w:r w:rsidR="00431120" w:rsidRPr="00721084">
        <w:rPr>
          <w:rFonts w:asciiTheme="minorEastAsia" w:eastAsiaTheme="minorEastAsia" w:hAnsiTheme="minorEastAsia" w:hint="eastAsia"/>
        </w:rPr>
        <w:t>普华永道中天会计师事务所</w:t>
      </w:r>
      <w:r w:rsidR="00684B74" w:rsidRPr="00721084">
        <w:rPr>
          <w:rFonts w:asciiTheme="minorEastAsia" w:eastAsiaTheme="minorEastAsia" w:hAnsiTheme="minorEastAsia" w:hint="eastAsia"/>
        </w:rPr>
        <w:t>（</w:t>
      </w:r>
      <w:r w:rsidR="00431120" w:rsidRPr="00721084">
        <w:rPr>
          <w:rFonts w:asciiTheme="minorEastAsia" w:eastAsiaTheme="minorEastAsia" w:hAnsiTheme="minorEastAsia" w:hint="eastAsia"/>
        </w:rPr>
        <w:t>特殊普通合伙</w:t>
      </w:r>
      <w:r w:rsidR="00684B74" w:rsidRPr="00721084">
        <w:rPr>
          <w:rFonts w:asciiTheme="minorEastAsia" w:eastAsiaTheme="minorEastAsia" w:hAnsiTheme="minorEastAsia" w:hint="eastAsia"/>
        </w:rPr>
        <w:t>）</w:t>
      </w:r>
    </w:p>
    <w:p w:rsidR="00216D16" w:rsidRPr="00721084" w:rsidRDefault="00B82F51"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住所：</w:t>
      </w:r>
      <w:r w:rsidR="00216D16" w:rsidRPr="00721084">
        <w:rPr>
          <w:rFonts w:asciiTheme="minorEastAsia" w:eastAsiaTheme="minorEastAsia" w:hAnsiTheme="minorEastAsia" w:hint="eastAsia"/>
          <w:szCs w:val="21"/>
        </w:rPr>
        <w:t>上海市湖滨路202号普华永道中心11楼</w:t>
      </w:r>
    </w:p>
    <w:p w:rsidR="00B82F51" w:rsidRPr="00721084" w:rsidRDefault="00B82F51"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办公地址：上海市湖滨路202号普华永道中心11楼</w:t>
      </w:r>
    </w:p>
    <w:p w:rsidR="00B82F51" w:rsidRPr="00721084" w:rsidRDefault="00957D0C"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首席合伙人</w:t>
      </w:r>
      <w:r w:rsidR="00B82F51" w:rsidRPr="00721084">
        <w:rPr>
          <w:rFonts w:asciiTheme="minorEastAsia" w:eastAsiaTheme="minorEastAsia" w:hAnsiTheme="minorEastAsia" w:hint="eastAsia"/>
          <w:szCs w:val="21"/>
        </w:rPr>
        <w:t>：</w:t>
      </w:r>
      <w:r w:rsidR="001B1BE0" w:rsidRPr="00721084">
        <w:rPr>
          <w:rFonts w:asciiTheme="minorEastAsia" w:eastAsiaTheme="minorEastAsia" w:hAnsiTheme="minorEastAsia" w:hint="eastAsia"/>
          <w:szCs w:val="21"/>
        </w:rPr>
        <w:t>李丹</w:t>
      </w:r>
    </w:p>
    <w:p w:rsidR="00B82F51" w:rsidRPr="00721084" w:rsidRDefault="00B82F51"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联系电话：（021）23238888</w:t>
      </w:r>
    </w:p>
    <w:p w:rsidR="00B82F51" w:rsidRPr="00721084" w:rsidRDefault="00B82F51"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传真电话：（021）23238800</w:t>
      </w:r>
    </w:p>
    <w:p w:rsidR="00B82F51" w:rsidRPr="00721084" w:rsidRDefault="00B82F51"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联系人：</w:t>
      </w:r>
      <w:r w:rsidR="00216D16" w:rsidRPr="00721084">
        <w:rPr>
          <w:rFonts w:asciiTheme="minorEastAsia" w:eastAsiaTheme="minorEastAsia" w:hAnsiTheme="minorEastAsia" w:hint="eastAsia"/>
          <w:szCs w:val="21"/>
        </w:rPr>
        <w:t>周祎</w:t>
      </w:r>
    </w:p>
    <w:p w:rsidR="004D1E0F" w:rsidRPr="00721084" w:rsidRDefault="00B82F51"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经办注册会计师：</w:t>
      </w:r>
      <w:r w:rsidR="00EC7BEC" w:rsidRPr="00721084">
        <w:rPr>
          <w:rFonts w:asciiTheme="minorEastAsia" w:eastAsiaTheme="minorEastAsia" w:hAnsiTheme="minorEastAsia" w:hint="eastAsia"/>
          <w:szCs w:val="21"/>
        </w:rPr>
        <w:t>陈熹、周祎</w:t>
      </w:r>
    </w:p>
    <w:p w:rsidR="00BD0B00" w:rsidRPr="00721084" w:rsidRDefault="00BD0B00" w:rsidP="00CE3F81">
      <w:pPr>
        <w:snapToGrid w:val="0"/>
        <w:spacing w:line="360" w:lineRule="auto"/>
        <w:ind w:firstLineChars="200" w:firstLine="420"/>
        <w:rPr>
          <w:rFonts w:asciiTheme="minorEastAsia" w:eastAsiaTheme="minorEastAsia" w:hAnsiTheme="minorEastAsia"/>
          <w:szCs w:val="21"/>
        </w:rPr>
        <w:sectPr w:rsidR="00BD0B00" w:rsidRPr="00721084">
          <w:pgSz w:w="11906" w:h="16838" w:code="9"/>
          <w:pgMar w:top="1440" w:right="1800" w:bottom="1440" w:left="1800" w:header="851" w:footer="992" w:gutter="0"/>
          <w:cols w:space="425"/>
          <w:docGrid w:type="lines" w:linePitch="312"/>
        </w:sectPr>
      </w:pPr>
    </w:p>
    <w:p w:rsidR="006E6514" w:rsidRPr="00721084" w:rsidRDefault="006E651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10" w:name="_Toc44351151"/>
      <w:r w:rsidRPr="00721084">
        <w:rPr>
          <w:rFonts w:asciiTheme="minorEastAsia" w:eastAsiaTheme="minorEastAsia" w:hAnsiTheme="minorEastAsia" w:hint="eastAsia"/>
        </w:rPr>
        <w:lastRenderedPageBreak/>
        <w:t>基金合同内容摘要</w:t>
      </w:r>
      <w:bookmarkEnd w:id="310"/>
    </w:p>
    <w:p w:rsidR="00785666" w:rsidRPr="00721084" w:rsidRDefault="00785666" w:rsidP="00CE3F81">
      <w:pPr>
        <w:autoSpaceDE w:val="0"/>
        <w:autoSpaceDN w:val="0"/>
        <w:snapToGrid w:val="0"/>
        <w:spacing w:line="360" w:lineRule="auto"/>
        <w:ind w:firstLineChars="200" w:firstLine="422"/>
        <w:jc w:val="left"/>
        <w:rPr>
          <w:rFonts w:asciiTheme="minorEastAsia" w:eastAsiaTheme="minorEastAsia" w:hAnsiTheme="minorEastAsia"/>
          <w:b/>
          <w:bCs/>
          <w:kern w:val="0"/>
          <w:szCs w:val="20"/>
        </w:rPr>
      </w:pPr>
      <w:r w:rsidRPr="00721084">
        <w:rPr>
          <w:rFonts w:asciiTheme="minorEastAsia" w:eastAsiaTheme="minorEastAsia" w:hAnsiTheme="minorEastAsia"/>
          <w:b/>
          <w:bCs/>
          <w:kern w:val="0"/>
          <w:szCs w:val="20"/>
        </w:rPr>
        <w:t>一</w:t>
      </w:r>
      <w:r w:rsidRPr="00721084">
        <w:rPr>
          <w:rFonts w:asciiTheme="minorEastAsia" w:eastAsiaTheme="minorEastAsia" w:hAnsiTheme="minorEastAsia" w:hint="eastAsia"/>
          <w:b/>
          <w:bCs/>
          <w:kern w:val="0"/>
          <w:szCs w:val="20"/>
        </w:rPr>
        <w:t>、</w:t>
      </w:r>
      <w:r w:rsidRPr="00721084">
        <w:rPr>
          <w:rFonts w:asciiTheme="minorEastAsia" w:eastAsiaTheme="minorEastAsia" w:hAnsiTheme="minorEastAsia"/>
          <w:b/>
          <w:bCs/>
          <w:kern w:val="0"/>
          <w:szCs w:val="20"/>
        </w:rPr>
        <w:t>基金份额持有人、基金管理人和基金托管人的权利、义务</w:t>
      </w:r>
    </w:p>
    <w:p w:rsidR="00785666" w:rsidRPr="00721084" w:rsidRDefault="00785666" w:rsidP="00CE3F81">
      <w:pPr>
        <w:autoSpaceDE w:val="0"/>
        <w:autoSpaceDN w:val="0"/>
        <w:snapToGrid w:val="0"/>
        <w:spacing w:line="360" w:lineRule="auto"/>
        <w:ind w:firstLineChars="200" w:firstLine="422"/>
        <w:jc w:val="left"/>
        <w:rPr>
          <w:rFonts w:asciiTheme="minorEastAsia" w:eastAsiaTheme="minorEastAsia" w:hAnsiTheme="minorEastAsia"/>
          <w:b/>
          <w:bCs/>
          <w:kern w:val="0"/>
          <w:szCs w:val="20"/>
        </w:rPr>
      </w:pPr>
      <w:r w:rsidRPr="00721084">
        <w:rPr>
          <w:rFonts w:asciiTheme="minorEastAsia" w:eastAsiaTheme="minorEastAsia" w:hAnsiTheme="minorEastAsia" w:hint="eastAsia"/>
          <w:b/>
          <w:bCs/>
          <w:kern w:val="0"/>
          <w:szCs w:val="20"/>
        </w:rPr>
        <w:t>（一）基金份额持有人的权利与义务</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每份基金份额具有同等的合法权益。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根据《基金法》、《运作办法》及其他有关规定，基金份额持有人的权利包括但不限于：</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hint="eastAsia"/>
        </w:rPr>
        <w:tab/>
        <w:t>分享基金财产收益；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Pr="00721084">
        <w:rPr>
          <w:rFonts w:asciiTheme="minorEastAsia" w:eastAsiaTheme="minorEastAsia" w:hAnsiTheme="minorEastAsia" w:hint="eastAsia"/>
        </w:rPr>
        <w:tab/>
      </w:r>
      <w:r w:rsidRPr="00721084">
        <w:rPr>
          <w:rFonts w:asciiTheme="minorEastAsia" w:eastAsiaTheme="minorEastAsia" w:hAnsiTheme="minorEastAsia"/>
        </w:rPr>
        <w:t>参与分配清算后的剩余基金财产</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Pr="00721084">
        <w:rPr>
          <w:rFonts w:asciiTheme="minorEastAsia" w:eastAsiaTheme="minorEastAsia" w:hAnsiTheme="minorEastAsia" w:hint="eastAsia"/>
        </w:rPr>
        <w:tab/>
        <w:t>依法申请赎回其持有的基金份额</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Pr="00721084">
        <w:rPr>
          <w:rFonts w:asciiTheme="minorEastAsia" w:eastAsiaTheme="minorEastAsia" w:hAnsiTheme="minorEastAsia" w:hint="eastAsia"/>
        </w:rPr>
        <w:tab/>
      </w:r>
      <w:r w:rsidRPr="00721084">
        <w:rPr>
          <w:rFonts w:asciiTheme="minorEastAsia" w:eastAsiaTheme="minorEastAsia" w:hAnsiTheme="minorEastAsia"/>
        </w:rPr>
        <w:t>按照规定要求召开基金份额持有人大会</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Pr="00721084">
        <w:rPr>
          <w:rFonts w:asciiTheme="minorEastAsia" w:eastAsiaTheme="minorEastAsia" w:hAnsiTheme="minorEastAsia" w:hint="eastAsia"/>
        </w:rPr>
        <w:tab/>
        <w:t>出席或者委派代表出席基金</w:t>
      </w:r>
      <w:r w:rsidRPr="00721084">
        <w:rPr>
          <w:rFonts w:asciiTheme="minorEastAsia" w:eastAsiaTheme="minorEastAsia" w:hAnsiTheme="minorEastAsia"/>
        </w:rPr>
        <w:t>份额</w:t>
      </w:r>
      <w:r w:rsidRPr="00721084">
        <w:rPr>
          <w:rFonts w:asciiTheme="minorEastAsia" w:eastAsiaTheme="minorEastAsia" w:hAnsiTheme="minorEastAsia" w:hint="eastAsia"/>
        </w:rPr>
        <w:t>持有人大会，</w:t>
      </w:r>
      <w:r w:rsidRPr="00721084">
        <w:rPr>
          <w:rFonts w:asciiTheme="minorEastAsia" w:eastAsiaTheme="minorEastAsia" w:hAnsiTheme="minorEastAsia"/>
        </w:rPr>
        <w:t>对基金份额持有人大会审议事项行使表决权</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Pr="00721084">
        <w:rPr>
          <w:rFonts w:asciiTheme="minorEastAsia" w:eastAsiaTheme="minorEastAsia" w:hAnsiTheme="minorEastAsia" w:hint="eastAsia"/>
        </w:rPr>
        <w:tab/>
      </w:r>
      <w:r w:rsidRPr="00721084">
        <w:rPr>
          <w:rFonts w:asciiTheme="minorEastAsia" w:eastAsiaTheme="minorEastAsia" w:hAnsiTheme="minorEastAsia"/>
        </w:rPr>
        <w:t>查阅或者复制公开披露的基金信息资料；</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w:t>
      </w:r>
      <w:r w:rsidRPr="00721084">
        <w:rPr>
          <w:rFonts w:asciiTheme="minorEastAsia" w:eastAsiaTheme="minorEastAsia" w:hAnsiTheme="minorEastAsia" w:hint="eastAsia"/>
        </w:rPr>
        <w:tab/>
      </w:r>
      <w:r w:rsidRPr="00721084">
        <w:rPr>
          <w:rFonts w:asciiTheme="minorEastAsia" w:eastAsiaTheme="minorEastAsia" w:hAnsiTheme="minorEastAsia"/>
        </w:rPr>
        <w:t>监督基金管理人的投资运作</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w:t>
      </w:r>
      <w:r w:rsidRPr="00721084">
        <w:rPr>
          <w:rFonts w:asciiTheme="minorEastAsia" w:eastAsiaTheme="minorEastAsia" w:hAnsiTheme="minorEastAsia" w:hint="eastAsia"/>
        </w:rPr>
        <w:tab/>
        <w:t>对基金管理人、基金托管人、基金销售机构损害其合法权益的行为依法提起诉讼；</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w:t>
      </w:r>
      <w:r w:rsidRPr="00721084">
        <w:rPr>
          <w:rFonts w:asciiTheme="minorEastAsia" w:eastAsiaTheme="minorEastAsia" w:hAnsiTheme="minorEastAsia" w:hint="eastAsia"/>
        </w:rPr>
        <w:tab/>
        <w:t>法律法规和《基金合同》规定的其他权利。</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根据《基金法》、《运作办法》及其他有关规定，基金份额持有人的义务包括但不限于：</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hint="eastAsia"/>
        </w:rPr>
        <w:tab/>
        <w:t>遵守《基金合同》；</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Pr="00721084">
        <w:rPr>
          <w:rFonts w:asciiTheme="minorEastAsia" w:eastAsiaTheme="minorEastAsia" w:hAnsiTheme="minorEastAsia" w:hint="eastAsia"/>
        </w:rPr>
        <w:tab/>
        <w:t>交纳基金认购、申购款项及法律法规和《基金合同》所规定的费用；</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Pr="00721084">
        <w:rPr>
          <w:rFonts w:asciiTheme="minorEastAsia" w:eastAsiaTheme="minorEastAsia" w:hAnsiTheme="minorEastAsia" w:hint="eastAsia"/>
        </w:rPr>
        <w:tab/>
        <w:t>在其持有的基金份额范围内，承担基金亏损或者《基金合同》终止的有限责任；</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Pr="00721084">
        <w:rPr>
          <w:rFonts w:asciiTheme="minorEastAsia" w:eastAsiaTheme="minorEastAsia" w:hAnsiTheme="minorEastAsia" w:hint="eastAsia"/>
        </w:rPr>
        <w:tab/>
        <w:t>不从事任何有损基金及其他《基金合同》当事人</w:t>
      </w:r>
      <w:r w:rsidRPr="00721084">
        <w:rPr>
          <w:rFonts w:asciiTheme="minorEastAsia" w:eastAsiaTheme="minorEastAsia" w:hAnsiTheme="minorEastAsia"/>
        </w:rPr>
        <w:t>合法权益</w:t>
      </w:r>
      <w:r w:rsidRPr="00721084">
        <w:rPr>
          <w:rFonts w:asciiTheme="minorEastAsia" w:eastAsiaTheme="minorEastAsia" w:hAnsiTheme="minorEastAsia" w:hint="eastAsia"/>
        </w:rPr>
        <w:t>的活动；</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Pr="00721084">
        <w:rPr>
          <w:rFonts w:asciiTheme="minorEastAsia" w:eastAsiaTheme="minorEastAsia" w:hAnsiTheme="minorEastAsia" w:hint="eastAsia"/>
        </w:rPr>
        <w:tab/>
        <w:t>返还在基金交易过程中因任何原因，自基金管理人、基金托管人及基金代销机构处获得的不当得利；</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（6）执行生效的基金份额持有人大会的决定；</w:t>
      </w:r>
    </w:p>
    <w:p w:rsidR="00785666" w:rsidRPr="00721084" w:rsidRDefault="00785666" w:rsidP="00CE3F81">
      <w:pPr>
        <w:snapToGrid w:val="0"/>
        <w:spacing w:line="360" w:lineRule="auto"/>
        <w:ind w:firstLineChars="200" w:firstLine="420"/>
        <w:rPr>
          <w:rFonts w:asciiTheme="minorEastAsia" w:eastAsiaTheme="minorEastAsia" w:hAnsiTheme="minorEastAsia"/>
          <w:b/>
          <w:bCs/>
          <w:kern w:val="0"/>
          <w:szCs w:val="20"/>
        </w:rPr>
      </w:pPr>
      <w:r w:rsidRPr="00721084">
        <w:rPr>
          <w:rFonts w:asciiTheme="minorEastAsia" w:eastAsiaTheme="minorEastAsia" w:hAnsiTheme="minorEastAsia" w:hint="eastAsia"/>
        </w:rPr>
        <w:t>（7）</w:t>
      </w:r>
      <w:r w:rsidRPr="00721084">
        <w:rPr>
          <w:rFonts w:asciiTheme="minorEastAsia" w:eastAsiaTheme="minorEastAsia" w:hAnsiTheme="minorEastAsia"/>
        </w:rPr>
        <w:tab/>
        <w:t>法律法规</w:t>
      </w:r>
      <w:r w:rsidRPr="00721084">
        <w:rPr>
          <w:rFonts w:asciiTheme="minorEastAsia" w:eastAsiaTheme="minorEastAsia" w:hAnsiTheme="minorEastAsia" w:hint="eastAsia"/>
        </w:rPr>
        <w:t>及中国证监会规定的</w:t>
      </w:r>
      <w:r w:rsidRPr="00721084">
        <w:rPr>
          <w:rFonts w:asciiTheme="minorEastAsia" w:eastAsiaTheme="minorEastAsia" w:hAnsiTheme="minorEastAsia"/>
        </w:rPr>
        <w:t>和《基金合同》</w:t>
      </w:r>
      <w:r w:rsidRPr="00721084">
        <w:rPr>
          <w:rFonts w:asciiTheme="minorEastAsia" w:eastAsiaTheme="minorEastAsia" w:hAnsiTheme="minorEastAsia" w:hint="eastAsia"/>
        </w:rPr>
        <w:t>约</w:t>
      </w:r>
      <w:r w:rsidRPr="00721084">
        <w:rPr>
          <w:rFonts w:asciiTheme="minorEastAsia" w:eastAsiaTheme="minorEastAsia" w:hAnsiTheme="minorEastAsia"/>
        </w:rPr>
        <w:t>定的其他义务。</w:t>
      </w:r>
    </w:p>
    <w:p w:rsidR="00785666" w:rsidRPr="00721084" w:rsidRDefault="00785666" w:rsidP="00CE3F81">
      <w:pPr>
        <w:autoSpaceDE w:val="0"/>
        <w:autoSpaceDN w:val="0"/>
        <w:snapToGrid w:val="0"/>
        <w:spacing w:line="360" w:lineRule="auto"/>
        <w:ind w:firstLineChars="200" w:firstLine="422"/>
        <w:jc w:val="left"/>
        <w:rPr>
          <w:rFonts w:asciiTheme="minorEastAsia" w:eastAsiaTheme="minorEastAsia" w:hAnsiTheme="minorEastAsia"/>
          <w:b/>
          <w:bCs/>
          <w:kern w:val="0"/>
          <w:szCs w:val="20"/>
        </w:rPr>
      </w:pPr>
      <w:r w:rsidRPr="00721084">
        <w:rPr>
          <w:rFonts w:asciiTheme="minorEastAsia" w:eastAsiaTheme="minorEastAsia" w:hAnsiTheme="minorEastAsia" w:hint="eastAsia"/>
          <w:b/>
          <w:bCs/>
          <w:kern w:val="0"/>
          <w:szCs w:val="20"/>
        </w:rPr>
        <w:t>（二）基金管理人的权利与义务</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根据《基金法》、《运作办法》及其他有关规定，基金管理人的权利包括但不限于：</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（1）</w:t>
      </w:r>
      <w:r w:rsidRPr="00721084">
        <w:rPr>
          <w:rFonts w:asciiTheme="minorEastAsia" w:eastAsiaTheme="minorEastAsia" w:hAnsiTheme="minorEastAsia" w:hint="eastAsia"/>
        </w:rPr>
        <w:tab/>
        <w:t>依法募集基金；</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Pr="00721084">
        <w:rPr>
          <w:rFonts w:asciiTheme="minorEastAsia" w:eastAsiaTheme="minorEastAsia" w:hAnsiTheme="minorEastAsia" w:hint="eastAsia"/>
        </w:rPr>
        <w:tab/>
        <w:t>自《基金合同》生效之日起，根据法律法规和《基金合同》独立运用并管理基金财产；</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Pr="00721084">
        <w:rPr>
          <w:rFonts w:asciiTheme="minorEastAsia" w:eastAsiaTheme="minorEastAsia" w:hAnsiTheme="minorEastAsia" w:hint="eastAsia"/>
        </w:rPr>
        <w:tab/>
        <w:t>依照《基金合同》收取基金管理费以及法律法规规定或中国证监会批准的其他费用；</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Pr="00721084">
        <w:rPr>
          <w:rFonts w:asciiTheme="minorEastAsia" w:eastAsiaTheme="minorEastAsia" w:hAnsiTheme="minorEastAsia" w:hint="eastAsia"/>
        </w:rPr>
        <w:tab/>
        <w:t>销售基金份额；</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Pr="00721084">
        <w:rPr>
          <w:rFonts w:asciiTheme="minorEastAsia" w:eastAsiaTheme="minorEastAsia" w:hAnsiTheme="minorEastAsia" w:hint="eastAsia"/>
        </w:rPr>
        <w:tab/>
        <w:t>召集基金份额持有人大会；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Pr="00721084">
        <w:rPr>
          <w:rFonts w:asciiTheme="minorEastAsia" w:eastAsiaTheme="minorEastAsia" w:hAnsiTheme="minorEastAsia" w:hint="eastAsia"/>
        </w:rPr>
        <w:tab/>
        <w:t>依据《基金合同》及有关法律法规规定监督基金托管人，如认为基金托管人违反了《基金合同》及国家有关法律法规规定，应呈报中国证监会和其他监管部门，并采取必要措施保护基金投资者的利益；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w:t>
      </w:r>
      <w:r w:rsidRPr="00721084">
        <w:rPr>
          <w:rFonts w:asciiTheme="minorEastAsia" w:eastAsiaTheme="minorEastAsia" w:hAnsiTheme="minorEastAsia" w:hint="eastAsia"/>
        </w:rPr>
        <w:tab/>
        <w:t>在基金托管人更换时，提名新的基金托管人；</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w:t>
      </w:r>
      <w:r w:rsidRPr="00721084">
        <w:rPr>
          <w:rFonts w:asciiTheme="minorEastAsia" w:eastAsiaTheme="minorEastAsia" w:hAnsiTheme="minorEastAsia" w:hint="eastAsia"/>
        </w:rPr>
        <w:tab/>
        <w:t>选择、委托、更换基金代销机构，对基金代销机构的相关行为进行监督和处理；</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w:t>
      </w:r>
      <w:r w:rsidRPr="00721084">
        <w:rPr>
          <w:rFonts w:asciiTheme="minorEastAsia" w:eastAsiaTheme="minorEastAsia" w:hAnsiTheme="minorEastAsia" w:hint="eastAsia"/>
        </w:rPr>
        <w:tab/>
        <w:t>担任或委托其他符合条件的机构担任基金注册登记机构办理基金注册登记业务并获得《基金合同》规定的费用；</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（10）依据《基金合同》及有关法律法规规定决定基金收益的分配方案；</w:t>
      </w:r>
      <w:r w:rsidRPr="00721084">
        <w:rPr>
          <w:rFonts w:asciiTheme="minorEastAsia" w:eastAsiaTheme="minorEastAsia" w:hAnsiTheme="minorEastAsia" w:hint="eastAsia"/>
        </w:rPr>
        <w:tab/>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w:t>
      </w:r>
      <w:r w:rsidRPr="00721084">
        <w:rPr>
          <w:rFonts w:asciiTheme="minorEastAsia" w:eastAsiaTheme="minorEastAsia" w:hAnsiTheme="minorEastAsia" w:hint="eastAsia"/>
        </w:rPr>
        <w:tab/>
        <w:t>在《基金合同》约定的范围内，拒绝或暂停受理申购与赎回申请；</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（12）在符合有关法律法规和《基金合同》的前提下，制订和调整《业务规则》，决定和调整除调高管理费率和托管费率之外的基金相关费率结构和收费方式；</w:t>
      </w:r>
      <w:r w:rsidRPr="00721084">
        <w:rPr>
          <w:rFonts w:asciiTheme="minorEastAsia" w:eastAsiaTheme="minorEastAsia" w:hAnsiTheme="minorEastAsia" w:hint="eastAsia"/>
        </w:rPr>
        <w:tab/>
      </w:r>
    </w:p>
    <w:p w:rsidR="00785666" w:rsidRPr="00721084" w:rsidRDefault="00785666" w:rsidP="00CE3F81">
      <w:pPr>
        <w:tabs>
          <w:tab w:val="left" w:pos="1080"/>
          <w:tab w:val="left" w:pos="1260"/>
          <w:tab w:val="left" w:pos="1440"/>
        </w:tabs>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（13）依照法律法规为基金的利益对被投资公司行使股东权利，为基金的利益行使因基金财产投资于证券所产生的权利；</w:t>
      </w:r>
      <w:r w:rsidRPr="00721084">
        <w:rPr>
          <w:rFonts w:asciiTheme="minorEastAsia" w:eastAsiaTheme="minorEastAsia" w:hAnsiTheme="minorEastAsia" w:hint="eastAsia"/>
        </w:rPr>
        <w:tab/>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（14）在法律法规允许的前提下，为基金的利益依法为基金进行融资；</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（15）以基金管理人的名义，代表基金份额持有人的利益行使诉讼权利或者实施其他法律行为；</w:t>
      </w:r>
      <w:r w:rsidRPr="00721084">
        <w:rPr>
          <w:rFonts w:asciiTheme="minorEastAsia" w:eastAsiaTheme="minorEastAsia" w:hAnsiTheme="minorEastAsia" w:hint="eastAsia"/>
        </w:rPr>
        <w:tab/>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（16）选择、更换律师</w:t>
      </w:r>
      <w:r w:rsidRPr="00721084">
        <w:rPr>
          <w:rFonts w:asciiTheme="minorEastAsia" w:eastAsiaTheme="minorEastAsia" w:hAnsiTheme="minorEastAsia" w:hint="eastAsia"/>
          <w:szCs w:val="21"/>
        </w:rPr>
        <w:t>事务所、会计师事务所</w:t>
      </w:r>
      <w:r w:rsidRPr="00721084">
        <w:rPr>
          <w:rFonts w:asciiTheme="minorEastAsia" w:eastAsiaTheme="minorEastAsia" w:hAnsiTheme="minorEastAsia" w:hint="eastAsia"/>
        </w:rPr>
        <w:t>、证券经纪商或其他为基金提供服务的外部机构；</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w:t>
      </w:r>
      <w:r w:rsidRPr="00721084">
        <w:rPr>
          <w:rFonts w:asciiTheme="minorEastAsia" w:eastAsiaTheme="minorEastAsia" w:hAnsiTheme="minorEastAsia" w:hint="eastAsia"/>
        </w:rPr>
        <w:tab/>
        <w:t>委托境外投资顾问协助管理运作基金资产，</w:t>
      </w:r>
      <w:r w:rsidRPr="00721084">
        <w:rPr>
          <w:rFonts w:asciiTheme="minorEastAsia" w:eastAsiaTheme="minorEastAsia" w:hAnsiTheme="minorEastAsia"/>
        </w:rPr>
        <w:t>选择、更换</w:t>
      </w:r>
      <w:r w:rsidRPr="00721084">
        <w:rPr>
          <w:rFonts w:asciiTheme="minorEastAsia" w:eastAsiaTheme="minorEastAsia" w:hAnsiTheme="minorEastAsia" w:hint="eastAsia"/>
        </w:rPr>
        <w:t>或撤销</w:t>
      </w:r>
      <w:r w:rsidRPr="00721084">
        <w:rPr>
          <w:rFonts w:asciiTheme="minorEastAsia" w:eastAsiaTheme="minorEastAsia" w:hAnsiTheme="minorEastAsia"/>
        </w:rPr>
        <w:t>境外投资顾问</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（18）法律法规和《基金合同》规定的其他权利。</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根据《基金法》、《运作办法》及其他有关规定，基金管理人的义务包括但不限于：</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（1）</w:t>
      </w:r>
      <w:r w:rsidRPr="00721084">
        <w:rPr>
          <w:rFonts w:asciiTheme="minorEastAsia" w:eastAsiaTheme="minorEastAsia" w:hAnsiTheme="minorEastAsia" w:hint="eastAsia"/>
        </w:rPr>
        <w:tab/>
        <w:t>依法募集基金，办理</w:t>
      </w:r>
      <w:r w:rsidRPr="00721084">
        <w:rPr>
          <w:rFonts w:asciiTheme="minorEastAsia" w:eastAsiaTheme="minorEastAsia" w:hAnsiTheme="minorEastAsia" w:hint="eastAsia"/>
          <w:szCs w:val="21"/>
        </w:rPr>
        <w:t>或者委托经中国证监会认定的其他机构代为办理基金份额的发售、申购、赎回和登记事宜；</w:t>
      </w:r>
      <w:r w:rsidRPr="00721084">
        <w:rPr>
          <w:rFonts w:asciiTheme="minorEastAsia" w:eastAsiaTheme="minorEastAsia" w:hAnsiTheme="minorEastAsia" w:hint="eastAsia"/>
        </w:rPr>
        <w:t>如认为基金代销机构违反《基金合同》、基金销售与服务代理协议及国家有关法律法规规定，应呈报中国证监会和其他监管部门，并采取必要措施保护基金投资者的利益；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szCs w:val="21"/>
        </w:rPr>
        <w:t>（2</w:t>
      </w:r>
      <w:r w:rsidRPr="00721084">
        <w:rPr>
          <w:rFonts w:asciiTheme="minorEastAsia" w:eastAsiaTheme="minorEastAsia" w:hAnsiTheme="minorEastAsia"/>
          <w:szCs w:val="21"/>
        </w:rPr>
        <w:t>）</w:t>
      </w:r>
      <w:r w:rsidRPr="00721084">
        <w:rPr>
          <w:rFonts w:asciiTheme="minorEastAsia" w:eastAsiaTheme="minorEastAsia" w:hAnsiTheme="minorEastAsia" w:hint="eastAsia"/>
          <w:szCs w:val="21"/>
        </w:rPr>
        <w:t>办理</w:t>
      </w:r>
      <w:r w:rsidRPr="00721084">
        <w:rPr>
          <w:rFonts w:asciiTheme="minorEastAsia" w:eastAsiaTheme="minorEastAsia" w:hAnsiTheme="minorEastAsia" w:hint="eastAsia"/>
        </w:rPr>
        <w:t>基金备案手续；</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Pr="00721084">
        <w:rPr>
          <w:rFonts w:asciiTheme="minorEastAsia" w:eastAsiaTheme="minorEastAsia" w:hAnsiTheme="minorEastAsia"/>
        </w:rPr>
        <w:t>）</w:t>
      </w:r>
      <w:r w:rsidRPr="00721084">
        <w:rPr>
          <w:rFonts w:asciiTheme="minorEastAsia" w:eastAsiaTheme="minorEastAsia" w:hAnsiTheme="minorEastAsia" w:hint="eastAsia"/>
        </w:rPr>
        <w:tab/>
        <w:t>自《基金合同》生效之日起</w:t>
      </w:r>
      <w:r w:rsidRPr="00721084">
        <w:rPr>
          <w:rFonts w:asciiTheme="minorEastAsia" w:eastAsiaTheme="minorEastAsia" w:hAnsiTheme="minorEastAsia"/>
        </w:rPr>
        <w:t>,</w:t>
      </w:r>
      <w:r w:rsidRPr="00721084">
        <w:rPr>
          <w:rFonts w:asciiTheme="minorEastAsia" w:eastAsiaTheme="minorEastAsia" w:hAnsiTheme="minorEastAsia" w:hint="eastAsia"/>
        </w:rPr>
        <w:t>以诚实信用、</w:t>
      </w:r>
      <w:r w:rsidRPr="00721084">
        <w:rPr>
          <w:rFonts w:asciiTheme="minorEastAsia" w:eastAsiaTheme="minorEastAsia" w:hAnsiTheme="minorEastAsia"/>
        </w:rPr>
        <w:t>勤勉尽责</w:t>
      </w:r>
      <w:r w:rsidRPr="00721084">
        <w:rPr>
          <w:rFonts w:asciiTheme="minorEastAsia" w:eastAsiaTheme="minorEastAsia" w:hAnsiTheme="minorEastAsia" w:hint="eastAsia"/>
        </w:rPr>
        <w:t>的原则管理和运用基金财</w:t>
      </w:r>
      <w:r w:rsidRPr="00721084">
        <w:rPr>
          <w:rFonts w:asciiTheme="minorEastAsia" w:eastAsiaTheme="minorEastAsia" w:hAnsiTheme="minorEastAsia" w:hint="eastAsia"/>
        </w:rPr>
        <w:lastRenderedPageBreak/>
        <w:t>产；</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Pr="00721084">
        <w:rPr>
          <w:rFonts w:asciiTheme="minorEastAsia" w:eastAsiaTheme="minorEastAsia" w:hAnsiTheme="minorEastAsia" w:hint="eastAsia"/>
        </w:rPr>
        <w:tab/>
        <w:t>配备足够的具有专业资格的人员进行基金投资分析、决策，以专业化的经营方式管理和运作基金财产；</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Pr="00721084">
        <w:rPr>
          <w:rFonts w:asciiTheme="minorEastAsia" w:eastAsiaTheme="minorEastAsia" w:hAnsiTheme="minorEastAsia" w:hint="eastAsia"/>
        </w:rPr>
        <w:tab/>
        <w:t>建立健全内部风险控制、监察与稽核、财务管理及人事管理等制度，保证所管理的基金财产和基金管理人的财产相互独立</w:t>
      </w:r>
      <w:r w:rsidRPr="00721084">
        <w:rPr>
          <w:rFonts w:asciiTheme="minorEastAsia" w:eastAsiaTheme="minorEastAsia" w:hAnsiTheme="minorEastAsia"/>
        </w:rPr>
        <w:t>,</w:t>
      </w:r>
      <w:r w:rsidRPr="00721084">
        <w:rPr>
          <w:rFonts w:asciiTheme="minorEastAsia" w:eastAsiaTheme="minorEastAsia" w:hAnsiTheme="minorEastAsia" w:hint="eastAsia"/>
        </w:rPr>
        <w:t>对所管理的不同基金分别管理，分别记账，进行证券投资；</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Pr="00721084">
        <w:rPr>
          <w:rFonts w:asciiTheme="minorEastAsia" w:eastAsiaTheme="minorEastAsia" w:hAnsiTheme="minorEastAsia" w:hint="eastAsia"/>
        </w:rPr>
        <w:tab/>
        <w:t>除依据《基金法》、《基金合同》及其他有关规定外</w:t>
      </w:r>
      <w:r w:rsidRPr="00721084">
        <w:rPr>
          <w:rFonts w:asciiTheme="minorEastAsia" w:eastAsiaTheme="minorEastAsia" w:hAnsiTheme="minorEastAsia"/>
        </w:rPr>
        <w:t>,</w:t>
      </w:r>
      <w:r w:rsidRPr="00721084">
        <w:rPr>
          <w:rFonts w:asciiTheme="minorEastAsia" w:eastAsiaTheme="minorEastAsia" w:hAnsiTheme="minorEastAsia" w:hint="eastAsia"/>
        </w:rPr>
        <w:t>不得利用基金财产为自己及任何第三人谋取利益；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w:t>
      </w:r>
      <w:r w:rsidRPr="00721084">
        <w:rPr>
          <w:rFonts w:asciiTheme="minorEastAsia" w:eastAsiaTheme="minorEastAsia" w:hAnsiTheme="minorEastAsia" w:hint="eastAsia"/>
        </w:rPr>
        <w:tab/>
        <w:t>依法接受基金托管人的监督；</w:t>
      </w:r>
    </w:p>
    <w:p w:rsidR="00161615" w:rsidRPr="00721084" w:rsidRDefault="00161615"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8）</w:t>
      </w:r>
      <w:r w:rsidRPr="00721084">
        <w:rPr>
          <w:rFonts w:asciiTheme="minorEastAsia" w:eastAsiaTheme="minorEastAsia" w:hAnsiTheme="minorEastAsia"/>
        </w:rPr>
        <w:tab/>
      </w:r>
      <w:r w:rsidRPr="00721084">
        <w:rPr>
          <w:rFonts w:asciiTheme="minorEastAsia" w:eastAsiaTheme="minorEastAsia" w:hAnsiTheme="minorEastAsia" w:hint="eastAsia"/>
        </w:rPr>
        <w:t>采取适当合理的措施使计算基金份额认购、申购和赎回价格的方法符合《基金合同》等法律文件的规定，按有关规定计算并公告基金净值信息，确定基金份额申购、赎回的价格；</w:t>
      </w:r>
    </w:p>
    <w:p w:rsidR="00161615" w:rsidRPr="00721084" w:rsidRDefault="00161615"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9）</w:t>
      </w:r>
      <w:r w:rsidRPr="00721084">
        <w:rPr>
          <w:rFonts w:asciiTheme="minorEastAsia" w:eastAsiaTheme="minorEastAsia" w:hAnsiTheme="minorEastAsia"/>
        </w:rPr>
        <w:tab/>
      </w:r>
      <w:r w:rsidRPr="00721084">
        <w:rPr>
          <w:rFonts w:asciiTheme="minorEastAsia" w:eastAsiaTheme="minorEastAsia" w:hAnsiTheme="minorEastAsia" w:hint="eastAsia"/>
        </w:rPr>
        <w:t>进行基金会计核算并编制基金财务会计报告；</w:t>
      </w:r>
    </w:p>
    <w:p w:rsidR="00161615" w:rsidRPr="00721084" w:rsidRDefault="00161615" w:rsidP="006D35EC">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Pr="00721084">
        <w:rPr>
          <w:rFonts w:asciiTheme="minorEastAsia" w:eastAsiaTheme="minorEastAsia" w:hAnsiTheme="minorEastAsia"/>
        </w:rPr>
        <w:t>10）</w:t>
      </w:r>
      <w:r w:rsidRPr="00721084">
        <w:rPr>
          <w:rFonts w:asciiTheme="minorEastAsia" w:eastAsiaTheme="minorEastAsia" w:hAnsiTheme="minorEastAsia"/>
        </w:rPr>
        <w:tab/>
      </w:r>
      <w:r w:rsidRPr="00721084">
        <w:rPr>
          <w:rFonts w:asciiTheme="minorEastAsia" w:eastAsiaTheme="minorEastAsia" w:hAnsiTheme="minorEastAsia" w:hint="eastAsia"/>
        </w:rPr>
        <w:t>编制季度报告、中期报告和年度报告；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w:t>
      </w:r>
      <w:r w:rsidRPr="00721084">
        <w:rPr>
          <w:rFonts w:asciiTheme="minorEastAsia" w:eastAsiaTheme="minorEastAsia" w:hAnsiTheme="minorEastAsia" w:hint="eastAsia"/>
        </w:rPr>
        <w:tab/>
        <w:t>严格按照《基金法》、《基金合同》及其他有关规定，履行信息披露及报告义务；</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w:t>
      </w:r>
      <w:r w:rsidRPr="00721084">
        <w:rPr>
          <w:rFonts w:asciiTheme="minorEastAsia" w:eastAsiaTheme="minorEastAsia" w:hAnsiTheme="minorEastAsia" w:hint="eastAsia"/>
        </w:rPr>
        <w:tab/>
        <w:t>保守基金商业秘密，不泄露基金投资计划、投资意向等。除《基金法》、《基金合同》及其他有关规定另有规定外，在基金信息公开披露前应予保密，不向他人泄露；</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w:t>
      </w:r>
      <w:r w:rsidRPr="00721084">
        <w:rPr>
          <w:rFonts w:asciiTheme="minorEastAsia" w:eastAsiaTheme="minorEastAsia" w:hAnsiTheme="minorEastAsia" w:hint="eastAsia"/>
        </w:rPr>
        <w:tab/>
        <w:t>按《基金合同》的约定确定基金收益分配方案，及时向基金份额持有人分配基金收益；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w:t>
      </w:r>
      <w:r w:rsidRPr="00721084">
        <w:rPr>
          <w:rFonts w:asciiTheme="minorEastAsia" w:eastAsiaTheme="minorEastAsia" w:hAnsiTheme="minorEastAsia" w:hint="eastAsia"/>
        </w:rPr>
        <w:tab/>
        <w:t>按规定受理申购与赎回申请，及时、足额支付赎回款项；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w:t>
      </w:r>
      <w:r w:rsidRPr="00721084">
        <w:rPr>
          <w:rFonts w:asciiTheme="minorEastAsia" w:eastAsiaTheme="minorEastAsia" w:hAnsiTheme="minorEastAsia" w:hint="eastAsia"/>
        </w:rPr>
        <w:tab/>
        <w:t>依据《基金法》、《基金合同》及其他有关规定召集基金份额持有人大会</w:t>
      </w:r>
      <w:r w:rsidRPr="00721084">
        <w:rPr>
          <w:rFonts w:asciiTheme="minorEastAsia" w:eastAsiaTheme="minorEastAsia" w:hAnsiTheme="minorEastAsia"/>
        </w:rPr>
        <w:t>或配合基金托管人、基金份额持有人依法召集基金份额持有人大会</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w:t>
      </w:r>
      <w:r w:rsidRPr="00721084">
        <w:rPr>
          <w:rFonts w:asciiTheme="minorEastAsia" w:eastAsiaTheme="minorEastAsia" w:hAnsiTheme="minorEastAsia" w:hint="eastAsia"/>
        </w:rPr>
        <w:tab/>
      </w:r>
      <w:r w:rsidRPr="00721084">
        <w:rPr>
          <w:rFonts w:asciiTheme="minorEastAsia" w:eastAsiaTheme="minorEastAsia" w:hAnsiTheme="minorEastAsia" w:hint="eastAsia"/>
          <w:bCs/>
        </w:rPr>
        <w:t>按规定保存基金财产管理业务活动的会计账册、报表、记录和其他相关资料15年以上</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w:t>
      </w:r>
      <w:r w:rsidRPr="00721084">
        <w:rPr>
          <w:rFonts w:asciiTheme="minorEastAsia" w:eastAsiaTheme="minorEastAsia" w:hAnsiTheme="minorEastAsia"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w:t>
      </w:r>
      <w:r w:rsidRPr="00721084">
        <w:rPr>
          <w:rFonts w:asciiTheme="minorEastAsia" w:eastAsiaTheme="minorEastAsia" w:hAnsiTheme="minorEastAsia" w:hint="eastAsia"/>
        </w:rPr>
        <w:tab/>
        <w:t>组织并参加基金财产清算小组</w:t>
      </w:r>
      <w:r w:rsidRPr="00721084">
        <w:rPr>
          <w:rFonts w:asciiTheme="minorEastAsia" w:eastAsiaTheme="minorEastAsia" w:hAnsiTheme="minorEastAsia"/>
        </w:rPr>
        <w:t>,</w:t>
      </w:r>
      <w:r w:rsidRPr="00721084">
        <w:rPr>
          <w:rFonts w:asciiTheme="minorEastAsia" w:eastAsiaTheme="minorEastAsia" w:hAnsiTheme="minorEastAsia" w:hint="eastAsia"/>
        </w:rPr>
        <w:t>参与基金财产的保管、清理、估价、变现和分配；</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w:t>
      </w:r>
      <w:r w:rsidRPr="00721084">
        <w:rPr>
          <w:rFonts w:asciiTheme="minorEastAsia" w:eastAsiaTheme="minorEastAsia" w:hAnsiTheme="minorEastAsia" w:hint="eastAsia"/>
        </w:rPr>
        <w:tab/>
        <w:t>面临解散、依法被撤销或者被依法宣告破产时，及时报告中国证监会并通知基金托管人；</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w:t>
      </w:r>
      <w:r w:rsidRPr="00721084">
        <w:rPr>
          <w:rFonts w:asciiTheme="minorEastAsia" w:eastAsiaTheme="minorEastAsia" w:hAnsiTheme="minorEastAsia" w:hint="eastAsia"/>
        </w:rPr>
        <w:tab/>
        <w:t>因违反《基金合同》导致基金财产的损失</w:t>
      </w:r>
      <w:r w:rsidRPr="00721084">
        <w:rPr>
          <w:rFonts w:asciiTheme="minorEastAsia" w:eastAsiaTheme="minorEastAsia" w:hAnsiTheme="minorEastAsia"/>
        </w:rPr>
        <w:t>或损害基金份额持有人合法权益</w:t>
      </w:r>
      <w:r w:rsidRPr="00721084">
        <w:rPr>
          <w:rFonts w:asciiTheme="minorEastAsia" w:eastAsiaTheme="minorEastAsia" w:hAnsiTheme="minorEastAsia" w:hint="eastAsia"/>
        </w:rPr>
        <w:t>时，应当承担赔偿责任，其赔偿责任不因其退任而免除；</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（21）</w:t>
      </w:r>
      <w:r w:rsidRPr="00721084">
        <w:rPr>
          <w:rFonts w:asciiTheme="minorEastAsia" w:eastAsiaTheme="minorEastAsia" w:hAnsiTheme="minorEastAsia" w:hint="eastAsia"/>
        </w:rPr>
        <w:tab/>
        <w:t>监督基金托管人按法律法规和《基金合同》规定履行自己的义务，基金托管人</w:t>
      </w:r>
      <w:r w:rsidRPr="00721084">
        <w:rPr>
          <w:rFonts w:asciiTheme="minorEastAsia" w:eastAsiaTheme="minorEastAsia" w:hAnsiTheme="minorEastAsia" w:hint="eastAsia"/>
        </w:rPr>
        <w:lastRenderedPageBreak/>
        <w:t>违反《基金合同》造成基金财产损失时，基金管理人应为基金份额持有人利益向基金托管人追偿；</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（22）</w:t>
      </w:r>
      <w:r w:rsidRPr="00721084">
        <w:rPr>
          <w:rFonts w:asciiTheme="minorEastAsia" w:eastAsiaTheme="minorEastAsia" w:hAnsiTheme="minorEastAsia"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（23）</w:t>
      </w:r>
      <w:r w:rsidRPr="00721084">
        <w:rPr>
          <w:rFonts w:asciiTheme="minorEastAsia" w:eastAsiaTheme="minorEastAsia" w:hAnsiTheme="minorEastAsia" w:hint="eastAsia"/>
        </w:rPr>
        <w:tab/>
        <w:t>以基金管理人名义，代表基金份额持有人利益行使诉讼权利或实施其他法律行为；</w:t>
      </w:r>
      <w:r w:rsidRPr="00721084">
        <w:rPr>
          <w:rFonts w:asciiTheme="minorEastAsia" w:eastAsiaTheme="minorEastAsia" w:hAnsiTheme="minorEastAsia" w:hint="eastAsia"/>
        </w:rPr>
        <w:tab/>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（24）</w:t>
      </w:r>
      <w:r w:rsidRPr="00721084">
        <w:rPr>
          <w:rFonts w:asciiTheme="minorEastAsia" w:eastAsiaTheme="minorEastAsia" w:hAnsiTheme="minorEastAsia" w:hint="eastAsia"/>
        </w:rPr>
        <w:tab/>
        <w:t>基金管理人在募集期间未能达到基金的备案条件，《基金合同》不能生效，基金管理人承担因募集行为而产生的债务和费用，将已募集资金并加计银行同期存款利息在基金募集期结束后30日内退还基金认购人；</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（25</w:t>
      </w:r>
      <w:r w:rsidRPr="00721084">
        <w:rPr>
          <w:rFonts w:asciiTheme="minorEastAsia" w:eastAsiaTheme="minorEastAsia" w:hAnsiTheme="minorEastAsia"/>
        </w:rPr>
        <w:t>）</w:t>
      </w:r>
      <w:r w:rsidRPr="00721084">
        <w:rPr>
          <w:rFonts w:asciiTheme="minorEastAsia" w:eastAsiaTheme="minorEastAsia" w:hAnsiTheme="minorEastAsia" w:hint="eastAsia"/>
        </w:rPr>
        <w:tab/>
      </w:r>
      <w:r w:rsidRPr="00721084">
        <w:rPr>
          <w:rFonts w:asciiTheme="minorEastAsia" w:eastAsiaTheme="minorEastAsia" w:hAnsiTheme="minorEastAsia"/>
        </w:rPr>
        <w:t>执行生效的基金份额持有人大会的决定</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（26）</w:t>
      </w:r>
      <w:r w:rsidRPr="00721084">
        <w:rPr>
          <w:rFonts w:asciiTheme="minorEastAsia" w:eastAsiaTheme="minorEastAsia" w:hAnsiTheme="minorEastAsia" w:hint="eastAsia"/>
        </w:rPr>
        <w:tab/>
      </w:r>
      <w:r w:rsidRPr="00721084">
        <w:rPr>
          <w:rFonts w:asciiTheme="minorEastAsia" w:eastAsiaTheme="minorEastAsia" w:hAnsiTheme="minorEastAsia"/>
        </w:rPr>
        <w:t>建立并保存基金份额持有人名册</w:t>
      </w:r>
      <w:r w:rsidRPr="00721084">
        <w:rPr>
          <w:rFonts w:asciiTheme="minorEastAsia" w:eastAsiaTheme="minorEastAsia" w:hAnsiTheme="minorEastAsia" w:hint="eastAsia"/>
        </w:rPr>
        <w:t>，定期或不定期向基金托管人提供基金份额持有人名册</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（27）</w:t>
      </w:r>
      <w:r w:rsidRPr="00721084">
        <w:rPr>
          <w:rFonts w:asciiTheme="minorEastAsia" w:eastAsiaTheme="minorEastAsia" w:hAnsiTheme="minorEastAsia" w:hint="eastAsia"/>
        </w:rPr>
        <w:tab/>
      </w:r>
      <w:r w:rsidRPr="00721084">
        <w:rPr>
          <w:rFonts w:asciiTheme="minorEastAsia" w:eastAsiaTheme="minorEastAsia" w:hAnsiTheme="minorEastAsia"/>
        </w:rPr>
        <w:t>法律法规</w:t>
      </w:r>
      <w:r w:rsidRPr="00721084">
        <w:rPr>
          <w:rFonts w:asciiTheme="minorEastAsia" w:eastAsiaTheme="minorEastAsia" w:hAnsiTheme="minorEastAsia" w:hint="eastAsia"/>
        </w:rPr>
        <w:t>及中国证监会规定的</w:t>
      </w:r>
      <w:r w:rsidRPr="00721084">
        <w:rPr>
          <w:rFonts w:asciiTheme="minorEastAsia" w:eastAsiaTheme="minorEastAsia" w:hAnsiTheme="minorEastAsia"/>
        </w:rPr>
        <w:t>和《基金合同》</w:t>
      </w:r>
      <w:r w:rsidRPr="00721084">
        <w:rPr>
          <w:rFonts w:asciiTheme="minorEastAsia" w:eastAsiaTheme="minorEastAsia" w:hAnsiTheme="minorEastAsia" w:hint="eastAsia"/>
        </w:rPr>
        <w:t>约</w:t>
      </w:r>
      <w:r w:rsidRPr="00721084">
        <w:rPr>
          <w:rFonts w:asciiTheme="minorEastAsia" w:eastAsiaTheme="minorEastAsia" w:hAnsiTheme="minorEastAsia"/>
        </w:rPr>
        <w:t>定的其他义务。</w:t>
      </w:r>
    </w:p>
    <w:p w:rsidR="00785666" w:rsidRPr="00721084" w:rsidRDefault="00785666" w:rsidP="00CE3F81">
      <w:pPr>
        <w:autoSpaceDE w:val="0"/>
        <w:autoSpaceDN w:val="0"/>
        <w:snapToGrid w:val="0"/>
        <w:spacing w:line="360" w:lineRule="auto"/>
        <w:ind w:firstLineChars="200" w:firstLine="422"/>
        <w:jc w:val="left"/>
        <w:rPr>
          <w:rFonts w:asciiTheme="minorEastAsia" w:eastAsiaTheme="minorEastAsia" w:hAnsiTheme="minorEastAsia"/>
          <w:b/>
          <w:bCs/>
          <w:kern w:val="0"/>
          <w:szCs w:val="20"/>
        </w:rPr>
      </w:pPr>
      <w:r w:rsidRPr="00721084">
        <w:rPr>
          <w:rFonts w:asciiTheme="minorEastAsia" w:eastAsiaTheme="minorEastAsia" w:hAnsiTheme="minorEastAsia" w:hint="eastAsia"/>
          <w:b/>
          <w:bCs/>
          <w:kern w:val="0"/>
          <w:szCs w:val="20"/>
        </w:rPr>
        <w:t>（三）基金托管人的权利与义务</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根据《基金法》、《运作办法》及其他有关规定，基金托管人的权利包括但不限于：</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hint="eastAsia"/>
        </w:rPr>
        <w:tab/>
        <w:t>自《基金合同》生效之日起，依法律法规和《基金合同》的规定安全保管基金财产；</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Pr="00721084">
        <w:rPr>
          <w:rFonts w:asciiTheme="minorEastAsia" w:eastAsiaTheme="minorEastAsia" w:hAnsiTheme="minorEastAsia" w:hint="eastAsia"/>
        </w:rPr>
        <w:tab/>
        <w:t>依《基金合同》约定获得基金托管费以及法律法规规定或监管部门批准的其他收入；</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Pr="00721084">
        <w:rPr>
          <w:rFonts w:asciiTheme="minorEastAsia" w:eastAsiaTheme="minorEastAsia" w:hAnsiTheme="minorEastAsia"/>
        </w:rPr>
        <w:t>）</w:t>
      </w:r>
      <w:r w:rsidRPr="00721084">
        <w:rPr>
          <w:rFonts w:asciiTheme="minorEastAsia" w:eastAsiaTheme="minorEastAsia" w:hAnsiTheme="minorEastAsia" w:hint="eastAsia"/>
        </w:rPr>
        <w:tab/>
        <w:t>监督基金管理人对本基金的投资运作，如发现基金管理人有违反《基金合同》及国家法律法规行为，</w:t>
      </w:r>
      <w:r w:rsidRPr="00721084">
        <w:rPr>
          <w:rFonts w:asciiTheme="minorEastAsia" w:eastAsiaTheme="minorEastAsia" w:hAnsiTheme="minorEastAsia"/>
        </w:rPr>
        <w:t>对基金</w:t>
      </w:r>
      <w:r w:rsidRPr="00721084">
        <w:rPr>
          <w:rFonts w:asciiTheme="minorEastAsia" w:eastAsiaTheme="minorEastAsia" w:hAnsiTheme="minorEastAsia" w:hint="eastAsia"/>
        </w:rPr>
        <w:t>财</w:t>
      </w:r>
      <w:r w:rsidRPr="00721084">
        <w:rPr>
          <w:rFonts w:asciiTheme="minorEastAsia" w:eastAsiaTheme="minorEastAsia" w:hAnsiTheme="minorEastAsia"/>
        </w:rPr>
        <w:t>产、其他当事人的利益造成重大损失的</w:t>
      </w:r>
      <w:r w:rsidRPr="00721084">
        <w:rPr>
          <w:rFonts w:asciiTheme="minorEastAsia" w:eastAsiaTheme="minorEastAsia" w:hAnsiTheme="minorEastAsia" w:hint="eastAsia"/>
        </w:rPr>
        <w:t>情形</w:t>
      </w:r>
      <w:r w:rsidRPr="00721084">
        <w:rPr>
          <w:rFonts w:asciiTheme="minorEastAsia" w:eastAsiaTheme="minorEastAsia" w:hAnsiTheme="minorEastAsia"/>
        </w:rPr>
        <w:t>，</w:t>
      </w:r>
      <w:r w:rsidRPr="00721084">
        <w:rPr>
          <w:rFonts w:asciiTheme="minorEastAsia" w:eastAsiaTheme="minorEastAsia" w:hAnsiTheme="minorEastAsia" w:hint="eastAsia"/>
        </w:rPr>
        <w:t>应呈报中国证监会，并采取必要措施保护基金投资者的利益；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Pr="00721084">
        <w:rPr>
          <w:rFonts w:asciiTheme="minorEastAsia" w:eastAsiaTheme="minorEastAsia" w:hAnsiTheme="minorEastAsia" w:hint="eastAsia"/>
        </w:rPr>
        <w:tab/>
      </w:r>
      <w:r w:rsidRPr="00721084">
        <w:rPr>
          <w:rFonts w:asciiTheme="minorEastAsia" w:eastAsiaTheme="minorEastAsia" w:hAnsiTheme="minorEastAsia"/>
          <w:szCs w:val="21"/>
        </w:rPr>
        <w:t>选择、更换</w:t>
      </w:r>
      <w:r w:rsidRPr="00721084">
        <w:rPr>
          <w:rFonts w:asciiTheme="minorEastAsia" w:eastAsiaTheme="minorEastAsia" w:hAnsiTheme="minorEastAsia" w:hint="eastAsia"/>
          <w:szCs w:val="21"/>
        </w:rPr>
        <w:t>或撤销</w:t>
      </w:r>
      <w:r w:rsidRPr="00721084">
        <w:rPr>
          <w:rFonts w:asciiTheme="minorEastAsia" w:eastAsiaTheme="minorEastAsia" w:hAnsiTheme="minorEastAsia"/>
          <w:szCs w:val="21"/>
        </w:rPr>
        <w:t>境外托管人</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Pr="00721084">
        <w:rPr>
          <w:rFonts w:asciiTheme="minorEastAsia" w:eastAsiaTheme="minorEastAsia" w:hAnsiTheme="minorEastAsia" w:hint="eastAsia"/>
        </w:rPr>
        <w:tab/>
      </w:r>
      <w:r w:rsidRPr="00721084">
        <w:rPr>
          <w:rFonts w:asciiTheme="minorEastAsia" w:eastAsiaTheme="minorEastAsia" w:hAnsiTheme="minorEastAsia"/>
          <w:szCs w:val="21"/>
        </w:rPr>
        <w:t>按规定开设基金财产的资金账户和证券账户</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Pr="00721084">
        <w:rPr>
          <w:rFonts w:asciiTheme="minorEastAsia" w:eastAsiaTheme="minorEastAsia" w:hAnsiTheme="minorEastAsia" w:hint="eastAsia"/>
        </w:rPr>
        <w:tab/>
        <w:t>提议召开或召集基金份额持有人大会；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w:t>
      </w:r>
      <w:r w:rsidRPr="00721084">
        <w:rPr>
          <w:rFonts w:asciiTheme="minorEastAsia" w:eastAsiaTheme="minorEastAsia" w:hAnsiTheme="minorEastAsia" w:hint="eastAsia"/>
        </w:rPr>
        <w:tab/>
        <w:t>在基金管理人更换时，提名新的基金管理人；</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w:t>
      </w:r>
      <w:r w:rsidRPr="00721084">
        <w:rPr>
          <w:rFonts w:asciiTheme="minorEastAsia" w:eastAsiaTheme="minorEastAsia" w:hAnsiTheme="minorEastAsia" w:hint="eastAsia"/>
        </w:rPr>
        <w:tab/>
        <w:t>法律法规和《基金合同》规定的其他权利。</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根据《基金法》、《运作办法》及其他有关规定，基金托管人的义务包括但不限于：</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hint="eastAsia"/>
        </w:rPr>
        <w:tab/>
        <w:t>以诚实信用、勤勉尽责的原则持有并安全保管基金财产；</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Pr="00721084">
        <w:rPr>
          <w:rFonts w:asciiTheme="minorEastAsia" w:eastAsiaTheme="minorEastAsia" w:hAnsiTheme="minorEastAsia" w:hint="eastAsia"/>
        </w:rPr>
        <w:tab/>
        <w:t>设立专门的基金托管部门，具有符合要求的营业场所，配备足够的、合格的熟悉基金托管业务的专职人员，负责基金财产托管事宜；</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Pr="00721084">
        <w:rPr>
          <w:rFonts w:asciiTheme="minorEastAsia" w:eastAsiaTheme="minorEastAsia" w:hAnsiTheme="minorEastAsia" w:hint="eastAsia"/>
        </w:rPr>
        <w:tab/>
        <w:t>建立健全内部风险控制、监察与稽核、财务管理及人事管理等制度，确保基金财产的安全，保证其托管的基金财产与基金托管人固有财产以及不同的基金财产相互独立；</w:t>
      </w:r>
      <w:r w:rsidRPr="00721084">
        <w:rPr>
          <w:rFonts w:asciiTheme="minorEastAsia" w:eastAsiaTheme="minorEastAsia" w:hAnsiTheme="minorEastAsia" w:hint="eastAsia"/>
        </w:rPr>
        <w:lastRenderedPageBreak/>
        <w:t>对所托管的不同的基金分别设置账户，独立核算，分账管理，保证不同基金之间在名册登记、账户设置、资金划拨、账册记录等方面相互独立；</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Pr="00721084">
        <w:rPr>
          <w:rFonts w:asciiTheme="minorEastAsia" w:eastAsiaTheme="minorEastAsia" w:hAnsiTheme="minorEastAsia" w:hint="eastAsia"/>
        </w:rPr>
        <w:tab/>
        <w:t>除依据《基金法》、《基金合同》及其他有关规定外，不得利用基金财产为自己及任何第三人谋取利益；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Pr="00721084">
        <w:rPr>
          <w:rFonts w:asciiTheme="minorEastAsia" w:eastAsiaTheme="minorEastAsia" w:hAnsiTheme="minorEastAsia" w:hint="eastAsia"/>
        </w:rPr>
        <w:tab/>
        <w:t>保管由基金管理人代表基金签订的与基金有关的重大合同及有关凭证；</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Pr="00721084">
        <w:rPr>
          <w:rFonts w:asciiTheme="minorEastAsia" w:eastAsiaTheme="minorEastAsia" w:hAnsiTheme="minorEastAsia" w:hint="eastAsia"/>
        </w:rPr>
        <w:tab/>
        <w:t>按规定开设基金财产的资金账户和证券账户</w:t>
      </w:r>
      <w:r w:rsidRPr="00721084">
        <w:rPr>
          <w:rFonts w:asciiTheme="minorEastAsia" w:eastAsiaTheme="minorEastAsia" w:hAnsiTheme="minorEastAsia"/>
        </w:rPr>
        <w:t>,</w:t>
      </w:r>
      <w:r w:rsidRPr="00721084">
        <w:rPr>
          <w:rFonts w:asciiTheme="minorEastAsia" w:eastAsiaTheme="minorEastAsia" w:hAnsiTheme="minorEastAsia" w:hint="eastAsia"/>
        </w:rPr>
        <w:t>按照</w:t>
      </w:r>
      <w:r w:rsidRPr="00721084">
        <w:rPr>
          <w:rFonts w:asciiTheme="minorEastAsia" w:eastAsiaTheme="minorEastAsia" w:hAnsiTheme="minorEastAsia" w:hint="eastAsia"/>
          <w:kern w:val="0"/>
        </w:rPr>
        <w:t>有关法律法规和</w:t>
      </w:r>
      <w:r w:rsidRPr="00721084">
        <w:rPr>
          <w:rFonts w:asciiTheme="minorEastAsia" w:eastAsiaTheme="minorEastAsia" w:hAnsiTheme="minorEastAsia" w:hint="eastAsia"/>
        </w:rPr>
        <w:t>《基金合同》的约定，根据基金管理人的投资指令，及时办理清算、交割事宜；</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w:t>
      </w:r>
      <w:r w:rsidRPr="00721084">
        <w:rPr>
          <w:rFonts w:asciiTheme="minorEastAsia" w:eastAsiaTheme="minorEastAsia" w:hAnsiTheme="minorEastAsia" w:hint="eastAsia"/>
        </w:rPr>
        <w:tab/>
        <w:t>保守基金商业秘密，除《基金法》、《基金合同》及其他有关规定另有规定外，在基金信息公开披露前予以保密，不得向他人泄露；</w:t>
      </w:r>
    </w:p>
    <w:p w:rsidR="00161615" w:rsidRPr="00721084" w:rsidRDefault="00161615" w:rsidP="00161615">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（8）</w:t>
      </w:r>
      <w:r w:rsidRPr="00721084">
        <w:rPr>
          <w:rFonts w:asciiTheme="minorEastAsia" w:eastAsiaTheme="minorEastAsia" w:hAnsiTheme="minorEastAsia" w:hint="eastAsia"/>
        </w:rPr>
        <w:tab/>
        <w:t>确保基金份额净值按照有关法律法规、基金合同规定的方法进行计算，复核、审查基金管理人计算的基金资产净值、基金份额净值、基金份额申购、赎回价格；</w:t>
      </w:r>
    </w:p>
    <w:p w:rsidR="00161615" w:rsidRPr="00721084" w:rsidRDefault="00161615" w:rsidP="00161615">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w:t>
      </w:r>
      <w:r w:rsidRPr="00721084">
        <w:rPr>
          <w:rFonts w:asciiTheme="minorEastAsia" w:eastAsiaTheme="minorEastAsia" w:hAnsiTheme="minorEastAsia" w:hint="eastAsia"/>
        </w:rPr>
        <w:tab/>
        <w:t>办理与基金托管业务活动有关的信息披露事项；</w:t>
      </w:r>
    </w:p>
    <w:p w:rsidR="00161615" w:rsidRPr="00721084" w:rsidRDefault="00161615" w:rsidP="00161615">
      <w:pPr>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w:t>
      </w:r>
      <w:r w:rsidRPr="00721084">
        <w:rPr>
          <w:rFonts w:asciiTheme="minorEastAsia" w:eastAsiaTheme="minorEastAsia" w:hAnsiTheme="minorEastAsia"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w:t>
      </w:r>
      <w:r w:rsidRPr="00721084">
        <w:rPr>
          <w:rFonts w:asciiTheme="minorEastAsia" w:eastAsiaTheme="minorEastAsia" w:hAnsiTheme="minorEastAsia" w:hint="eastAsia"/>
        </w:rPr>
        <w:tab/>
      </w:r>
      <w:r w:rsidR="007634D0" w:rsidRPr="00721084">
        <w:rPr>
          <w:rFonts w:asciiTheme="minorEastAsia" w:eastAsiaTheme="minorEastAsia" w:hAnsiTheme="minorEastAsia" w:hint="eastAsia"/>
        </w:rPr>
        <w:t>基金托管人保管本基金的资金汇出、汇入、兑换、收汇、付汇、资金往来、委托及成交记录等相关资料，保存时间应当不少于</w:t>
      </w:r>
      <w:r w:rsidR="007634D0" w:rsidRPr="00721084">
        <w:rPr>
          <w:rFonts w:asciiTheme="minorEastAsia" w:eastAsiaTheme="minorEastAsia" w:hAnsiTheme="minorEastAsia"/>
        </w:rPr>
        <w:t>20</w:t>
      </w:r>
      <w:r w:rsidR="007634D0" w:rsidRPr="00721084">
        <w:rPr>
          <w:rFonts w:asciiTheme="minorEastAsia" w:eastAsiaTheme="minorEastAsia" w:hAnsiTheme="minorEastAsia" w:hint="eastAsia"/>
        </w:rPr>
        <w:t>年；其它与基金托管业务活动相关的资料，保存时间应不少于</w:t>
      </w:r>
      <w:r w:rsidR="007634D0" w:rsidRPr="00721084">
        <w:rPr>
          <w:rFonts w:asciiTheme="minorEastAsia" w:eastAsiaTheme="minorEastAsia" w:hAnsiTheme="minorEastAsia"/>
        </w:rPr>
        <w:t>15</w:t>
      </w:r>
      <w:r w:rsidR="007634D0" w:rsidRPr="00721084">
        <w:rPr>
          <w:rFonts w:asciiTheme="minorEastAsia" w:eastAsiaTheme="minorEastAsia" w:hAnsiTheme="minorEastAsia" w:hint="eastAsia"/>
        </w:rPr>
        <w:t>年</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w:t>
      </w:r>
      <w:r w:rsidRPr="00721084">
        <w:rPr>
          <w:rFonts w:asciiTheme="minorEastAsia" w:eastAsiaTheme="minorEastAsia" w:hAnsiTheme="minorEastAsia" w:hint="eastAsia"/>
        </w:rPr>
        <w:tab/>
      </w:r>
      <w:r w:rsidRPr="00721084">
        <w:rPr>
          <w:rFonts w:asciiTheme="minorEastAsia" w:eastAsiaTheme="minorEastAsia" w:hAnsiTheme="minorEastAsia"/>
        </w:rPr>
        <w:t>建立并保存基金份额持有人名册</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w:t>
      </w:r>
      <w:r w:rsidRPr="00721084">
        <w:rPr>
          <w:rFonts w:asciiTheme="minorEastAsia" w:eastAsiaTheme="minorEastAsia" w:hAnsiTheme="minorEastAsia" w:hint="eastAsia"/>
        </w:rPr>
        <w:tab/>
        <w:t>按规定制作相关账册并与基金管理人核对；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（14）</w:t>
      </w:r>
      <w:r w:rsidRPr="00721084">
        <w:rPr>
          <w:rFonts w:asciiTheme="minorEastAsia" w:eastAsiaTheme="minorEastAsia" w:hAnsiTheme="minorEastAsia" w:hint="eastAsia"/>
        </w:rPr>
        <w:tab/>
        <w:t>依据基金管理人的指令或有关规定向基金份额持有人支付基金收益和赎回款项；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（15）</w:t>
      </w:r>
      <w:r w:rsidRPr="00721084">
        <w:rPr>
          <w:rFonts w:asciiTheme="minorEastAsia" w:eastAsiaTheme="minorEastAsia" w:hAnsiTheme="minorEastAsia" w:hint="eastAsia"/>
        </w:rPr>
        <w:tab/>
        <w:t>按照规定召集基金份额持有人大会或配合基金份额持有人依法自行召集基金份额持有人大会；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（16）</w:t>
      </w:r>
      <w:r w:rsidRPr="00721084">
        <w:rPr>
          <w:rFonts w:asciiTheme="minorEastAsia" w:eastAsiaTheme="minorEastAsia" w:hAnsiTheme="minorEastAsia" w:hint="eastAsia"/>
        </w:rPr>
        <w:tab/>
        <w:t>按照法律法规和《基金合同》的规定监督基金管理人的投资运作；</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（17）</w:t>
      </w:r>
      <w:r w:rsidRPr="00721084">
        <w:rPr>
          <w:rFonts w:asciiTheme="minorEastAsia" w:eastAsiaTheme="minorEastAsia" w:hAnsiTheme="minorEastAsia" w:hint="eastAsia"/>
        </w:rPr>
        <w:tab/>
        <w:t>参加基金财产清算小组，参与基金财产的保管、清理、估价、变现和分配；</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（18）</w:t>
      </w:r>
      <w:r w:rsidRPr="00721084">
        <w:rPr>
          <w:rFonts w:asciiTheme="minorEastAsia" w:eastAsiaTheme="minorEastAsia" w:hAnsiTheme="minorEastAsia" w:hint="eastAsia"/>
        </w:rPr>
        <w:tab/>
        <w:t>面临解散、依法被撤销或者被依法宣告破产时，及时报告中国证监会和银行监管机构，并通知基金管理人；</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（19）</w:t>
      </w:r>
      <w:r w:rsidRPr="00721084">
        <w:rPr>
          <w:rFonts w:asciiTheme="minorEastAsia" w:eastAsiaTheme="minorEastAsia" w:hAnsiTheme="minorEastAsia" w:hint="eastAsia"/>
        </w:rPr>
        <w:tab/>
        <w:t>因违反《基金合同》导致基金财产损失时，应承担赔偿责任，其赔偿责任不因其退任而免除；</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（20）</w:t>
      </w:r>
      <w:r w:rsidRPr="00721084">
        <w:rPr>
          <w:rFonts w:asciiTheme="minorEastAsia" w:eastAsiaTheme="minorEastAsia" w:hAnsiTheme="minorEastAsia" w:hint="eastAsia"/>
        </w:rPr>
        <w:tab/>
        <w:t>按规定监督基金管理人按法律法规和《基金合同》规定履行自己的义务，基金管理人因违反《基金合同》造成基金财产损失时，应为基金利益向基金管理人追偿；</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（21）</w:t>
      </w:r>
      <w:r w:rsidRPr="00721084">
        <w:rPr>
          <w:rFonts w:asciiTheme="minorEastAsia" w:eastAsiaTheme="minorEastAsia" w:hAnsiTheme="minorEastAsia" w:hint="eastAsia"/>
        </w:rPr>
        <w:tab/>
      </w:r>
      <w:r w:rsidRPr="00721084">
        <w:rPr>
          <w:rFonts w:asciiTheme="minorEastAsia" w:eastAsiaTheme="minorEastAsia" w:hAnsiTheme="minorEastAsia"/>
        </w:rPr>
        <w:t>执行生效的基金份额持有人大会的决定</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shd w:val="clear" w:color="auto" w:fill="FFFF00"/>
        </w:rPr>
      </w:pPr>
      <w:r w:rsidRPr="00721084">
        <w:rPr>
          <w:rFonts w:asciiTheme="minorEastAsia" w:eastAsiaTheme="minorEastAsia" w:hAnsiTheme="minorEastAsia" w:hint="eastAsia"/>
        </w:rPr>
        <w:lastRenderedPageBreak/>
        <w:t>（22）</w:t>
      </w:r>
      <w:r w:rsidRPr="00721084">
        <w:rPr>
          <w:rFonts w:asciiTheme="minorEastAsia" w:eastAsiaTheme="minorEastAsia" w:hAnsiTheme="minorEastAsia" w:hint="eastAsia"/>
        </w:rPr>
        <w:tab/>
        <w:t>对基金的境外财产，基金托管人可授权境外托管人代为履行其承担的职责。境外托管人在履行职责过程中，因本身过错、疏忽等原因而导致基金财产受损的，基金托管人承担相应责任；</w:t>
      </w:r>
    </w:p>
    <w:p w:rsidR="00785666" w:rsidRPr="00721084" w:rsidRDefault="00785666" w:rsidP="00CE3F81">
      <w:pPr>
        <w:autoSpaceDE w:val="0"/>
        <w:autoSpaceDN w:val="0"/>
        <w:snapToGrid w:val="0"/>
        <w:spacing w:line="360" w:lineRule="auto"/>
        <w:ind w:firstLineChars="200" w:firstLine="440"/>
        <w:jc w:val="left"/>
        <w:rPr>
          <w:rFonts w:asciiTheme="minorEastAsia" w:eastAsiaTheme="minorEastAsia" w:hAnsiTheme="minorEastAsia" w:cs="宋体"/>
          <w:kern w:val="0"/>
          <w:sz w:val="20"/>
          <w:szCs w:val="20"/>
        </w:rPr>
      </w:pPr>
      <w:r w:rsidRPr="00721084">
        <w:rPr>
          <w:rFonts w:asciiTheme="minorEastAsia" w:eastAsiaTheme="minorEastAsia" w:hAnsiTheme="minorEastAsia" w:cs="宋体" w:hint="eastAsia"/>
          <w:kern w:val="0"/>
          <w:sz w:val="22"/>
          <w:szCs w:val="22"/>
        </w:rPr>
        <w:t>（23）如需委任境外托管人，应及时通知基金管理人境外托管人选定结果，尽商业上的合理努力确保境外托管人履行相应托管职责；</w:t>
      </w:r>
    </w:p>
    <w:p w:rsidR="00785666" w:rsidRPr="00721084" w:rsidRDefault="00785666" w:rsidP="00CE3F81">
      <w:pPr>
        <w:snapToGrid w:val="0"/>
        <w:spacing w:line="360" w:lineRule="auto"/>
        <w:ind w:firstLineChars="200" w:firstLine="420"/>
        <w:rPr>
          <w:rFonts w:asciiTheme="minorEastAsia" w:eastAsiaTheme="minorEastAsia" w:hAnsiTheme="minorEastAsia"/>
          <w:kern w:val="0"/>
        </w:rPr>
      </w:pPr>
      <w:r w:rsidRPr="00721084">
        <w:rPr>
          <w:rFonts w:asciiTheme="minorEastAsia" w:eastAsiaTheme="minorEastAsia" w:hAnsiTheme="minorEastAsia" w:hint="eastAsia"/>
          <w:kern w:val="0"/>
        </w:rPr>
        <w:t>（24）</w:t>
      </w:r>
      <w:r w:rsidRPr="00721084">
        <w:rPr>
          <w:rFonts w:asciiTheme="minorEastAsia" w:eastAsiaTheme="minorEastAsia" w:hAnsiTheme="minorEastAsia" w:hint="eastAsia"/>
        </w:rPr>
        <w:tab/>
      </w:r>
      <w:r w:rsidRPr="00721084">
        <w:rPr>
          <w:rFonts w:asciiTheme="minorEastAsia" w:eastAsiaTheme="minorEastAsia" w:hAnsiTheme="minorEastAsia" w:hint="eastAsia"/>
          <w:kern w:val="0"/>
        </w:rPr>
        <w:t>保护基金份额持有人利益，按照规定对基金日常投资行为和资金汇出入情况实施监督，如发现投资指令或资金汇出入违法、违规，应当及时向中国证监会、外管局报告；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kern w:val="0"/>
        </w:rPr>
        <w:t>（25）</w:t>
      </w:r>
      <w:r w:rsidRPr="00721084">
        <w:rPr>
          <w:rFonts w:asciiTheme="minorEastAsia" w:eastAsiaTheme="minorEastAsia" w:hAnsiTheme="minorEastAsia" w:hint="eastAsia"/>
        </w:rPr>
        <w:tab/>
        <w:t>安全保护基金财产，准时将公司行为信息通知基金管理人，确保基金及时收取所有应得收入；</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（26）</w:t>
      </w:r>
      <w:r w:rsidRPr="00721084">
        <w:rPr>
          <w:rFonts w:asciiTheme="minorEastAsia" w:eastAsiaTheme="minorEastAsia" w:hAnsiTheme="minorEastAsia" w:hint="eastAsia"/>
        </w:rPr>
        <w:tab/>
        <w:t>每月结束后7个工作日内，向中国证监会和外管局报告基金管理人境外投资情况，并按相关规定进行国际收支申报；</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（27）</w:t>
      </w:r>
      <w:r w:rsidRPr="00721084">
        <w:rPr>
          <w:rFonts w:asciiTheme="minorEastAsia" w:eastAsiaTheme="minorEastAsia" w:hAnsiTheme="minorEastAsia" w:hint="eastAsia"/>
        </w:rPr>
        <w:tab/>
        <w:t>办理基金管理人就管理本基金的有关结汇、售汇、收汇、付汇和人民币资金结算业务。</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007634D0" w:rsidRPr="00721084">
        <w:rPr>
          <w:rFonts w:asciiTheme="minorEastAsia" w:eastAsiaTheme="minorEastAsia" w:hAnsiTheme="minorEastAsia" w:hint="eastAsia"/>
        </w:rPr>
        <w:t>28</w:t>
      </w:r>
      <w:r w:rsidRPr="00721084">
        <w:rPr>
          <w:rFonts w:asciiTheme="minorEastAsia" w:eastAsiaTheme="minorEastAsia" w:hAnsiTheme="minorEastAsia" w:hint="eastAsia"/>
        </w:rPr>
        <w:t>）确保本基金按照有关法律法规和基金合同约定的投资目标和限制进行管理；</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007634D0" w:rsidRPr="00721084">
        <w:rPr>
          <w:rFonts w:asciiTheme="minorEastAsia" w:eastAsiaTheme="minorEastAsia" w:hAnsiTheme="minorEastAsia" w:hint="eastAsia"/>
        </w:rPr>
        <w:t>29</w:t>
      </w:r>
      <w:r w:rsidRPr="00721084">
        <w:rPr>
          <w:rFonts w:asciiTheme="minorEastAsia" w:eastAsiaTheme="minorEastAsia" w:hAnsiTheme="minorEastAsia" w:hint="eastAsia"/>
        </w:rPr>
        <w:t>）确保本基金按照有关法律法规和基金合同的规定进行申购、认购、赎回等日常交易；</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007634D0" w:rsidRPr="00721084">
        <w:rPr>
          <w:rFonts w:asciiTheme="minorEastAsia" w:eastAsiaTheme="minorEastAsia" w:hAnsiTheme="minorEastAsia" w:hint="eastAsia"/>
        </w:rPr>
        <w:t>30</w:t>
      </w:r>
      <w:r w:rsidRPr="00721084">
        <w:rPr>
          <w:rFonts w:asciiTheme="minorEastAsia" w:eastAsiaTheme="minorEastAsia" w:hAnsiTheme="minorEastAsia" w:hint="eastAsia"/>
        </w:rPr>
        <w:t>）确保本基金按照有关法律法规和基金合同的规定确定并实施收益分配方案；</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007634D0" w:rsidRPr="00721084">
        <w:rPr>
          <w:rFonts w:asciiTheme="minorEastAsia" w:eastAsiaTheme="minorEastAsia" w:hAnsiTheme="minorEastAsia" w:hint="eastAsia"/>
        </w:rPr>
        <w:t>31</w:t>
      </w:r>
      <w:r w:rsidRPr="00721084">
        <w:rPr>
          <w:rFonts w:asciiTheme="minorEastAsia" w:eastAsiaTheme="minorEastAsia" w:hAnsiTheme="minorEastAsia" w:hint="eastAsia"/>
        </w:rPr>
        <w:t>）按照有关法律法规和基金合同的规定以受托人名义或其指定的代理人名义登记资产；</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w:t>
      </w:r>
      <w:r w:rsidR="007634D0" w:rsidRPr="00721084">
        <w:rPr>
          <w:rFonts w:asciiTheme="minorEastAsia" w:eastAsiaTheme="minorEastAsia" w:hAnsiTheme="minorEastAsia" w:hint="eastAsia"/>
        </w:rPr>
        <w:t>32</w:t>
      </w:r>
      <w:r w:rsidRPr="00721084">
        <w:rPr>
          <w:rFonts w:asciiTheme="minorEastAsia" w:eastAsiaTheme="minorEastAsia" w:hAnsiTheme="minorEastAsia" w:hint="eastAsia"/>
        </w:rPr>
        <w:t>）</w:t>
      </w:r>
      <w:r w:rsidRPr="00721084">
        <w:rPr>
          <w:rFonts w:asciiTheme="minorEastAsia" w:eastAsiaTheme="minorEastAsia" w:hAnsiTheme="minorEastAsia" w:hint="eastAsia"/>
          <w:kern w:val="0"/>
        </w:rPr>
        <w:t>法律法规、《基金合同》规定的其他义务以及</w:t>
      </w:r>
      <w:r w:rsidRPr="00721084">
        <w:rPr>
          <w:rFonts w:asciiTheme="minorEastAsia" w:eastAsiaTheme="minorEastAsia" w:hAnsiTheme="minorEastAsia" w:hint="eastAsia"/>
        </w:rPr>
        <w:t>中国证监会和外管局根据审慎监管原则规定的基金托管人的其他职责。</w:t>
      </w:r>
    </w:p>
    <w:p w:rsidR="00785666" w:rsidRPr="00721084" w:rsidRDefault="00785666" w:rsidP="004D1E0F">
      <w:pPr>
        <w:snapToGrid w:val="0"/>
        <w:spacing w:line="360" w:lineRule="auto"/>
        <w:ind w:firstLineChars="200" w:firstLine="422"/>
        <w:rPr>
          <w:rFonts w:asciiTheme="minorEastAsia" w:eastAsiaTheme="minorEastAsia" w:hAnsiTheme="minorEastAsia"/>
          <w:b/>
        </w:rPr>
      </w:pPr>
      <w:r w:rsidRPr="00721084">
        <w:rPr>
          <w:rFonts w:asciiTheme="minorEastAsia" w:eastAsiaTheme="minorEastAsia" w:hAnsiTheme="minorEastAsia"/>
          <w:b/>
        </w:rPr>
        <w:t>二</w:t>
      </w:r>
      <w:r w:rsidRPr="00721084">
        <w:rPr>
          <w:rFonts w:asciiTheme="minorEastAsia" w:eastAsiaTheme="minorEastAsia" w:hAnsiTheme="minorEastAsia" w:hint="eastAsia"/>
          <w:b/>
        </w:rPr>
        <w:t>、</w:t>
      </w:r>
      <w:r w:rsidRPr="00721084">
        <w:rPr>
          <w:rFonts w:asciiTheme="minorEastAsia" w:eastAsiaTheme="minorEastAsia" w:hAnsiTheme="minorEastAsia"/>
          <w:b/>
        </w:rPr>
        <w:t>基金份额持有人大会召集、议事及表决的程序和规则</w:t>
      </w:r>
    </w:p>
    <w:p w:rsidR="00785666" w:rsidRPr="00721084" w:rsidRDefault="00785666" w:rsidP="004D1E0F">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基金份额持有人大会由基金份额持有人组成。基金份额持有人持有的每一基金份额拥有平等的投票权。</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（一）</w:t>
      </w:r>
      <w:r w:rsidRPr="00721084">
        <w:rPr>
          <w:rFonts w:asciiTheme="minorEastAsia" w:eastAsiaTheme="minorEastAsia" w:hAnsiTheme="minorEastAsia" w:hint="eastAsia"/>
          <w:b/>
          <w:bCs/>
        </w:rPr>
        <w:tab/>
        <w:t>召开事由</w:t>
      </w:r>
    </w:p>
    <w:p w:rsidR="00785666" w:rsidRPr="00721084" w:rsidRDefault="004D1E0F"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785666" w:rsidRPr="00721084">
        <w:rPr>
          <w:rFonts w:asciiTheme="minorEastAsia" w:eastAsiaTheme="minorEastAsia" w:hAnsiTheme="minorEastAsia" w:hint="eastAsia"/>
        </w:rPr>
        <w:t>当出现或需要决定下列事由之一的，应当召开基金份额持有人大会：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（1）终止《基金合同》；</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（2）更换基金管理人；</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（3）更换基金托管人；</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（4）转换基金运作方式；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（5）提高基金管理人和基金托管人的报酬标准。但根据法律法规的要求提高该等报酬标准的除外；</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Pr="00721084">
        <w:rPr>
          <w:rFonts w:asciiTheme="minorEastAsia" w:eastAsiaTheme="minorEastAsia" w:hAnsiTheme="minorEastAsia"/>
        </w:rPr>
        <w:t>变更基金类别</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（7</w:t>
      </w:r>
      <w:r w:rsidRPr="00721084">
        <w:rPr>
          <w:rFonts w:asciiTheme="minorEastAsia" w:eastAsiaTheme="minorEastAsia" w:hAnsiTheme="minorEastAsia"/>
        </w:rPr>
        <w:t>）</w:t>
      </w:r>
      <w:r w:rsidRPr="00721084">
        <w:rPr>
          <w:rFonts w:asciiTheme="minorEastAsia" w:eastAsiaTheme="minorEastAsia" w:hAnsiTheme="minorEastAsia" w:hint="eastAsia"/>
        </w:rPr>
        <w:t>本基金与其他基金的合并；</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（8）</w:t>
      </w:r>
      <w:r w:rsidRPr="00721084">
        <w:rPr>
          <w:rFonts w:asciiTheme="minorEastAsia" w:eastAsiaTheme="minorEastAsia" w:hAnsiTheme="minorEastAsia"/>
        </w:rPr>
        <w:t>变更基金投资目标、范围或策略</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（9）</w:t>
      </w:r>
      <w:r w:rsidRPr="00721084">
        <w:rPr>
          <w:rFonts w:asciiTheme="minorEastAsia" w:eastAsiaTheme="minorEastAsia" w:hAnsiTheme="minorEastAsia"/>
        </w:rPr>
        <w:t>变更基金份额持有人大会程序</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（10）基金管理人或基金托管人要求召开基金份额持有人大会；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（11）单独或合计持有本基金总份额10％以上（含10％）基金份额的基金份额持有人（以基金管理人收到提议当日的基金份额计算，下同）就同一事项书面要求召开基金份额持有人大会；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（12）对基金当事人权利和义务产生重大影响的其他事项；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（13）法律法规、《基金合同》或中国证监会规定的其他应当召开基金份额持有人大会的事项。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以下情况可由基金管理人和基金托管人协商后修改，不需召开基金份额持有人大会：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（1）调低基金管理费和基金托管费；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（2）法律法规要求增加的基金费用的收取；</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（3）在《基金合同》规定的范围内变更本基金的申购费率、降低赎回费率；</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（4）因相应的法律法规发生变动而应当对《基金合同》进行修改；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（5）《基金合同》的修改对基金份额持有人利益无实质性不利影响或修改不涉及《基金合同》当事人权利义务关系发生变化；</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（6）除按照法律法规和《基金合同》规定应当召开基金份额持有人大会的以外的其他情形。</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（二）</w:t>
      </w:r>
      <w:r w:rsidRPr="00721084">
        <w:rPr>
          <w:rFonts w:asciiTheme="minorEastAsia" w:eastAsiaTheme="minorEastAsia" w:hAnsiTheme="minorEastAsia" w:hint="eastAsia"/>
          <w:b/>
          <w:bCs/>
        </w:rPr>
        <w:tab/>
        <w:t>会议召集人及召集方式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除法律法规规定或《基金合同》另有约定外，基金份额持有人大会由基金管理人召集。</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基金管理人未按规定召集或不能召集时，由基金托管人召集。</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4D1E0F" w:rsidRPr="00721084">
        <w:rPr>
          <w:rFonts w:asciiTheme="minorEastAsia" w:eastAsiaTheme="minorEastAsia" w:hAnsiTheme="minorEastAsia" w:hint="eastAsia"/>
        </w:rPr>
        <w:t>、</w:t>
      </w:r>
      <w:r w:rsidRPr="00721084">
        <w:rPr>
          <w:rFonts w:asciiTheme="minorEastAsia" w:eastAsiaTheme="minorEastAsia" w:hAnsiTheme="minorEastAsia"/>
        </w:rPr>
        <w:t>基金托管人认为有必要召开基金份额持有人大会的，应当向基金管理人提出书面提议。基金管理人应当自收到书面提议之日起</w:t>
      </w:r>
      <w:r w:rsidRPr="00721084">
        <w:rPr>
          <w:rFonts w:asciiTheme="minorEastAsia" w:eastAsiaTheme="minorEastAsia" w:hAnsiTheme="minorEastAsia" w:hint="eastAsia"/>
        </w:rPr>
        <w:t>10</w:t>
      </w:r>
      <w:r w:rsidRPr="00721084">
        <w:rPr>
          <w:rFonts w:asciiTheme="minorEastAsia" w:eastAsiaTheme="minorEastAsia" w:hAnsiTheme="minorEastAsia"/>
        </w:rPr>
        <w:t>日内决定是否召集，并书面告知基金托管人。基金管理人决定召集的，应当自出具书面决定之日起</w:t>
      </w:r>
      <w:r w:rsidRPr="00721084">
        <w:rPr>
          <w:rFonts w:asciiTheme="minorEastAsia" w:eastAsiaTheme="minorEastAsia" w:hAnsiTheme="minorEastAsia" w:hint="eastAsia"/>
        </w:rPr>
        <w:t>60</w:t>
      </w:r>
      <w:r w:rsidRPr="00721084">
        <w:rPr>
          <w:rFonts w:asciiTheme="minorEastAsia" w:eastAsiaTheme="minorEastAsia" w:hAnsiTheme="minorEastAsia"/>
        </w:rPr>
        <w:t>日内召开；基金管理人决定不召集，基金托管人仍认为有必要召开的，应当</w:t>
      </w:r>
      <w:r w:rsidRPr="00721084">
        <w:rPr>
          <w:rFonts w:asciiTheme="minorEastAsia" w:eastAsiaTheme="minorEastAsia" w:hAnsiTheme="minorEastAsia" w:hint="eastAsia"/>
        </w:rPr>
        <w:t>由基金托管人</w:t>
      </w:r>
      <w:r w:rsidRPr="00721084">
        <w:rPr>
          <w:rFonts w:asciiTheme="minorEastAsia" w:eastAsiaTheme="minorEastAsia" w:hAnsiTheme="minorEastAsia"/>
        </w:rPr>
        <w:t>自行召集。</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代表基金份额10%以上（含10%）的基金份额持有人就同一事项书面要求召开基金份额持有人大会，</w:t>
      </w:r>
      <w:r w:rsidRPr="00721084">
        <w:rPr>
          <w:rFonts w:asciiTheme="minorEastAsia" w:eastAsiaTheme="minorEastAsia" w:hAnsiTheme="minorEastAsia"/>
        </w:rPr>
        <w:t>应当向基金管理人提出书面提议。基金管理人应当自收到书面提议之日起</w:t>
      </w:r>
      <w:r w:rsidRPr="00721084">
        <w:rPr>
          <w:rFonts w:asciiTheme="minorEastAsia" w:eastAsiaTheme="minorEastAsia" w:hAnsiTheme="minorEastAsia" w:hint="eastAsia"/>
        </w:rPr>
        <w:t>10</w:t>
      </w:r>
      <w:r w:rsidRPr="00721084">
        <w:rPr>
          <w:rFonts w:asciiTheme="minorEastAsia" w:eastAsiaTheme="minorEastAsia" w:hAnsiTheme="minorEastAsia"/>
        </w:rPr>
        <w:t>日内决定是否召集，并书面告知提出提议的基金份额持有人代表和基金托管人。基金管理人决定召集的，应当自出具书面决定之日起</w:t>
      </w:r>
      <w:r w:rsidRPr="00721084">
        <w:rPr>
          <w:rFonts w:asciiTheme="minorEastAsia" w:eastAsiaTheme="minorEastAsia" w:hAnsiTheme="minorEastAsia" w:hint="eastAsia"/>
        </w:rPr>
        <w:t>60</w:t>
      </w:r>
      <w:r w:rsidRPr="00721084">
        <w:rPr>
          <w:rFonts w:asciiTheme="minorEastAsia" w:eastAsiaTheme="minorEastAsia" w:hAnsiTheme="minorEastAsia"/>
        </w:rPr>
        <w:t>日内召开；基金管理人决定不召集，代表基金份额</w:t>
      </w:r>
      <w:r w:rsidRPr="00721084">
        <w:rPr>
          <w:rFonts w:asciiTheme="minorEastAsia" w:eastAsiaTheme="minorEastAsia" w:hAnsiTheme="minorEastAsia" w:hint="eastAsia"/>
        </w:rPr>
        <w:t>10%</w:t>
      </w:r>
      <w:r w:rsidRPr="00721084">
        <w:rPr>
          <w:rFonts w:asciiTheme="minorEastAsia" w:eastAsiaTheme="minorEastAsia" w:hAnsiTheme="minorEastAsia"/>
        </w:rPr>
        <w:t>以上</w:t>
      </w:r>
      <w:r w:rsidRPr="00721084">
        <w:rPr>
          <w:rFonts w:asciiTheme="minorEastAsia" w:eastAsiaTheme="minorEastAsia" w:hAnsiTheme="minorEastAsia" w:hint="eastAsia"/>
        </w:rPr>
        <w:t>（含10%）</w:t>
      </w:r>
      <w:r w:rsidRPr="00721084">
        <w:rPr>
          <w:rFonts w:asciiTheme="minorEastAsia" w:eastAsiaTheme="minorEastAsia" w:hAnsiTheme="minorEastAsia"/>
        </w:rPr>
        <w:t>的基金份额持有人仍认为有必要召开的，应当向基金托管人提出书面提议。基金托管人应当自收到书面提议之日起</w:t>
      </w:r>
      <w:r w:rsidRPr="00721084">
        <w:rPr>
          <w:rFonts w:asciiTheme="minorEastAsia" w:eastAsiaTheme="minorEastAsia" w:hAnsiTheme="minorEastAsia" w:hint="eastAsia"/>
        </w:rPr>
        <w:t>10</w:t>
      </w:r>
      <w:r w:rsidRPr="00721084">
        <w:rPr>
          <w:rFonts w:asciiTheme="minorEastAsia" w:eastAsiaTheme="minorEastAsia" w:hAnsiTheme="minorEastAsia"/>
        </w:rPr>
        <w:t>日内决定是否召集，并书面告知提出提议的基金份额持有人代表和基金管理人；基金托管人决定召集的，应当自出具书面决定之日起</w:t>
      </w:r>
      <w:r w:rsidRPr="00721084">
        <w:rPr>
          <w:rFonts w:asciiTheme="minorEastAsia" w:eastAsiaTheme="minorEastAsia" w:hAnsiTheme="minorEastAsia" w:hint="eastAsia"/>
        </w:rPr>
        <w:t>60</w:t>
      </w:r>
      <w:r w:rsidRPr="00721084">
        <w:rPr>
          <w:rFonts w:asciiTheme="minorEastAsia" w:eastAsiaTheme="minorEastAsia" w:hAnsiTheme="minorEastAsia"/>
        </w:rPr>
        <w:t>日内召开。</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5</w:t>
      </w:r>
      <w:r w:rsidR="004D1E0F" w:rsidRPr="00721084">
        <w:rPr>
          <w:rFonts w:asciiTheme="minorEastAsia" w:eastAsiaTheme="minorEastAsia" w:hAnsiTheme="minorEastAsia" w:hint="eastAsia"/>
        </w:rPr>
        <w:t>、</w:t>
      </w:r>
      <w:r w:rsidRPr="00721084">
        <w:rPr>
          <w:rFonts w:asciiTheme="minorEastAsia" w:eastAsiaTheme="minorEastAsia" w:hAnsiTheme="minorEastAsia"/>
        </w:rPr>
        <w:t>代表基金份额</w:t>
      </w:r>
      <w:r w:rsidRPr="00721084">
        <w:rPr>
          <w:rFonts w:asciiTheme="minorEastAsia" w:eastAsiaTheme="minorEastAsia" w:hAnsiTheme="minorEastAsia" w:hint="eastAsia"/>
        </w:rPr>
        <w:t>10%以上（含10%）</w:t>
      </w:r>
      <w:r w:rsidRPr="00721084">
        <w:rPr>
          <w:rFonts w:asciiTheme="minorEastAsia" w:eastAsiaTheme="minorEastAsia" w:hAnsiTheme="minorEastAsia"/>
        </w:rPr>
        <w:t>的基金份额持有人就同一事项要求召开基金份额持有人大会，而</w:t>
      </w:r>
      <w:r w:rsidRPr="00721084">
        <w:rPr>
          <w:rFonts w:asciiTheme="minorEastAsia" w:eastAsiaTheme="minorEastAsia" w:hAnsiTheme="minorEastAsia" w:hint="eastAsia"/>
        </w:rPr>
        <w:t>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基金份额持有人会议的召集人负责选择确定开会时间、地点、方式和权益登记日。</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（三）</w:t>
      </w:r>
      <w:r w:rsidRPr="00721084">
        <w:rPr>
          <w:rFonts w:asciiTheme="minorEastAsia" w:eastAsiaTheme="minorEastAsia" w:hAnsiTheme="minorEastAsia" w:hint="eastAsia"/>
          <w:b/>
          <w:bCs/>
        </w:rPr>
        <w:tab/>
        <w:t>召开基金份额持有人大会的通知时间、通知内容、通知方式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召开基金份额持有人大会，召集人应于会议召开前4</w:t>
      </w:r>
      <w:r w:rsidRPr="00721084">
        <w:rPr>
          <w:rFonts w:asciiTheme="minorEastAsia" w:eastAsiaTheme="minorEastAsia" w:hAnsiTheme="minorEastAsia"/>
        </w:rPr>
        <w:t>0</w:t>
      </w:r>
      <w:r w:rsidRPr="00721084">
        <w:rPr>
          <w:rFonts w:asciiTheme="minorEastAsia" w:eastAsiaTheme="minorEastAsia" w:hAnsiTheme="minorEastAsia" w:hint="eastAsia"/>
        </w:rPr>
        <w:t>天，在</w:t>
      </w:r>
      <w:r w:rsidR="00CF5E13" w:rsidRPr="00721084">
        <w:rPr>
          <w:rFonts w:asciiTheme="minorEastAsia" w:eastAsiaTheme="minorEastAsia" w:hAnsiTheme="minorEastAsia" w:hint="eastAsia"/>
        </w:rPr>
        <w:t>指定媒介</w:t>
      </w:r>
      <w:r w:rsidRPr="00721084">
        <w:rPr>
          <w:rFonts w:asciiTheme="minorEastAsia" w:eastAsiaTheme="minorEastAsia" w:hAnsiTheme="minorEastAsia" w:hint="eastAsia"/>
        </w:rPr>
        <w:t>公告。基金份额持有人大会通知应至少载明以下内容：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（1）会议召开的时间、地点、方式和会议形式；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（2）会议拟审议的事项、议事程序和表决形式；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（3）有权出席基金份额持有人大会的基金份额持有人的权益登记日；</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Pr="00721084">
        <w:rPr>
          <w:rFonts w:asciiTheme="minorEastAsia" w:eastAsiaTheme="minorEastAsia" w:hAnsiTheme="minorEastAsia"/>
        </w:rPr>
        <w:t>）</w:t>
      </w:r>
      <w:r w:rsidRPr="00721084">
        <w:rPr>
          <w:rFonts w:asciiTheme="minorEastAsia" w:eastAsiaTheme="minorEastAsia" w:hAnsiTheme="minorEastAsia" w:hint="eastAsia"/>
        </w:rPr>
        <w:t>授权委托书的内容要求（包括但不限于代理人身份，代理权限和代理有效期限等）、送达时间和地点；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（5）会务常设联系人姓名及联系电话。</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采</w:t>
      </w:r>
      <w:r w:rsidRPr="00721084">
        <w:rPr>
          <w:rFonts w:asciiTheme="minorEastAsia" w:eastAsiaTheme="minorEastAsia" w:hAnsiTheme="minorEastAsia"/>
        </w:rPr>
        <w:t>取通讯开会方式并进行表决的情况下，</w:t>
      </w:r>
      <w:r w:rsidRPr="00721084">
        <w:rPr>
          <w:rFonts w:asciiTheme="minorEastAsia" w:eastAsiaTheme="minorEastAsia" w:hAnsiTheme="minorEastAsia" w:hint="eastAsia"/>
        </w:rPr>
        <w:t>由会议召集人决定通讯方式和书面表决方式，并在会议通知中说明本次基金份额持有人大会所采取的具体通讯方式、委托的公证机关及其联系方式和联系人、书面表决意见寄交的截止时间和收取方式。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表决意见的计票结果。</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（四）</w:t>
      </w:r>
      <w:r w:rsidRPr="00721084">
        <w:rPr>
          <w:rFonts w:asciiTheme="minorEastAsia" w:eastAsiaTheme="minorEastAsia" w:hAnsiTheme="minorEastAsia" w:hint="eastAsia"/>
          <w:b/>
          <w:bCs/>
        </w:rPr>
        <w:tab/>
        <w:t>基金份额持有人出席</w:t>
      </w:r>
      <w:r w:rsidRPr="00721084">
        <w:rPr>
          <w:rFonts w:asciiTheme="minorEastAsia" w:eastAsiaTheme="minorEastAsia" w:hAnsiTheme="minorEastAsia"/>
          <w:b/>
          <w:bCs/>
        </w:rPr>
        <w:t>会议</w:t>
      </w:r>
      <w:r w:rsidRPr="00721084">
        <w:rPr>
          <w:rFonts w:asciiTheme="minorEastAsia" w:eastAsiaTheme="minorEastAsia" w:hAnsiTheme="minorEastAsia" w:hint="eastAsia"/>
          <w:b/>
          <w:bCs/>
        </w:rPr>
        <w:t>的</w:t>
      </w:r>
      <w:r w:rsidRPr="00721084">
        <w:rPr>
          <w:rFonts w:asciiTheme="minorEastAsia" w:eastAsiaTheme="minorEastAsia" w:hAnsiTheme="minorEastAsia"/>
          <w:b/>
          <w:bCs/>
        </w:rPr>
        <w:t>方式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基金份额持有人大会</w:t>
      </w:r>
      <w:r w:rsidRPr="00721084">
        <w:rPr>
          <w:rFonts w:asciiTheme="minorEastAsia" w:eastAsiaTheme="minorEastAsia" w:hAnsiTheme="minorEastAsia" w:hint="eastAsia"/>
        </w:rPr>
        <w:t>可通过现场开会方式或通讯开会方式召开。</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会议的召开方式由</w:t>
      </w:r>
      <w:r w:rsidRPr="00721084">
        <w:rPr>
          <w:rFonts w:asciiTheme="minorEastAsia" w:eastAsiaTheme="minorEastAsia" w:hAnsiTheme="minorEastAsia" w:hint="eastAsia"/>
        </w:rPr>
        <w:t>会议</w:t>
      </w:r>
      <w:r w:rsidRPr="00721084">
        <w:rPr>
          <w:rFonts w:asciiTheme="minorEastAsia" w:eastAsiaTheme="minorEastAsia" w:hAnsiTheme="minorEastAsia"/>
        </w:rPr>
        <w:t>召集人确定，但更换基金管理人和基金托管人必须以现场开会方式召开。</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rPr>
        <w:t>现场开会。由基金份额持有人本人出席或以代理投票授权委托书委派代表出席，现场开会时基金管理人和基金托管人的授权代表应当</w:t>
      </w:r>
      <w:r w:rsidRPr="00721084">
        <w:rPr>
          <w:rFonts w:asciiTheme="minorEastAsia" w:eastAsiaTheme="minorEastAsia" w:hAnsiTheme="minorEastAsia" w:hint="eastAsia"/>
        </w:rPr>
        <w:t>列席</w:t>
      </w:r>
      <w:r w:rsidRPr="00721084">
        <w:rPr>
          <w:rFonts w:asciiTheme="minorEastAsia" w:eastAsiaTheme="minorEastAsia" w:hAnsiTheme="minorEastAsia"/>
        </w:rPr>
        <w:t>基金份额持有人大会</w:t>
      </w:r>
      <w:r w:rsidRPr="00721084">
        <w:rPr>
          <w:rFonts w:asciiTheme="minorEastAsia" w:eastAsiaTheme="minorEastAsia" w:hAnsiTheme="minorEastAsia" w:hint="eastAsia"/>
        </w:rPr>
        <w:t>，基金管理人或托管人不派代表列席的，不影响表决效力</w:t>
      </w:r>
      <w:r w:rsidRPr="00721084">
        <w:rPr>
          <w:rFonts w:asciiTheme="minorEastAsia" w:eastAsiaTheme="minorEastAsia" w:hAnsiTheme="minorEastAsia"/>
        </w:rPr>
        <w:t>。现场开会同时符合以下条件时，可以进行基金份额持有人大会议程：</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（2）</w:t>
      </w:r>
      <w:r w:rsidRPr="00721084">
        <w:rPr>
          <w:rFonts w:asciiTheme="minorEastAsia" w:eastAsiaTheme="minorEastAsia" w:hAnsiTheme="minorEastAsia"/>
        </w:rPr>
        <w:t>经核对，汇总到会者出示的在权利登记日持有基金份额的凭证显示，有效的基金份额</w:t>
      </w:r>
      <w:r w:rsidRPr="00721084">
        <w:rPr>
          <w:rFonts w:asciiTheme="minorEastAsia" w:eastAsiaTheme="minorEastAsia" w:hAnsiTheme="minorEastAsia" w:hint="eastAsia"/>
        </w:rPr>
        <w:t>不少</w:t>
      </w:r>
      <w:r w:rsidRPr="00721084">
        <w:rPr>
          <w:rFonts w:asciiTheme="minorEastAsia" w:eastAsiaTheme="minorEastAsia" w:hAnsiTheme="minorEastAsia"/>
        </w:rPr>
        <w:t>于本基金在</w:t>
      </w:r>
      <w:r w:rsidRPr="00721084">
        <w:rPr>
          <w:rFonts w:asciiTheme="minorEastAsia" w:eastAsiaTheme="minorEastAsia" w:hAnsiTheme="minorEastAsia" w:hint="eastAsia"/>
        </w:rPr>
        <w:t>权益</w:t>
      </w:r>
      <w:r w:rsidRPr="00721084">
        <w:rPr>
          <w:rFonts w:asciiTheme="minorEastAsia" w:eastAsiaTheme="minorEastAsia" w:hAnsiTheme="minorEastAsia"/>
        </w:rPr>
        <w:t>登记日基金总</w:t>
      </w:r>
      <w:r w:rsidRPr="00721084">
        <w:rPr>
          <w:rFonts w:asciiTheme="minorEastAsia" w:eastAsiaTheme="minorEastAsia" w:hAnsiTheme="minorEastAsia" w:hint="eastAsia"/>
        </w:rPr>
        <w:t>份</w:t>
      </w:r>
      <w:r w:rsidRPr="00721084">
        <w:rPr>
          <w:rFonts w:asciiTheme="minorEastAsia" w:eastAsiaTheme="minorEastAsia" w:hAnsiTheme="minorEastAsia"/>
        </w:rPr>
        <w:t>额的</w:t>
      </w:r>
      <w:r w:rsidRPr="00721084">
        <w:rPr>
          <w:rFonts w:asciiTheme="minorEastAsia" w:eastAsiaTheme="minorEastAsia" w:hAnsiTheme="minorEastAsia" w:hint="eastAsia"/>
        </w:rPr>
        <w:t>50</w:t>
      </w:r>
      <w:r w:rsidRPr="00721084">
        <w:rPr>
          <w:rFonts w:asciiTheme="minorEastAsia" w:eastAsiaTheme="minorEastAsia" w:hAnsiTheme="minorEastAsia"/>
        </w:rPr>
        <w:t>%</w:t>
      </w:r>
      <w:r w:rsidRPr="00721084">
        <w:rPr>
          <w:rFonts w:asciiTheme="minorEastAsia" w:eastAsiaTheme="minorEastAsia" w:hAnsiTheme="minorEastAsia" w:hint="eastAsia"/>
        </w:rPr>
        <w:t>（含50%）</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rPr>
        <w:t>通讯开会。</w:t>
      </w:r>
      <w:r w:rsidRPr="00721084">
        <w:rPr>
          <w:rFonts w:asciiTheme="minorEastAsia" w:eastAsiaTheme="minorEastAsia" w:hAnsiTheme="minorEastAsia" w:hint="eastAsia"/>
        </w:rPr>
        <w:t>通讯开会系指基金份额持有人将其对表决事项的投票以书面形式在表决截至日以前送达至召集人指定的地址。</w:t>
      </w:r>
      <w:r w:rsidRPr="00721084">
        <w:rPr>
          <w:rFonts w:asciiTheme="minorEastAsia" w:eastAsiaTheme="minorEastAsia" w:hAnsiTheme="minorEastAsia"/>
        </w:rPr>
        <w:t>通讯开会应以书面方式进行表决。</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在</w:t>
      </w:r>
      <w:r w:rsidRPr="00721084">
        <w:rPr>
          <w:rFonts w:asciiTheme="minorEastAsia" w:eastAsiaTheme="minorEastAsia" w:hAnsiTheme="minorEastAsia" w:hint="eastAsia"/>
        </w:rPr>
        <w:t>同时</w:t>
      </w:r>
      <w:r w:rsidRPr="00721084">
        <w:rPr>
          <w:rFonts w:asciiTheme="minorEastAsia" w:eastAsiaTheme="minorEastAsia" w:hAnsiTheme="minorEastAsia"/>
        </w:rPr>
        <w:t>符合以下条件时，通讯开会的方式视为有效：</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（1）会议召集人</w:t>
      </w:r>
      <w:r w:rsidRPr="00721084">
        <w:rPr>
          <w:rFonts w:asciiTheme="minorEastAsia" w:eastAsiaTheme="minorEastAsia" w:hAnsiTheme="minorEastAsia"/>
        </w:rPr>
        <w:t>按《基金合同》规定公布会议通知后，在</w:t>
      </w:r>
      <w:r w:rsidRPr="00721084">
        <w:rPr>
          <w:rFonts w:asciiTheme="minorEastAsia" w:eastAsiaTheme="minorEastAsia" w:hAnsiTheme="minorEastAsia" w:hint="eastAsia"/>
        </w:rPr>
        <w:t>2</w:t>
      </w:r>
      <w:r w:rsidRPr="00721084">
        <w:rPr>
          <w:rFonts w:asciiTheme="minorEastAsia" w:eastAsiaTheme="minorEastAsia" w:hAnsiTheme="minorEastAsia"/>
        </w:rPr>
        <w:t>个工作日内连续公布相关提示性公告；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（2）会议召集人</w:t>
      </w:r>
      <w:r w:rsidRPr="00721084">
        <w:rPr>
          <w:rFonts w:asciiTheme="minorEastAsia" w:eastAsiaTheme="minorEastAsia" w:hAnsiTheme="minorEastAsia"/>
        </w:rPr>
        <w:t>在基金托管人</w:t>
      </w:r>
      <w:r w:rsidRPr="00721084">
        <w:rPr>
          <w:rFonts w:asciiTheme="minorEastAsia" w:eastAsiaTheme="minorEastAsia" w:hAnsiTheme="minorEastAsia" w:hint="eastAsia"/>
        </w:rPr>
        <w:t>（如果基金托管人为召集人，则为基金管理人）</w:t>
      </w:r>
      <w:r w:rsidRPr="00721084">
        <w:rPr>
          <w:rFonts w:asciiTheme="minorEastAsia" w:eastAsiaTheme="minorEastAsia" w:hAnsiTheme="minorEastAsia"/>
        </w:rPr>
        <w:t>和公证机关的监督下按照会议通知规定的方式收取基金份额持有人的书面表决意见；</w:t>
      </w:r>
      <w:r w:rsidRPr="00721084">
        <w:rPr>
          <w:rFonts w:asciiTheme="minorEastAsia" w:eastAsiaTheme="minorEastAsia" w:hAnsiTheme="minorEastAsia" w:hint="eastAsia"/>
        </w:rPr>
        <w:t>基金托管人或基金管理人经通知不参加收取书面表决意见的，不影响表决效力</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Pr="00721084">
        <w:rPr>
          <w:rFonts w:asciiTheme="minorEastAsia" w:eastAsiaTheme="minorEastAsia" w:hAnsiTheme="minorEastAsia"/>
        </w:rPr>
        <w:t>本人直接出具书面意见或授权他人代表出具书面意见的，基金份额持有人所持有的基金份额</w:t>
      </w:r>
      <w:r w:rsidRPr="00721084">
        <w:rPr>
          <w:rFonts w:asciiTheme="minorEastAsia" w:eastAsiaTheme="minorEastAsia" w:hAnsiTheme="minorEastAsia" w:hint="eastAsia"/>
        </w:rPr>
        <w:t>不小</w:t>
      </w:r>
      <w:r w:rsidRPr="00721084">
        <w:rPr>
          <w:rFonts w:asciiTheme="minorEastAsia" w:eastAsiaTheme="minorEastAsia" w:hAnsiTheme="minorEastAsia"/>
        </w:rPr>
        <w:t>于在</w:t>
      </w:r>
      <w:r w:rsidRPr="00721084">
        <w:rPr>
          <w:rFonts w:asciiTheme="minorEastAsia" w:eastAsiaTheme="minorEastAsia" w:hAnsiTheme="minorEastAsia" w:hint="eastAsia"/>
        </w:rPr>
        <w:t>权益</w:t>
      </w:r>
      <w:r w:rsidRPr="00721084">
        <w:rPr>
          <w:rFonts w:asciiTheme="minorEastAsia" w:eastAsiaTheme="minorEastAsia" w:hAnsiTheme="minorEastAsia"/>
        </w:rPr>
        <w:t>登记日基金总份额的</w:t>
      </w:r>
      <w:r w:rsidRPr="00721084">
        <w:rPr>
          <w:rFonts w:asciiTheme="minorEastAsia" w:eastAsiaTheme="minorEastAsia" w:hAnsiTheme="minorEastAsia" w:hint="eastAsia"/>
        </w:rPr>
        <w:t>50%（含50%）</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（4）上述第（3）项中</w:t>
      </w:r>
      <w:r w:rsidRPr="00721084">
        <w:rPr>
          <w:rFonts w:asciiTheme="minorEastAsia" w:eastAsiaTheme="minorEastAsia" w:hAnsiTheme="minorEastAsia"/>
        </w:rPr>
        <w:t>直接出具书面意见的基金份额持有人或受托代表他人出具书面意见的代理人，同时提交的持有基金份额的凭证、受托</w:t>
      </w:r>
      <w:r w:rsidRPr="00721084">
        <w:rPr>
          <w:rFonts w:asciiTheme="minorEastAsia" w:eastAsiaTheme="minorEastAsia" w:hAnsiTheme="minorEastAsia" w:hint="eastAsia"/>
        </w:rPr>
        <w:t>出具书面意见的代理人</w:t>
      </w:r>
      <w:r w:rsidRPr="00721084">
        <w:rPr>
          <w:rFonts w:asciiTheme="minorEastAsia" w:eastAsiaTheme="minorEastAsia" w:hAnsiTheme="minorEastAsia"/>
        </w:rPr>
        <w:t>出具的委托人持有基金份额的凭证及委托人的代理投票授权委托书符合法律法规、《基金合同》和会议通知的规定</w:t>
      </w:r>
      <w:r w:rsidRPr="00721084">
        <w:rPr>
          <w:rFonts w:asciiTheme="minorEastAsia" w:eastAsiaTheme="minorEastAsia" w:hAnsiTheme="minorEastAsia" w:hint="eastAsia"/>
        </w:rPr>
        <w:t>，并与基金登记注册机构记录相符，并且委托人出具的代理投票授权委托书符合法律法规、《基金合同》和会议通知的规定</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w:t>
      </w:r>
      <w:r w:rsidRPr="00721084">
        <w:rPr>
          <w:rFonts w:asciiTheme="minorEastAsia" w:eastAsiaTheme="minorEastAsia" w:hAnsiTheme="minorEastAsia"/>
        </w:rPr>
        <w:t>会议通知公布前报中国证监会备案。</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（五）</w:t>
      </w:r>
      <w:r w:rsidRPr="00721084">
        <w:rPr>
          <w:rFonts w:asciiTheme="minorEastAsia" w:eastAsiaTheme="minorEastAsia" w:hAnsiTheme="minorEastAsia" w:hint="eastAsia"/>
          <w:b/>
          <w:bCs/>
        </w:rPr>
        <w:tab/>
      </w:r>
      <w:r w:rsidRPr="00721084">
        <w:rPr>
          <w:rFonts w:asciiTheme="minorEastAsia" w:eastAsiaTheme="minorEastAsia" w:hAnsiTheme="minorEastAsia"/>
          <w:b/>
          <w:bCs/>
        </w:rPr>
        <w:t>议事内容与程序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rPr>
        <w:t>议事内容及提案权</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议事内容为关系基金份额持有人利益的重大事项，如</w:t>
      </w:r>
      <w:r w:rsidRPr="00721084">
        <w:rPr>
          <w:rFonts w:asciiTheme="minorEastAsia" w:eastAsiaTheme="minorEastAsia" w:hAnsiTheme="minorEastAsia" w:hint="eastAsia"/>
        </w:rPr>
        <w:t>《基金合同》的重大修改</w:t>
      </w:r>
      <w:r w:rsidRPr="00721084">
        <w:rPr>
          <w:rFonts w:asciiTheme="minorEastAsia" w:eastAsiaTheme="minorEastAsia" w:hAnsiTheme="minorEastAsia"/>
        </w:rPr>
        <w:t>、决定终止</w:t>
      </w:r>
      <w:r w:rsidRPr="00721084">
        <w:rPr>
          <w:rFonts w:asciiTheme="minorEastAsia" w:eastAsiaTheme="minorEastAsia" w:hAnsiTheme="minorEastAsia" w:hint="eastAsia"/>
        </w:rPr>
        <w:t>《</w:t>
      </w:r>
      <w:r w:rsidRPr="00721084">
        <w:rPr>
          <w:rFonts w:asciiTheme="minorEastAsia" w:eastAsiaTheme="minorEastAsia" w:hAnsiTheme="minorEastAsia"/>
        </w:rPr>
        <w:t>基金</w:t>
      </w:r>
      <w:r w:rsidRPr="00721084">
        <w:rPr>
          <w:rFonts w:asciiTheme="minorEastAsia" w:eastAsiaTheme="minorEastAsia" w:hAnsiTheme="minorEastAsia" w:hint="eastAsia"/>
        </w:rPr>
        <w:t>合同》</w:t>
      </w:r>
      <w:r w:rsidRPr="00721084">
        <w:rPr>
          <w:rFonts w:asciiTheme="minorEastAsia" w:eastAsiaTheme="minorEastAsia" w:hAnsiTheme="minorEastAsia"/>
        </w:rPr>
        <w:t>、更换基金管理人、更换基金托管人、与其他基金合并</w:t>
      </w:r>
      <w:r w:rsidRPr="00721084">
        <w:rPr>
          <w:rFonts w:asciiTheme="minorEastAsia" w:eastAsiaTheme="minorEastAsia" w:hAnsiTheme="minorEastAsia" w:hint="eastAsia"/>
        </w:rPr>
        <w:t>、法律法规及《基金合同》规定的其他事项</w:t>
      </w:r>
      <w:r w:rsidRPr="00721084">
        <w:rPr>
          <w:rFonts w:asciiTheme="minorEastAsia" w:eastAsiaTheme="minorEastAsia" w:hAnsiTheme="minorEastAsia"/>
        </w:rPr>
        <w:t>以及</w:t>
      </w:r>
      <w:r w:rsidRPr="00721084">
        <w:rPr>
          <w:rFonts w:asciiTheme="minorEastAsia" w:eastAsiaTheme="minorEastAsia" w:hAnsiTheme="minorEastAsia" w:hint="eastAsia"/>
        </w:rPr>
        <w:t>会议</w:t>
      </w:r>
      <w:r w:rsidRPr="00721084">
        <w:rPr>
          <w:rFonts w:asciiTheme="minorEastAsia" w:eastAsiaTheme="minorEastAsia" w:hAnsiTheme="minorEastAsia"/>
        </w:rPr>
        <w:t>召集人认为需提交基金份额持有人大会讨论的其他事项。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基金管理人、基金托管人、单独或合并持有权</w:t>
      </w:r>
      <w:r w:rsidRPr="00721084">
        <w:rPr>
          <w:rFonts w:asciiTheme="minorEastAsia" w:eastAsiaTheme="minorEastAsia" w:hAnsiTheme="minorEastAsia" w:hint="eastAsia"/>
        </w:rPr>
        <w:t>益</w:t>
      </w:r>
      <w:r w:rsidRPr="00721084">
        <w:rPr>
          <w:rFonts w:asciiTheme="minorEastAsia" w:eastAsiaTheme="minorEastAsia" w:hAnsiTheme="minorEastAsia"/>
        </w:rPr>
        <w:t>登记日基金总份额10%</w:t>
      </w:r>
      <w:r w:rsidRPr="00721084">
        <w:rPr>
          <w:rFonts w:asciiTheme="minorEastAsia" w:eastAsiaTheme="minorEastAsia" w:hAnsiTheme="minorEastAsia" w:hint="eastAsia"/>
        </w:rPr>
        <w:t>（含10%）</w:t>
      </w:r>
      <w:r w:rsidRPr="00721084">
        <w:rPr>
          <w:rFonts w:asciiTheme="minorEastAsia" w:eastAsiaTheme="minorEastAsia" w:hAnsiTheme="minorEastAsia"/>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721084">
        <w:rPr>
          <w:rFonts w:asciiTheme="minorEastAsia" w:eastAsiaTheme="minorEastAsia" w:hAnsiTheme="minorEastAsia" w:hint="eastAsia"/>
        </w:rPr>
        <w:t>至少35</w:t>
      </w:r>
      <w:r w:rsidRPr="00721084">
        <w:rPr>
          <w:rFonts w:asciiTheme="minorEastAsia" w:eastAsiaTheme="minorEastAsia" w:hAnsiTheme="minorEastAsia"/>
        </w:rPr>
        <w:t>天</w:t>
      </w:r>
      <w:r w:rsidRPr="00721084">
        <w:rPr>
          <w:rFonts w:asciiTheme="minorEastAsia" w:eastAsiaTheme="minorEastAsia" w:hAnsiTheme="minorEastAsia" w:hint="eastAsia"/>
        </w:rPr>
        <w:t>前</w:t>
      </w:r>
      <w:r w:rsidRPr="00721084">
        <w:rPr>
          <w:rFonts w:asciiTheme="minorEastAsia" w:eastAsiaTheme="minorEastAsia" w:hAnsiTheme="minorEastAsia"/>
        </w:rPr>
        <w:t>提交召集人</w:t>
      </w:r>
      <w:r w:rsidRPr="00721084">
        <w:rPr>
          <w:rFonts w:asciiTheme="minorEastAsia" w:eastAsiaTheme="minorEastAsia" w:hAnsiTheme="minorEastAsia" w:hint="eastAsia"/>
        </w:rPr>
        <w:t>并由召集人公告</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基金份额持有人大会的召集人发出召集会议的通知后，对原有提案的修改应当在基金份额持有人大会召开日</w:t>
      </w:r>
      <w:r w:rsidRPr="00721084">
        <w:rPr>
          <w:rFonts w:asciiTheme="minorEastAsia" w:eastAsiaTheme="minorEastAsia" w:hAnsiTheme="minorEastAsia" w:hint="eastAsia"/>
        </w:rPr>
        <w:t>30</w:t>
      </w:r>
      <w:r w:rsidRPr="00721084">
        <w:rPr>
          <w:rFonts w:asciiTheme="minorEastAsia" w:eastAsiaTheme="minorEastAsia" w:hAnsiTheme="minorEastAsia"/>
        </w:rPr>
        <w:t>天</w:t>
      </w:r>
      <w:r w:rsidRPr="00721084">
        <w:rPr>
          <w:rFonts w:asciiTheme="minorEastAsia" w:eastAsiaTheme="minorEastAsia" w:hAnsiTheme="minorEastAsia" w:hint="eastAsia"/>
        </w:rPr>
        <w:t>前</w:t>
      </w:r>
      <w:r w:rsidRPr="00721084">
        <w:rPr>
          <w:rFonts w:asciiTheme="minorEastAsia" w:eastAsiaTheme="minorEastAsia" w:hAnsiTheme="minorEastAsia"/>
        </w:rPr>
        <w:t>公告。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基金份额持有人大会不得对未事先公告的议事内容进行表决。</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召集人对于基金管理人</w:t>
      </w:r>
      <w:r w:rsidRPr="00721084">
        <w:rPr>
          <w:rFonts w:asciiTheme="minorEastAsia" w:eastAsiaTheme="minorEastAsia" w:hAnsiTheme="minorEastAsia" w:hint="eastAsia"/>
        </w:rPr>
        <w:t>、</w:t>
      </w:r>
      <w:r w:rsidRPr="00721084">
        <w:rPr>
          <w:rFonts w:asciiTheme="minorEastAsia" w:eastAsiaTheme="minorEastAsia" w:hAnsiTheme="minorEastAsia"/>
        </w:rPr>
        <w:t>基金托管人和</w:t>
      </w:r>
      <w:r w:rsidRPr="00721084">
        <w:rPr>
          <w:rFonts w:asciiTheme="minorEastAsia" w:eastAsiaTheme="minorEastAsia" w:hAnsiTheme="minorEastAsia" w:hint="eastAsia"/>
        </w:rPr>
        <w:t>基金份额持有人</w:t>
      </w:r>
      <w:r w:rsidRPr="00721084">
        <w:rPr>
          <w:rFonts w:asciiTheme="minorEastAsia" w:eastAsiaTheme="minorEastAsia" w:hAnsiTheme="minorEastAsia"/>
        </w:rPr>
        <w:t>提交的临时提案</w:t>
      </w:r>
      <w:r w:rsidRPr="00721084">
        <w:rPr>
          <w:rFonts w:asciiTheme="minorEastAsia" w:eastAsiaTheme="minorEastAsia" w:hAnsiTheme="minorEastAsia" w:hint="eastAsia"/>
        </w:rPr>
        <w:t>进行审核，符合条件的</w:t>
      </w:r>
      <w:r w:rsidRPr="00721084">
        <w:rPr>
          <w:rFonts w:asciiTheme="minorEastAsia" w:eastAsiaTheme="minorEastAsia" w:hAnsiTheme="minorEastAsia"/>
        </w:rPr>
        <w:t>应当在大会召开日</w:t>
      </w:r>
      <w:r w:rsidRPr="00721084">
        <w:rPr>
          <w:rFonts w:asciiTheme="minorEastAsia" w:eastAsiaTheme="minorEastAsia" w:hAnsiTheme="minorEastAsia" w:hint="eastAsia"/>
        </w:rPr>
        <w:t>30</w:t>
      </w:r>
      <w:r w:rsidRPr="00721084">
        <w:rPr>
          <w:rFonts w:asciiTheme="minorEastAsia" w:eastAsiaTheme="minorEastAsia" w:hAnsiTheme="minorEastAsia"/>
        </w:rPr>
        <w:t>天前公告。大会召集人应当按照以下原则对提案进行审核：</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rPr>
        <w:t>关联性。大会召集人对于提案涉及事项与基金有直接关系，并且不超出法律法规和</w:t>
      </w:r>
      <w:r w:rsidRPr="00721084">
        <w:rPr>
          <w:rFonts w:asciiTheme="minorEastAsia" w:eastAsiaTheme="minorEastAsia" w:hAnsiTheme="minorEastAsia" w:hint="eastAsia"/>
        </w:rPr>
        <w:t>《基金合同》</w:t>
      </w:r>
      <w:r w:rsidRPr="00721084">
        <w:rPr>
          <w:rFonts w:asciiTheme="minorEastAsia" w:eastAsiaTheme="minorEastAsia" w:hAnsiTheme="minorEastAsia"/>
        </w:rPr>
        <w:t>规定的基金份额持有人大会职权范围的，应提交大会审议；对于不符合上述</w:t>
      </w:r>
      <w:r w:rsidRPr="00721084">
        <w:rPr>
          <w:rFonts w:asciiTheme="minorEastAsia" w:eastAsiaTheme="minorEastAsia" w:hAnsiTheme="minorEastAsia"/>
        </w:rPr>
        <w:lastRenderedPageBreak/>
        <w:t>要求的，不提交基金份额持有人大会审议。如果召集人决定不将基金份额持有人提案提交大会表决，应当在该次基金份额持有人大会上进行解释和说明。</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Pr="00721084">
        <w:rPr>
          <w:rFonts w:asciiTheme="minorEastAsia" w:eastAsiaTheme="minorEastAsia" w:hAnsiTheme="minorEastAsia"/>
        </w:rPr>
        <w:t>程序性。大会召集人可以对提案涉及的程序性问题</w:t>
      </w:r>
      <w:r w:rsidRPr="00721084">
        <w:rPr>
          <w:rFonts w:asciiTheme="minorEastAsia" w:eastAsiaTheme="minorEastAsia" w:hAnsiTheme="minorEastAsia" w:hint="eastAsia"/>
        </w:rPr>
        <w:t>做</w:t>
      </w:r>
      <w:r w:rsidRPr="00721084">
        <w:rPr>
          <w:rFonts w:asciiTheme="minorEastAsia" w:eastAsiaTheme="minorEastAsia" w:hAnsiTheme="minorEastAsia"/>
        </w:rPr>
        <w:t>出决定。如将提案进行分拆或合并表决，需征得原提案人同意；原提案人不同意变更的，大会主持人可以就程序性问题提请基金份额持有人大会</w:t>
      </w:r>
      <w:r w:rsidRPr="00721084">
        <w:rPr>
          <w:rFonts w:asciiTheme="minorEastAsia" w:eastAsiaTheme="minorEastAsia" w:hAnsiTheme="minorEastAsia" w:hint="eastAsia"/>
        </w:rPr>
        <w:t>做</w:t>
      </w:r>
      <w:r w:rsidRPr="00721084">
        <w:rPr>
          <w:rFonts w:asciiTheme="minorEastAsia" w:eastAsiaTheme="minorEastAsia" w:hAnsiTheme="minorEastAsia"/>
        </w:rPr>
        <w:t>出决定，并按照基金份额持有人大会决定的程序进行审议。</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rPr>
        <w:t>议事程序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rPr>
        <w:t>现场开会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在现场开会的方式下，首先由大会主持人按照下列第七</w:t>
      </w:r>
      <w:r w:rsidRPr="00721084">
        <w:rPr>
          <w:rFonts w:asciiTheme="minorEastAsia" w:eastAsiaTheme="minorEastAsia" w:hAnsiTheme="minorEastAsia" w:hint="eastAsia"/>
        </w:rPr>
        <w:t>条</w:t>
      </w:r>
      <w:r w:rsidRPr="00721084">
        <w:rPr>
          <w:rFonts w:asciiTheme="minorEastAsia" w:eastAsiaTheme="minorEastAsia" w:hAnsiTheme="minorEastAsia"/>
        </w:rPr>
        <w:t>规定程序确定和公布监票人，然后由大会主持人宣读提案，经讨论后进行表决，并形成大会决议。大会主持人为基金管理人授权出席会议的代表，在基金管理人</w:t>
      </w:r>
      <w:r w:rsidRPr="00721084">
        <w:rPr>
          <w:rFonts w:asciiTheme="minorEastAsia" w:eastAsiaTheme="minorEastAsia" w:hAnsiTheme="minorEastAsia" w:hint="eastAsia"/>
        </w:rPr>
        <w:t>授权代表</w:t>
      </w:r>
      <w:r w:rsidRPr="00721084">
        <w:rPr>
          <w:rFonts w:asciiTheme="minorEastAsia" w:eastAsiaTheme="minorEastAsia" w:hAnsiTheme="minorEastAsia"/>
        </w:rPr>
        <w:t>未能主持大会的情况下，由基金托管人授权其出席会议的代表主持；如果基金管理人</w:t>
      </w:r>
      <w:r w:rsidRPr="00721084">
        <w:rPr>
          <w:rFonts w:asciiTheme="minorEastAsia" w:eastAsiaTheme="minorEastAsia" w:hAnsiTheme="minorEastAsia" w:hint="eastAsia"/>
        </w:rPr>
        <w:t>授权代表</w:t>
      </w:r>
      <w:r w:rsidRPr="00721084">
        <w:rPr>
          <w:rFonts w:asciiTheme="minorEastAsia" w:eastAsiaTheme="minorEastAsia" w:hAnsiTheme="minorEastAsia"/>
        </w:rPr>
        <w:t>和基金托管人</w:t>
      </w:r>
      <w:r w:rsidRPr="00721084">
        <w:rPr>
          <w:rFonts w:asciiTheme="minorEastAsia" w:eastAsiaTheme="minorEastAsia" w:hAnsiTheme="minorEastAsia" w:hint="eastAsia"/>
        </w:rPr>
        <w:t>授权代表</w:t>
      </w:r>
      <w:r w:rsidRPr="00721084">
        <w:rPr>
          <w:rFonts w:asciiTheme="minorEastAsia" w:eastAsiaTheme="minorEastAsia" w:hAnsiTheme="minorEastAsia"/>
        </w:rPr>
        <w:t>均未能主持大会，则由出席大会的基金份额持有人</w:t>
      </w:r>
      <w:r w:rsidRPr="00721084">
        <w:rPr>
          <w:rFonts w:asciiTheme="minorEastAsia" w:eastAsiaTheme="minorEastAsia" w:hAnsiTheme="minorEastAsia" w:hint="eastAsia"/>
        </w:rPr>
        <w:t>所持表决权的</w:t>
      </w:r>
      <w:r w:rsidRPr="00721084">
        <w:rPr>
          <w:rFonts w:asciiTheme="minorEastAsia" w:eastAsiaTheme="minorEastAsia" w:hAnsiTheme="minorEastAsia"/>
        </w:rPr>
        <w:t>50%以上（含50%）</w:t>
      </w:r>
      <w:r w:rsidRPr="00721084">
        <w:rPr>
          <w:rFonts w:asciiTheme="minorEastAsia" w:eastAsiaTheme="minorEastAsia" w:hAnsiTheme="minorEastAsia" w:hint="eastAsia"/>
        </w:rPr>
        <w:t>选举</w:t>
      </w:r>
      <w:r w:rsidRPr="00721084">
        <w:rPr>
          <w:rFonts w:asciiTheme="minorEastAsia" w:eastAsiaTheme="minorEastAsia" w:hAnsiTheme="minorEastAsia"/>
        </w:rPr>
        <w:t>产生一名基金份额持有人作为该次基金份额持有人大会的主持人。</w:t>
      </w:r>
      <w:r w:rsidRPr="00721084">
        <w:rPr>
          <w:rFonts w:asciiTheme="minorEastAsia" w:eastAsiaTheme="minorEastAsia" w:hAnsiTheme="minorEastAsia" w:hint="eastAsia"/>
        </w:rPr>
        <w:t>基金管理人和基金托管人不出席或主持基金份额持有人大会，不影响基金份额持有人大会作出的决议的效力。</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会议</w:t>
      </w:r>
      <w:r w:rsidRPr="00721084">
        <w:rPr>
          <w:rFonts w:asciiTheme="minorEastAsia" w:eastAsiaTheme="minorEastAsia" w:hAnsiTheme="minorEastAsia"/>
        </w:rPr>
        <w:t>召集人应当制作出席会议人员的签名册。签名册载明参加会议人员姓名（或单位名称）、身份证号码、住所地址、持有或代表有表决权的基金份额、委托人姓名（或单位名称）等事项。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Pr="00721084">
        <w:rPr>
          <w:rFonts w:asciiTheme="minorEastAsia" w:eastAsiaTheme="minorEastAsia" w:hAnsiTheme="minorEastAsia"/>
        </w:rPr>
        <w:t>通讯开会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在通讯开会的情况下，</w:t>
      </w:r>
      <w:r w:rsidRPr="00721084">
        <w:rPr>
          <w:rFonts w:asciiTheme="minorEastAsia" w:eastAsiaTheme="minorEastAsia" w:hAnsiTheme="minorEastAsia" w:hint="eastAsia"/>
        </w:rPr>
        <w:t>首先由召集人提前30日公布提案</w:t>
      </w:r>
      <w:r w:rsidRPr="00721084">
        <w:rPr>
          <w:rFonts w:asciiTheme="minorEastAsia" w:eastAsiaTheme="minorEastAsia" w:hAnsiTheme="minorEastAsia"/>
        </w:rPr>
        <w:t>，在所通知的表决截止日期</w:t>
      </w:r>
      <w:r w:rsidRPr="00721084">
        <w:rPr>
          <w:rFonts w:asciiTheme="minorEastAsia" w:eastAsiaTheme="minorEastAsia" w:hAnsiTheme="minorEastAsia" w:hint="eastAsia"/>
        </w:rPr>
        <w:t>后2个工作日内在公证机关监督下由召集人统计全部有效表决</w:t>
      </w:r>
      <w:r w:rsidRPr="00721084">
        <w:rPr>
          <w:rFonts w:asciiTheme="minorEastAsia" w:eastAsiaTheme="minorEastAsia" w:hAnsiTheme="minorEastAsia"/>
        </w:rPr>
        <w:t>，在公证</w:t>
      </w:r>
      <w:r w:rsidRPr="00721084">
        <w:rPr>
          <w:rFonts w:asciiTheme="minorEastAsia" w:eastAsiaTheme="minorEastAsia" w:hAnsiTheme="minorEastAsia" w:hint="eastAsia"/>
        </w:rPr>
        <w:t>机关</w:t>
      </w:r>
      <w:r w:rsidRPr="00721084">
        <w:rPr>
          <w:rFonts w:asciiTheme="minorEastAsia" w:eastAsiaTheme="minorEastAsia" w:hAnsiTheme="minorEastAsia"/>
        </w:rPr>
        <w:t>监督下形成决议。</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（六）</w:t>
      </w:r>
      <w:r w:rsidRPr="00721084">
        <w:rPr>
          <w:rFonts w:asciiTheme="minorEastAsia" w:eastAsiaTheme="minorEastAsia" w:hAnsiTheme="minorEastAsia" w:hint="eastAsia"/>
          <w:b/>
          <w:bCs/>
        </w:rPr>
        <w:tab/>
      </w:r>
      <w:r w:rsidRPr="00721084">
        <w:rPr>
          <w:rFonts w:asciiTheme="minorEastAsia" w:eastAsiaTheme="minorEastAsia" w:hAnsiTheme="minorEastAsia"/>
          <w:b/>
          <w:bCs/>
        </w:rPr>
        <w:t>表决</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基金份额持有人所持每份基金份额有一票表决权。</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基金份额持有人大会决议分为一般决议和特别决议：</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rPr>
        <w:t>一般决议，一般决议须经参加大会的基金份额持有人</w:t>
      </w:r>
      <w:r w:rsidRPr="00721084">
        <w:rPr>
          <w:rFonts w:asciiTheme="minorEastAsia" w:eastAsiaTheme="minorEastAsia" w:hAnsiTheme="minorEastAsia" w:hint="eastAsia"/>
        </w:rPr>
        <w:t>或其代理人</w:t>
      </w:r>
      <w:r w:rsidRPr="00721084">
        <w:rPr>
          <w:rFonts w:asciiTheme="minorEastAsia" w:eastAsiaTheme="minorEastAsia" w:hAnsiTheme="minorEastAsia"/>
        </w:rPr>
        <w:t>所持表决权的</w:t>
      </w:r>
      <w:r w:rsidRPr="00721084">
        <w:rPr>
          <w:rFonts w:asciiTheme="minorEastAsia" w:eastAsiaTheme="minorEastAsia" w:hAnsiTheme="minorEastAsia" w:hint="eastAsia"/>
        </w:rPr>
        <w:t>50%</w:t>
      </w:r>
      <w:r w:rsidRPr="00721084">
        <w:rPr>
          <w:rFonts w:asciiTheme="minorEastAsia" w:eastAsiaTheme="minorEastAsia" w:hAnsiTheme="minorEastAsia"/>
        </w:rPr>
        <w:t>以上（含</w:t>
      </w:r>
      <w:r w:rsidRPr="00721084">
        <w:rPr>
          <w:rFonts w:asciiTheme="minorEastAsia" w:eastAsiaTheme="minorEastAsia" w:hAnsiTheme="minorEastAsia" w:hint="eastAsia"/>
        </w:rPr>
        <w:t>50%</w:t>
      </w:r>
      <w:r w:rsidRPr="00721084">
        <w:rPr>
          <w:rFonts w:asciiTheme="minorEastAsia" w:eastAsiaTheme="minorEastAsia" w:hAnsiTheme="minorEastAsia"/>
        </w:rPr>
        <w:t>）通过方为有效；除下列</w:t>
      </w:r>
      <w:r w:rsidRPr="00721084">
        <w:rPr>
          <w:rFonts w:asciiTheme="minorEastAsia" w:eastAsiaTheme="minorEastAsia" w:hAnsiTheme="minorEastAsia" w:hint="eastAsia"/>
        </w:rPr>
        <w:t>第2项</w:t>
      </w:r>
      <w:r w:rsidRPr="00721084">
        <w:rPr>
          <w:rFonts w:asciiTheme="minorEastAsia" w:eastAsiaTheme="minorEastAsia" w:hAnsiTheme="minorEastAsia"/>
        </w:rPr>
        <w:t>所规定的须以特别决议通过事项以外的其他事项均以一般决议的方式通过。</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rPr>
        <w:t>特别决议，特别决议应当经参加大会的基金份额持有人</w:t>
      </w:r>
      <w:r w:rsidRPr="00721084">
        <w:rPr>
          <w:rFonts w:asciiTheme="minorEastAsia" w:eastAsiaTheme="minorEastAsia" w:hAnsiTheme="minorEastAsia" w:hint="eastAsia"/>
        </w:rPr>
        <w:t>或其代理人</w:t>
      </w:r>
      <w:r w:rsidRPr="00721084">
        <w:rPr>
          <w:rFonts w:asciiTheme="minorEastAsia" w:eastAsiaTheme="minorEastAsia" w:hAnsiTheme="minorEastAsia"/>
        </w:rPr>
        <w:t>所持表决权的三</w:t>
      </w:r>
      <w:r w:rsidRPr="00721084">
        <w:rPr>
          <w:rFonts w:asciiTheme="minorEastAsia" w:eastAsiaTheme="minorEastAsia" w:hAnsiTheme="minorEastAsia"/>
        </w:rPr>
        <w:lastRenderedPageBreak/>
        <w:t>分之二</w:t>
      </w:r>
      <w:r w:rsidRPr="00721084">
        <w:rPr>
          <w:rFonts w:asciiTheme="minorEastAsia" w:eastAsiaTheme="minorEastAsia" w:hAnsiTheme="minorEastAsia" w:hint="eastAsia"/>
        </w:rPr>
        <w:t>以上（含</w:t>
      </w:r>
      <w:r w:rsidRPr="00721084">
        <w:rPr>
          <w:rFonts w:asciiTheme="minorEastAsia" w:eastAsiaTheme="minorEastAsia" w:hAnsiTheme="minorEastAsia"/>
        </w:rPr>
        <w:t>三分之二</w:t>
      </w:r>
      <w:r w:rsidRPr="00721084">
        <w:rPr>
          <w:rFonts w:asciiTheme="minorEastAsia" w:eastAsiaTheme="minorEastAsia" w:hAnsiTheme="minorEastAsia" w:hint="eastAsia"/>
        </w:rPr>
        <w:t>）</w:t>
      </w:r>
      <w:r w:rsidRPr="00721084">
        <w:rPr>
          <w:rFonts w:asciiTheme="minorEastAsia" w:eastAsiaTheme="minorEastAsia" w:hAnsiTheme="minorEastAsia"/>
        </w:rPr>
        <w:t>通过方可</w:t>
      </w:r>
      <w:r w:rsidRPr="00721084">
        <w:rPr>
          <w:rFonts w:asciiTheme="minorEastAsia" w:eastAsiaTheme="minorEastAsia" w:hAnsiTheme="minorEastAsia" w:hint="eastAsia"/>
        </w:rPr>
        <w:t>做</w:t>
      </w:r>
      <w:r w:rsidRPr="00721084">
        <w:rPr>
          <w:rFonts w:asciiTheme="minorEastAsia" w:eastAsiaTheme="minorEastAsia" w:hAnsiTheme="minorEastAsia"/>
        </w:rPr>
        <w:t>出。转换基金运作方式、更换基金管理人或者基金托管人、终止</w:t>
      </w:r>
      <w:r w:rsidRPr="00721084">
        <w:rPr>
          <w:rFonts w:asciiTheme="minorEastAsia" w:eastAsiaTheme="minorEastAsia" w:hAnsiTheme="minorEastAsia" w:hint="eastAsia"/>
        </w:rPr>
        <w:t>《</w:t>
      </w:r>
      <w:r w:rsidRPr="00721084">
        <w:rPr>
          <w:rFonts w:asciiTheme="minorEastAsia" w:eastAsiaTheme="minorEastAsia" w:hAnsiTheme="minorEastAsia"/>
        </w:rPr>
        <w:t>基金合同</w:t>
      </w:r>
      <w:r w:rsidRPr="00721084">
        <w:rPr>
          <w:rFonts w:asciiTheme="minorEastAsia" w:eastAsiaTheme="minorEastAsia" w:hAnsiTheme="minorEastAsia" w:hint="eastAsia"/>
        </w:rPr>
        <w:t>》</w:t>
      </w:r>
      <w:r w:rsidRPr="00721084">
        <w:rPr>
          <w:rFonts w:asciiTheme="minorEastAsia" w:eastAsiaTheme="minorEastAsia" w:hAnsiTheme="minorEastAsia"/>
        </w:rPr>
        <w:t>以特别决议通过方为有效。</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基金份额持有人大会采取记名方式进行投票表决。</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采取通讯方式进行表决时，</w:t>
      </w:r>
      <w:r w:rsidRPr="00721084">
        <w:rPr>
          <w:rFonts w:asciiTheme="minorEastAsia" w:eastAsiaTheme="minorEastAsia" w:hAnsiTheme="minorEastAsia" w:hint="eastAsia"/>
        </w:rPr>
        <w:t>除非在计票时有充分的相反证据证明，提交符合会议通知中规定的确认投资者身份文件的表决视为有效出席的投资者，</w:t>
      </w:r>
      <w:r w:rsidRPr="00721084">
        <w:rPr>
          <w:rFonts w:asciiTheme="minorEastAsia" w:eastAsiaTheme="minorEastAsia" w:hAnsiTheme="minorEastAsia"/>
        </w:rPr>
        <w:t>符合会议通知规定的书面表决意见视为有效表决</w:t>
      </w:r>
      <w:r w:rsidRPr="00721084">
        <w:rPr>
          <w:rFonts w:asciiTheme="minorEastAsia" w:eastAsiaTheme="minorEastAsia" w:hAnsiTheme="minorEastAsia" w:hint="eastAsia"/>
        </w:rPr>
        <w:t>，表决意见模糊不清或相互矛盾的视为弃权表决，但应当计入出具书面意见的基金份额持有人所代表的基金份额总数。</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基金份额持有人大会的各项提案或同一项提案内并列的各项议题应当分开审议、逐项表决。</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（七）</w:t>
      </w:r>
      <w:r w:rsidRPr="00721084">
        <w:rPr>
          <w:rFonts w:asciiTheme="minorEastAsia" w:eastAsiaTheme="minorEastAsia" w:hAnsiTheme="minorEastAsia"/>
          <w:b/>
          <w:bCs/>
        </w:rPr>
        <w:t>计票</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rPr>
        <w:t>现场开会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Pr="00721084">
        <w:rPr>
          <w:rFonts w:asciiTheme="minorEastAsia" w:eastAsiaTheme="minorEastAsia" w:hAnsiTheme="minorEastAsia"/>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721084">
        <w:rPr>
          <w:rFonts w:asciiTheme="minorEastAsia" w:eastAsiaTheme="minorEastAsia" w:hAnsiTheme="minorEastAsia" w:hint="eastAsia"/>
        </w:rPr>
        <w:t>或大会虽然由基金管理人或基金托管人召集，但是基金管理人或基金托管人未出席大会的</w:t>
      </w:r>
      <w:r w:rsidRPr="00721084">
        <w:rPr>
          <w:rFonts w:asciiTheme="minorEastAsia" w:eastAsiaTheme="minorEastAsia" w:hAnsiTheme="minorEastAsia"/>
        </w:rPr>
        <w:t>，基金份额持有人大会的主持人应当在会议开始后宣布在出席会议的基金份额持有人中选举三名基金份额持有人代表担任监票人。</w:t>
      </w:r>
      <w:r w:rsidRPr="00721084">
        <w:rPr>
          <w:rFonts w:asciiTheme="minorEastAsia" w:eastAsiaTheme="minorEastAsia" w:hAnsiTheme="minorEastAsia" w:hint="eastAsia"/>
        </w:rPr>
        <w:t>基金管理人或基金托管人不出席大会的，不影响计票的效力。</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Pr="00721084">
        <w:rPr>
          <w:rFonts w:asciiTheme="minorEastAsia" w:eastAsiaTheme="minorEastAsia" w:hAnsiTheme="minorEastAsia"/>
        </w:rPr>
        <w:t>监票人应当在基金份额持有人表决后立即进行清点并由大会主持人当场公布计票结果。</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Pr="00721084">
        <w:rPr>
          <w:rFonts w:asciiTheme="minorEastAsia" w:eastAsiaTheme="minorEastAsia" w:hAnsiTheme="minorEastAsia"/>
        </w:rPr>
        <w:t>如果会议主持人</w:t>
      </w:r>
      <w:r w:rsidRPr="00721084">
        <w:rPr>
          <w:rFonts w:asciiTheme="minorEastAsia" w:eastAsiaTheme="minorEastAsia" w:hAnsiTheme="minorEastAsia" w:hint="eastAsia"/>
        </w:rPr>
        <w:t>或</w:t>
      </w:r>
      <w:r w:rsidRPr="00721084">
        <w:rPr>
          <w:rFonts w:asciiTheme="minorEastAsia" w:eastAsiaTheme="minorEastAsia" w:hAnsiTheme="minorEastAsia"/>
        </w:rPr>
        <w:t>基金份额持有人对于提交的表决结果有怀疑，可以在宣布表决结果后立即对所投票数</w:t>
      </w:r>
      <w:r w:rsidRPr="00721084">
        <w:rPr>
          <w:rFonts w:asciiTheme="minorEastAsia" w:eastAsiaTheme="minorEastAsia" w:hAnsiTheme="minorEastAsia" w:hint="eastAsia"/>
        </w:rPr>
        <w:t>要求</w:t>
      </w:r>
      <w:r w:rsidRPr="00721084">
        <w:rPr>
          <w:rFonts w:asciiTheme="minorEastAsia" w:eastAsiaTheme="minorEastAsia" w:hAnsiTheme="minorEastAsia"/>
        </w:rPr>
        <w:t>进行重新清点</w:t>
      </w:r>
      <w:r w:rsidRPr="00721084">
        <w:rPr>
          <w:rFonts w:asciiTheme="minorEastAsia" w:eastAsiaTheme="minorEastAsia" w:hAnsiTheme="minorEastAsia" w:hint="eastAsia"/>
        </w:rPr>
        <w:t>。监票人应当进行重新清点，重新清点以一次为限。重新清点后，大会主持人应当当场公布重新清点结果。</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（4）计票过程应由公证机关予以公证,基金管理人或基金托管人拒不出席大会的，不影响计票的效力。</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rPr>
        <w:t>通讯开会</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在通讯开会的情况下，计票方式为：由大会召集人授权的两名监督员在基金托管人授权代表</w:t>
      </w:r>
      <w:r w:rsidRPr="00721084">
        <w:rPr>
          <w:rFonts w:asciiTheme="minorEastAsia" w:eastAsiaTheme="minorEastAsia" w:hAnsiTheme="minorEastAsia" w:hint="eastAsia"/>
        </w:rPr>
        <w:t>（若由基金托管人召集，则为基金管理人</w:t>
      </w:r>
      <w:r w:rsidRPr="00721084">
        <w:rPr>
          <w:rFonts w:asciiTheme="minorEastAsia" w:eastAsiaTheme="minorEastAsia" w:hAnsiTheme="minorEastAsia"/>
        </w:rPr>
        <w:t>授权代表</w:t>
      </w:r>
      <w:r w:rsidRPr="00721084">
        <w:rPr>
          <w:rFonts w:asciiTheme="minorEastAsia" w:eastAsiaTheme="minorEastAsia" w:hAnsiTheme="minorEastAsia" w:hint="eastAsia"/>
        </w:rPr>
        <w:t>）</w:t>
      </w:r>
      <w:r w:rsidRPr="00721084">
        <w:rPr>
          <w:rFonts w:asciiTheme="minorEastAsia" w:eastAsiaTheme="minorEastAsia" w:hAnsiTheme="minorEastAsia"/>
        </w:rPr>
        <w:t>的监督下进行计票，并由公证机关对其计票过程予以公证。</w:t>
      </w:r>
      <w:r w:rsidRPr="00721084">
        <w:rPr>
          <w:rFonts w:asciiTheme="minorEastAsia" w:eastAsiaTheme="minorEastAsia" w:hAnsiTheme="minorEastAsia" w:hint="eastAsia"/>
        </w:rPr>
        <w:t>基金管理人或基金托管人拒派代表对书面表决意见的计票进行监督的，不影响计票和表决结果。</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（八）</w:t>
      </w:r>
      <w:r w:rsidRPr="00721084">
        <w:rPr>
          <w:rFonts w:asciiTheme="minorEastAsia" w:eastAsiaTheme="minorEastAsia" w:hAnsiTheme="minorEastAsia" w:hint="eastAsia"/>
          <w:b/>
          <w:bCs/>
        </w:rPr>
        <w:tab/>
      </w:r>
      <w:r w:rsidRPr="00721084">
        <w:rPr>
          <w:rFonts w:asciiTheme="minorEastAsia" w:eastAsiaTheme="minorEastAsia" w:hAnsiTheme="minorEastAsia"/>
          <w:b/>
          <w:bCs/>
        </w:rPr>
        <w:t>生效与公告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基金份额持有人大会的决议，召集人应当自通过之日起5日内报中国证监会核准或者备案。</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基金份额持有人大会决定的事项自中国证监会依法核准或者出具无异议意见之日起生效。</w:t>
      </w:r>
    </w:p>
    <w:p w:rsidR="00785666" w:rsidRPr="00721084" w:rsidRDefault="00161615"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lastRenderedPageBreak/>
        <w:t>基金份额持有人大会决议自生效之日起</w:t>
      </w:r>
      <w:r w:rsidRPr="00721084">
        <w:rPr>
          <w:rFonts w:asciiTheme="minorEastAsia" w:eastAsiaTheme="minorEastAsia" w:hAnsiTheme="minorEastAsia" w:hint="eastAsia"/>
        </w:rPr>
        <w:t>2</w:t>
      </w:r>
      <w:r w:rsidRPr="00721084">
        <w:rPr>
          <w:rFonts w:asciiTheme="minorEastAsia" w:eastAsiaTheme="minorEastAsia" w:hAnsiTheme="minorEastAsia"/>
        </w:rPr>
        <w:t>日内在指定</w:t>
      </w:r>
      <w:r w:rsidRPr="00721084">
        <w:rPr>
          <w:rFonts w:asciiTheme="minorEastAsia" w:eastAsiaTheme="minorEastAsia" w:hAnsiTheme="minorEastAsia" w:hint="eastAsia"/>
        </w:rPr>
        <w:t>媒介</w:t>
      </w:r>
      <w:r w:rsidRPr="00721084">
        <w:rPr>
          <w:rFonts w:asciiTheme="minorEastAsia" w:eastAsiaTheme="minorEastAsia" w:hAnsiTheme="minorEastAsia"/>
        </w:rPr>
        <w:t>公告。</w:t>
      </w:r>
      <w:r w:rsidR="00785666" w:rsidRPr="00721084">
        <w:rPr>
          <w:rFonts w:asciiTheme="minorEastAsia" w:eastAsiaTheme="minorEastAsia" w:hAnsiTheme="minorEastAsia" w:hint="eastAsia"/>
        </w:rPr>
        <w:t>如果采用通讯方式进行表决，在公告基金份额持有人大会决议时，必须将公证书全文、公证机构、公证员姓名等一同公告。</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基金管理人、基金托管人和基金份额持有人应当执行生效的基金份额持有人大会的决议。</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基金份额持有人大会决议对全体基金份额持有人、基金管理人、基金托管人均有约束力。</w:t>
      </w:r>
    </w:p>
    <w:p w:rsidR="00785666" w:rsidRPr="00721084" w:rsidRDefault="00785666" w:rsidP="004D1E0F">
      <w:pPr>
        <w:snapToGrid w:val="0"/>
        <w:spacing w:line="360" w:lineRule="auto"/>
        <w:ind w:firstLineChars="200" w:firstLine="422"/>
        <w:rPr>
          <w:rFonts w:asciiTheme="minorEastAsia" w:eastAsiaTheme="minorEastAsia" w:hAnsiTheme="minorEastAsia"/>
          <w:b/>
        </w:rPr>
      </w:pPr>
      <w:r w:rsidRPr="00721084">
        <w:rPr>
          <w:rFonts w:asciiTheme="minorEastAsia" w:eastAsiaTheme="minorEastAsia" w:hAnsiTheme="minorEastAsia"/>
          <w:b/>
        </w:rPr>
        <w:t>三</w:t>
      </w:r>
      <w:r w:rsidRPr="00721084">
        <w:rPr>
          <w:rFonts w:asciiTheme="minorEastAsia" w:eastAsiaTheme="minorEastAsia" w:hAnsiTheme="minorEastAsia" w:hint="eastAsia"/>
          <w:b/>
        </w:rPr>
        <w:t>、</w:t>
      </w:r>
      <w:r w:rsidRPr="00721084">
        <w:rPr>
          <w:rFonts w:asciiTheme="minorEastAsia" w:eastAsiaTheme="minorEastAsia" w:hAnsiTheme="minorEastAsia"/>
          <w:b/>
        </w:rPr>
        <w:t>基金合同解除和终止的事由、程序</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（一）</w:t>
      </w:r>
      <w:r w:rsidRPr="00721084">
        <w:rPr>
          <w:rFonts w:asciiTheme="minorEastAsia" w:eastAsiaTheme="minorEastAsia" w:hAnsiTheme="minorEastAsia" w:hint="eastAsia"/>
          <w:b/>
          <w:bCs/>
        </w:rPr>
        <w:tab/>
        <w:t>《基金合同》的变更</w:t>
      </w:r>
    </w:p>
    <w:p w:rsidR="00785666" w:rsidRPr="00721084" w:rsidRDefault="00785666" w:rsidP="00CE3F81">
      <w:pPr>
        <w:autoSpaceDE w:val="0"/>
        <w:autoSpaceDN w:val="0"/>
        <w:snapToGrid w:val="0"/>
        <w:spacing w:line="360" w:lineRule="auto"/>
        <w:ind w:firstLineChars="200" w:firstLine="420"/>
        <w:jc w:val="left"/>
        <w:rPr>
          <w:rFonts w:asciiTheme="minorEastAsia" w:eastAsiaTheme="minorEastAsia" w:hAnsiTheme="minorEastAsia"/>
        </w:rPr>
      </w:pPr>
      <w:r w:rsidRPr="00721084">
        <w:rPr>
          <w:rFonts w:asciiTheme="minorEastAsia" w:eastAsiaTheme="minorEastAsia" w:hAnsiTheme="minor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以下变更《基金合同》的事项应经基金份额持有人大会决议通过：</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rPr>
        <w:t>（1）</w:t>
      </w:r>
      <w:r w:rsidRPr="00721084">
        <w:rPr>
          <w:rFonts w:asciiTheme="minorEastAsia" w:eastAsiaTheme="minorEastAsia" w:hAnsiTheme="minorEastAsia" w:hint="eastAsia"/>
          <w:szCs w:val="21"/>
        </w:rPr>
        <w:t>终止《基金合同》；</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Pr="00721084">
        <w:rPr>
          <w:rFonts w:asciiTheme="minorEastAsia" w:eastAsiaTheme="minorEastAsia" w:hAnsiTheme="minorEastAsia"/>
        </w:rPr>
        <w:t>更换基金管理人；</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w:t>
      </w:r>
      <w:r w:rsidRPr="00721084">
        <w:rPr>
          <w:rFonts w:asciiTheme="minorEastAsia" w:eastAsiaTheme="minorEastAsia" w:hAnsiTheme="minorEastAsia" w:hint="eastAsia"/>
        </w:rPr>
        <w:t>3</w:t>
      </w:r>
      <w:r w:rsidRPr="00721084">
        <w:rPr>
          <w:rFonts w:asciiTheme="minorEastAsia" w:eastAsiaTheme="minorEastAsia" w:hAnsiTheme="minorEastAsia"/>
        </w:rPr>
        <w:t>）更换基金托管人；</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w:t>
      </w:r>
      <w:r w:rsidRPr="00721084">
        <w:rPr>
          <w:rFonts w:asciiTheme="minorEastAsia" w:eastAsiaTheme="minorEastAsia" w:hAnsiTheme="minorEastAsia" w:hint="eastAsia"/>
        </w:rPr>
        <w:t>4</w:t>
      </w:r>
      <w:r w:rsidRPr="00721084">
        <w:rPr>
          <w:rFonts w:asciiTheme="minorEastAsia" w:eastAsiaTheme="minorEastAsia" w:hAnsiTheme="minorEastAsia"/>
        </w:rPr>
        <w:t>）转换基金运作方式；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w:t>
      </w:r>
      <w:r w:rsidRPr="00721084">
        <w:rPr>
          <w:rFonts w:asciiTheme="minorEastAsia" w:eastAsiaTheme="minorEastAsia" w:hAnsiTheme="minorEastAsia" w:hint="eastAsia"/>
        </w:rPr>
        <w:t>5</w:t>
      </w:r>
      <w:r w:rsidRPr="00721084">
        <w:rPr>
          <w:rFonts w:asciiTheme="minorEastAsia" w:eastAsiaTheme="minorEastAsia" w:hAnsiTheme="minorEastAsia"/>
        </w:rPr>
        <w:t>）提高基金管理人、基金托管人的报酬标准</w:t>
      </w:r>
      <w:r w:rsidRPr="00721084">
        <w:rPr>
          <w:rFonts w:asciiTheme="minorEastAsia" w:eastAsiaTheme="minorEastAsia" w:hAnsiTheme="minorEastAsia" w:hint="eastAsia"/>
        </w:rPr>
        <w:t>。但根据法律法规的要求提高该等报酬标准的除外</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w:t>
      </w:r>
      <w:r w:rsidRPr="00721084">
        <w:rPr>
          <w:rFonts w:asciiTheme="minorEastAsia" w:eastAsiaTheme="minorEastAsia" w:hAnsiTheme="minorEastAsia" w:hint="eastAsia"/>
        </w:rPr>
        <w:t>6</w:t>
      </w:r>
      <w:r w:rsidRPr="00721084">
        <w:rPr>
          <w:rFonts w:asciiTheme="minorEastAsia" w:eastAsiaTheme="minorEastAsia" w:hAnsiTheme="minorEastAsia"/>
        </w:rPr>
        <w:t>）变更基金类别；</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w:t>
      </w:r>
      <w:r w:rsidRPr="00721084">
        <w:rPr>
          <w:rFonts w:asciiTheme="minorEastAsia" w:eastAsiaTheme="minorEastAsia" w:hAnsiTheme="minorEastAsia" w:hint="eastAsia"/>
        </w:rPr>
        <w:t>7</w:t>
      </w:r>
      <w:r w:rsidRPr="00721084">
        <w:rPr>
          <w:rFonts w:asciiTheme="minorEastAsia" w:eastAsiaTheme="minorEastAsia" w:hAnsiTheme="minorEastAsia"/>
        </w:rPr>
        <w:t>）</w:t>
      </w:r>
      <w:r w:rsidRPr="00721084">
        <w:rPr>
          <w:rFonts w:asciiTheme="minorEastAsia" w:eastAsiaTheme="minorEastAsia" w:hAnsiTheme="minorEastAsia" w:hint="eastAsia"/>
        </w:rPr>
        <w:t>本基金与其他基金的合并</w:t>
      </w:r>
      <w:r w:rsidRPr="00721084">
        <w:rPr>
          <w:rFonts w:asciiTheme="minorEastAsia" w:eastAsiaTheme="minorEastAsia" w:hAnsiTheme="minorEastAsia"/>
        </w:rPr>
        <w:t>；</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rPr>
        <w:t>（</w:t>
      </w:r>
      <w:r w:rsidRPr="00721084">
        <w:rPr>
          <w:rFonts w:asciiTheme="minorEastAsia" w:eastAsiaTheme="minorEastAsia" w:hAnsiTheme="minorEastAsia" w:hint="eastAsia"/>
        </w:rPr>
        <w:t>8</w:t>
      </w:r>
      <w:r w:rsidRPr="00721084">
        <w:rPr>
          <w:rFonts w:asciiTheme="minorEastAsia" w:eastAsiaTheme="minorEastAsia" w:hAnsiTheme="minorEastAsia"/>
        </w:rPr>
        <w:t>）变更基金投资目标</w:t>
      </w:r>
      <w:r w:rsidRPr="00721084">
        <w:rPr>
          <w:rFonts w:asciiTheme="minorEastAsia" w:eastAsiaTheme="minorEastAsia" w:hAnsiTheme="minorEastAsia" w:hint="eastAsia"/>
        </w:rPr>
        <w:t>、</w:t>
      </w:r>
      <w:r w:rsidRPr="00721084">
        <w:rPr>
          <w:rFonts w:asciiTheme="minorEastAsia" w:eastAsiaTheme="minorEastAsia" w:hAnsiTheme="minorEastAsia"/>
        </w:rPr>
        <w:t>范围</w:t>
      </w:r>
      <w:r w:rsidRPr="00721084">
        <w:rPr>
          <w:rFonts w:asciiTheme="minorEastAsia" w:eastAsiaTheme="minorEastAsia" w:hAnsiTheme="minorEastAsia" w:hint="eastAsia"/>
        </w:rPr>
        <w:t>或策略；</w:t>
      </w:r>
    </w:p>
    <w:p w:rsidR="00785666" w:rsidRPr="00721084" w:rsidRDefault="00785666" w:rsidP="00CE3F81">
      <w:pPr>
        <w:autoSpaceDE w:val="0"/>
        <w:autoSpaceDN w:val="0"/>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rPr>
        <w:t>（</w:t>
      </w:r>
      <w:r w:rsidRPr="00721084">
        <w:rPr>
          <w:rFonts w:asciiTheme="minorEastAsia" w:eastAsiaTheme="minorEastAsia" w:hAnsiTheme="minorEastAsia" w:hint="eastAsia"/>
        </w:rPr>
        <w:t>9</w:t>
      </w:r>
      <w:r w:rsidRPr="00721084">
        <w:rPr>
          <w:rFonts w:asciiTheme="minorEastAsia" w:eastAsiaTheme="minorEastAsia" w:hAnsiTheme="minorEastAsia"/>
        </w:rPr>
        <w:t>）变更基金份额持有人大会程序；</w:t>
      </w:r>
    </w:p>
    <w:p w:rsidR="00785666" w:rsidRPr="00721084" w:rsidRDefault="00785666" w:rsidP="00CE3F81">
      <w:pPr>
        <w:autoSpaceDE w:val="0"/>
        <w:autoSpaceDN w:val="0"/>
        <w:snapToGrid w:val="0"/>
        <w:spacing w:line="360" w:lineRule="auto"/>
        <w:ind w:firstLineChars="200" w:firstLine="420"/>
        <w:jc w:val="left"/>
        <w:rPr>
          <w:rFonts w:asciiTheme="minorEastAsia" w:eastAsiaTheme="minorEastAsia" w:hAnsiTheme="minorEastAsia"/>
        </w:rPr>
      </w:pPr>
      <w:r w:rsidRPr="00721084">
        <w:rPr>
          <w:rFonts w:asciiTheme="minorEastAsia" w:eastAsiaTheme="minorEastAsia" w:hAnsiTheme="minorEastAsia" w:hint="eastAsia"/>
          <w:szCs w:val="21"/>
        </w:rPr>
        <w:t>（10）</w:t>
      </w:r>
      <w:r w:rsidRPr="00721084">
        <w:rPr>
          <w:rFonts w:asciiTheme="minorEastAsia" w:eastAsiaTheme="minorEastAsia" w:hAnsiTheme="minorEastAsia"/>
        </w:rPr>
        <w:t>对基金当事人权利和义务产生重大影响的</w:t>
      </w:r>
      <w:r w:rsidRPr="00721084">
        <w:rPr>
          <w:rFonts w:asciiTheme="minorEastAsia" w:eastAsiaTheme="minorEastAsia" w:hAnsiTheme="minorEastAsia" w:hint="eastAsia"/>
        </w:rPr>
        <w:t>其他</w:t>
      </w:r>
      <w:r w:rsidRPr="00721084">
        <w:rPr>
          <w:rFonts w:asciiTheme="minorEastAsia" w:eastAsiaTheme="minorEastAsia" w:hAnsiTheme="minorEastAsia"/>
        </w:rPr>
        <w:t>事项</w:t>
      </w:r>
      <w:r w:rsidRPr="00721084">
        <w:rPr>
          <w:rFonts w:asciiTheme="minorEastAsia" w:eastAsiaTheme="minorEastAsia" w:hAnsiTheme="minorEastAsia" w:hint="eastAsia"/>
        </w:rPr>
        <w:t>。</w:t>
      </w:r>
    </w:p>
    <w:p w:rsidR="00785666" w:rsidRPr="00721084" w:rsidRDefault="00785666" w:rsidP="00CE3F81">
      <w:pPr>
        <w:autoSpaceDE w:val="0"/>
        <w:autoSpaceDN w:val="0"/>
        <w:snapToGrid w:val="0"/>
        <w:spacing w:line="360" w:lineRule="auto"/>
        <w:ind w:firstLineChars="200" w:firstLine="420"/>
        <w:jc w:val="left"/>
        <w:rPr>
          <w:rFonts w:asciiTheme="minorEastAsia" w:eastAsiaTheme="minorEastAsia" w:hAnsiTheme="minorEastAsia"/>
        </w:rPr>
      </w:pPr>
      <w:r w:rsidRPr="00721084">
        <w:rPr>
          <w:rFonts w:asciiTheme="minorEastAsia" w:eastAsiaTheme="minorEastAsia" w:hAnsiTheme="minorEastAsia" w:hint="eastAsia"/>
        </w:rPr>
        <w:t>但出现下列情况时，可不经基金份额持有人大会决议，由基金管理人和基金托管人同意后变更并公告，并报中国证监会备案：</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（1）调低基金管理费、基金托管费；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（2）法律法规要求增加的基金费用的收取；</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（3）在《基金合同》规定的范围内变更本基金的申购费率、降低赎回费率；</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（4）因相应的法律法规发生变动而应当对《基金合同》进行修改；</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（5）《基金合同》的修改对基金份额持有人利益无实质性不利影响或修改不涉及《基金合同》当事人权利义务关系发生变化；</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（6）除按照法律法规和《基金合同》规定应当召开基金份额持有人大会的以外的其他情形。</w:t>
      </w:r>
    </w:p>
    <w:p w:rsidR="00785666" w:rsidRPr="00721084" w:rsidRDefault="00785666" w:rsidP="002B105F">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2</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关于《基金合同》变更的基金份额持有人大会决议经中国证监会核准生效后方可执行，</w:t>
      </w:r>
      <w:r w:rsidR="002B105F" w:rsidRPr="00721084">
        <w:rPr>
          <w:rFonts w:asciiTheme="minorEastAsia" w:eastAsiaTheme="minorEastAsia" w:hAnsiTheme="minorEastAsia" w:hint="eastAsia"/>
        </w:rPr>
        <w:t>自《基金合同》变更生效之日起在指定媒介公告</w:t>
      </w:r>
      <w:r w:rsidRPr="00721084">
        <w:rPr>
          <w:rFonts w:asciiTheme="minorEastAsia" w:eastAsiaTheme="minorEastAsia" w:hAnsiTheme="minorEastAsia" w:hint="eastAsia"/>
        </w:rPr>
        <w:t>。</w:t>
      </w:r>
    </w:p>
    <w:p w:rsidR="00785666" w:rsidRPr="00721084" w:rsidRDefault="00785666" w:rsidP="00CE3F81">
      <w:pPr>
        <w:snapToGrid w:val="0"/>
        <w:spacing w:line="360" w:lineRule="auto"/>
        <w:ind w:firstLineChars="200" w:firstLine="422"/>
        <w:rPr>
          <w:rFonts w:asciiTheme="minorEastAsia" w:eastAsiaTheme="minorEastAsia" w:hAnsiTheme="minorEastAsia"/>
          <w:b/>
          <w:bCs/>
        </w:rPr>
      </w:pPr>
      <w:r w:rsidRPr="00721084">
        <w:rPr>
          <w:rFonts w:asciiTheme="minorEastAsia" w:eastAsiaTheme="minorEastAsia" w:hAnsiTheme="minorEastAsia" w:hint="eastAsia"/>
          <w:b/>
          <w:bCs/>
        </w:rPr>
        <w:t>（二）</w:t>
      </w:r>
      <w:r w:rsidRPr="00721084">
        <w:rPr>
          <w:rFonts w:asciiTheme="minorEastAsia" w:eastAsiaTheme="minorEastAsia" w:hAnsiTheme="minorEastAsia" w:hint="eastAsia"/>
          <w:b/>
          <w:bCs/>
        </w:rPr>
        <w:tab/>
        <w:t>《基金合同》的终止</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有下列情形之一的，《基金合同》应当终止：</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1</w:t>
      </w:r>
      <w:r w:rsidR="004D1E0F" w:rsidRPr="00721084">
        <w:rPr>
          <w:rFonts w:asciiTheme="minorEastAsia" w:eastAsiaTheme="minorEastAsia" w:hAnsiTheme="minorEastAsia" w:hint="eastAsia"/>
        </w:rPr>
        <w:t>、</w:t>
      </w:r>
      <w:r w:rsidRPr="00721084">
        <w:rPr>
          <w:rFonts w:asciiTheme="minorEastAsia" w:eastAsiaTheme="minorEastAsia" w:hAnsiTheme="minorEastAsia" w:hint="eastAsia"/>
        </w:rPr>
        <w:t>基金份额持有人大会决定终止的；</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lastRenderedPageBreak/>
        <w:t>2</w:t>
      </w:r>
      <w:r w:rsidR="007F6D3E" w:rsidRPr="00721084">
        <w:rPr>
          <w:rFonts w:asciiTheme="minorEastAsia" w:eastAsiaTheme="minorEastAsia" w:hAnsiTheme="minorEastAsia" w:hint="eastAsia"/>
        </w:rPr>
        <w:t>、</w:t>
      </w:r>
      <w:r w:rsidRPr="00721084">
        <w:rPr>
          <w:rFonts w:asciiTheme="minorEastAsia" w:eastAsiaTheme="minorEastAsia" w:hAnsiTheme="minorEastAsia" w:hint="eastAsia"/>
        </w:rPr>
        <w:t>基金管理人、基金托管人职责终止，在6个月内没有新基金管理人、新基金托管人承接的；</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3</w:t>
      </w:r>
      <w:r w:rsidR="007F6D3E" w:rsidRPr="00721084">
        <w:rPr>
          <w:rFonts w:asciiTheme="minorEastAsia" w:eastAsiaTheme="minorEastAsia" w:hAnsiTheme="minorEastAsia" w:hint="eastAsia"/>
        </w:rPr>
        <w:t>、</w:t>
      </w:r>
      <w:r w:rsidRPr="00721084">
        <w:rPr>
          <w:rFonts w:asciiTheme="minorEastAsia" w:eastAsiaTheme="minorEastAsia" w:hAnsiTheme="minorEastAsia" w:hint="eastAsia"/>
        </w:rPr>
        <w:t>《基金合同》约定的其他情形；</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4</w:t>
      </w:r>
      <w:r w:rsidR="007F6D3E" w:rsidRPr="00721084">
        <w:rPr>
          <w:rFonts w:asciiTheme="minorEastAsia" w:eastAsiaTheme="minorEastAsia" w:hAnsiTheme="minorEastAsia" w:hint="eastAsia"/>
        </w:rPr>
        <w:t>、</w:t>
      </w:r>
      <w:r w:rsidRPr="00721084">
        <w:rPr>
          <w:rFonts w:asciiTheme="minorEastAsia" w:eastAsiaTheme="minorEastAsia" w:hAnsiTheme="minorEastAsia" w:hint="eastAsia"/>
        </w:rPr>
        <w:t>相关法律法规和中国证监会规定的其他情况。</w:t>
      </w:r>
    </w:p>
    <w:p w:rsidR="00785666" w:rsidRPr="00721084" w:rsidRDefault="00785666" w:rsidP="00CE3F81">
      <w:pPr>
        <w:snapToGrid w:val="0"/>
        <w:spacing w:line="360" w:lineRule="auto"/>
        <w:ind w:firstLineChars="200" w:firstLine="422"/>
        <w:rPr>
          <w:rFonts w:asciiTheme="minorEastAsia" w:eastAsiaTheme="minorEastAsia" w:hAnsiTheme="minorEastAsia"/>
          <w:b/>
        </w:rPr>
      </w:pPr>
      <w:r w:rsidRPr="00721084">
        <w:rPr>
          <w:rFonts w:asciiTheme="minorEastAsia" w:eastAsiaTheme="minorEastAsia" w:hAnsiTheme="minorEastAsia"/>
          <w:b/>
        </w:rPr>
        <w:t>四</w:t>
      </w:r>
      <w:r w:rsidR="003E5027" w:rsidRPr="00721084">
        <w:rPr>
          <w:rFonts w:asciiTheme="minorEastAsia" w:eastAsiaTheme="minorEastAsia" w:hAnsiTheme="minorEastAsia" w:hint="eastAsia"/>
          <w:b/>
        </w:rPr>
        <w:t>、</w:t>
      </w:r>
      <w:r w:rsidRPr="00721084">
        <w:rPr>
          <w:rFonts w:asciiTheme="minorEastAsia" w:eastAsiaTheme="minorEastAsia" w:hAnsiTheme="minorEastAsia"/>
          <w:b/>
        </w:rPr>
        <w:t>争议解决方式</w:t>
      </w:r>
    </w:p>
    <w:p w:rsidR="00785666" w:rsidRPr="00721084" w:rsidRDefault="00785666"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785666" w:rsidRPr="00721084" w:rsidRDefault="00785666" w:rsidP="00CE3F81">
      <w:pPr>
        <w:pStyle w:val="af0"/>
        <w:autoSpaceDE w:val="0"/>
        <w:autoSpaceDN w:val="0"/>
        <w:snapToGrid w:val="0"/>
        <w:spacing w:line="360" w:lineRule="auto"/>
        <w:ind w:firstLineChars="200"/>
        <w:textAlignment w:val="bottom"/>
        <w:rPr>
          <w:rFonts w:asciiTheme="minorEastAsia" w:eastAsiaTheme="minorEastAsia" w:hAnsiTheme="minorEastAsia"/>
        </w:rPr>
      </w:pPr>
      <w:r w:rsidRPr="00721084">
        <w:rPr>
          <w:rFonts w:asciiTheme="minorEastAsia" w:eastAsiaTheme="minorEastAsia" w:hAnsiTheme="minorEastAsia" w:hint="eastAsia"/>
        </w:rPr>
        <w:t>《基金合同》受中国法律管辖。</w:t>
      </w:r>
    </w:p>
    <w:p w:rsidR="00785666" w:rsidRPr="00721084" w:rsidRDefault="00785666" w:rsidP="007F6D3E">
      <w:pPr>
        <w:snapToGrid w:val="0"/>
        <w:spacing w:line="360" w:lineRule="auto"/>
        <w:ind w:firstLineChars="200" w:firstLine="422"/>
        <w:rPr>
          <w:rFonts w:asciiTheme="minorEastAsia" w:eastAsiaTheme="minorEastAsia" w:hAnsiTheme="minorEastAsia"/>
        </w:rPr>
      </w:pPr>
      <w:r w:rsidRPr="00721084">
        <w:rPr>
          <w:rFonts w:asciiTheme="minorEastAsia" w:eastAsiaTheme="minorEastAsia" w:hAnsiTheme="minorEastAsia"/>
          <w:b/>
        </w:rPr>
        <w:t>五</w:t>
      </w:r>
      <w:r w:rsidR="003E5027" w:rsidRPr="00721084">
        <w:rPr>
          <w:rFonts w:asciiTheme="minorEastAsia" w:eastAsiaTheme="minorEastAsia" w:hAnsiTheme="minorEastAsia" w:hint="eastAsia"/>
          <w:b/>
        </w:rPr>
        <w:t>、</w:t>
      </w:r>
      <w:r w:rsidRPr="00721084">
        <w:rPr>
          <w:rFonts w:asciiTheme="minorEastAsia" w:eastAsiaTheme="minorEastAsia" w:hAnsiTheme="minorEastAsia"/>
          <w:b/>
        </w:rPr>
        <w:t>基金合同存放地和投资者取得基金合同的方式</w:t>
      </w:r>
      <w:r w:rsidRPr="00721084">
        <w:rPr>
          <w:rFonts w:asciiTheme="minorEastAsia" w:eastAsiaTheme="minorEastAsia" w:hAnsiTheme="minorEastAsia"/>
          <w:b/>
        </w:rPr>
        <w:br/>
      </w:r>
      <w:r w:rsidRPr="00721084">
        <w:rPr>
          <w:rFonts w:asciiTheme="minorEastAsia" w:eastAsiaTheme="minorEastAsia" w:hAnsiTheme="minorEastAsia" w:hint="eastAsia"/>
        </w:rPr>
        <w:t>《基金合同》</w:t>
      </w:r>
      <w:r w:rsidRPr="00721084">
        <w:rPr>
          <w:rFonts w:asciiTheme="minorEastAsia" w:eastAsiaTheme="minorEastAsia" w:hAnsiTheme="minorEastAsia"/>
        </w:rPr>
        <w:t>可印制成册</w:t>
      </w:r>
      <w:r w:rsidRPr="00721084">
        <w:rPr>
          <w:rFonts w:asciiTheme="minorEastAsia" w:eastAsiaTheme="minorEastAsia" w:hAnsiTheme="minorEastAsia" w:hint="eastAsia"/>
        </w:rPr>
        <w:t>，供投资者在基金管理人、基金托管人、基金代销机构的办公场所和营业场所查阅；投资者也可按工本费购买《基金合同》复制件或复印件，但内容应以《基金合同》正本为准。</w:t>
      </w:r>
    </w:p>
    <w:p w:rsidR="00BD4C5B" w:rsidRPr="00721084" w:rsidRDefault="00BD4C5B" w:rsidP="007F6D3E">
      <w:pPr>
        <w:snapToGrid w:val="0"/>
        <w:spacing w:line="360" w:lineRule="auto"/>
        <w:rPr>
          <w:rFonts w:asciiTheme="minorEastAsia" w:eastAsiaTheme="minorEastAsia" w:hAnsiTheme="minorEastAsia"/>
          <w:b/>
          <w:bCs/>
        </w:rPr>
        <w:sectPr w:rsidR="00BD4C5B" w:rsidRPr="00721084" w:rsidSect="00684E94">
          <w:pgSz w:w="11906" w:h="16838" w:code="9"/>
          <w:pgMar w:top="1440" w:right="1800" w:bottom="1440" w:left="1800" w:header="851" w:footer="992" w:gutter="0"/>
          <w:cols w:space="425"/>
          <w:docGrid w:type="lines" w:linePitch="312"/>
        </w:sectPr>
      </w:pPr>
    </w:p>
    <w:p w:rsidR="00351B86" w:rsidRPr="00721084" w:rsidRDefault="00351B86"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11" w:name="_Toc44351152"/>
      <w:r w:rsidRPr="00721084">
        <w:rPr>
          <w:rFonts w:asciiTheme="minorEastAsia" w:eastAsiaTheme="minorEastAsia" w:hAnsiTheme="minorEastAsia" w:hint="eastAsia"/>
        </w:rPr>
        <w:lastRenderedPageBreak/>
        <w:t>基金托管协议的内容摘要</w:t>
      </w:r>
      <w:bookmarkEnd w:id="311"/>
    </w:p>
    <w:p w:rsidR="00785666" w:rsidRPr="00721084" w:rsidRDefault="00785666" w:rsidP="00CE3F81">
      <w:pPr>
        <w:snapToGrid w:val="0"/>
        <w:spacing w:line="360" w:lineRule="auto"/>
        <w:ind w:firstLineChars="200" w:firstLine="422"/>
        <w:rPr>
          <w:rFonts w:asciiTheme="minorEastAsia" w:eastAsiaTheme="minorEastAsia" w:hAnsiTheme="minorEastAsia"/>
          <w:b/>
          <w:szCs w:val="18"/>
        </w:rPr>
      </w:pPr>
      <w:r w:rsidRPr="00721084">
        <w:rPr>
          <w:rFonts w:asciiTheme="minorEastAsia" w:eastAsiaTheme="minorEastAsia" w:hAnsiTheme="minorEastAsia"/>
          <w:b/>
          <w:szCs w:val="18"/>
        </w:rPr>
        <w:t>一</w:t>
      </w:r>
      <w:r w:rsidRPr="00721084">
        <w:rPr>
          <w:rFonts w:asciiTheme="minorEastAsia" w:eastAsiaTheme="minorEastAsia" w:hAnsiTheme="minorEastAsia" w:hint="eastAsia"/>
          <w:b/>
          <w:szCs w:val="18"/>
        </w:rPr>
        <w:t>、</w:t>
      </w:r>
      <w:r w:rsidRPr="00721084">
        <w:rPr>
          <w:rFonts w:asciiTheme="minorEastAsia" w:eastAsiaTheme="minorEastAsia" w:hAnsiTheme="minorEastAsia"/>
          <w:b/>
          <w:szCs w:val="18"/>
        </w:rPr>
        <w:t>托管协议当事人</w:t>
      </w:r>
    </w:p>
    <w:p w:rsidR="00785666" w:rsidRPr="00721084" w:rsidRDefault="00785666" w:rsidP="00CE3F81">
      <w:pPr>
        <w:snapToGrid w:val="0"/>
        <w:spacing w:line="360" w:lineRule="auto"/>
        <w:ind w:firstLineChars="200" w:firstLine="422"/>
        <w:rPr>
          <w:rFonts w:asciiTheme="minorEastAsia" w:eastAsiaTheme="minorEastAsia" w:hAnsiTheme="minorEastAsia"/>
          <w:b/>
        </w:rPr>
      </w:pPr>
      <w:bookmarkStart w:id="312" w:name="_Toc22454433"/>
      <w:bookmarkStart w:id="313" w:name="_Toc48703885"/>
      <w:bookmarkStart w:id="314" w:name="_Toc174497167"/>
      <w:bookmarkStart w:id="315" w:name="_Toc174501001"/>
      <w:bookmarkStart w:id="316" w:name="_Toc174502373"/>
      <w:bookmarkStart w:id="317" w:name="_Toc174616272"/>
      <w:r w:rsidRPr="00721084">
        <w:rPr>
          <w:rFonts w:asciiTheme="minorEastAsia" w:eastAsiaTheme="minorEastAsia" w:hAnsiTheme="minorEastAsia" w:hint="eastAsia"/>
          <w:b/>
        </w:rPr>
        <w:t>（一）基金管理人</w:t>
      </w:r>
      <w:bookmarkEnd w:id="312"/>
      <w:bookmarkEnd w:id="313"/>
      <w:bookmarkEnd w:id="314"/>
      <w:bookmarkEnd w:id="315"/>
      <w:bookmarkEnd w:id="316"/>
      <w:bookmarkEnd w:id="317"/>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名称：易方达基金管理有限公司</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住所：</w:t>
      </w:r>
      <w:r w:rsidR="005C0821" w:rsidRPr="00721084">
        <w:rPr>
          <w:rFonts w:asciiTheme="minorEastAsia" w:eastAsiaTheme="minorEastAsia" w:hAnsiTheme="minorEastAsia"/>
          <w:szCs w:val="21"/>
        </w:rPr>
        <w:t>广东省珠海市横琴新区宝华路6号105室-42891（集中办公区）</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法定代表人：</w:t>
      </w:r>
      <w:r w:rsidR="007C6714" w:rsidRPr="00721084">
        <w:rPr>
          <w:rFonts w:asciiTheme="minorEastAsia" w:eastAsiaTheme="minorEastAsia" w:hAnsiTheme="minorEastAsia" w:hint="eastAsia"/>
          <w:bCs/>
          <w:szCs w:val="21"/>
        </w:rPr>
        <w:t>刘晓艳</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成立时间：2001年4月17日</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批准设立机关：中国证券监督管理委员会</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批准设立文号：证监基金字[2001</w:t>
      </w:r>
      <w:r w:rsidRPr="00721084">
        <w:rPr>
          <w:rFonts w:asciiTheme="minorEastAsia" w:eastAsiaTheme="minorEastAsia" w:hAnsiTheme="minorEastAsia"/>
          <w:bCs/>
          <w:szCs w:val="21"/>
        </w:rPr>
        <w:t>]</w:t>
      </w:r>
      <w:r w:rsidRPr="00721084">
        <w:rPr>
          <w:rFonts w:asciiTheme="minorEastAsia" w:eastAsiaTheme="minorEastAsia" w:hAnsiTheme="minorEastAsia" w:hint="eastAsia"/>
          <w:bCs/>
          <w:szCs w:val="21"/>
        </w:rPr>
        <w:t>4号</w:t>
      </w:r>
    </w:p>
    <w:p w:rsidR="00785666" w:rsidRPr="00721084" w:rsidRDefault="000E205E"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注册资本：13,244.2万元人民币</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组织形式：</w:t>
      </w:r>
      <w:r w:rsidRPr="00721084">
        <w:rPr>
          <w:rFonts w:asciiTheme="minorEastAsia" w:eastAsiaTheme="minorEastAsia" w:hAnsiTheme="minorEastAsia" w:hint="eastAsia"/>
          <w:szCs w:val="21"/>
        </w:rPr>
        <w:t>有限责任公司</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经营范围：</w:t>
      </w:r>
      <w:r w:rsidR="00D45389" w:rsidRPr="00721084">
        <w:rPr>
          <w:rFonts w:asciiTheme="minorEastAsia" w:eastAsiaTheme="minorEastAsia" w:hAnsiTheme="minorEastAsia" w:hint="eastAsia"/>
          <w:szCs w:val="21"/>
        </w:rPr>
        <w:t>公开募集证券投资基金管理、基金销售、特定客户资产管理</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存续期间：</w:t>
      </w:r>
      <w:r w:rsidRPr="00721084">
        <w:rPr>
          <w:rFonts w:asciiTheme="minorEastAsia" w:eastAsiaTheme="minorEastAsia" w:hAnsiTheme="minorEastAsia" w:hint="eastAsia"/>
        </w:rPr>
        <w:t>持续经营</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电话：</w:t>
      </w:r>
      <w:r w:rsidR="00433683" w:rsidRPr="00721084">
        <w:rPr>
          <w:rFonts w:asciiTheme="minorEastAsia" w:eastAsiaTheme="minorEastAsia" w:hAnsiTheme="minorEastAsia" w:hint="eastAsia"/>
          <w:szCs w:val="21"/>
        </w:rPr>
        <w:t>4008818088</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bCs/>
          <w:szCs w:val="21"/>
        </w:rPr>
        <w:t>传真：</w:t>
      </w:r>
      <w:r w:rsidRPr="00721084">
        <w:rPr>
          <w:rFonts w:asciiTheme="minorEastAsia" w:eastAsiaTheme="minorEastAsia" w:hAnsiTheme="minorEastAsia" w:hint="eastAsia"/>
          <w:bCs/>
          <w:szCs w:val="21"/>
        </w:rPr>
        <w:t>020-38799488</w:t>
      </w:r>
    </w:p>
    <w:p w:rsidR="00785666" w:rsidRPr="00721084" w:rsidRDefault="00785666" w:rsidP="00CE3F81">
      <w:pPr>
        <w:snapToGrid w:val="0"/>
        <w:spacing w:line="360" w:lineRule="auto"/>
        <w:ind w:firstLineChars="200" w:firstLine="422"/>
        <w:rPr>
          <w:rFonts w:asciiTheme="minorEastAsia" w:eastAsiaTheme="minorEastAsia" w:hAnsiTheme="minorEastAsia"/>
          <w:b/>
        </w:rPr>
      </w:pPr>
      <w:bookmarkStart w:id="318" w:name="_Toc174497168"/>
      <w:bookmarkStart w:id="319" w:name="_Toc174501002"/>
      <w:bookmarkStart w:id="320" w:name="_Toc174502374"/>
      <w:bookmarkStart w:id="321" w:name="_Toc174616273"/>
      <w:r w:rsidRPr="00721084">
        <w:rPr>
          <w:rFonts w:asciiTheme="minorEastAsia" w:eastAsiaTheme="minorEastAsia" w:hAnsiTheme="minorEastAsia" w:hint="eastAsia"/>
          <w:b/>
        </w:rPr>
        <w:t>（二）基金托管人</w:t>
      </w:r>
      <w:bookmarkEnd w:id="318"/>
      <w:bookmarkEnd w:id="319"/>
      <w:bookmarkEnd w:id="320"/>
      <w:bookmarkEnd w:id="321"/>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名称：中国工商银行股份有限公司</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住所：北京市西城区复兴门内大街</w:t>
      </w:r>
      <w:r w:rsidRPr="00721084">
        <w:rPr>
          <w:rFonts w:asciiTheme="minorEastAsia" w:eastAsiaTheme="minorEastAsia" w:hAnsiTheme="minorEastAsia"/>
          <w:bCs/>
          <w:szCs w:val="21"/>
        </w:rPr>
        <w:t>55</w:t>
      </w:r>
      <w:r w:rsidRPr="00721084">
        <w:rPr>
          <w:rFonts w:asciiTheme="minorEastAsia" w:eastAsiaTheme="minorEastAsia" w:hAnsiTheme="minorEastAsia" w:hint="eastAsia"/>
          <w:bCs/>
          <w:szCs w:val="21"/>
        </w:rPr>
        <w:t>号（100032）</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法定代表人：</w:t>
      </w:r>
      <w:r w:rsidR="00A55C6A" w:rsidRPr="00721084">
        <w:rPr>
          <w:rFonts w:asciiTheme="minorEastAsia" w:eastAsiaTheme="minorEastAsia" w:hAnsiTheme="minorEastAsia" w:hint="eastAsia"/>
          <w:szCs w:val="21"/>
          <w:lang w:val="en-GB"/>
        </w:rPr>
        <w:t>陈四清</w:t>
      </w:r>
    </w:p>
    <w:p w:rsidR="00B0479B" w:rsidRPr="00721084" w:rsidRDefault="00B0479B" w:rsidP="00B0479B">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电话：（</w:t>
      </w:r>
      <w:r w:rsidRPr="00721084">
        <w:rPr>
          <w:rFonts w:asciiTheme="minorEastAsia" w:eastAsiaTheme="minorEastAsia" w:hAnsiTheme="minorEastAsia"/>
          <w:bCs/>
          <w:szCs w:val="21"/>
        </w:rPr>
        <w:t>010</w:t>
      </w:r>
      <w:r w:rsidRPr="00721084">
        <w:rPr>
          <w:rFonts w:asciiTheme="minorEastAsia" w:eastAsiaTheme="minorEastAsia" w:hAnsiTheme="minorEastAsia" w:hint="eastAsia"/>
          <w:bCs/>
          <w:szCs w:val="21"/>
        </w:rPr>
        <w:t>）</w:t>
      </w:r>
      <w:r w:rsidRPr="00721084">
        <w:rPr>
          <w:rFonts w:asciiTheme="minorEastAsia" w:eastAsiaTheme="minorEastAsia" w:hAnsiTheme="minorEastAsia"/>
          <w:bCs/>
          <w:szCs w:val="21"/>
        </w:rPr>
        <w:t>6610</w:t>
      </w:r>
      <w:r w:rsidRPr="00721084">
        <w:rPr>
          <w:rFonts w:asciiTheme="minorEastAsia" w:eastAsiaTheme="minorEastAsia" w:hAnsiTheme="minorEastAsia" w:hint="eastAsia"/>
          <w:bCs/>
          <w:szCs w:val="21"/>
        </w:rPr>
        <w:t>5799</w:t>
      </w:r>
    </w:p>
    <w:p w:rsidR="00B0479B" w:rsidRPr="00721084" w:rsidRDefault="00B0479B" w:rsidP="00B0479B">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传真：（</w:t>
      </w:r>
      <w:r w:rsidRPr="00721084">
        <w:rPr>
          <w:rFonts w:asciiTheme="minorEastAsia" w:eastAsiaTheme="minorEastAsia" w:hAnsiTheme="minorEastAsia"/>
          <w:bCs/>
          <w:szCs w:val="21"/>
        </w:rPr>
        <w:t>010</w:t>
      </w:r>
      <w:r w:rsidRPr="00721084">
        <w:rPr>
          <w:rFonts w:asciiTheme="minorEastAsia" w:eastAsiaTheme="minorEastAsia" w:hAnsiTheme="minorEastAsia" w:hint="eastAsia"/>
          <w:bCs/>
          <w:szCs w:val="21"/>
        </w:rPr>
        <w:t>）</w:t>
      </w:r>
      <w:r w:rsidRPr="00721084">
        <w:rPr>
          <w:rFonts w:asciiTheme="minorEastAsia" w:eastAsiaTheme="minorEastAsia" w:hAnsiTheme="minorEastAsia"/>
          <w:bCs/>
          <w:szCs w:val="21"/>
        </w:rPr>
        <w:t>6610</w:t>
      </w:r>
      <w:r w:rsidRPr="00721084">
        <w:rPr>
          <w:rFonts w:asciiTheme="minorEastAsia" w:eastAsiaTheme="minorEastAsia" w:hAnsiTheme="minorEastAsia" w:hint="eastAsia"/>
          <w:bCs/>
          <w:szCs w:val="21"/>
        </w:rPr>
        <w:t>5798</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联系人：</w:t>
      </w:r>
      <w:r w:rsidR="008A48EB" w:rsidRPr="00721084">
        <w:rPr>
          <w:rFonts w:asciiTheme="minorEastAsia" w:eastAsiaTheme="minorEastAsia" w:hAnsiTheme="minorEastAsia" w:hint="eastAsia"/>
          <w:szCs w:val="21"/>
        </w:rPr>
        <w:t>郭明</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成立时间：</w:t>
      </w:r>
      <w:r w:rsidR="00D0697C" w:rsidRPr="00721084">
        <w:rPr>
          <w:rFonts w:asciiTheme="minorEastAsia" w:eastAsiaTheme="minorEastAsia" w:hAnsiTheme="minorEastAsia"/>
          <w:spacing w:val="6"/>
        </w:rPr>
        <w:t>198</w:t>
      </w:r>
      <w:r w:rsidR="00D0697C" w:rsidRPr="00721084">
        <w:rPr>
          <w:rFonts w:asciiTheme="minorEastAsia" w:eastAsiaTheme="minorEastAsia" w:hAnsiTheme="minorEastAsia" w:hint="eastAsia"/>
          <w:spacing w:val="6"/>
        </w:rPr>
        <w:t>4</w:t>
      </w:r>
      <w:r w:rsidR="00D0697C" w:rsidRPr="00721084">
        <w:rPr>
          <w:rFonts w:asciiTheme="minorEastAsia" w:eastAsiaTheme="minorEastAsia" w:hAnsiTheme="minorEastAsia"/>
          <w:spacing w:val="6"/>
        </w:rPr>
        <w:t>年</w:t>
      </w:r>
      <w:r w:rsidR="00D0697C" w:rsidRPr="00721084">
        <w:rPr>
          <w:rFonts w:asciiTheme="minorEastAsia" w:eastAsiaTheme="minorEastAsia" w:hAnsiTheme="minorEastAsia" w:hint="eastAsia"/>
          <w:spacing w:val="6"/>
        </w:rPr>
        <w:t>1</w:t>
      </w:r>
      <w:r w:rsidR="00D0697C" w:rsidRPr="00721084">
        <w:rPr>
          <w:rFonts w:asciiTheme="minorEastAsia" w:eastAsiaTheme="minorEastAsia" w:hAnsiTheme="minorEastAsia"/>
          <w:spacing w:val="6"/>
        </w:rPr>
        <w:t>月</w:t>
      </w:r>
      <w:r w:rsidR="00D0697C" w:rsidRPr="00721084">
        <w:rPr>
          <w:rFonts w:asciiTheme="minorEastAsia" w:eastAsiaTheme="minorEastAsia" w:hAnsiTheme="minorEastAsia" w:hint="eastAsia"/>
          <w:spacing w:val="6"/>
        </w:rPr>
        <w:t>1</w:t>
      </w:r>
      <w:r w:rsidR="00D0697C" w:rsidRPr="00721084">
        <w:rPr>
          <w:rFonts w:asciiTheme="minorEastAsia" w:eastAsiaTheme="minorEastAsia" w:hAnsiTheme="minorEastAsia"/>
          <w:spacing w:val="6"/>
        </w:rPr>
        <w:t>日</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组织形式：股份有限公司</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注册资本：</w:t>
      </w:r>
      <w:r w:rsidR="00D87C43" w:rsidRPr="00721084">
        <w:rPr>
          <w:rFonts w:asciiTheme="minorEastAsia" w:eastAsiaTheme="minorEastAsia" w:hAnsiTheme="minorEastAsia" w:hint="eastAsia"/>
        </w:rPr>
        <w:t>人民币35,640,625.7089万元</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批准设立机关和设立文号：国务院《关于中国人民银行专门行使中央银行职能的决定》（国发[1983]146号）</w:t>
      </w:r>
    </w:p>
    <w:p w:rsidR="00785666" w:rsidRPr="00721084" w:rsidRDefault="00785666"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存续期间：持续经营</w:t>
      </w:r>
    </w:p>
    <w:p w:rsidR="00512721" w:rsidRPr="00721084" w:rsidRDefault="00512721" w:rsidP="00CE3F81">
      <w:pPr>
        <w:tabs>
          <w:tab w:val="num" w:pos="961"/>
        </w:tabs>
        <w:snapToGrid w:val="0"/>
        <w:spacing w:line="360" w:lineRule="auto"/>
        <w:ind w:firstLineChars="200" w:firstLine="420"/>
        <w:rPr>
          <w:rFonts w:asciiTheme="minorEastAsia" w:eastAsiaTheme="minorEastAsia" w:hAnsiTheme="minorEastAsia"/>
          <w:bCs/>
          <w:szCs w:val="21"/>
        </w:rPr>
      </w:pPr>
      <w:r w:rsidRPr="00721084">
        <w:rPr>
          <w:rFonts w:asciiTheme="minorEastAsia" w:eastAsiaTheme="minorEastAsia" w:hAnsiTheme="minorEastAsia" w:hint="eastAsia"/>
          <w:bCs/>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w:t>
      </w:r>
      <w:r w:rsidRPr="00721084">
        <w:rPr>
          <w:rFonts w:asciiTheme="minorEastAsia" w:eastAsiaTheme="minorEastAsia" w:hAnsiTheme="minorEastAsia" w:hint="eastAsia"/>
          <w:bCs/>
          <w:szCs w:val="21"/>
        </w:rPr>
        <w:lastRenderedPageBreak/>
        <w:t>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785666" w:rsidRPr="00721084" w:rsidRDefault="00785666" w:rsidP="00CE3F81">
      <w:pPr>
        <w:snapToGrid w:val="0"/>
        <w:spacing w:line="360" w:lineRule="auto"/>
        <w:ind w:firstLineChars="200" w:firstLine="422"/>
        <w:rPr>
          <w:rFonts w:asciiTheme="minorEastAsia" w:eastAsiaTheme="minorEastAsia" w:hAnsiTheme="minorEastAsia"/>
          <w:b/>
          <w:szCs w:val="18"/>
        </w:rPr>
      </w:pPr>
      <w:r w:rsidRPr="00721084">
        <w:rPr>
          <w:rFonts w:asciiTheme="minorEastAsia" w:eastAsiaTheme="minorEastAsia" w:hAnsiTheme="minorEastAsia"/>
          <w:b/>
          <w:szCs w:val="18"/>
        </w:rPr>
        <w:t>二</w:t>
      </w:r>
      <w:r w:rsidRPr="00721084">
        <w:rPr>
          <w:rFonts w:asciiTheme="minorEastAsia" w:eastAsiaTheme="minorEastAsia" w:hAnsiTheme="minorEastAsia" w:hint="eastAsia"/>
          <w:b/>
          <w:szCs w:val="18"/>
        </w:rPr>
        <w:t>、</w:t>
      </w:r>
      <w:bookmarkStart w:id="322" w:name="_Toc174788854"/>
      <w:bookmarkStart w:id="323" w:name="_Toc174790102"/>
      <w:bookmarkStart w:id="324" w:name="_Toc186274439"/>
      <w:r w:rsidRPr="00721084">
        <w:rPr>
          <w:rFonts w:asciiTheme="minorEastAsia" w:eastAsiaTheme="minorEastAsia" w:hAnsiTheme="minorEastAsia" w:hint="eastAsia"/>
          <w:b/>
          <w:szCs w:val="18"/>
        </w:rPr>
        <w:t>基金托管人对基金管理人的业务监督和核查</w:t>
      </w:r>
      <w:bookmarkEnd w:id="322"/>
      <w:bookmarkEnd w:id="323"/>
      <w:bookmarkEnd w:id="324"/>
    </w:p>
    <w:p w:rsidR="00785666" w:rsidRPr="00721084" w:rsidRDefault="00785666" w:rsidP="00CE3F81">
      <w:pPr>
        <w:widowControl/>
        <w:snapToGrid w:val="0"/>
        <w:spacing w:line="360" w:lineRule="auto"/>
        <w:ind w:firstLineChars="200" w:firstLine="422"/>
        <w:jc w:val="left"/>
        <w:rPr>
          <w:rFonts w:asciiTheme="minorEastAsia" w:eastAsiaTheme="minorEastAsia" w:hAnsiTheme="minorEastAsia"/>
          <w:b/>
          <w:szCs w:val="21"/>
        </w:rPr>
      </w:pPr>
      <w:bookmarkStart w:id="325" w:name="_Toc174497178"/>
      <w:bookmarkStart w:id="326" w:name="_Toc174501008"/>
      <w:bookmarkStart w:id="327" w:name="_Toc174502380"/>
      <w:bookmarkStart w:id="328" w:name="_Toc174616279"/>
      <w:r w:rsidRPr="00721084">
        <w:rPr>
          <w:rFonts w:asciiTheme="minorEastAsia" w:eastAsiaTheme="minorEastAsia" w:hAnsiTheme="minorEastAsia" w:hint="eastAsia"/>
          <w:b/>
          <w:szCs w:val="21"/>
        </w:rPr>
        <w:t>（一）基金托管人对基金管理人的投资行为行使监督权</w:t>
      </w:r>
      <w:bookmarkEnd w:id="325"/>
      <w:bookmarkEnd w:id="326"/>
      <w:bookmarkEnd w:id="327"/>
      <w:bookmarkEnd w:id="328"/>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1</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基金托管人根据有关法律法规的规定和《基金合同》的约定，对下述基金投资范围、投资对象进行监督。</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本基金将投资于以下金融工具：</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本基金的投资范围为：权益类品种，包括</w:t>
      </w:r>
      <w:r w:rsidRPr="00721084">
        <w:rPr>
          <w:rFonts w:asciiTheme="minorEastAsia" w:eastAsiaTheme="minorEastAsia" w:hAnsiTheme="minorEastAsia"/>
          <w:szCs w:val="21"/>
        </w:rPr>
        <w:t>普通股、</w:t>
      </w:r>
      <w:r w:rsidRPr="00721084">
        <w:rPr>
          <w:rFonts w:asciiTheme="minorEastAsia" w:eastAsiaTheme="minorEastAsia" w:hAnsiTheme="minorEastAsia" w:hint="eastAsia"/>
          <w:szCs w:val="21"/>
        </w:rPr>
        <w:t>优先股、</w:t>
      </w:r>
      <w:r w:rsidRPr="00721084">
        <w:rPr>
          <w:rFonts w:asciiTheme="minorEastAsia" w:eastAsiaTheme="minorEastAsia" w:hAnsiTheme="minorEastAsia"/>
          <w:szCs w:val="21"/>
        </w:rPr>
        <w:t>全球</w:t>
      </w:r>
      <w:r w:rsidRPr="00721084">
        <w:rPr>
          <w:rFonts w:asciiTheme="minorEastAsia" w:eastAsiaTheme="minorEastAsia" w:hAnsiTheme="minorEastAsia" w:hint="eastAsia"/>
          <w:szCs w:val="21"/>
        </w:rPr>
        <w:t>及美国</w:t>
      </w:r>
      <w:r w:rsidRPr="00721084">
        <w:rPr>
          <w:rFonts w:asciiTheme="minorEastAsia" w:eastAsiaTheme="minorEastAsia" w:hAnsiTheme="minorEastAsia"/>
          <w:szCs w:val="21"/>
        </w:rPr>
        <w:t>存托凭证</w:t>
      </w:r>
      <w:r w:rsidRPr="00721084">
        <w:rPr>
          <w:rFonts w:asciiTheme="minorEastAsia" w:eastAsiaTheme="minorEastAsia" w:hAnsiTheme="minorEastAsia" w:hint="eastAsia"/>
          <w:szCs w:val="21"/>
        </w:rPr>
        <w:t>、股票型基金等；固定收益类品种，包括</w:t>
      </w:r>
      <w:r w:rsidRPr="00721084">
        <w:rPr>
          <w:rFonts w:asciiTheme="minorEastAsia" w:eastAsiaTheme="minorEastAsia" w:hAnsiTheme="minorEastAsia"/>
          <w:szCs w:val="21"/>
        </w:rPr>
        <w:t>政府债券、公司债券、可转换债券及经中国证监会认可的国际金融组织发行的</w:t>
      </w:r>
      <w:r w:rsidRPr="00721084">
        <w:rPr>
          <w:rFonts w:asciiTheme="minorEastAsia" w:eastAsiaTheme="minorEastAsia" w:hAnsiTheme="minorEastAsia" w:hint="eastAsia"/>
          <w:szCs w:val="21"/>
        </w:rPr>
        <w:t>固定收益类</w:t>
      </w:r>
      <w:r w:rsidRPr="00721084">
        <w:rPr>
          <w:rFonts w:asciiTheme="minorEastAsia" w:eastAsiaTheme="minorEastAsia" w:hAnsiTheme="minorEastAsia"/>
          <w:szCs w:val="21"/>
        </w:rPr>
        <w:t>证券；</w:t>
      </w:r>
      <w:r w:rsidRPr="00721084">
        <w:rPr>
          <w:rFonts w:asciiTheme="minorEastAsia" w:eastAsiaTheme="minorEastAsia" w:hAnsiTheme="minorEastAsia" w:hint="eastAsia"/>
          <w:szCs w:val="21"/>
        </w:rPr>
        <w:t>银行存款、回购、短期政府债券与货币市场基金等</w:t>
      </w:r>
      <w:r w:rsidRPr="00721084">
        <w:rPr>
          <w:rFonts w:asciiTheme="minorEastAsia" w:eastAsiaTheme="minorEastAsia" w:hAnsiTheme="minorEastAsia"/>
          <w:szCs w:val="21"/>
        </w:rPr>
        <w:t>货币市场工具</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经中国证监会认可的境外交易所上市交易的金融衍生产品</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以及法律、法规或中国证监会允许基金投资的其</w:t>
      </w:r>
      <w:r w:rsidRPr="00721084">
        <w:rPr>
          <w:rFonts w:asciiTheme="minorEastAsia" w:eastAsiaTheme="minorEastAsia" w:hAnsiTheme="minorEastAsia" w:hint="eastAsia"/>
          <w:szCs w:val="21"/>
        </w:rPr>
        <w:t>他</w:t>
      </w:r>
      <w:r w:rsidRPr="00721084">
        <w:rPr>
          <w:rFonts w:asciiTheme="minorEastAsia" w:eastAsiaTheme="minorEastAsia" w:hAnsiTheme="minorEastAsia"/>
          <w:szCs w:val="21"/>
        </w:rPr>
        <w:t>金融工具。</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szCs w:val="21"/>
        </w:rPr>
        <w:t>本基金不得投资于</w:t>
      </w:r>
      <w:r w:rsidRPr="00721084">
        <w:rPr>
          <w:rFonts w:asciiTheme="minorEastAsia" w:eastAsiaTheme="minorEastAsia" w:hAnsiTheme="minorEastAsia" w:hint="eastAsia"/>
          <w:szCs w:val="21"/>
        </w:rPr>
        <w:t>相关法律法规及《基金合同》禁止投资的投资工具</w:t>
      </w:r>
      <w:r w:rsidRPr="00721084">
        <w:rPr>
          <w:rFonts w:asciiTheme="minorEastAsia" w:eastAsiaTheme="minorEastAsia" w:hAnsiTheme="minorEastAsia"/>
          <w:szCs w:val="21"/>
        </w:rPr>
        <w:t>。</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2</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基金托管人根据有关法律法规的规定及《基金合同》的约定对下述基金投融资比例进行监督：</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（1）按法律法规的规定及《基金合同》的约定，本基金的投资资产配置比例为：</w:t>
      </w:r>
    </w:p>
    <w:p w:rsidR="008160B1"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本基金投资组合为：</w:t>
      </w:r>
      <w:r w:rsidR="008160B1" w:rsidRPr="00721084">
        <w:rPr>
          <w:rFonts w:asciiTheme="minorEastAsia" w:eastAsiaTheme="minorEastAsia" w:hAnsiTheme="minorEastAsia" w:hint="eastAsia"/>
          <w:szCs w:val="21"/>
        </w:rPr>
        <w:t>本基金主要投资于在亚洲地区（日本除外）证券市场交易的企业以及在其他证券市场交易的亚洲企业（日本除外），对以上两类企业的投资合计不低于股票资产的80%</w:t>
      </w:r>
      <w:r w:rsidR="00DB012E" w:rsidRPr="00721084">
        <w:rPr>
          <w:rFonts w:asciiTheme="minorEastAsia" w:eastAsiaTheme="minorEastAsia" w:hAnsiTheme="minorEastAsia" w:hint="eastAsia"/>
          <w:szCs w:val="21"/>
        </w:rPr>
        <w:t>；其他不高于20%的股票资产可以根据投资策略投资于超出前述投资范围的其他市场的企业</w:t>
      </w:r>
      <w:r w:rsidR="008160B1" w:rsidRPr="00721084">
        <w:rPr>
          <w:rFonts w:asciiTheme="minorEastAsia" w:eastAsiaTheme="minorEastAsia" w:hAnsiTheme="minorEastAsia" w:hint="eastAsia"/>
          <w:szCs w:val="21"/>
        </w:rPr>
        <w:t>。上述亚洲企业指注册登记或者总部在亚洲的企业。</w:t>
      </w:r>
    </w:p>
    <w:p w:rsidR="00785666" w:rsidRPr="00721084" w:rsidRDefault="008160B1"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本基金投资于股票及其他权益类证券占基金资产的比例不低于60%，</w:t>
      </w:r>
      <w:r w:rsidR="00DB57AC" w:rsidRPr="00721084">
        <w:rPr>
          <w:rFonts w:asciiTheme="minorEastAsia" w:eastAsiaTheme="minorEastAsia" w:hAnsiTheme="minorEastAsia" w:hint="eastAsia"/>
          <w:szCs w:val="21"/>
        </w:rPr>
        <w:t>现金、债券及中国证监会允许投资的其它金融工具市值占基金资产的比例不高于</w:t>
      </w:r>
      <w:r w:rsidR="00DB57AC" w:rsidRPr="00721084">
        <w:rPr>
          <w:rFonts w:asciiTheme="minorEastAsia" w:eastAsiaTheme="minorEastAsia" w:hAnsiTheme="minorEastAsia"/>
          <w:szCs w:val="21"/>
        </w:rPr>
        <w:t>40%</w:t>
      </w:r>
      <w:r w:rsidR="00785666" w:rsidRPr="00721084">
        <w:rPr>
          <w:rFonts w:asciiTheme="minorEastAsia" w:eastAsiaTheme="minorEastAsia" w:hAnsiTheme="minorEastAsia" w:hint="eastAsia"/>
          <w:szCs w:val="21"/>
        </w:rPr>
        <w:t>。</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如与中国证监会签订</w:t>
      </w:r>
      <w:r w:rsidRPr="00721084">
        <w:rPr>
          <w:rFonts w:asciiTheme="minorEastAsia" w:eastAsiaTheme="minorEastAsia" w:hAnsiTheme="minorEastAsia"/>
          <w:szCs w:val="21"/>
        </w:rPr>
        <w:t>双边监管合作谅解备忘录</w:t>
      </w:r>
      <w:r w:rsidRPr="00721084">
        <w:rPr>
          <w:rFonts w:asciiTheme="minorEastAsia" w:eastAsiaTheme="minorEastAsia" w:hAnsiTheme="minorEastAsia" w:hint="eastAsia"/>
          <w:szCs w:val="21"/>
        </w:rPr>
        <w:t>的国家</w:t>
      </w:r>
      <w:r w:rsidR="00671302" w:rsidRPr="00721084">
        <w:rPr>
          <w:rFonts w:asciiTheme="minorEastAsia" w:eastAsiaTheme="minorEastAsia" w:hAnsiTheme="minorEastAsia" w:hint="eastAsia"/>
          <w:szCs w:val="21"/>
        </w:rPr>
        <w:t>/地区</w:t>
      </w:r>
      <w:r w:rsidRPr="00721084">
        <w:rPr>
          <w:rFonts w:asciiTheme="minorEastAsia" w:eastAsiaTheme="minorEastAsia" w:hAnsiTheme="minorEastAsia" w:hint="eastAsia"/>
          <w:szCs w:val="21"/>
        </w:rPr>
        <w:t>增加、减少或变更，本基金投资的主要证券市场将相应调整。</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因基金规模或市场变化等因素导致投资组合不符合上述规定的，基金管理人应在合理的期限内调整基金的投资组合，以符合上述比例限定。法律法规另有规定时，从其规定。</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如法律法规或监管机构以后允许本基金投资其他品种，基金管理人在履行适当程序后，可以将其纳入投资范围，并可依据届时有效的法律法规适时合理地调整投资范围。</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（2）根据法律法规的规定及《基金合同》的约定，本基金投资组合遵循以下投资限制：</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szCs w:val="21"/>
        </w:rPr>
        <w:lastRenderedPageBreak/>
        <w:t>1</w:t>
      </w:r>
      <w:r w:rsidRPr="00721084">
        <w:rPr>
          <w:rFonts w:asciiTheme="minorEastAsia" w:eastAsiaTheme="minorEastAsia" w:hAnsiTheme="minorEastAsia" w:hint="eastAsia"/>
          <w:szCs w:val="21"/>
        </w:rPr>
        <w:t>)本</w:t>
      </w:r>
      <w:r w:rsidRPr="00721084">
        <w:rPr>
          <w:rFonts w:asciiTheme="minorEastAsia" w:eastAsiaTheme="minorEastAsia" w:hAnsiTheme="minorEastAsia"/>
          <w:szCs w:val="21"/>
        </w:rPr>
        <w:t>基金持有同一家银行的存款不得超过基金净值的20%。在基金托管账户的存款可以不受上述限制。</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szCs w:val="21"/>
        </w:rPr>
        <w:t>2</w:t>
      </w:r>
      <w:r w:rsidRPr="00721084">
        <w:rPr>
          <w:rFonts w:asciiTheme="minorEastAsia" w:eastAsiaTheme="minorEastAsia" w:hAnsiTheme="minorEastAsia" w:hint="eastAsia"/>
          <w:szCs w:val="21"/>
        </w:rPr>
        <w:t>)本</w:t>
      </w:r>
      <w:r w:rsidRPr="00721084">
        <w:rPr>
          <w:rFonts w:asciiTheme="minorEastAsia" w:eastAsiaTheme="minorEastAsia" w:hAnsiTheme="minorEastAsia"/>
          <w:szCs w:val="21"/>
        </w:rPr>
        <w:t>基金持有同一机构（政府、国际金融组织除外）发行的证券市值不得超过基金</w:t>
      </w:r>
      <w:r w:rsidRPr="00721084">
        <w:rPr>
          <w:rFonts w:asciiTheme="minorEastAsia" w:eastAsiaTheme="minorEastAsia" w:hAnsiTheme="minorEastAsia" w:hint="eastAsia"/>
          <w:szCs w:val="21"/>
        </w:rPr>
        <w:t>资产</w:t>
      </w:r>
      <w:r w:rsidRPr="00721084">
        <w:rPr>
          <w:rFonts w:asciiTheme="minorEastAsia" w:eastAsiaTheme="minorEastAsia" w:hAnsiTheme="minorEastAsia"/>
          <w:szCs w:val="21"/>
        </w:rPr>
        <w:t>净值的10%。</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szCs w:val="21"/>
        </w:rPr>
        <w:t>3</w:t>
      </w:r>
      <w:r w:rsidRPr="00721084">
        <w:rPr>
          <w:rFonts w:asciiTheme="minorEastAsia" w:eastAsiaTheme="minorEastAsia" w:hAnsiTheme="minorEastAsia" w:hint="eastAsia"/>
          <w:szCs w:val="21"/>
        </w:rPr>
        <w:t>)本</w:t>
      </w:r>
      <w:r w:rsidRPr="00721084">
        <w:rPr>
          <w:rFonts w:asciiTheme="minorEastAsia" w:eastAsiaTheme="minorEastAsia" w:hAnsiTheme="minorEastAsia"/>
          <w:szCs w:val="21"/>
        </w:rPr>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szCs w:val="21"/>
        </w:rPr>
        <w:t>4</w:t>
      </w:r>
      <w:r w:rsidRPr="00721084">
        <w:rPr>
          <w:rFonts w:asciiTheme="minorEastAsia" w:eastAsiaTheme="minorEastAsia" w:hAnsiTheme="minorEastAsia" w:hint="eastAsia"/>
          <w:szCs w:val="21"/>
        </w:rPr>
        <w:t>）同一基金管理人管理的全部基金不得持有同一机构10</w:t>
      </w:r>
      <w:r w:rsidR="007E1974"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以上具有投票权的证券发行总量。</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上述</w:t>
      </w:r>
      <w:r w:rsidRPr="00721084">
        <w:rPr>
          <w:rFonts w:asciiTheme="minorEastAsia" w:eastAsiaTheme="minorEastAsia" w:hAnsiTheme="minorEastAsia"/>
          <w:szCs w:val="21"/>
        </w:rPr>
        <w:t>投资比例限制应当合并计算同一机构境内外上市的总股本，同时应当一并计算全球存托凭证和美国存托凭证所代表的基础证券，并假设对持有的股本权证行使转换。</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szCs w:val="21"/>
        </w:rPr>
        <w:t>5</w:t>
      </w:r>
      <w:r w:rsidRPr="00721084">
        <w:rPr>
          <w:rFonts w:asciiTheme="minorEastAsia" w:eastAsiaTheme="minorEastAsia" w:hAnsiTheme="minorEastAsia" w:hint="eastAsia"/>
          <w:szCs w:val="21"/>
        </w:rPr>
        <w:t>）本</w:t>
      </w:r>
      <w:r w:rsidRPr="00721084">
        <w:rPr>
          <w:rFonts w:asciiTheme="minorEastAsia" w:eastAsiaTheme="minorEastAsia" w:hAnsiTheme="minorEastAsia"/>
          <w:szCs w:val="21"/>
        </w:rPr>
        <w:t>基金持有非流动性资产市值不得超过基金</w:t>
      </w:r>
      <w:r w:rsidRPr="00721084">
        <w:rPr>
          <w:rFonts w:asciiTheme="minorEastAsia" w:eastAsiaTheme="minorEastAsia" w:hAnsiTheme="minorEastAsia" w:hint="eastAsia"/>
          <w:szCs w:val="21"/>
        </w:rPr>
        <w:t>资产</w:t>
      </w:r>
      <w:r w:rsidRPr="00721084">
        <w:rPr>
          <w:rFonts w:asciiTheme="minorEastAsia" w:eastAsiaTheme="minorEastAsia" w:hAnsiTheme="minorEastAsia"/>
          <w:szCs w:val="21"/>
        </w:rPr>
        <w:t>净值的10%。</w:t>
      </w:r>
    </w:p>
    <w:p w:rsidR="00785666" w:rsidRPr="00721084" w:rsidRDefault="00785666" w:rsidP="00CE3F81">
      <w:pPr>
        <w:widowControl/>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上述</w:t>
      </w:r>
      <w:r w:rsidRPr="00721084">
        <w:rPr>
          <w:rFonts w:asciiTheme="minorEastAsia" w:eastAsiaTheme="minorEastAsia" w:hAnsiTheme="minorEastAsia"/>
          <w:szCs w:val="21"/>
        </w:rPr>
        <w:t>非流动性资产是指法律或基金合同规定的流通受限证券以及中国证监会认定的其他资产。</w:t>
      </w:r>
    </w:p>
    <w:p w:rsidR="00785666" w:rsidRPr="00721084" w:rsidRDefault="00785666" w:rsidP="00CE3F81">
      <w:pPr>
        <w:pStyle w:val="af0"/>
        <w:snapToGrid w:val="0"/>
        <w:spacing w:line="360" w:lineRule="auto"/>
        <w:ind w:firstLineChars="200"/>
        <w:rPr>
          <w:rFonts w:asciiTheme="minorEastAsia" w:eastAsiaTheme="minorEastAsia" w:hAnsiTheme="minorEastAsia" w:cs="Arial"/>
          <w:szCs w:val="21"/>
        </w:rPr>
      </w:pPr>
      <w:r w:rsidRPr="00721084">
        <w:rPr>
          <w:rFonts w:asciiTheme="minorEastAsia" w:eastAsiaTheme="minorEastAsia" w:hAnsiTheme="minorEastAsia" w:hint="eastAsia"/>
        </w:rPr>
        <w:t>6）</w:t>
      </w:r>
      <w:r w:rsidRPr="00721084">
        <w:rPr>
          <w:rFonts w:asciiTheme="minorEastAsia" w:eastAsiaTheme="minorEastAsia" w:hAnsiTheme="minorEastAsia" w:cs="Arial"/>
          <w:szCs w:val="21"/>
        </w:rPr>
        <w:t>基金持有境外基金的市值合计不得超过基金</w:t>
      </w:r>
      <w:r w:rsidRPr="00721084">
        <w:rPr>
          <w:rFonts w:asciiTheme="minorEastAsia" w:eastAsiaTheme="minorEastAsia" w:hAnsiTheme="minorEastAsia" w:cs="Arial" w:hint="eastAsia"/>
          <w:szCs w:val="21"/>
        </w:rPr>
        <w:t>资产</w:t>
      </w:r>
      <w:r w:rsidRPr="00721084">
        <w:rPr>
          <w:rFonts w:asciiTheme="minorEastAsia" w:eastAsiaTheme="minorEastAsia" w:hAnsiTheme="minorEastAsia" w:cs="Arial"/>
          <w:szCs w:val="21"/>
        </w:rPr>
        <w:t>净值的10%。</w:t>
      </w:r>
      <w:r w:rsidRPr="00721084">
        <w:rPr>
          <w:rFonts w:asciiTheme="minorEastAsia" w:eastAsiaTheme="minorEastAsia" w:hAnsiTheme="minorEastAsia" w:cs="Arial" w:hint="eastAsia"/>
          <w:szCs w:val="21"/>
        </w:rPr>
        <w:t>但</w:t>
      </w:r>
      <w:r w:rsidRPr="00721084">
        <w:rPr>
          <w:rFonts w:asciiTheme="minorEastAsia" w:eastAsiaTheme="minorEastAsia" w:hAnsiTheme="minorEastAsia" w:cs="Arial"/>
          <w:szCs w:val="21"/>
        </w:rPr>
        <w:t>持有货币市场基金可以不受上述限制。</w:t>
      </w:r>
    </w:p>
    <w:p w:rsidR="00785666" w:rsidRPr="00721084" w:rsidRDefault="00785666" w:rsidP="00CE3F81">
      <w:pPr>
        <w:pStyle w:val="af0"/>
        <w:snapToGrid w:val="0"/>
        <w:spacing w:line="360" w:lineRule="auto"/>
        <w:ind w:firstLineChars="200"/>
        <w:rPr>
          <w:rFonts w:asciiTheme="minorEastAsia" w:eastAsiaTheme="minorEastAsia" w:hAnsiTheme="minorEastAsia" w:cs="Arial"/>
          <w:szCs w:val="21"/>
        </w:rPr>
      </w:pPr>
      <w:r w:rsidRPr="00721084">
        <w:rPr>
          <w:rFonts w:asciiTheme="minorEastAsia" w:eastAsiaTheme="minorEastAsia" w:hAnsiTheme="minorEastAsia" w:cs="Arial" w:hint="eastAsia"/>
          <w:szCs w:val="21"/>
        </w:rPr>
        <w:t>7）</w:t>
      </w:r>
      <w:r w:rsidRPr="00721084">
        <w:rPr>
          <w:rFonts w:asciiTheme="minorEastAsia" w:eastAsiaTheme="minorEastAsia" w:hAnsiTheme="minorEastAsia" w:cs="Arial"/>
          <w:szCs w:val="21"/>
        </w:rPr>
        <w:t>同一</w:t>
      </w:r>
      <w:r w:rsidRPr="00721084">
        <w:rPr>
          <w:rFonts w:asciiTheme="minorEastAsia" w:eastAsiaTheme="minorEastAsia" w:hAnsiTheme="minorEastAsia" w:cs="Arial" w:hint="eastAsia"/>
          <w:szCs w:val="21"/>
        </w:rPr>
        <w:t>基金管理人</w:t>
      </w:r>
      <w:r w:rsidRPr="00721084">
        <w:rPr>
          <w:rFonts w:asciiTheme="minorEastAsia" w:eastAsiaTheme="minorEastAsia" w:hAnsiTheme="minorEastAsia" w:cs="Arial"/>
          <w:szCs w:val="21"/>
        </w:rPr>
        <w:t>管理的全部基金持有任何一只境外基金，不得超过该境外基金总份额的20％。</w:t>
      </w:r>
    </w:p>
    <w:p w:rsidR="00AE0B52" w:rsidRPr="00721084" w:rsidRDefault="00AE0B52" w:rsidP="00AE0B52">
      <w:pPr>
        <w:autoSpaceDE w:val="0"/>
        <w:autoSpaceDN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cs="Arial" w:hint="eastAsia"/>
          <w:szCs w:val="21"/>
        </w:rPr>
        <w:t>8）</w:t>
      </w:r>
      <w:r w:rsidRPr="00721084">
        <w:rPr>
          <w:rFonts w:asciiTheme="minorEastAsia" w:eastAsiaTheme="minorEastAsia" w:hAnsiTheme="minorEastAsia" w:cs="宋体" w:hint="eastAsia"/>
          <w:szCs w:val="21"/>
        </w:rPr>
        <w:t>本基金管理人管理且由本基金托管人托管</w:t>
      </w:r>
      <w:r w:rsidRPr="00721084">
        <w:rPr>
          <w:rFonts w:asciiTheme="minorEastAsia" w:eastAsiaTheme="minorEastAsia" w:hAnsiTheme="minorEastAsia" w:cs="Arial" w:hint="eastAsia"/>
          <w:szCs w:val="21"/>
        </w:rPr>
        <w:t>的全部开放式基金持有一家上市公司发行的可流通股票，不得超过该上市公司可流通股票的</w:t>
      </w:r>
      <w:r w:rsidRPr="00721084">
        <w:rPr>
          <w:rFonts w:asciiTheme="minorEastAsia" w:eastAsiaTheme="minorEastAsia" w:hAnsiTheme="minorEastAsia" w:cs="Arial"/>
          <w:szCs w:val="21"/>
        </w:rPr>
        <w:t>15%</w:t>
      </w:r>
      <w:r w:rsidRPr="00721084">
        <w:rPr>
          <w:rFonts w:asciiTheme="minorEastAsia" w:eastAsiaTheme="minorEastAsia" w:hAnsiTheme="minorEastAsia" w:cs="Arial" w:hint="eastAsia"/>
          <w:szCs w:val="21"/>
        </w:rPr>
        <w:t>；本基金管理人管理的全部投资组合持有一家上市公司发行的可流通股票，不得超过该上市公司可流通股票的</w:t>
      </w:r>
      <w:r w:rsidRPr="00721084">
        <w:rPr>
          <w:rFonts w:asciiTheme="minorEastAsia" w:eastAsiaTheme="minorEastAsia" w:hAnsiTheme="minorEastAsia" w:cs="Arial"/>
          <w:szCs w:val="21"/>
        </w:rPr>
        <w:t>30%</w:t>
      </w:r>
      <w:r w:rsidRPr="00721084">
        <w:rPr>
          <w:rFonts w:asciiTheme="minorEastAsia" w:eastAsiaTheme="minorEastAsia" w:hAnsiTheme="minorEastAsia" w:cs="Arial" w:hint="eastAsia"/>
          <w:szCs w:val="21"/>
        </w:rPr>
        <w:t>。</w:t>
      </w:r>
    </w:p>
    <w:p w:rsidR="00AE0B52" w:rsidRPr="00721084" w:rsidRDefault="00AE0B52" w:rsidP="00AE0B52">
      <w:pPr>
        <w:autoSpaceDE w:val="0"/>
        <w:autoSpaceDN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cs="Arial" w:hint="eastAsia"/>
          <w:szCs w:val="21"/>
        </w:rPr>
        <w:t>9）本基金主动投资于流动性受限资产的市值合计不得超过该基金资产净值的</w:t>
      </w:r>
      <w:r w:rsidRPr="00721084">
        <w:rPr>
          <w:rFonts w:asciiTheme="minorEastAsia" w:eastAsiaTheme="minorEastAsia" w:hAnsiTheme="minorEastAsia" w:cs="Arial"/>
          <w:szCs w:val="21"/>
        </w:rPr>
        <w:t>15%</w:t>
      </w:r>
      <w:r w:rsidRPr="00721084">
        <w:rPr>
          <w:rFonts w:asciiTheme="minorEastAsia" w:eastAsiaTheme="minorEastAsia" w:hAnsiTheme="minorEastAsia" w:cs="Arial" w:hint="eastAsia"/>
          <w:szCs w:val="21"/>
        </w:rPr>
        <w:t>。</w:t>
      </w:r>
    </w:p>
    <w:p w:rsidR="00AE0B52" w:rsidRPr="00721084" w:rsidRDefault="00AE0B52" w:rsidP="00AE0B52">
      <w:pPr>
        <w:autoSpaceDE w:val="0"/>
        <w:autoSpaceDN w:val="0"/>
        <w:spacing w:line="360" w:lineRule="auto"/>
        <w:ind w:firstLineChars="200" w:firstLine="420"/>
        <w:textAlignment w:val="bottom"/>
        <w:rPr>
          <w:rFonts w:asciiTheme="minorEastAsia" w:eastAsiaTheme="minorEastAsia" w:hAnsiTheme="minorEastAsia" w:cs="Arial"/>
          <w:szCs w:val="21"/>
        </w:rPr>
      </w:pPr>
      <w:r w:rsidRPr="00721084">
        <w:rPr>
          <w:rFonts w:asciiTheme="minorEastAsia" w:eastAsiaTheme="minorEastAsia" w:hAnsiTheme="minorEastAsia" w:cs="Arial" w:hint="eastAsia"/>
          <w:szCs w:val="21"/>
        </w:rPr>
        <w:t>因证券市场波动、上市公司股票停牌、基金规模变动等基金管理人之外的因素致使基金不符合前款所规定比例限制的，基金管理人不得主动新增流动性受限资产的投资。</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若基金超过上述</w:t>
      </w:r>
      <w:r w:rsidRPr="00721084">
        <w:rPr>
          <w:rFonts w:asciiTheme="minorEastAsia" w:eastAsiaTheme="minorEastAsia" w:hAnsiTheme="minorEastAsia" w:cs="Arial" w:hint="eastAsia"/>
          <w:szCs w:val="21"/>
        </w:rPr>
        <w:t>1</w:t>
      </w:r>
      <w:r w:rsidR="008B47A1" w:rsidRPr="00721084">
        <w:rPr>
          <w:rFonts w:asciiTheme="minorEastAsia" w:eastAsiaTheme="minorEastAsia" w:hAnsiTheme="minorEastAsia" w:cs="Arial" w:hint="eastAsia"/>
          <w:szCs w:val="21"/>
        </w:rPr>
        <w:t>）</w:t>
      </w:r>
      <w:r w:rsidRPr="00721084">
        <w:rPr>
          <w:rFonts w:asciiTheme="minorEastAsia" w:eastAsiaTheme="minorEastAsia" w:hAnsiTheme="minorEastAsia" w:cs="Arial" w:hint="eastAsia"/>
          <w:szCs w:val="21"/>
        </w:rPr>
        <w:t>-</w:t>
      </w:r>
      <w:r w:rsidR="008B47A1" w:rsidRPr="00721084">
        <w:rPr>
          <w:rFonts w:asciiTheme="minorEastAsia" w:eastAsiaTheme="minorEastAsia" w:hAnsiTheme="minorEastAsia" w:cs="Arial" w:hint="eastAsia"/>
          <w:szCs w:val="21"/>
        </w:rPr>
        <w:t>7）</w:t>
      </w:r>
      <w:r w:rsidRPr="00721084">
        <w:rPr>
          <w:rFonts w:asciiTheme="minorEastAsia" w:eastAsiaTheme="minorEastAsia" w:hAnsiTheme="minorEastAsia" w:cs="Arial" w:hint="eastAsia"/>
          <w:szCs w:val="21"/>
        </w:rPr>
        <w:t>项</w:t>
      </w:r>
      <w:r w:rsidRPr="00721084">
        <w:rPr>
          <w:rFonts w:asciiTheme="minorEastAsia" w:eastAsiaTheme="minorEastAsia" w:hAnsiTheme="minorEastAsia" w:cs="Arial"/>
          <w:szCs w:val="21"/>
        </w:rPr>
        <w:t>投资比例限制，应当在超过比例后30个工作日内采用合理的商业措施减仓以符合投资比例限制要求。</w:t>
      </w:r>
      <w:r w:rsidR="00AE0B52" w:rsidRPr="00721084">
        <w:rPr>
          <w:rFonts w:asciiTheme="minorEastAsia" w:eastAsiaTheme="minorEastAsia" w:hAnsiTheme="minorEastAsia" w:hint="eastAsia"/>
        </w:rPr>
        <w:t>因证券市场波动、证券发行人合并、基金规模变动等基金管理人之外的因素致使基金投资比例不符合上述第8</w:t>
      </w:r>
      <w:r w:rsidR="00AE0B52" w:rsidRPr="00721084">
        <w:rPr>
          <w:rFonts w:asciiTheme="minorEastAsia" w:eastAsiaTheme="minorEastAsia" w:hAnsiTheme="minorEastAsia" w:cs="Arial" w:hint="eastAsia"/>
          <w:szCs w:val="21"/>
        </w:rPr>
        <w:t>）</w:t>
      </w:r>
      <w:r w:rsidR="00AE0B52" w:rsidRPr="00721084">
        <w:rPr>
          <w:rFonts w:asciiTheme="minorEastAsia" w:eastAsiaTheme="minorEastAsia" w:hAnsiTheme="minorEastAsia" w:hint="eastAsia"/>
        </w:rPr>
        <w:t>项</w:t>
      </w:r>
      <w:r w:rsidR="00AE0B52" w:rsidRPr="00721084">
        <w:rPr>
          <w:rFonts w:asciiTheme="minorEastAsia" w:eastAsiaTheme="minorEastAsia" w:hAnsiTheme="minorEastAsia"/>
        </w:rPr>
        <w:t>规定投资比例</w:t>
      </w:r>
      <w:r w:rsidR="00AE0B52" w:rsidRPr="00721084">
        <w:rPr>
          <w:rFonts w:asciiTheme="minorEastAsia" w:eastAsiaTheme="minorEastAsia" w:hAnsiTheme="minorEastAsia" w:hint="eastAsia"/>
        </w:rPr>
        <w:t>的，基金管理人应当在</w:t>
      </w:r>
      <w:r w:rsidR="00AE0B52" w:rsidRPr="00721084">
        <w:rPr>
          <w:rFonts w:asciiTheme="minorEastAsia" w:eastAsiaTheme="minorEastAsia" w:hAnsiTheme="minorEastAsia"/>
        </w:rPr>
        <w:t>10</w:t>
      </w:r>
      <w:r w:rsidR="00AE0B52" w:rsidRPr="00721084">
        <w:rPr>
          <w:rFonts w:asciiTheme="minorEastAsia" w:eastAsiaTheme="minorEastAsia" w:hAnsiTheme="minorEastAsia" w:hint="eastAsia"/>
        </w:rPr>
        <w:t>个交易日内进行调整，但中国证监会规定的特殊情形除外。</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rPr>
        <w:t>对于因基金份额拆分、大比例分红等集中持续营销活动引起的基金净资产规模在10个</w:t>
      </w:r>
      <w:r w:rsidRPr="00721084">
        <w:rPr>
          <w:rFonts w:asciiTheme="minorEastAsia" w:eastAsiaTheme="minorEastAsia" w:hAnsiTheme="minorEastAsia" w:hint="eastAsia"/>
        </w:rPr>
        <w:t>工作</w:t>
      </w:r>
      <w:r w:rsidRPr="00721084">
        <w:rPr>
          <w:rFonts w:asciiTheme="minorEastAsia" w:eastAsiaTheme="minorEastAsia" w:hAnsiTheme="minorEastAsia"/>
        </w:rPr>
        <w:t>日内增加10亿元以上的情形，而导致证券投资比例低于基金合同约定的，基金管理人同基金托管人协商一致并及时书面报告中国证监会后，可将调整时限从</w:t>
      </w:r>
      <w:r w:rsidRPr="00721084">
        <w:rPr>
          <w:rFonts w:asciiTheme="minorEastAsia" w:eastAsiaTheme="minorEastAsia" w:hAnsiTheme="minorEastAsia" w:hint="eastAsia"/>
        </w:rPr>
        <w:t>3</w:t>
      </w:r>
      <w:r w:rsidRPr="00721084">
        <w:rPr>
          <w:rFonts w:asciiTheme="minorEastAsia" w:eastAsiaTheme="minorEastAsia" w:hAnsiTheme="minorEastAsia"/>
        </w:rPr>
        <w:t>0个</w:t>
      </w:r>
      <w:r w:rsidRPr="00721084">
        <w:rPr>
          <w:rFonts w:asciiTheme="minorEastAsia" w:eastAsiaTheme="minorEastAsia" w:hAnsiTheme="minorEastAsia" w:hint="eastAsia"/>
        </w:rPr>
        <w:t>工作</w:t>
      </w:r>
      <w:r w:rsidRPr="00721084">
        <w:rPr>
          <w:rFonts w:asciiTheme="minorEastAsia" w:eastAsiaTheme="minorEastAsia" w:hAnsiTheme="minorEastAsia"/>
        </w:rPr>
        <w:t>日延长到</w:t>
      </w:r>
      <w:r w:rsidRPr="00721084">
        <w:rPr>
          <w:rFonts w:asciiTheme="minorEastAsia" w:eastAsiaTheme="minorEastAsia" w:hAnsiTheme="minorEastAsia"/>
          <w:szCs w:val="21"/>
        </w:rPr>
        <w:t>3个月。</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9）本</w:t>
      </w:r>
      <w:r w:rsidRPr="00721084">
        <w:rPr>
          <w:rFonts w:asciiTheme="minorEastAsia" w:eastAsiaTheme="minorEastAsia" w:hAnsiTheme="minorEastAsia" w:cs="Arial"/>
          <w:szCs w:val="21"/>
        </w:rPr>
        <w:t>基金投资衍生品应当仅限于投资组合避险或有效管理，不得用于投机或放大交易，</w:t>
      </w:r>
      <w:r w:rsidRPr="00721084">
        <w:rPr>
          <w:rFonts w:asciiTheme="minorEastAsia" w:eastAsiaTheme="minorEastAsia" w:hAnsiTheme="minorEastAsia" w:cs="Arial"/>
          <w:szCs w:val="21"/>
        </w:rPr>
        <w:lastRenderedPageBreak/>
        <w:t>同时应当严格遵守下列规定：</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A.本</w:t>
      </w:r>
      <w:r w:rsidRPr="00721084">
        <w:rPr>
          <w:rFonts w:asciiTheme="minorEastAsia" w:eastAsiaTheme="minorEastAsia" w:hAnsiTheme="minorEastAsia" w:cs="Arial"/>
          <w:szCs w:val="21"/>
        </w:rPr>
        <w:t>基金的金融衍生品全部敞口不得高于基金资产净值的100％。</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B.本</w:t>
      </w:r>
      <w:r w:rsidRPr="00721084">
        <w:rPr>
          <w:rFonts w:asciiTheme="minorEastAsia" w:eastAsiaTheme="minorEastAsia" w:hAnsiTheme="minorEastAsia" w:cs="Arial"/>
          <w:szCs w:val="21"/>
        </w:rPr>
        <w:t>基金投资期货支付的初始保证金、投资期权支付或收取的期权费、投资柜台交易衍生品支付的初始费用的总额不得高于基金资产净值的10％。</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C.本</w:t>
      </w:r>
      <w:r w:rsidRPr="00721084">
        <w:rPr>
          <w:rFonts w:asciiTheme="minorEastAsia" w:eastAsiaTheme="minorEastAsia" w:hAnsiTheme="minorEastAsia" w:cs="Arial"/>
          <w:szCs w:val="21"/>
        </w:rPr>
        <w:t>基金投资于远期合约、互换等柜台交易金融衍生品，应当符合以下要求：</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a.</w:t>
      </w:r>
      <w:r w:rsidRPr="00721084">
        <w:rPr>
          <w:rFonts w:asciiTheme="minorEastAsia" w:eastAsiaTheme="minorEastAsia" w:hAnsiTheme="minorEastAsia" w:cs="Arial"/>
          <w:szCs w:val="21"/>
        </w:rPr>
        <w:t>所有参与交易的对手方（中资商业银行除外）应当具有不低于中国证监会认可的信用评级机构评级</w:t>
      </w:r>
      <w:r w:rsidRPr="00721084">
        <w:rPr>
          <w:rFonts w:asciiTheme="minorEastAsia" w:eastAsiaTheme="minorEastAsia" w:hAnsiTheme="minorEastAsia" w:cs="Arial" w:hint="eastAsia"/>
          <w:szCs w:val="21"/>
        </w:rPr>
        <w:t>；</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b.</w:t>
      </w:r>
      <w:r w:rsidRPr="00721084">
        <w:rPr>
          <w:rFonts w:asciiTheme="minorEastAsia" w:eastAsiaTheme="minorEastAsia" w:hAnsiTheme="minorEastAsia" w:cs="Arial"/>
          <w:szCs w:val="21"/>
        </w:rPr>
        <w:t>交易对手方应当至少每个工作日对交易进行估值，并且基金可在任何时候以公允价值终止交易</w:t>
      </w:r>
      <w:r w:rsidRPr="00721084">
        <w:rPr>
          <w:rFonts w:asciiTheme="minorEastAsia" w:eastAsiaTheme="minorEastAsia" w:hAnsiTheme="minorEastAsia" w:cs="Arial" w:hint="eastAsia"/>
          <w:szCs w:val="21"/>
        </w:rPr>
        <w:t>；</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c.</w:t>
      </w:r>
      <w:r w:rsidRPr="00721084">
        <w:rPr>
          <w:rFonts w:asciiTheme="minorEastAsia" w:eastAsiaTheme="minorEastAsia" w:hAnsiTheme="minorEastAsia" w:cs="Arial"/>
          <w:szCs w:val="21"/>
        </w:rPr>
        <w:t>任一交易对手方的市值计价敞口不得超过基金资产净值的20％</w:t>
      </w:r>
      <w:r w:rsidRPr="00721084">
        <w:rPr>
          <w:rFonts w:asciiTheme="minorEastAsia" w:eastAsiaTheme="minorEastAsia" w:hAnsiTheme="minorEastAsia" w:cs="Arial" w:hint="eastAsia"/>
          <w:szCs w:val="21"/>
        </w:rPr>
        <w:t>；</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10）本基金可以参与证券借贷交易，并且应当遵守下列规定：</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A.</w:t>
      </w:r>
      <w:r w:rsidRPr="00721084">
        <w:rPr>
          <w:rFonts w:asciiTheme="minorEastAsia" w:eastAsiaTheme="minorEastAsia" w:hAnsiTheme="minorEastAsia" w:cs="Arial"/>
          <w:szCs w:val="21"/>
        </w:rPr>
        <w:t>所有参与交易的对手方（中资商业银行除外）应当具有中国证监会认可的信用评级机构评级。</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B.</w:t>
      </w:r>
      <w:r w:rsidRPr="00721084">
        <w:rPr>
          <w:rFonts w:asciiTheme="minorEastAsia" w:eastAsiaTheme="minorEastAsia" w:hAnsiTheme="minorEastAsia" w:cs="Arial"/>
          <w:szCs w:val="21"/>
        </w:rPr>
        <w:t>应当采取市值计价制度进行调整以确保担保物市值不低于已借出证券市值的102％。</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C.</w:t>
      </w:r>
      <w:r w:rsidRPr="00721084">
        <w:rPr>
          <w:rFonts w:asciiTheme="minorEastAsia" w:eastAsiaTheme="minorEastAsia" w:hAnsiTheme="minorEastAsia" w:cs="Arial"/>
          <w:szCs w:val="21"/>
        </w:rPr>
        <w:t>借方应当在交易期内及时向</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基金支付已借出证券产生的所有股息、利息和分红。一旦借方违约，</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基金根据协议和有关法律有权保留和处置担保物以满足索赔需要。</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D.</w:t>
      </w:r>
      <w:r w:rsidRPr="00721084">
        <w:rPr>
          <w:rFonts w:asciiTheme="minorEastAsia" w:eastAsiaTheme="minorEastAsia" w:hAnsiTheme="minorEastAsia" w:cs="Arial"/>
          <w:szCs w:val="21"/>
        </w:rPr>
        <w:t>除中国证监会另有规定外，担保物可以是以下金融工具或品种：</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a.</w:t>
      </w:r>
      <w:r w:rsidRPr="00721084">
        <w:rPr>
          <w:rFonts w:asciiTheme="minorEastAsia" w:eastAsiaTheme="minorEastAsia" w:hAnsiTheme="minorEastAsia" w:cs="Arial"/>
          <w:szCs w:val="21"/>
        </w:rPr>
        <w:t>现金；</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b.</w:t>
      </w:r>
      <w:r w:rsidRPr="00721084">
        <w:rPr>
          <w:rFonts w:asciiTheme="minorEastAsia" w:eastAsiaTheme="minorEastAsia" w:hAnsiTheme="minorEastAsia" w:cs="Arial"/>
          <w:szCs w:val="21"/>
        </w:rPr>
        <w:t>存款证明；</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c.</w:t>
      </w:r>
      <w:r w:rsidRPr="00721084">
        <w:rPr>
          <w:rFonts w:asciiTheme="minorEastAsia" w:eastAsiaTheme="minorEastAsia" w:hAnsiTheme="minorEastAsia" w:cs="Arial"/>
          <w:szCs w:val="21"/>
        </w:rPr>
        <w:t>商业票据；</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d.</w:t>
      </w:r>
      <w:r w:rsidRPr="00721084">
        <w:rPr>
          <w:rFonts w:asciiTheme="minorEastAsia" w:eastAsiaTheme="minorEastAsia" w:hAnsiTheme="minorEastAsia" w:cs="Arial"/>
          <w:szCs w:val="21"/>
        </w:rPr>
        <w:t>政府债券；</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e.</w:t>
      </w:r>
      <w:r w:rsidRPr="00721084">
        <w:rPr>
          <w:rFonts w:asciiTheme="minorEastAsia" w:eastAsiaTheme="minorEastAsia" w:hAnsiTheme="minorEastAsia" w:cs="Arial"/>
          <w:szCs w:val="21"/>
        </w:rPr>
        <w:t>中资商业银行或由不低于中国证监会认可的信用评级机构评级的境外金融机构（作为交易对手方或其关联方的除外）出具的不可撤销信用证。</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E.本</w:t>
      </w:r>
      <w:r w:rsidRPr="00721084">
        <w:rPr>
          <w:rFonts w:asciiTheme="minorEastAsia" w:eastAsiaTheme="minorEastAsia" w:hAnsiTheme="minorEastAsia" w:cs="Arial"/>
          <w:szCs w:val="21"/>
        </w:rPr>
        <w:t>基金有权在任何时候终止证券借贷交易并在正常市场惯例的合理期限内要求归还任一或所有已借出的证券。</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F.</w:t>
      </w:r>
      <w:r w:rsidR="00634CA6" w:rsidRPr="00721084">
        <w:rPr>
          <w:rFonts w:asciiTheme="minorEastAsia" w:eastAsiaTheme="minorEastAsia" w:hAnsiTheme="minorEastAsia" w:cs="Arial" w:hint="eastAsia"/>
          <w:szCs w:val="21"/>
        </w:rPr>
        <w:t>基金管理人</w:t>
      </w:r>
      <w:r w:rsidR="00634CA6" w:rsidRPr="00721084">
        <w:rPr>
          <w:rFonts w:asciiTheme="minorEastAsia" w:eastAsiaTheme="minorEastAsia" w:hAnsiTheme="minorEastAsia" w:cs="Arial"/>
          <w:szCs w:val="21"/>
        </w:rPr>
        <w:t>应当对基金参与证券借贷交易中发生的任何损失负相应责任</w:t>
      </w:r>
      <w:r w:rsidRPr="00721084">
        <w:rPr>
          <w:rFonts w:asciiTheme="minorEastAsia" w:eastAsiaTheme="minorEastAsia" w:hAnsiTheme="minorEastAsia" w:cs="Arial"/>
          <w:szCs w:val="21"/>
        </w:rPr>
        <w:t>。</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11）</w:t>
      </w:r>
      <w:r w:rsidRPr="00721084">
        <w:rPr>
          <w:rFonts w:asciiTheme="minorEastAsia" w:eastAsiaTheme="minorEastAsia" w:hAnsiTheme="minorEastAsia" w:cs="Arial"/>
          <w:szCs w:val="21"/>
        </w:rPr>
        <w:t>基金可以根据正常市场惯例参与正回购交易、逆回购交易，并且应当遵守下列规定：</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A.</w:t>
      </w:r>
      <w:r w:rsidRPr="00721084">
        <w:rPr>
          <w:rFonts w:asciiTheme="minorEastAsia" w:eastAsiaTheme="minorEastAsia" w:hAnsiTheme="minorEastAsia" w:cs="Arial"/>
          <w:szCs w:val="21"/>
        </w:rPr>
        <w:t>所有参与正回购交易的对手方（中资商业银行除外）应当具有中国证监会认可的信用评级机构信用评级。</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B.</w:t>
      </w:r>
      <w:r w:rsidRPr="00721084">
        <w:rPr>
          <w:rFonts w:asciiTheme="minorEastAsia" w:eastAsiaTheme="minorEastAsia" w:hAnsiTheme="minorEastAsia" w:cs="Arial"/>
          <w:szCs w:val="21"/>
        </w:rPr>
        <w:t>参与正回购交易，应当采取市值计价制度对卖出收益进行调整以确保现金不低于已售出证券市值的102％。一旦买方违约，</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基金根据协议和有关法律有权保留或处置卖出收益以满足索赔需要。</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C.</w:t>
      </w:r>
      <w:r w:rsidRPr="00721084">
        <w:rPr>
          <w:rFonts w:asciiTheme="minorEastAsia" w:eastAsiaTheme="minorEastAsia" w:hAnsiTheme="minorEastAsia" w:cs="Arial"/>
          <w:szCs w:val="21"/>
        </w:rPr>
        <w:t>买方应当在正回购交易期内及时向</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基金支付售出证券产生的所有股息、利息和分红。</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D.</w:t>
      </w:r>
      <w:r w:rsidRPr="00721084">
        <w:rPr>
          <w:rFonts w:asciiTheme="minorEastAsia" w:eastAsiaTheme="minorEastAsia" w:hAnsiTheme="minorEastAsia" w:cs="Arial"/>
          <w:szCs w:val="21"/>
        </w:rPr>
        <w:t>参与逆回购交易，应当对购入证券采取市值计价制度进行调整以确保已购入证券市值</w:t>
      </w:r>
      <w:r w:rsidRPr="00721084">
        <w:rPr>
          <w:rFonts w:asciiTheme="minorEastAsia" w:eastAsiaTheme="minorEastAsia" w:hAnsiTheme="minorEastAsia" w:cs="Arial"/>
          <w:szCs w:val="21"/>
        </w:rPr>
        <w:lastRenderedPageBreak/>
        <w:t>不低于支付现金的102％。一旦卖方违约，</w:t>
      </w:r>
      <w:r w:rsidRPr="00721084">
        <w:rPr>
          <w:rFonts w:asciiTheme="minorEastAsia" w:eastAsiaTheme="minorEastAsia" w:hAnsiTheme="minorEastAsia" w:cs="Arial" w:hint="eastAsia"/>
          <w:szCs w:val="21"/>
        </w:rPr>
        <w:t>本</w:t>
      </w:r>
      <w:r w:rsidRPr="00721084">
        <w:rPr>
          <w:rFonts w:asciiTheme="minorEastAsia" w:eastAsiaTheme="minorEastAsia" w:hAnsiTheme="minorEastAsia" w:cs="Arial"/>
          <w:szCs w:val="21"/>
        </w:rPr>
        <w:t>基金根据协议和有关法律有权保留或处置已购入证券以满足索赔需要。</w:t>
      </w:r>
    </w:p>
    <w:p w:rsidR="00785666" w:rsidRPr="00721084" w:rsidRDefault="00785666" w:rsidP="00CE3F81">
      <w:pPr>
        <w:pStyle w:val="af0"/>
        <w:snapToGrid w:val="0"/>
        <w:spacing w:line="360" w:lineRule="auto"/>
        <w:ind w:firstLineChars="200"/>
        <w:rPr>
          <w:rFonts w:asciiTheme="minorEastAsia" w:eastAsiaTheme="minorEastAsia" w:hAnsiTheme="minorEastAsia" w:cs="Arial"/>
          <w:b/>
          <w:szCs w:val="21"/>
        </w:rPr>
      </w:pPr>
      <w:r w:rsidRPr="00721084">
        <w:rPr>
          <w:rFonts w:asciiTheme="minorEastAsia" w:eastAsiaTheme="minorEastAsia" w:hAnsiTheme="minorEastAsia" w:cs="Arial" w:hint="eastAsia"/>
          <w:szCs w:val="21"/>
        </w:rPr>
        <w:t>12）</w:t>
      </w:r>
      <w:r w:rsidRPr="00721084">
        <w:rPr>
          <w:rFonts w:asciiTheme="minorEastAsia" w:eastAsiaTheme="minorEastAsia" w:hAnsiTheme="minorEastAsia" w:cs="Arial"/>
          <w:szCs w:val="21"/>
        </w:rPr>
        <w:t>基金参与</w:t>
      </w:r>
      <w:r w:rsidRPr="00721084">
        <w:rPr>
          <w:rFonts w:asciiTheme="minorEastAsia" w:eastAsiaTheme="minorEastAsia" w:hAnsiTheme="minorEastAsia" w:cs="Arial" w:hint="eastAsia"/>
          <w:szCs w:val="21"/>
        </w:rPr>
        <w:t>证券借贷交易、</w:t>
      </w:r>
      <w:r w:rsidRPr="00721084">
        <w:rPr>
          <w:rFonts w:asciiTheme="minorEastAsia" w:eastAsiaTheme="minorEastAsia" w:hAnsiTheme="minorEastAsia" w:cs="Arial"/>
          <w:szCs w:val="21"/>
        </w:rPr>
        <w:t>正回购交易，所有</w:t>
      </w:r>
      <w:r w:rsidRPr="00721084">
        <w:rPr>
          <w:rFonts w:asciiTheme="minorEastAsia" w:eastAsiaTheme="minorEastAsia" w:hAnsiTheme="minorEastAsia" w:cs="Arial" w:hint="eastAsia"/>
          <w:szCs w:val="21"/>
        </w:rPr>
        <w:t>已借出而未归还证券总市值或所有</w:t>
      </w:r>
      <w:r w:rsidRPr="00721084">
        <w:rPr>
          <w:rFonts w:asciiTheme="minorEastAsia" w:eastAsiaTheme="minorEastAsia" w:hAnsiTheme="minorEastAsia" w:cs="Arial"/>
          <w:szCs w:val="21"/>
        </w:rPr>
        <w:t>已售出而未回购证券总市值均不得超过基金总资产的50％。</w:t>
      </w:r>
    </w:p>
    <w:p w:rsidR="00785666" w:rsidRPr="00721084" w:rsidRDefault="00EF4C77"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cs="Arial" w:hint="eastAsia"/>
          <w:szCs w:val="21"/>
        </w:rPr>
        <w:t>前项比例限制计算，基金因参与证券借贷交易、正回购交易而持有的担保物、现金不得计入基金总资产</w:t>
      </w:r>
      <w:r w:rsidR="00785666" w:rsidRPr="00721084">
        <w:rPr>
          <w:rFonts w:asciiTheme="minorEastAsia" w:eastAsiaTheme="minorEastAsia" w:hAnsiTheme="minorEastAsia" w:cs="Arial"/>
          <w:szCs w:val="21"/>
        </w:rPr>
        <w:t>。</w:t>
      </w:r>
    </w:p>
    <w:p w:rsidR="00785666" w:rsidRPr="00721084" w:rsidRDefault="00785666"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szCs w:val="21"/>
        </w:rPr>
        <w:t>《基金法》及其他有关法律法规或监管部门</w:t>
      </w:r>
      <w:r w:rsidRPr="00721084">
        <w:rPr>
          <w:rFonts w:asciiTheme="minorEastAsia" w:eastAsiaTheme="minorEastAsia" w:hAnsiTheme="minorEastAsia" w:hint="eastAsia"/>
          <w:szCs w:val="21"/>
        </w:rPr>
        <w:t>取消</w:t>
      </w:r>
      <w:r w:rsidRPr="00721084">
        <w:rPr>
          <w:rFonts w:asciiTheme="minorEastAsia" w:eastAsiaTheme="minorEastAsia" w:hAnsiTheme="minorEastAsia"/>
          <w:szCs w:val="21"/>
        </w:rPr>
        <w:t>上述限制</w:t>
      </w:r>
      <w:r w:rsidRPr="00721084">
        <w:rPr>
          <w:rFonts w:asciiTheme="minorEastAsia" w:eastAsiaTheme="minorEastAsia" w:hAnsiTheme="minorEastAsia" w:hint="eastAsia"/>
          <w:szCs w:val="21"/>
        </w:rPr>
        <w:t>的</w:t>
      </w:r>
      <w:r w:rsidRPr="00721084">
        <w:rPr>
          <w:rFonts w:asciiTheme="minorEastAsia" w:eastAsiaTheme="minorEastAsia" w:hAnsiTheme="minorEastAsia"/>
          <w:szCs w:val="21"/>
        </w:rPr>
        <w:t>，</w:t>
      </w:r>
      <w:r w:rsidRPr="00721084">
        <w:rPr>
          <w:rFonts w:asciiTheme="minorEastAsia" w:eastAsiaTheme="minorEastAsia" w:hAnsiTheme="minorEastAsia" w:hint="eastAsia"/>
          <w:szCs w:val="21"/>
        </w:rPr>
        <w:t>履行适当程序后，基金不受上述限制</w:t>
      </w:r>
      <w:r w:rsidRPr="00721084">
        <w:rPr>
          <w:rFonts w:asciiTheme="minorEastAsia" w:eastAsiaTheme="minorEastAsia" w:hAnsiTheme="minorEastAsia"/>
          <w:szCs w:val="21"/>
        </w:rPr>
        <w:t>。</w:t>
      </w:r>
    </w:p>
    <w:p w:rsidR="00785666" w:rsidRPr="00721084" w:rsidRDefault="00785666" w:rsidP="00CE3F81">
      <w:pPr>
        <w:pStyle w:val="af0"/>
        <w:snapToGrid w:val="0"/>
        <w:spacing w:line="360" w:lineRule="auto"/>
        <w:ind w:firstLineChars="200"/>
        <w:rPr>
          <w:rFonts w:asciiTheme="minorEastAsia" w:eastAsiaTheme="minorEastAsia" w:hAnsiTheme="minorEastAsia"/>
          <w:bCs/>
          <w:kern w:val="0"/>
          <w:szCs w:val="21"/>
        </w:rPr>
      </w:pPr>
      <w:r w:rsidRPr="00721084">
        <w:rPr>
          <w:rFonts w:asciiTheme="minorEastAsia" w:eastAsiaTheme="minorEastAsia" w:hAnsiTheme="minorEastAsia" w:cs="宋体" w:hint="eastAsia"/>
          <w:kern w:val="0"/>
          <w:szCs w:val="21"/>
        </w:rPr>
        <w:t>除投资资产配置外，基金托管人对基金的投资的监督和检查自本基金合同生效之日起开始。</w:t>
      </w:r>
    </w:p>
    <w:p w:rsidR="00785666" w:rsidRPr="00721084" w:rsidRDefault="00785666" w:rsidP="00CE3F81">
      <w:pPr>
        <w:pStyle w:val="af0"/>
        <w:snapToGrid w:val="0"/>
        <w:spacing w:line="360" w:lineRule="auto"/>
        <w:ind w:firstLineChars="200"/>
        <w:rPr>
          <w:rFonts w:asciiTheme="minorEastAsia" w:eastAsiaTheme="minorEastAsia" w:hAnsiTheme="minorEastAsia" w:cs="宋体"/>
          <w:kern w:val="0"/>
          <w:szCs w:val="21"/>
        </w:rPr>
      </w:pPr>
      <w:r w:rsidRPr="00721084">
        <w:rPr>
          <w:rFonts w:asciiTheme="minorEastAsia" w:eastAsiaTheme="minorEastAsia" w:hAnsiTheme="minorEastAsia" w:cs="宋体" w:hint="eastAsia"/>
          <w:kern w:val="0"/>
          <w:szCs w:val="21"/>
        </w:rPr>
        <w:t>（3）相关法律、法规或部门规章规定的其他比例限制。</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基金托管人对基金投资的监督和检查自《基金合同》生效之日起开始。</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基金托管人根据有关法律法规的规定及《基金合同》的约定对下述基金投资禁止行为进行监督：</w:t>
      </w:r>
    </w:p>
    <w:p w:rsidR="00785666" w:rsidRPr="00721084" w:rsidRDefault="00785666"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根据法律法规的规定及《基金合同》的约定，本基金禁止从事下列行为：</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785666" w:rsidRPr="00721084">
        <w:rPr>
          <w:rFonts w:asciiTheme="minorEastAsia" w:eastAsiaTheme="minorEastAsia" w:hAnsiTheme="minorEastAsia" w:hint="eastAsia"/>
          <w:szCs w:val="21"/>
        </w:rPr>
        <w:t>承销证券；</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785666" w:rsidRPr="00721084">
        <w:rPr>
          <w:rFonts w:asciiTheme="minorEastAsia" w:eastAsiaTheme="minorEastAsia" w:hAnsiTheme="minorEastAsia" w:hint="eastAsia"/>
          <w:szCs w:val="21"/>
        </w:rPr>
        <w:t>向他人贷款或提供担保；</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785666" w:rsidRPr="00721084">
        <w:rPr>
          <w:rFonts w:asciiTheme="minorEastAsia" w:eastAsiaTheme="minorEastAsia" w:hAnsiTheme="minorEastAsia"/>
          <w:szCs w:val="21"/>
        </w:rPr>
        <w:t>从事承担无限责任的投资；</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785666" w:rsidRPr="00721084">
        <w:rPr>
          <w:rFonts w:asciiTheme="minorEastAsia" w:eastAsiaTheme="minorEastAsia" w:hAnsiTheme="minorEastAsia"/>
          <w:szCs w:val="21"/>
        </w:rPr>
        <w:t>购买不动产</w:t>
      </w:r>
      <w:r w:rsidR="00785666" w:rsidRPr="00721084">
        <w:rPr>
          <w:rFonts w:asciiTheme="minorEastAsia" w:eastAsiaTheme="minorEastAsia" w:hAnsiTheme="minorEastAsia" w:hint="eastAsia"/>
          <w:szCs w:val="21"/>
        </w:rPr>
        <w:t>；</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785666" w:rsidRPr="00721084">
        <w:rPr>
          <w:rFonts w:asciiTheme="minorEastAsia" w:eastAsiaTheme="minorEastAsia" w:hAnsiTheme="minorEastAsia"/>
          <w:szCs w:val="21"/>
        </w:rPr>
        <w:t>购买房地产抵押按揭</w:t>
      </w:r>
      <w:r w:rsidR="00785666" w:rsidRPr="00721084">
        <w:rPr>
          <w:rFonts w:asciiTheme="minorEastAsia" w:eastAsiaTheme="minorEastAsia" w:hAnsiTheme="minorEastAsia" w:hint="eastAsia"/>
          <w:szCs w:val="21"/>
        </w:rPr>
        <w:t>；</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（6）</w:t>
      </w:r>
      <w:r w:rsidR="00785666" w:rsidRPr="00721084">
        <w:rPr>
          <w:rFonts w:asciiTheme="minorEastAsia" w:eastAsiaTheme="minorEastAsia" w:hAnsiTheme="minorEastAsia"/>
          <w:szCs w:val="21"/>
        </w:rPr>
        <w:t>购买贵重金属或代表贵重金属的凭证</w:t>
      </w:r>
      <w:r w:rsidR="00785666" w:rsidRPr="00721084">
        <w:rPr>
          <w:rFonts w:asciiTheme="minorEastAsia" w:eastAsiaTheme="minorEastAsia" w:hAnsiTheme="minorEastAsia" w:hint="eastAsia"/>
          <w:szCs w:val="21"/>
        </w:rPr>
        <w:t>；</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（7）</w:t>
      </w:r>
      <w:r w:rsidR="00785666" w:rsidRPr="00721084">
        <w:rPr>
          <w:rFonts w:asciiTheme="minorEastAsia" w:eastAsiaTheme="minorEastAsia" w:hAnsiTheme="minorEastAsia"/>
          <w:szCs w:val="21"/>
        </w:rPr>
        <w:t>购买实物商品</w:t>
      </w:r>
      <w:r w:rsidR="00785666" w:rsidRPr="00721084">
        <w:rPr>
          <w:rFonts w:asciiTheme="minorEastAsia" w:eastAsiaTheme="minorEastAsia" w:hAnsiTheme="minorEastAsia" w:hint="eastAsia"/>
          <w:szCs w:val="21"/>
        </w:rPr>
        <w:t>；</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（8）</w:t>
      </w:r>
      <w:r w:rsidR="00785666" w:rsidRPr="00721084">
        <w:rPr>
          <w:rFonts w:asciiTheme="minorEastAsia" w:eastAsiaTheme="minorEastAsia" w:hAnsiTheme="minorEastAsia"/>
          <w:szCs w:val="21"/>
        </w:rPr>
        <w:t>除应付赎回、交易清算等临时用途以外，借入现金</w:t>
      </w:r>
      <w:r w:rsidR="00785666" w:rsidRPr="00721084">
        <w:rPr>
          <w:rFonts w:asciiTheme="minorEastAsia" w:eastAsiaTheme="minorEastAsia" w:hAnsiTheme="minorEastAsia" w:hint="eastAsia"/>
          <w:szCs w:val="21"/>
        </w:rPr>
        <w:t>；该临时用途借入现金的比例不得超过基金资产净值的10%；</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（9）</w:t>
      </w:r>
      <w:r w:rsidR="00785666" w:rsidRPr="00721084">
        <w:rPr>
          <w:rFonts w:asciiTheme="minorEastAsia" w:eastAsiaTheme="minorEastAsia" w:hAnsiTheme="minorEastAsia"/>
          <w:szCs w:val="21"/>
        </w:rPr>
        <w:t>利用融资购买证券，但投资金融衍生品除外</w:t>
      </w:r>
      <w:r w:rsidR="00785666" w:rsidRPr="00721084">
        <w:rPr>
          <w:rFonts w:asciiTheme="minorEastAsia" w:eastAsiaTheme="minorEastAsia" w:hAnsiTheme="minorEastAsia" w:hint="eastAsia"/>
          <w:szCs w:val="21"/>
        </w:rPr>
        <w:t>；</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（10）</w:t>
      </w:r>
      <w:r w:rsidR="00785666" w:rsidRPr="00721084">
        <w:rPr>
          <w:rFonts w:asciiTheme="minorEastAsia" w:eastAsiaTheme="minorEastAsia" w:hAnsiTheme="minorEastAsia"/>
          <w:szCs w:val="21"/>
        </w:rPr>
        <w:t>参与未持有基础资产的卖空交易</w:t>
      </w:r>
      <w:r w:rsidR="00785666" w:rsidRPr="00721084">
        <w:rPr>
          <w:rFonts w:asciiTheme="minorEastAsia" w:eastAsiaTheme="minorEastAsia" w:hAnsiTheme="minorEastAsia" w:hint="eastAsia"/>
          <w:szCs w:val="21"/>
        </w:rPr>
        <w:t>；</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（11）</w:t>
      </w:r>
      <w:r w:rsidR="00785666" w:rsidRPr="00721084">
        <w:rPr>
          <w:rFonts w:asciiTheme="minorEastAsia" w:eastAsiaTheme="minorEastAsia" w:hAnsiTheme="minorEastAsia" w:hint="eastAsia"/>
          <w:szCs w:val="21"/>
        </w:rPr>
        <w:t>购买证券用于控制或影响发行该证券的机构或其管理层；</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（12）</w:t>
      </w:r>
      <w:r w:rsidR="00785666" w:rsidRPr="00721084">
        <w:rPr>
          <w:rFonts w:asciiTheme="minorEastAsia" w:eastAsiaTheme="minorEastAsia" w:hAnsiTheme="minorEastAsia" w:hint="eastAsia"/>
          <w:szCs w:val="21"/>
        </w:rPr>
        <w:t>直接投资与实物商品相关的衍生品；</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（13）</w:t>
      </w:r>
      <w:r w:rsidR="00785666" w:rsidRPr="00721084">
        <w:rPr>
          <w:rFonts w:asciiTheme="minorEastAsia" w:eastAsiaTheme="minorEastAsia" w:hAnsiTheme="minorEastAsia" w:hint="eastAsia"/>
          <w:szCs w:val="21"/>
        </w:rPr>
        <w:t>向基金管理人、基金托管人出资或者买卖其基金管理人、基金托管人发行的股票或债券；</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（14）</w:t>
      </w:r>
      <w:r w:rsidR="00785666" w:rsidRPr="00721084">
        <w:rPr>
          <w:rFonts w:asciiTheme="minorEastAsia" w:eastAsiaTheme="minorEastAsia" w:hAnsiTheme="minorEastAsia" w:hint="eastAsia"/>
          <w:szCs w:val="21"/>
        </w:rPr>
        <w:t>买卖与基金管理人、基金托管人有控股关系的股东或者与基金管理人、基金托管人有其他重大利害关系的公司发行的证券或者承销期内承销的证券；</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（15）</w:t>
      </w:r>
      <w:r w:rsidR="00785666" w:rsidRPr="00721084">
        <w:rPr>
          <w:rFonts w:asciiTheme="minorEastAsia" w:eastAsiaTheme="minorEastAsia" w:hAnsiTheme="minorEastAsia" w:hint="eastAsia"/>
          <w:szCs w:val="21"/>
        </w:rPr>
        <w:t>从事内幕交易、操纵证券价格及其他不正当的证券交易活动；</w:t>
      </w:r>
    </w:p>
    <w:p w:rsidR="00785666" w:rsidRPr="00721084" w:rsidRDefault="007F6D3E" w:rsidP="007F6D3E">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（16）</w:t>
      </w:r>
      <w:r w:rsidR="00785666" w:rsidRPr="00721084">
        <w:rPr>
          <w:rFonts w:asciiTheme="minorEastAsia" w:eastAsiaTheme="minorEastAsia" w:hAnsiTheme="minorEastAsia" w:hint="eastAsia"/>
          <w:szCs w:val="21"/>
        </w:rPr>
        <w:t>当时有效的法律法规、中国证监会及《基金合同》规定禁止从事的其他行为。</w:t>
      </w:r>
    </w:p>
    <w:p w:rsidR="00785666" w:rsidRPr="00721084" w:rsidRDefault="007F6D3E" w:rsidP="00CE3F81">
      <w:pPr>
        <w:pStyle w:val="af0"/>
        <w:snapToGrid w:val="0"/>
        <w:spacing w:line="360" w:lineRule="auto"/>
        <w:ind w:firstLineChars="200"/>
        <w:rPr>
          <w:rFonts w:asciiTheme="minorEastAsia" w:eastAsiaTheme="minorEastAsia" w:hAnsiTheme="minorEastAsia"/>
          <w:bCs/>
          <w:kern w:val="0"/>
          <w:szCs w:val="21"/>
        </w:rPr>
      </w:pPr>
      <w:r w:rsidRPr="00721084">
        <w:rPr>
          <w:rFonts w:asciiTheme="minorEastAsia" w:eastAsiaTheme="minorEastAsia" w:hAnsiTheme="minorEastAsia" w:cs="Arial" w:hint="eastAsia"/>
          <w:szCs w:val="21"/>
        </w:rPr>
        <w:lastRenderedPageBreak/>
        <w:t>（17）</w:t>
      </w:r>
      <w:r w:rsidR="00785666" w:rsidRPr="00721084">
        <w:rPr>
          <w:rFonts w:asciiTheme="minorEastAsia" w:eastAsiaTheme="minorEastAsia" w:hAnsiTheme="minorEastAsia" w:cs="Arial"/>
          <w:szCs w:val="21"/>
        </w:rPr>
        <w:t>如法律</w:t>
      </w:r>
      <w:r w:rsidR="00785666" w:rsidRPr="00721084">
        <w:rPr>
          <w:rFonts w:asciiTheme="minorEastAsia" w:eastAsiaTheme="minorEastAsia" w:hAnsiTheme="minorEastAsia"/>
          <w:bCs/>
          <w:kern w:val="0"/>
          <w:szCs w:val="21"/>
        </w:rPr>
        <w:t>法规</w:t>
      </w:r>
      <w:r w:rsidR="00785666" w:rsidRPr="00721084">
        <w:rPr>
          <w:rFonts w:asciiTheme="minorEastAsia" w:eastAsiaTheme="minorEastAsia" w:hAnsiTheme="minorEastAsia"/>
          <w:szCs w:val="21"/>
        </w:rPr>
        <w:t>或监管部门取消上述禁止性规定，本基金管理人可不受上述规定的限制。</w:t>
      </w:r>
    </w:p>
    <w:p w:rsidR="00785666" w:rsidRPr="00721084" w:rsidRDefault="00785666"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kern w:val="0"/>
          <w:szCs w:val="21"/>
        </w:rPr>
        <w:t>4</w:t>
      </w:r>
      <w:r w:rsidR="007F6D3E" w:rsidRPr="00721084">
        <w:rPr>
          <w:rFonts w:asciiTheme="minorEastAsia" w:eastAsiaTheme="minorEastAsia" w:hAnsiTheme="minorEastAsia" w:hint="eastAsia"/>
          <w:kern w:val="0"/>
          <w:szCs w:val="21"/>
        </w:rPr>
        <w:t>、</w:t>
      </w:r>
      <w:r w:rsidRPr="00721084">
        <w:rPr>
          <w:rFonts w:asciiTheme="minorEastAsia" w:eastAsiaTheme="minorEastAsia" w:hAnsiTheme="minorEastAsia" w:hint="eastAsia"/>
          <w:kern w:val="0"/>
          <w:szCs w:val="21"/>
        </w:rPr>
        <w:t>基金托管人依据有关法律法规的规定和《基金合同》的约定对于基金关联投资限制进行监督。</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785666" w:rsidRPr="00721084" w:rsidRDefault="00785666" w:rsidP="00CE3F81">
      <w:pPr>
        <w:pStyle w:val="af0"/>
        <w:snapToGrid w:val="0"/>
        <w:spacing w:line="360" w:lineRule="auto"/>
        <w:ind w:firstLineChars="200"/>
        <w:rPr>
          <w:rFonts w:asciiTheme="minorEastAsia" w:eastAsiaTheme="minorEastAsia" w:hAnsiTheme="minorEastAsia"/>
          <w:bCs/>
          <w:kern w:val="0"/>
          <w:szCs w:val="21"/>
        </w:rPr>
      </w:pPr>
      <w:r w:rsidRPr="00721084">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w:t>
      </w:r>
      <w:r w:rsidRPr="00721084">
        <w:rPr>
          <w:rFonts w:asciiTheme="minorEastAsia" w:eastAsiaTheme="minorEastAsia" w:hAnsiTheme="minorEastAsia" w:hint="eastAsia"/>
          <w:bCs/>
          <w:kern w:val="0"/>
          <w:szCs w:val="21"/>
        </w:rPr>
        <w:t>告。</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基金托管人对基金管理人选择存款银行进行监督。</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kern w:val="0"/>
          <w:szCs w:val="21"/>
        </w:rPr>
        <w:t>本基金投资银行存款的信用风险主要包括存款银行的信用等级、存款银行的支付能力等涉及到存款银行选择方面的风险。</w:t>
      </w:r>
      <w:r w:rsidRPr="00721084">
        <w:rPr>
          <w:rFonts w:asciiTheme="minorEastAsia" w:eastAsiaTheme="minorEastAsia" w:hAnsiTheme="minorEastAsia"/>
          <w:szCs w:val="21"/>
        </w:rPr>
        <w:t>基金投资银行存款的，其基金管理人应根据法律法规的规定及基金合同的约定，确定符合条件的所有存款银行的名单，并及时提供给基金托管人，基金托管人应据以对基金投资银行存款的交易对手是否符合有关规定进行监督。</w:t>
      </w:r>
      <w:r w:rsidRPr="00721084">
        <w:rPr>
          <w:rFonts w:asciiTheme="minorEastAsia" w:eastAsiaTheme="minorEastAsia" w:hAnsiTheme="minorEastAsia" w:hint="eastAsia"/>
          <w:kern w:val="0"/>
          <w:szCs w:val="21"/>
        </w:rPr>
        <w:t>本</w:t>
      </w:r>
      <w:r w:rsidRPr="00721084">
        <w:rPr>
          <w:rFonts w:asciiTheme="minorEastAsia" w:eastAsiaTheme="minorEastAsia" w:hAnsiTheme="minorEastAsia" w:hint="eastAsia"/>
          <w:szCs w:val="21"/>
        </w:rPr>
        <w:t>基金投资除提供的</w:t>
      </w:r>
      <w:r w:rsidRPr="00721084">
        <w:rPr>
          <w:rFonts w:asciiTheme="minorEastAsia" w:eastAsiaTheme="minorEastAsia" w:hAnsiTheme="minorEastAsia"/>
          <w:szCs w:val="21"/>
        </w:rPr>
        <w:t>存款银行名单</w:t>
      </w:r>
      <w:r w:rsidRPr="00721084">
        <w:rPr>
          <w:rFonts w:asciiTheme="minorEastAsia" w:eastAsiaTheme="minorEastAsia" w:hAnsiTheme="minorEastAsia" w:hint="eastAsia"/>
          <w:szCs w:val="21"/>
        </w:rPr>
        <w:t>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bookmarkStart w:id="329" w:name="_Toc174497179"/>
      <w:bookmarkStart w:id="330" w:name="_Toc174501009"/>
      <w:bookmarkStart w:id="331" w:name="_Toc174502381"/>
      <w:r w:rsidRPr="00721084">
        <w:rPr>
          <w:rFonts w:asciiTheme="minorEastAsia" w:eastAsiaTheme="minorEastAsia" w:hAnsiTheme="minorEastAsia"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329"/>
      <w:bookmarkEnd w:id="330"/>
      <w:bookmarkEnd w:id="331"/>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（三）基金托管人发现基金管理人的投资指令违反关法律法规规定或者违反《基金合同》约定的，应当拒绝执行，立即通知基金管理人，并向中国证监会报告。</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基金托管人发现基金管理人依据交易程序已经生效的投资指令违反法律、行政法规和其他有关规定，或者违反《基金合同》约定的，应当立即通知基金管理人，并报告中国证监会。</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基金托管人发现基金管理人的投资运作违反法律法规或《基金合同》的规定，应及时以书面或电话或双方认可的其他方式通知基金管理人，由基金管理人限期纠正；基金管理人收</w:t>
      </w:r>
      <w:r w:rsidRPr="00721084">
        <w:rPr>
          <w:rFonts w:asciiTheme="minorEastAsia" w:eastAsiaTheme="minorEastAsia" w:hAnsiTheme="minorEastAsia" w:hint="eastAsia"/>
          <w:szCs w:val="21"/>
        </w:rPr>
        <w:lastRenderedPageBreak/>
        <w:t>到通知后应及时进行核对确认并回函；在限期内，基金托管人有权对通知事项进行复查，如基金管理人未予纠正，基金托管人应报告监管部门。</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基金托管人发现基金管理人或其授权投资机构有重大违法违规行为，应立即报告有关监管机构，同时通知基金管理人；由基金管理人限期纠正，并将纠正结果报告有关监管机构。</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785666" w:rsidRPr="00721084" w:rsidRDefault="00785666" w:rsidP="00CE3F81">
      <w:pPr>
        <w:pStyle w:val="af0"/>
        <w:snapToGrid w:val="0"/>
        <w:spacing w:line="360" w:lineRule="auto"/>
        <w:ind w:firstLineChars="200"/>
        <w:rPr>
          <w:rFonts w:asciiTheme="minorEastAsia" w:eastAsiaTheme="minorEastAsia" w:hAnsiTheme="minorEastAsia"/>
          <w:bCs/>
          <w:kern w:val="0"/>
          <w:szCs w:val="21"/>
        </w:rPr>
      </w:pPr>
      <w:r w:rsidRPr="00721084">
        <w:rPr>
          <w:rFonts w:asciiTheme="minorEastAsia" w:eastAsiaTheme="minorEastAsia" w:hAnsiTheme="minorEastAsia"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785666" w:rsidRPr="00721084" w:rsidRDefault="00785666"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四）基金管理人认可，合规投资责任方为基金管理人，基金托管人及其境外托管人的合规监管系统的准确性和完整性受限于基金管理人、经纪人及其他中介机构提供用于该系统的数据和信息。在不存在过错的前提下，基金托管人及其境外托管人对这些机构的信息不准确、不完整所引起的损失不负任何责任。</w:t>
      </w:r>
    </w:p>
    <w:p w:rsidR="00785666" w:rsidRPr="00721084" w:rsidRDefault="00785666"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（五）</w:t>
      </w:r>
      <w:r w:rsidRPr="00721084">
        <w:rPr>
          <w:rFonts w:asciiTheme="minorEastAsia" w:eastAsiaTheme="minorEastAsia" w:hAnsiTheme="minorEastAsia"/>
          <w:szCs w:val="21"/>
        </w:rPr>
        <w:t>无投资责任</w:t>
      </w:r>
    </w:p>
    <w:p w:rsidR="00785666" w:rsidRPr="00721084" w:rsidRDefault="00785666"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基金管理人应</w:t>
      </w:r>
      <w:r w:rsidRPr="00721084">
        <w:rPr>
          <w:rFonts w:asciiTheme="minorEastAsia" w:eastAsiaTheme="minorEastAsia" w:hAnsiTheme="minorEastAsia"/>
          <w:szCs w:val="21"/>
        </w:rPr>
        <w:t>理解，</w:t>
      </w:r>
      <w:r w:rsidRPr="00721084">
        <w:rPr>
          <w:rFonts w:asciiTheme="minorEastAsia" w:eastAsiaTheme="minorEastAsia" w:hAnsiTheme="minorEastAsia" w:hint="eastAsia"/>
          <w:szCs w:val="21"/>
        </w:rPr>
        <w:t>托管人对于基金管理人的交易监督服务</w:t>
      </w:r>
      <w:r w:rsidRPr="00721084">
        <w:rPr>
          <w:rFonts w:asciiTheme="minorEastAsia" w:eastAsiaTheme="minorEastAsia" w:hAnsiTheme="minorEastAsia"/>
          <w:szCs w:val="21"/>
        </w:rPr>
        <w:t>是一种加工</w:t>
      </w:r>
      <w:r w:rsidRPr="00721084">
        <w:rPr>
          <w:rFonts w:asciiTheme="minorEastAsia" w:eastAsiaTheme="minorEastAsia" w:hAnsiTheme="minorEastAsia" w:hint="eastAsia"/>
          <w:szCs w:val="21"/>
        </w:rPr>
        <w:t>应用</w:t>
      </w:r>
      <w:r w:rsidRPr="00721084">
        <w:rPr>
          <w:rFonts w:asciiTheme="minorEastAsia" w:eastAsiaTheme="minorEastAsia" w:hAnsiTheme="minorEastAsia"/>
          <w:szCs w:val="21"/>
        </w:rPr>
        <w:t>信息</w:t>
      </w:r>
      <w:r w:rsidRPr="00721084">
        <w:rPr>
          <w:rFonts w:asciiTheme="minorEastAsia" w:eastAsiaTheme="minorEastAsia" w:hAnsiTheme="minorEastAsia" w:hint="eastAsia"/>
          <w:szCs w:val="21"/>
        </w:rPr>
        <w:t>的服务</w:t>
      </w:r>
      <w:r w:rsidRPr="00721084">
        <w:rPr>
          <w:rFonts w:asciiTheme="minorEastAsia" w:eastAsiaTheme="minorEastAsia" w:hAnsiTheme="minorEastAsia"/>
          <w:szCs w:val="21"/>
        </w:rPr>
        <w:t>，而</w:t>
      </w:r>
      <w:r w:rsidRPr="00721084">
        <w:rPr>
          <w:rFonts w:asciiTheme="minorEastAsia" w:eastAsiaTheme="minorEastAsia" w:hAnsiTheme="minorEastAsia" w:hint="eastAsia"/>
          <w:szCs w:val="21"/>
        </w:rPr>
        <w:t>非</w:t>
      </w:r>
      <w:r w:rsidRPr="00721084">
        <w:rPr>
          <w:rFonts w:asciiTheme="minorEastAsia" w:eastAsiaTheme="minorEastAsia" w:hAnsiTheme="minorEastAsia"/>
          <w:szCs w:val="21"/>
        </w:rPr>
        <w:t>投资服务。</w:t>
      </w:r>
      <w:r w:rsidRPr="00721084">
        <w:rPr>
          <w:rFonts w:asciiTheme="minorEastAsia" w:eastAsiaTheme="minorEastAsia" w:hAnsiTheme="minorEastAsia" w:hint="eastAsia"/>
          <w:szCs w:val="21"/>
        </w:rPr>
        <w:t>除下列第（六）项及法律法规明确另有规定外，基金托管人及其境外托管人</w:t>
      </w:r>
      <w:r w:rsidRPr="00721084">
        <w:rPr>
          <w:rFonts w:asciiTheme="minorEastAsia" w:eastAsiaTheme="minorEastAsia" w:hAnsiTheme="minorEastAsia"/>
          <w:szCs w:val="21"/>
        </w:rPr>
        <w:t>将不会因为提供</w:t>
      </w:r>
      <w:r w:rsidRPr="00721084">
        <w:rPr>
          <w:rFonts w:asciiTheme="minorEastAsia" w:eastAsiaTheme="minorEastAsia" w:hAnsiTheme="minorEastAsia" w:hint="eastAsia"/>
          <w:szCs w:val="21"/>
        </w:rPr>
        <w:t>交易监督服务</w:t>
      </w:r>
      <w:r w:rsidRPr="00721084">
        <w:rPr>
          <w:rFonts w:asciiTheme="minorEastAsia" w:eastAsiaTheme="minorEastAsia" w:hAnsiTheme="minorEastAsia"/>
          <w:szCs w:val="21"/>
        </w:rPr>
        <w:t>而承担任何</w:t>
      </w:r>
      <w:r w:rsidRPr="00721084">
        <w:rPr>
          <w:rFonts w:asciiTheme="minorEastAsia" w:eastAsiaTheme="minorEastAsia" w:hAnsiTheme="minorEastAsia" w:hint="eastAsia"/>
          <w:szCs w:val="21"/>
        </w:rPr>
        <w:t>因基金管理人违规投资所产生的</w:t>
      </w:r>
      <w:r w:rsidRPr="00721084">
        <w:rPr>
          <w:rFonts w:asciiTheme="minorEastAsia" w:eastAsiaTheme="minorEastAsia" w:hAnsiTheme="minorEastAsia"/>
          <w:szCs w:val="21"/>
        </w:rPr>
        <w:t>有关责任</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也没有义务去采取任何手段回应任何与</w:t>
      </w:r>
      <w:r w:rsidRPr="00721084">
        <w:rPr>
          <w:rFonts w:asciiTheme="minorEastAsia" w:eastAsiaTheme="minorEastAsia" w:hAnsiTheme="minorEastAsia" w:hint="eastAsia"/>
          <w:szCs w:val="21"/>
        </w:rPr>
        <w:t>合规分析</w:t>
      </w:r>
      <w:r w:rsidRPr="00721084">
        <w:rPr>
          <w:rFonts w:asciiTheme="minorEastAsia" w:eastAsiaTheme="minorEastAsia" w:hAnsiTheme="minorEastAsia"/>
          <w:szCs w:val="21"/>
        </w:rPr>
        <w:t>服务有关的信息和报道，除非接到</w:t>
      </w:r>
      <w:r w:rsidRPr="00721084">
        <w:rPr>
          <w:rFonts w:asciiTheme="minorEastAsia" w:eastAsiaTheme="minorEastAsia" w:hAnsiTheme="minorEastAsia" w:hint="eastAsia"/>
          <w:szCs w:val="21"/>
        </w:rPr>
        <w:t>基金管理人</w:t>
      </w:r>
      <w:r w:rsidRPr="00721084">
        <w:rPr>
          <w:rFonts w:asciiTheme="minorEastAsia" w:eastAsiaTheme="minorEastAsia" w:hAnsiTheme="minorEastAsia"/>
          <w:szCs w:val="21"/>
        </w:rPr>
        <w:t>或其授权机构</w:t>
      </w:r>
      <w:r w:rsidRPr="00721084">
        <w:rPr>
          <w:rFonts w:asciiTheme="minorEastAsia" w:eastAsiaTheme="minorEastAsia" w:hAnsiTheme="minorEastAsia" w:hint="eastAsia"/>
          <w:szCs w:val="21"/>
        </w:rPr>
        <w:t>要求基金托管人或其境外托管人</w:t>
      </w:r>
      <w:r w:rsidRPr="00721084">
        <w:rPr>
          <w:rFonts w:asciiTheme="minorEastAsia" w:eastAsiaTheme="minorEastAsia" w:hAnsiTheme="minorEastAsia"/>
          <w:szCs w:val="21"/>
        </w:rPr>
        <w:t>针对某个信息和报道作回应的书面</w:t>
      </w:r>
      <w:r w:rsidRPr="00721084">
        <w:rPr>
          <w:rFonts w:asciiTheme="minorEastAsia" w:eastAsiaTheme="minorEastAsia" w:hAnsiTheme="minorEastAsia" w:hint="eastAsia"/>
          <w:szCs w:val="21"/>
        </w:rPr>
        <w:t>指示</w:t>
      </w:r>
      <w:r w:rsidRPr="00721084">
        <w:rPr>
          <w:rFonts w:asciiTheme="minorEastAsia" w:eastAsiaTheme="minorEastAsia" w:hAnsiTheme="minorEastAsia"/>
          <w:szCs w:val="21"/>
        </w:rPr>
        <w:t>。</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六）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资产或基金管理人造成损失，否则基金托管人或其境外托管人不应就交易监督服务承担任何责任。</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r w:rsidRPr="00721084">
        <w:rPr>
          <w:rFonts w:asciiTheme="minorEastAsia" w:eastAsiaTheme="minorEastAsia" w:hAnsiTheme="minorEastAsia" w:hint="eastAsia"/>
          <w:b/>
          <w:szCs w:val="21"/>
        </w:rPr>
        <w:t>三、</w:t>
      </w:r>
      <w:bookmarkStart w:id="332" w:name="_Toc186274440"/>
      <w:r w:rsidRPr="00721084">
        <w:rPr>
          <w:rFonts w:asciiTheme="minorEastAsia" w:eastAsiaTheme="minorEastAsia" w:hAnsiTheme="minorEastAsia" w:hint="eastAsia"/>
          <w:b/>
          <w:szCs w:val="21"/>
        </w:rPr>
        <w:t>基金管理人对基金托管人的业务监督和核查</w:t>
      </w:r>
      <w:bookmarkEnd w:id="332"/>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一）基金管理人有权根据有关法律法规的规定和《基金合同》的约定对基金托管人履行本协议的情况进行必要的监督与检查。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二）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立即对提示内容予以确认，如无异议，应在基金管理人给定的合理期</w:t>
      </w:r>
      <w:r w:rsidRPr="00721084">
        <w:rPr>
          <w:rFonts w:asciiTheme="minorEastAsia" w:eastAsiaTheme="minorEastAsia" w:hAnsiTheme="minorEastAsia" w:hint="eastAsia"/>
          <w:szCs w:val="21"/>
        </w:rPr>
        <w:lastRenderedPageBreak/>
        <w:t>限内改进，如有异议，应作出书面解释。</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（三）基金托管人应积极配合基金管理人的核查行为，包括但不限于：提交相关资料以供基金管理人核查托管财产的完整性和真实性，在规定时间内答复基金管理人并改正。</w:t>
      </w:r>
    </w:p>
    <w:p w:rsidR="00785666" w:rsidRPr="00721084" w:rsidRDefault="00785666" w:rsidP="00CE3F81">
      <w:pPr>
        <w:snapToGrid w:val="0"/>
        <w:spacing w:line="360" w:lineRule="auto"/>
        <w:ind w:firstLineChars="200" w:firstLine="420"/>
        <w:rPr>
          <w:rFonts w:asciiTheme="minorEastAsia" w:eastAsiaTheme="minorEastAsia" w:hAnsiTheme="minorEastAsia"/>
          <w:b/>
          <w:szCs w:val="21"/>
        </w:rPr>
      </w:pPr>
      <w:r w:rsidRPr="00721084">
        <w:rPr>
          <w:rFonts w:asciiTheme="minorEastAsia" w:eastAsiaTheme="minorEastAsia" w:hAnsiTheme="minorEastAsia" w:hint="eastAsia"/>
          <w:szCs w:val="21"/>
        </w:rPr>
        <w:t>（四）基金管理人须尽其最大努力保证其对基金托管人的业务核查不影响基金托管人的正常营业活动。</w:t>
      </w:r>
      <w:r w:rsidRPr="00721084">
        <w:rPr>
          <w:rFonts w:asciiTheme="minorEastAsia" w:eastAsiaTheme="minorEastAsia" w:hAnsiTheme="minorEastAsia"/>
          <w:b/>
          <w:szCs w:val="21"/>
        </w:rPr>
        <w:br/>
        <w:t xml:space="preserve">　　</w:t>
      </w:r>
      <w:r w:rsidRPr="00721084">
        <w:rPr>
          <w:rFonts w:asciiTheme="minorEastAsia" w:eastAsiaTheme="minorEastAsia" w:hAnsiTheme="minorEastAsia" w:hint="eastAsia"/>
          <w:b/>
          <w:szCs w:val="21"/>
        </w:rPr>
        <w:t>四、</w:t>
      </w:r>
      <w:r w:rsidRPr="00721084">
        <w:rPr>
          <w:rFonts w:asciiTheme="minorEastAsia" w:eastAsiaTheme="minorEastAsia" w:hAnsiTheme="minorEastAsia"/>
          <w:b/>
          <w:szCs w:val="21"/>
        </w:rPr>
        <w:t>基金财产的保管</w:t>
      </w:r>
    </w:p>
    <w:p w:rsidR="00785666" w:rsidRPr="00721084" w:rsidRDefault="00785666" w:rsidP="00CE3F81">
      <w:pPr>
        <w:widowControl/>
        <w:snapToGrid w:val="0"/>
        <w:spacing w:line="360" w:lineRule="auto"/>
        <w:ind w:firstLineChars="200" w:firstLine="422"/>
        <w:jc w:val="left"/>
        <w:rPr>
          <w:rFonts w:asciiTheme="minorEastAsia" w:eastAsiaTheme="minorEastAsia" w:hAnsiTheme="minorEastAsia"/>
          <w:b/>
          <w:szCs w:val="21"/>
        </w:rPr>
      </w:pPr>
      <w:bookmarkStart w:id="333" w:name="_Toc37159173"/>
      <w:bookmarkStart w:id="334" w:name="_Toc174497183"/>
      <w:bookmarkStart w:id="335" w:name="_Toc174501012"/>
      <w:bookmarkStart w:id="336" w:name="_Toc174502384"/>
      <w:bookmarkStart w:id="337" w:name="_Toc174616283"/>
      <w:r w:rsidRPr="00721084">
        <w:rPr>
          <w:rFonts w:asciiTheme="minorEastAsia" w:eastAsiaTheme="minorEastAsia" w:hAnsiTheme="minorEastAsia" w:hint="eastAsia"/>
          <w:b/>
          <w:szCs w:val="21"/>
        </w:rPr>
        <w:t>（一）基金财产保管的原则</w:t>
      </w:r>
      <w:bookmarkEnd w:id="333"/>
      <w:bookmarkEnd w:id="334"/>
      <w:bookmarkEnd w:id="335"/>
      <w:bookmarkEnd w:id="336"/>
      <w:bookmarkEnd w:id="337"/>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基金财产应独立于基金管理人、基金托管人的固有财产。</w:t>
      </w:r>
    </w:p>
    <w:p w:rsidR="00785666" w:rsidRPr="00721084"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基金托管人应安全保管基金财产</w:t>
      </w: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基金托管人按照规定开设基金财产的资金账户和证券账户</w:t>
      </w:r>
      <w:r w:rsidRPr="00721084">
        <w:rPr>
          <w:rFonts w:asciiTheme="minorEastAsia" w:eastAsiaTheme="minorEastAsia" w:hAnsiTheme="minorEastAsia" w:hint="eastAsia"/>
          <w:szCs w:val="21"/>
        </w:rPr>
        <w:t>；</w:t>
      </w:r>
    </w:p>
    <w:p w:rsidR="00785666" w:rsidRPr="00721084"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基金托管人对所托管的不同基金财产分别设置账户，确保基金财产的完整与独立</w:t>
      </w:r>
      <w:r w:rsidRPr="00721084">
        <w:rPr>
          <w:rFonts w:asciiTheme="minorEastAsia" w:eastAsiaTheme="minorEastAsia" w:hAnsiTheme="minorEastAsia" w:hint="eastAsia"/>
          <w:szCs w:val="21"/>
        </w:rPr>
        <w:t>；</w:t>
      </w:r>
    </w:p>
    <w:p w:rsidR="00785666" w:rsidRPr="00721084"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除依据有关法律法规规定和本协议约定外，基金托管人、及其境外托管人不得利用基金财产为自己或第三方谋取利益，违反此义务所得利益归于基金财产，由此造成的直接损失由基金托管人承担，该等责任包括但不限于恢复基金财产的原状、承担因此所引起的直接损失的赔偿责任；</w:t>
      </w:r>
    </w:p>
    <w:p w:rsidR="00785666" w:rsidRPr="00721084"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基金托管人自身，并尽商业上的合理努力确保境外托管人不得自行运用、处分、分配托管证券；</w:t>
      </w:r>
    </w:p>
    <w:p w:rsidR="00785666" w:rsidRPr="00721084"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除非根据基金管理人书面同意，基金托管人不得在任何托管资产上设立任何担保权利，包括但不限于抵押、质押、留置等；</w:t>
      </w:r>
    </w:p>
    <w:p w:rsidR="00785666" w:rsidRPr="00721084" w:rsidRDefault="00785666" w:rsidP="00CE3F81">
      <w:pPr>
        <w:tabs>
          <w:tab w:val="num" w:pos="0"/>
        </w:tabs>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对于因为基金管理人进行本协议项下基金投资交易产生的应收资产，应由基金管理人负责与有关当事人确定到账日期并通知基金托管人。对于因为基金持有的资产所产生的应收资产，应由基金托管人负责与有关当事人确定到账日期并通知基金管理人。上述应收资产如果在到账日没有到达托管账户，基金托管人应及时通知并配合基金管理人采取措施进行催收或追偿。</w:t>
      </w:r>
    </w:p>
    <w:p w:rsidR="00785666" w:rsidRPr="00721084" w:rsidRDefault="00785666" w:rsidP="00CE3F81">
      <w:pPr>
        <w:widowControl/>
        <w:snapToGrid w:val="0"/>
        <w:spacing w:line="360" w:lineRule="auto"/>
        <w:ind w:firstLineChars="200" w:firstLine="422"/>
        <w:jc w:val="left"/>
        <w:rPr>
          <w:rFonts w:asciiTheme="minorEastAsia" w:eastAsiaTheme="minorEastAsia" w:hAnsiTheme="minorEastAsia"/>
          <w:b/>
          <w:szCs w:val="21"/>
        </w:rPr>
      </w:pPr>
      <w:bookmarkStart w:id="338" w:name="_Toc37159174"/>
      <w:bookmarkStart w:id="339" w:name="_Toc174497184"/>
      <w:bookmarkStart w:id="340" w:name="_Toc174501013"/>
      <w:bookmarkStart w:id="341" w:name="_Toc174502385"/>
      <w:bookmarkStart w:id="342" w:name="_Toc174616284"/>
      <w:r w:rsidRPr="00721084">
        <w:rPr>
          <w:rFonts w:asciiTheme="minorEastAsia" w:eastAsiaTheme="minorEastAsia" w:hAnsiTheme="minorEastAsia" w:hint="eastAsia"/>
          <w:b/>
          <w:szCs w:val="21"/>
        </w:rPr>
        <w:t>（二）基金募集期间及募集资金的验资</w:t>
      </w:r>
      <w:bookmarkEnd w:id="338"/>
      <w:bookmarkEnd w:id="339"/>
      <w:bookmarkEnd w:id="340"/>
      <w:bookmarkEnd w:id="341"/>
      <w:bookmarkEnd w:id="342"/>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721084">
        <w:rPr>
          <w:rFonts w:asciiTheme="minorEastAsia" w:eastAsiaTheme="minorEastAsia" w:hAnsiTheme="minorEastAsia"/>
          <w:szCs w:val="21"/>
        </w:rPr>
        <w:t>2</w:t>
      </w:r>
      <w:r w:rsidRPr="00721084">
        <w:rPr>
          <w:rFonts w:asciiTheme="minorEastAsia" w:eastAsiaTheme="minorEastAsia" w:hAnsiTheme="minorEastAsia" w:hint="eastAsia"/>
          <w:szCs w:val="21"/>
        </w:rPr>
        <w:t>名以上（含</w:t>
      </w:r>
      <w:r w:rsidRPr="00721084">
        <w:rPr>
          <w:rFonts w:asciiTheme="minorEastAsia" w:eastAsiaTheme="minorEastAsia" w:hAnsiTheme="minorEastAsia"/>
          <w:szCs w:val="21"/>
        </w:rPr>
        <w:t>2</w:t>
      </w:r>
      <w:r w:rsidRPr="00721084">
        <w:rPr>
          <w:rFonts w:asciiTheme="minorEastAsia" w:eastAsiaTheme="minorEastAsia" w:hAnsiTheme="minorEastAsia" w:hint="eastAsia"/>
          <w:szCs w:val="21"/>
        </w:rPr>
        <w:t>名）中国注册会计师签字有效。</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验资完成，基金管理人应将募集的属于本基金财产的全部资金划入基金托管人为基金开立的资产托管专户中，基金托管人在收到资金当日出具确认文件。</w:t>
      </w:r>
    </w:p>
    <w:p w:rsidR="00785666" w:rsidRPr="00721084" w:rsidRDefault="00785666" w:rsidP="00CE3F81">
      <w:pPr>
        <w:pStyle w:val="ad"/>
        <w:snapToGrid w:val="0"/>
        <w:spacing w:after="0" w:line="360" w:lineRule="auto"/>
        <w:ind w:left="0" w:firstLineChars="200" w:firstLine="420"/>
        <w:rPr>
          <w:rFonts w:asciiTheme="minorEastAsia" w:eastAsiaTheme="minorEastAsia" w:hAnsiTheme="minorEastAsia" w:cs="Arial"/>
          <w:szCs w:val="21"/>
        </w:rPr>
      </w:pPr>
      <w:r w:rsidRPr="00721084">
        <w:rPr>
          <w:rFonts w:asciiTheme="minorEastAsia" w:eastAsiaTheme="minorEastAsia" w:hAnsiTheme="minorEastAsia" w:cs="Arial"/>
          <w:szCs w:val="21"/>
        </w:rPr>
        <w:t>3</w:t>
      </w:r>
      <w:r w:rsidR="007F6D3E" w:rsidRPr="00721084">
        <w:rPr>
          <w:rFonts w:asciiTheme="minorEastAsia" w:eastAsiaTheme="minorEastAsia" w:hAnsiTheme="minorEastAsia" w:cs="Arial" w:hint="eastAsia"/>
          <w:szCs w:val="21"/>
        </w:rPr>
        <w:t>、</w:t>
      </w:r>
      <w:r w:rsidRPr="00721084">
        <w:rPr>
          <w:rFonts w:asciiTheme="minorEastAsia" w:eastAsiaTheme="minorEastAsia" w:hAnsiTheme="minorEastAsia" w:cs="Arial"/>
          <w:szCs w:val="21"/>
        </w:rPr>
        <w:t>若基金募集期限届满，未能达到《基金合同》生效的条件，由基金管理人按规定办理退款事宜。</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43" w:name="_Toc174616285"/>
      <w:r w:rsidRPr="00721084">
        <w:rPr>
          <w:rFonts w:asciiTheme="minorEastAsia" w:eastAsiaTheme="minorEastAsia" w:hAnsiTheme="minorEastAsia" w:hint="eastAsia"/>
          <w:b/>
          <w:szCs w:val="21"/>
        </w:rPr>
        <w:t>（三）资产保管内容和约定事项</w:t>
      </w:r>
      <w:bookmarkEnd w:id="343"/>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基金管理人同意，现金账户中的现金将由基金托管人或其境外托管人以基金或基金托管人或境外托管人的名义持有。</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除非被授权人按指令程序发送的指令另有规定，否则，基金托管人和其境外托管人应在收到被授权人的指令后，按下述方式支付现金、售出或交付证券：</w:t>
      </w:r>
      <w:r w:rsidRPr="00721084">
        <w:rPr>
          <w:rFonts w:asciiTheme="minorEastAsia" w:eastAsiaTheme="minorEastAsia" w:hAnsiTheme="minorEastAsia"/>
          <w:szCs w:val="21"/>
        </w:rPr>
        <w:t>(a)</w:t>
      </w:r>
      <w:r w:rsidRPr="00721084">
        <w:rPr>
          <w:rFonts w:asciiTheme="minorEastAsia" w:eastAsiaTheme="minorEastAsia" w:hAnsiTheme="minorEastAsia" w:hint="eastAsia"/>
          <w:szCs w:val="21"/>
        </w:rPr>
        <w:t>按照交易发生的司法管辖区或市场的有关惯常和既定惯例和程序作出；或</w:t>
      </w:r>
      <w:r w:rsidRPr="00721084">
        <w:rPr>
          <w:rFonts w:asciiTheme="minorEastAsia" w:eastAsiaTheme="minorEastAsia" w:hAnsiTheme="minorEastAsia"/>
          <w:szCs w:val="21"/>
        </w:rPr>
        <w:t>(b)</w:t>
      </w:r>
      <w:r w:rsidRPr="00721084">
        <w:rPr>
          <w:rFonts w:asciiTheme="minorEastAsia" w:eastAsiaTheme="minorEastAsia" w:hAnsiTheme="minorEastAsia" w:hint="eastAsia"/>
          <w:szCs w:val="21"/>
        </w:rPr>
        <w:t>就通过证券系统进行的买卖而言，按照管辖该系统运营的规则、条例和条件作出。基金托管人和其境外托管人应不时将该等有关惯例、程序、规则、条例和条件及时通知基金管理人。</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托管人在因依法解散、被依法撤销或者被依法宣告清盘或破产等原因进行终止清算时，不得将基金财产归入其清算财产。基金托管人应自身，并尽商业上的合理努力确保其境外托管人建立安全的数据管理机制，安全完整地保存与基金财产相关的业务数据和信息。</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44" w:name="_Toc174616286"/>
      <w:r w:rsidRPr="00721084">
        <w:rPr>
          <w:rFonts w:asciiTheme="minorEastAsia" w:eastAsiaTheme="minorEastAsia" w:hAnsiTheme="minorEastAsia" w:hint="eastAsia"/>
          <w:b/>
          <w:szCs w:val="21"/>
        </w:rPr>
        <w:t>（四）基金资金账户的开立和管理</w:t>
      </w:r>
      <w:bookmarkEnd w:id="344"/>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可以基金、基金托管人或其境外托管人的名义在其营业机构或其境外托管人开立基金的资金账户，并根据基金管理人合法合规的指令办理资金收付。基金资金账户的银行预留印鉴由基金托管人或其境外托管人的营业机构保管和使用。</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基金资金账户的开立和使用，限于满足开展基金业务的需要。基金托管人、基金管理人不得假借基金的名义开立任何其他银行账户；亦不得使用基金的任何账户进行基金业务以外的活动。</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基金资金账户的开立和管理应符合账户所在国家或地区相关监管机构的有关规定。</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45" w:name="_Toc174616287"/>
      <w:r w:rsidRPr="00721084">
        <w:rPr>
          <w:rFonts w:asciiTheme="minorEastAsia" w:eastAsiaTheme="minorEastAsia" w:hAnsiTheme="minorEastAsia" w:hint="eastAsia"/>
          <w:b/>
          <w:szCs w:val="21"/>
        </w:rPr>
        <w:t>（五）</w:t>
      </w:r>
      <w:bookmarkStart w:id="346" w:name="_Toc136455381"/>
      <w:r w:rsidRPr="00721084">
        <w:rPr>
          <w:rFonts w:asciiTheme="minorEastAsia" w:eastAsiaTheme="minorEastAsia" w:hAnsiTheme="minorEastAsia" w:hint="eastAsia"/>
          <w:b/>
          <w:szCs w:val="21"/>
        </w:rPr>
        <w:t>基金证券账户的开立和管理</w:t>
      </w:r>
      <w:bookmarkEnd w:id="345"/>
      <w:bookmarkEnd w:id="346"/>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在基金所投资市场或证券交易所适用的登记结算机构为基金开立基金托管人或其境外托管人名义或以上任一方与基金联名的证券账户。由基金托管人或其境外托管人负责办理与开立证券账户有关的手续。</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证券账户的开立和使用，仅限于满足开展基金业务的需要。基金托管人和基金管理人以及境外托管人均不得出借或未经基金托管人、基金管理人双方同意擅自转让基金的任何证券账户，亦不得使用基金的任何账户进行基金业务以外的活动。</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基金证券账户的开立和证券账户相关证明文件的保管由基金托管人负责，账户资产的管理和运用由基金管理人负责。</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管理人投资于合法合规、符合基金合同的其他非交易所市场的投资品种时，在基金合同生效后，基金托管人或其境外托管人根据投资所在市场以及国家或地区的相关规定，开立进行基金的投资活动所需要的各类证券和结算账户。</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基金证券账户的开立和管理应符合账户所在国家或地区有关法律的规定。</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47" w:name="_Toc136455382"/>
      <w:bookmarkStart w:id="348" w:name="_Toc174616288"/>
      <w:r w:rsidRPr="00721084">
        <w:rPr>
          <w:rFonts w:asciiTheme="minorEastAsia" w:eastAsiaTheme="minorEastAsia" w:hAnsiTheme="minorEastAsia" w:hint="eastAsia"/>
          <w:b/>
          <w:szCs w:val="21"/>
        </w:rPr>
        <w:t>（六）其他账户的开立和管理</w:t>
      </w:r>
      <w:bookmarkEnd w:id="347"/>
      <w:bookmarkEnd w:id="348"/>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因业务发展需要而开立的其他账户，可以根据投资市场所在国家或地区法律法规和基金合同的规定，由基金托管人或其境外托管人负责开立。</w:t>
      </w:r>
    </w:p>
    <w:p w:rsidR="00785666" w:rsidRPr="00721084" w:rsidRDefault="00785666" w:rsidP="00CE3F81">
      <w:pPr>
        <w:pStyle w:val="AODocTxt"/>
        <w:snapToGrid w:val="0"/>
        <w:spacing w:before="0" w:line="360" w:lineRule="auto"/>
        <w:ind w:firstLineChars="200" w:firstLine="420"/>
        <w:rPr>
          <w:rFonts w:asciiTheme="minorEastAsia" w:eastAsiaTheme="minorEastAsia" w:hAnsiTheme="minorEastAsia"/>
          <w:sz w:val="21"/>
          <w:szCs w:val="21"/>
          <w:lang w:eastAsia="zh-CN"/>
        </w:rPr>
      </w:pPr>
      <w:r w:rsidRPr="00721084">
        <w:rPr>
          <w:rFonts w:asciiTheme="minorEastAsia" w:eastAsiaTheme="minorEastAsia" w:hAnsiTheme="minorEastAsia" w:hint="eastAsia"/>
          <w:sz w:val="21"/>
          <w:szCs w:val="21"/>
          <w:lang w:eastAsia="zh-CN"/>
        </w:rPr>
        <w:lastRenderedPageBreak/>
        <w:t>2</w:t>
      </w:r>
      <w:r w:rsidR="007F6D3E" w:rsidRPr="00721084">
        <w:rPr>
          <w:rFonts w:asciiTheme="minorEastAsia" w:eastAsiaTheme="minorEastAsia" w:hAnsiTheme="minorEastAsia" w:hint="eastAsia"/>
          <w:sz w:val="21"/>
          <w:szCs w:val="21"/>
          <w:lang w:eastAsia="zh-CN"/>
        </w:rPr>
        <w:t>、</w:t>
      </w:r>
      <w:r w:rsidRPr="00721084">
        <w:rPr>
          <w:rFonts w:asciiTheme="minorEastAsia" w:eastAsiaTheme="minorEastAsia" w:hAnsiTheme="minorEastAsia" w:hint="eastAsia"/>
          <w:sz w:val="21"/>
          <w:szCs w:val="21"/>
          <w:lang w:eastAsia="zh-CN"/>
        </w:rPr>
        <w:t>投资市场所在国家或地区法律法规等有关规定对相关账户的开立和管理另有规定的，从其规定办理。</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49" w:name="_Toc174616289"/>
      <w:r w:rsidRPr="00721084">
        <w:rPr>
          <w:rFonts w:asciiTheme="minorEastAsia" w:eastAsiaTheme="minorEastAsia" w:hAnsiTheme="minorEastAsia" w:hint="eastAsia"/>
          <w:b/>
          <w:szCs w:val="21"/>
        </w:rPr>
        <w:t>（七）证券登记</w:t>
      </w:r>
      <w:bookmarkEnd w:id="349"/>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境外证券的注册登记方式应符合投资当地市场的有关法律、法规和市场惯例。</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基金托管人应确保基金管理人所管理的基金或基金份额持有人始终是所有证券的实益所有人(beneficial</w:t>
      </w:r>
      <w:r w:rsidR="00296722">
        <w:rPr>
          <w:rFonts w:asciiTheme="minorEastAsia" w:eastAsiaTheme="minorEastAsia" w:hAnsiTheme="minorEastAsia"/>
          <w:szCs w:val="21"/>
        </w:rPr>
        <w:t xml:space="preserve"> </w:t>
      </w:r>
      <w:r w:rsidRPr="00721084">
        <w:rPr>
          <w:rFonts w:asciiTheme="minorEastAsia" w:eastAsiaTheme="minorEastAsia" w:hAnsiTheme="minorEastAsia"/>
          <w:szCs w:val="21"/>
        </w:rPr>
        <w:t>owner</w:t>
      </w:r>
      <w:r w:rsidRPr="00721084">
        <w:rPr>
          <w:rFonts w:asciiTheme="minorEastAsia" w:eastAsiaTheme="minorEastAsia" w:hAnsiTheme="minorEastAsia" w:hint="eastAsia"/>
          <w:szCs w:val="21"/>
        </w:rPr>
        <w:t>)的方式持有基金财产中的所有证券。</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基金托管人应该：</w:t>
      </w:r>
      <w:r w:rsidRPr="00721084">
        <w:rPr>
          <w:rFonts w:asciiTheme="minorEastAsia" w:eastAsiaTheme="minorEastAsia" w:hAnsiTheme="minorEastAsia"/>
          <w:szCs w:val="21"/>
        </w:rPr>
        <w:t>(a)</w:t>
      </w:r>
      <w:r w:rsidRPr="00721084">
        <w:rPr>
          <w:rFonts w:asciiTheme="minorEastAsia" w:eastAsiaTheme="minorEastAsia" w:hAnsiTheme="minorEastAsia" w:hint="eastAsia"/>
          <w:szCs w:val="21"/>
        </w:rPr>
        <w:t>在其帐目和记录中单独列记属于本基金的证券，并且</w:t>
      </w:r>
      <w:r w:rsidRPr="00721084">
        <w:rPr>
          <w:rFonts w:asciiTheme="minorEastAsia" w:eastAsiaTheme="minorEastAsia" w:hAnsiTheme="minorEastAsia"/>
          <w:szCs w:val="21"/>
        </w:rPr>
        <w:t>(b)</w:t>
      </w:r>
      <w:r w:rsidRPr="00721084">
        <w:rPr>
          <w:rFonts w:asciiTheme="minorEastAsia" w:eastAsiaTheme="minorEastAsia" w:hAnsiTheme="minorEastAsia" w:hint="eastAsia"/>
          <w:szCs w:val="21"/>
        </w:rPr>
        <w:t>要求和尽商业上的合理努力确保其境外托管人在其帐目和记录中单独清楚列记证券不属于境外托管人，不论证券以何人的名义登记。而且，若证券由基金托管人、境外托管人以无记名方式实际持有，要求和尽商业上的合理努力确保其境外托管人将这些证券和基金托管人、其境外托管人自有资产、任何其他人的资产分别独立存放。</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除非基金托管人及其境外托管人存在过失、疏忽、欺诈或故意不当行为，基金托管人将不保证其或其境外托管人所接收基金财产中的证券的所有权、合法性或真实性（包括是否以良好形式转让）。</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基金托管人及其境外托管人应指示存放在证券系统的证券为基金的实益所有人持有，但须遵守管辖该系统运营的规则、条例和条件。</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6</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由基金托管人及其境外托管人为基金的利益而持有的证券</w:t>
      </w:r>
      <w:r w:rsidRPr="00721084">
        <w:rPr>
          <w:rFonts w:asciiTheme="minorEastAsia" w:eastAsiaTheme="minorEastAsia" w:hAnsiTheme="minorEastAsia"/>
          <w:szCs w:val="21"/>
        </w:rPr>
        <w:t>(</w:t>
      </w:r>
      <w:r w:rsidRPr="00721084">
        <w:rPr>
          <w:rFonts w:asciiTheme="minorEastAsia" w:eastAsiaTheme="minorEastAsia" w:hAnsiTheme="minorEastAsia" w:hint="eastAsia"/>
          <w:szCs w:val="21"/>
        </w:rPr>
        <w:t>无记名证券和在证券系统持有的证券除外</w:t>
      </w:r>
      <w:r w:rsidRPr="00721084">
        <w:rPr>
          <w:rFonts w:asciiTheme="minorEastAsia" w:eastAsiaTheme="minorEastAsia" w:hAnsiTheme="minorEastAsia"/>
          <w:szCs w:val="21"/>
        </w:rPr>
        <w:t>)</w:t>
      </w:r>
      <w:r w:rsidRPr="00721084">
        <w:rPr>
          <w:rFonts w:asciiTheme="minorEastAsia" w:eastAsiaTheme="minorEastAsia" w:hAnsiTheme="minorEastAsia" w:hint="eastAsia"/>
          <w:szCs w:val="21"/>
        </w:rPr>
        <w:t>应按本协议约定登记。</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7</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托管人及其境外托管人应就其为基金利益而持有证券的市场有关证券登记方式的重大改变通知基金管理人，并应基金管理人要求将这些市场发生的事件或惯例变化通知基金管理人。若基金管理人要求改变本协议约定的证券登记方式，基金托管人及其境外托管人应就此予以充分配合。</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50" w:name="_Toc174497185"/>
      <w:bookmarkStart w:id="351" w:name="_Toc174501014"/>
      <w:bookmarkStart w:id="352" w:name="_Toc174502386"/>
      <w:bookmarkStart w:id="353" w:name="_Toc174616290"/>
      <w:r w:rsidRPr="00721084">
        <w:rPr>
          <w:rFonts w:asciiTheme="minorEastAsia" w:eastAsiaTheme="minorEastAsia" w:hAnsiTheme="minorEastAsia" w:hint="eastAsia"/>
          <w:b/>
          <w:szCs w:val="21"/>
        </w:rPr>
        <w:t>（八）基金财产投资的有关实物证券、银行定期存款存单等有价凭证的保管</w:t>
      </w:r>
      <w:bookmarkEnd w:id="350"/>
      <w:bookmarkEnd w:id="351"/>
      <w:bookmarkEnd w:id="352"/>
      <w:bookmarkEnd w:id="353"/>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财产投资的有关实物证券由基金托管人存放于基金托管人及其境外托管人的保管库。实物证券的购买和转让，由基金托管人及其境外托管人根据基金管理人的指令办理。属于基金托管人及其境外托管人实际有效控制下的实物证券在基金托管人保管期间的损坏、灭失，由此产生的责任应由基金托管人承担。</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54" w:name="_Toc37159180"/>
      <w:bookmarkStart w:id="355" w:name="_Toc174497186"/>
      <w:bookmarkStart w:id="356" w:name="_Toc174501015"/>
      <w:bookmarkStart w:id="357" w:name="_Toc174502387"/>
      <w:bookmarkStart w:id="358" w:name="_Toc174616291"/>
      <w:r w:rsidRPr="00721084">
        <w:rPr>
          <w:rFonts w:asciiTheme="minorEastAsia" w:eastAsiaTheme="minorEastAsia" w:hAnsiTheme="minorEastAsia" w:hint="eastAsia"/>
          <w:b/>
          <w:szCs w:val="21"/>
        </w:rPr>
        <w:t>（九）与基金财产有关的重大合同的保管</w:t>
      </w:r>
      <w:bookmarkEnd w:id="354"/>
      <w:bookmarkEnd w:id="355"/>
      <w:bookmarkEnd w:id="356"/>
      <w:bookmarkEnd w:id="357"/>
      <w:bookmarkEnd w:id="358"/>
    </w:p>
    <w:p w:rsidR="00785666" w:rsidRPr="00721084" w:rsidRDefault="00785666" w:rsidP="00CE3F81">
      <w:pPr>
        <w:pStyle w:val="af0"/>
        <w:snapToGrid w:val="0"/>
        <w:spacing w:line="360" w:lineRule="auto"/>
        <w:ind w:firstLineChars="20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基金管理人应及时向基金托管人提供涉及基金财产投资运作的书面协议的副本或相关证明文件。</w:t>
      </w:r>
    </w:p>
    <w:p w:rsidR="00785666" w:rsidRPr="00721084" w:rsidRDefault="00785666" w:rsidP="00CE3F81">
      <w:pPr>
        <w:pStyle w:val="af0"/>
        <w:snapToGrid w:val="0"/>
        <w:spacing w:line="360" w:lineRule="auto"/>
        <w:ind w:firstLineChars="200"/>
        <w:rPr>
          <w:rFonts w:asciiTheme="minorEastAsia" w:eastAsiaTheme="minorEastAsia" w:hAnsiTheme="minorEastAsia"/>
          <w:szCs w:val="21"/>
        </w:rPr>
      </w:pPr>
      <w:r w:rsidRPr="00721084">
        <w:rPr>
          <w:rFonts w:asciiTheme="minorEastAsia" w:eastAsiaTheme="minorEastAsia" w:hAnsiTheme="minorEastAsia"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w:t>
      </w:r>
      <w:r w:rsidRPr="00721084">
        <w:rPr>
          <w:rFonts w:asciiTheme="minorEastAsia" w:eastAsiaTheme="minorEastAsia" w:hAnsiTheme="minorEastAsia" w:hint="eastAsia"/>
          <w:szCs w:val="21"/>
        </w:rPr>
        <w:lastRenderedPageBreak/>
        <w:t>律、法规要求。</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r w:rsidRPr="00721084">
        <w:rPr>
          <w:rFonts w:asciiTheme="minorEastAsia" w:eastAsiaTheme="minorEastAsia" w:hAnsiTheme="minorEastAsia" w:hint="eastAsia"/>
          <w:b/>
          <w:szCs w:val="21"/>
        </w:rPr>
        <w:t>五、</w:t>
      </w:r>
      <w:r w:rsidRPr="00721084">
        <w:rPr>
          <w:rFonts w:asciiTheme="minorEastAsia" w:eastAsiaTheme="minorEastAsia" w:hAnsiTheme="minorEastAsia"/>
          <w:b/>
          <w:szCs w:val="21"/>
        </w:rPr>
        <w:t>基金资产净值计算与复核</w:t>
      </w:r>
    </w:p>
    <w:p w:rsidR="00785666" w:rsidRPr="00721084" w:rsidRDefault="00785666" w:rsidP="00CE3F81">
      <w:pPr>
        <w:snapToGrid w:val="0"/>
        <w:spacing w:line="360" w:lineRule="auto"/>
        <w:ind w:firstLineChars="200" w:firstLine="422"/>
        <w:rPr>
          <w:rFonts w:asciiTheme="minorEastAsia" w:eastAsiaTheme="minorEastAsia" w:hAnsiTheme="minorEastAsia"/>
          <w:b/>
          <w:kern w:val="0"/>
          <w:szCs w:val="21"/>
        </w:rPr>
      </w:pPr>
      <w:bookmarkStart w:id="359" w:name="_Toc174616309"/>
      <w:r w:rsidRPr="00721084">
        <w:rPr>
          <w:rFonts w:asciiTheme="minorEastAsia" w:eastAsiaTheme="minorEastAsia" w:hAnsiTheme="minorEastAsia" w:hint="eastAsia"/>
          <w:b/>
          <w:kern w:val="0"/>
          <w:szCs w:val="21"/>
        </w:rPr>
        <w:t>（一）资产定价</w:t>
      </w:r>
      <w:bookmarkEnd w:id="359"/>
    </w:p>
    <w:p w:rsidR="00785666" w:rsidRPr="00721084" w:rsidRDefault="00785666"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基金托管人、基金管理人负责按照基金合同的约定对基金资产进行定价。在进行基金资产定价时，基金托管人、基金管理人有权本着诚意原则，依赖本协议所约定的经纪人、定价服务机构或其他机构的定价信息，但在不存在过错的前提下，基金托管人、基金管理人对上述机构提供的信息的准确性和完整性不作任何担保，并对这些机构的信息的准确性和完整性所引起的基金份额持有人和基金财产损失不负任何责任。对基金托管人、基金管理人违反</w:t>
      </w:r>
      <w:r w:rsidRPr="00721084">
        <w:rPr>
          <w:rFonts w:asciiTheme="minorEastAsia" w:eastAsiaTheme="minorEastAsia" w:hAnsiTheme="minorEastAsia" w:hint="eastAsia"/>
          <w:szCs w:val="21"/>
        </w:rPr>
        <w:t>基金管理人和基金托管人</w:t>
      </w:r>
      <w:r w:rsidRPr="00721084">
        <w:rPr>
          <w:rFonts w:asciiTheme="minorEastAsia" w:eastAsiaTheme="minorEastAsia" w:hAnsiTheme="minorEastAsia" w:hint="eastAsia"/>
          <w:kern w:val="0"/>
          <w:szCs w:val="21"/>
        </w:rPr>
        <w:t>约定的定价原则所引起的直接损失，由责任人承担赔偿责任。</w:t>
      </w:r>
    </w:p>
    <w:p w:rsidR="00785666" w:rsidRPr="00721084" w:rsidRDefault="00785666" w:rsidP="00CE3F81">
      <w:pPr>
        <w:snapToGrid w:val="0"/>
        <w:spacing w:line="360" w:lineRule="auto"/>
        <w:ind w:firstLineChars="200" w:firstLine="422"/>
        <w:rPr>
          <w:rFonts w:asciiTheme="minorEastAsia" w:eastAsiaTheme="minorEastAsia" w:hAnsiTheme="minorEastAsia"/>
          <w:b/>
          <w:kern w:val="0"/>
          <w:szCs w:val="21"/>
        </w:rPr>
      </w:pPr>
      <w:bookmarkStart w:id="360" w:name="_Toc174616310"/>
      <w:r w:rsidRPr="00721084">
        <w:rPr>
          <w:rFonts w:asciiTheme="minorEastAsia" w:eastAsiaTheme="minorEastAsia" w:hAnsiTheme="minorEastAsia" w:hint="eastAsia"/>
          <w:b/>
          <w:kern w:val="0"/>
          <w:szCs w:val="21"/>
        </w:rPr>
        <w:t>（二）基金资产估值方法和特殊情形的处理</w:t>
      </w:r>
      <w:bookmarkEnd w:id="360"/>
    </w:p>
    <w:p w:rsidR="00785666" w:rsidRPr="00721084" w:rsidRDefault="007F6D3E"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1、</w:t>
      </w:r>
      <w:r w:rsidR="00785666" w:rsidRPr="00721084">
        <w:rPr>
          <w:rFonts w:asciiTheme="minorEastAsia" w:eastAsiaTheme="minorEastAsia" w:hAnsiTheme="minorEastAsia" w:hint="eastAsia"/>
          <w:kern w:val="0"/>
          <w:szCs w:val="21"/>
        </w:rPr>
        <w:t>会计核算和估值的处理原则</w:t>
      </w:r>
    </w:p>
    <w:p w:rsidR="00785666" w:rsidRPr="00721084" w:rsidRDefault="00785666"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(1)基金资产的会计责任主体为基金管理人，基金管理人应根据与基金托管人协商确定的会计原则和核算方法进行会计处理。监管部门或行业组织另有约定的从其约定。基金托管人应根据与基金管理人协商确定的会计原则和核算方法对本基金进行会计处理、对资产净值计算进行复核。</w:t>
      </w:r>
      <w:r w:rsidRPr="00721084">
        <w:rPr>
          <w:rFonts w:asciiTheme="minorEastAsia" w:eastAsiaTheme="minorEastAsia" w:hAnsiTheme="minorEastAsia" w:hint="eastAsia"/>
          <w:szCs w:val="21"/>
        </w:rPr>
        <w:t>基金管</w:t>
      </w:r>
      <w:r w:rsidRPr="00721084">
        <w:rPr>
          <w:rFonts w:asciiTheme="minorEastAsia" w:eastAsiaTheme="minorEastAsia" w:hAnsiTheme="minorEastAsia" w:hint="eastAsia"/>
          <w:kern w:val="0"/>
          <w:szCs w:val="21"/>
        </w:rPr>
        <w:t>理人应向基金托管人提供基金托管人进行本基金的净值计算复核和本基金进行信息披露所需要的相关信息。</w:t>
      </w:r>
    </w:p>
    <w:p w:rsidR="00785666" w:rsidRPr="00721084" w:rsidRDefault="00785666"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基金托管人、境外托管人应按国家规定和基金管理人要求对基金资产中的证券账户和现金账户进行帐实核对。</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(2)基金管理人有权委托第三方独立机构进行会计核算，并认可其委托的第三方独立机构所计算的基金资产净值，基金托管人对基金管理人认可的第三方独立机构所计算的资产净值进行复核。</w:t>
      </w:r>
    </w:p>
    <w:p w:rsidR="00785666" w:rsidRPr="00721084" w:rsidRDefault="007F6D3E"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2、</w:t>
      </w:r>
      <w:r w:rsidR="00785666" w:rsidRPr="00721084">
        <w:rPr>
          <w:rFonts w:asciiTheme="minorEastAsia" w:eastAsiaTheme="minorEastAsia" w:hAnsiTheme="minorEastAsia" w:hint="eastAsia"/>
          <w:kern w:val="0"/>
          <w:szCs w:val="21"/>
        </w:rPr>
        <w:t>基金托管人的会计核算处理</w:t>
      </w:r>
    </w:p>
    <w:p w:rsidR="00785666" w:rsidRPr="00721084" w:rsidRDefault="00785666" w:rsidP="00CE3F81">
      <w:pPr>
        <w:pStyle w:val="af0"/>
        <w:snapToGrid w:val="0"/>
        <w:spacing w:line="360" w:lineRule="auto"/>
        <w:ind w:firstLineChars="20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(1)在遵守相关会计法律法规的前提下，基金托管人应按</w:t>
      </w:r>
      <w:r w:rsidRPr="00721084">
        <w:rPr>
          <w:rFonts w:asciiTheme="minorEastAsia" w:eastAsiaTheme="minorEastAsia" w:hAnsiTheme="minorEastAsia" w:hint="eastAsia"/>
          <w:szCs w:val="21"/>
        </w:rPr>
        <w:t>基金管理人和基金托管人</w:t>
      </w:r>
      <w:r w:rsidRPr="00721084">
        <w:rPr>
          <w:rFonts w:asciiTheme="minorEastAsia" w:eastAsiaTheme="minorEastAsia" w:hAnsiTheme="minorEastAsia" w:hint="eastAsia"/>
          <w:kern w:val="0"/>
          <w:szCs w:val="21"/>
        </w:rPr>
        <w:t>协商确定的会计核算方法和处理原则进行会计核算，对基金财产单独建账、独立核算，并应指定专门人员负责会计核算与会计资料保管。属于</w:t>
      </w:r>
      <w:r w:rsidRPr="00721084">
        <w:rPr>
          <w:rFonts w:asciiTheme="minorEastAsia" w:eastAsiaTheme="minorEastAsia" w:hAnsiTheme="minorEastAsia" w:cs="宋体" w:hint="eastAsia"/>
          <w:kern w:val="0"/>
          <w:szCs w:val="21"/>
        </w:rPr>
        <w:t>基金财产</w:t>
      </w:r>
      <w:r w:rsidRPr="00721084">
        <w:rPr>
          <w:rFonts w:asciiTheme="minorEastAsia" w:eastAsiaTheme="minorEastAsia" w:hAnsiTheme="minorEastAsia" w:hint="eastAsia"/>
          <w:kern w:val="0"/>
          <w:szCs w:val="21"/>
        </w:rPr>
        <w:t>的收益应全额计入会计账簿，不得与其他托管资产的收益相混淆。</w:t>
      </w:r>
    </w:p>
    <w:p w:rsidR="00785666" w:rsidRPr="00721084" w:rsidRDefault="00785666" w:rsidP="00CE3F81">
      <w:pPr>
        <w:pStyle w:val="af0"/>
        <w:snapToGrid w:val="0"/>
        <w:spacing w:line="360" w:lineRule="auto"/>
        <w:ind w:firstLineChars="20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(2)基金资产核算的内容包括但不限于：证券买卖业务的核算、持有资产的付息、兑付、分红等业务的核算、证券发行认购业务的核算、货币市场工具买卖业务的核算、银行存款计息、存款账户间的资金划付业务的核算、支付费用的核算、汇兑损益的核算等。</w:t>
      </w:r>
    </w:p>
    <w:p w:rsidR="00785666" w:rsidRPr="00721084" w:rsidRDefault="007F6D3E" w:rsidP="00CE3F81">
      <w:pPr>
        <w:snapToGrid w:val="0"/>
        <w:spacing w:line="360" w:lineRule="auto"/>
        <w:ind w:firstLineChars="200" w:firstLine="42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3、</w:t>
      </w:r>
      <w:r w:rsidR="00785666" w:rsidRPr="00721084">
        <w:rPr>
          <w:rFonts w:asciiTheme="minorEastAsia" w:eastAsiaTheme="minorEastAsia" w:hAnsiTheme="minorEastAsia" w:hint="eastAsia"/>
          <w:kern w:val="0"/>
          <w:szCs w:val="21"/>
        </w:rPr>
        <w:t>净值计算</w:t>
      </w:r>
    </w:p>
    <w:p w:rsidR="00785666" w:rsidRPr="00721084" w:rsidRDefault="00785666" w:rsidP="00CE3F81">
      <w:pPr>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(1)基金资产净值是指基金资产总值减去负债后的金额。份额净值是指基金资产净值除以份额总数，基金份额净值的计算，精确到0.001</w:t>
      </w:r>
      <w:r w:rsidR="006D47EC" w:rsidRPr="00721084">
        <w:rPr>
          <w:rFonts w:asciiTheme="minorEastAsia" w:eastAsiaTheme="minorEastAsia" w:hAnsiTheme="minorEastAsia" w:hint="eastAsia"/>
          <w:szCs w:val="21"/>
        </w:rPr>
        <w:t>元</w:t>
      </w:r>
      <w:r w:rsidRPr="00721084">
        <w:rPr>
          <w:rFonts w:asciiTheme="minorEastAsia" w:eastAsiaTheme="minorEastAsia" w:hAnsiTheme="minorEastAsia" w:hint="eastAsia"/>
          <w:szCs w:val="21"/>
        </w:rPr>
        <w:t>人民币，小数点后第4位四舍五入，国家另有规定的，从其规定。</w:t>
      </w:r>
    </w:p>
    <w:p w:rsidR="00785666" w:rsidRPr="00721084" w:rsidRDefault="00785666" w:rsidP="00CE3F81">
      <w:pPr>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(2)基金资产净值的计算日为每一工作日，基金管理人和基金托管人在收集净值计算日</w:t>
      </w:r>
      <w:r w:rsidRPr="00721084">
        <w:rPr>
          <w:rFonts w:asciiTheme="minorEastAsia" w:eastAsiaTheme="minorEastAsia" w:hAnsiTheme="minorEastAsia" w:hint="eastAsia"/>
          <w:szCs w:val="21"/>
        </w:rPr>
        <w:lastRenderedPageBreak/>
        <w:t>估值价格截止时点所估值证券的最近市场价格后，对各类估值资产进行估值，计算出基金资产净值及基金份额净值，并按规定公告。</w:t>
      </w:r>
    </w:p>
    <w:p w:rsidR="00785666" w:rsidRPr="00721084" w:rsidRDefault="00785666" w:rsidP="00CE3F81">
      <w:pPr>
        <w:snapToGrid w:val="0"/>
        <w:spacing w:line="360" w:lineRule="auto"/>
        <w:ind w:firstLineChars="200" w:firstLine="422"/>
        <w:jc w:val="left"/>
        <w:rPr>
          <w:rFonts w:asciiTheme="minorEastAsia" w:eastAsiaTheme="minorEastAsia" w:hAnsiTheme="minorEastAsia"/>
          <w:b/>
          <w:szCs w:val="21"/>
        </w:rPr>
      </w:pPr>
      <w:bookmarkStart w:id="361" w:name="_Toc136455403"/>
      <w:bookmarkStart w:id="362" w:name="_Toc174616311"/>
      <w:r w:rsidRPr="00721084">
        <w:rPr>
          <w:rFonts w:asciiTheme="minorEastAsia" w:eastAsiaTheme="minorEastAsia" w:hAnsiTheme="minorEastAsia" w:hint="eastAsia"/>
          <w:b/>
          <w:szCs w:val="21"/>
        </w:rPr>
        <w:t>（三）基金份额净值错误的处理方式</w:t>
      </w:r>
      <w:bookmarkEnd w:id="361"/>
      <w:bookmarkEnd w:id="362"/>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份额净值的计算采用四舍五入的方法保留小数点后3位。当基金份额净值偏差达到基金份额净值的0.5%时，基金管理人应当立即纠正，并采取合理的措施防止损失进一步扩大。当基金份额净值计算差错小于基金份额净值0.5%时，基金管理人与基金托管人应在发现日对账务进行更正调整，不做追溯处理；</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当基金管理人将其义务委托第三方处理时，应当对第三方处理有关基金事务的行为承担责任。</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关于差错处理，</w:t>
      </w:r>
      <w:r w:rsidR="00AE12FE" w:rsidRPr="00721084">
        <w:rPr>
          <w:rFonts w:asciiTheme="minorEastAsia" w:eastAsiaTheme="minorEastAsia" w:hAnsiTheme="minorEastAsia" w:hint="eastAsia"/>
          <w:szCs w:val="21"/>
        </w:rPr>
        <w:t>基金</w:t>
      </w:r>
      <w:r w:rsidRPr="00721084">
        <w:rPr>
          <w:rFonts w:asciiTheme="minorEastAsia" w:eastAsiaTheme="minorEastAsia" w:hAnsiTheme="minorEastAsia" w:hint="eastAsia"/>
          <w:szCs w:val="21"/>
        </w:rPr>
        <w:t>合同的当事人按照以下约定处理：</w:t>
      </w:r>
      <w:r w:rsidRPr="00721084">
        <w:rPr>
          <w:rStyle w:val="afc"/>
          <w:rFonts w:asciiTheme="minorEastAsia" w:eastAsiaTheme="minorEastAsia" w:hAnsiTheme="minorEastAsia" w:hint="eastAsia"/>
          <w:vanish/>
        </w:rPr>
        <w:t xml:space="preserve"> </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1</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差错类型</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2</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差错处理原则</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因基金估值错误给投资者造成损失，在基金管理人可承担的范围内应先由基金管理人承担，基金管理人对不应由其承担的责任，有权根据过错原则，向过错人追偿，本协议的当事人应将按照以下约定处理。</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（3）由于证券交易所，交易市场及登记结算公司及数据供应商发送的数据错误，或由于其他不可抗力原因，基金管理人和基金托管人虽然已经采取必要、适当、合理的措施进行</w:t>
      </w:r>
      <w:r w:rsidRPr="00721084">
        <w:rPr>
          <w:rFonts w:asciiTheme="minorEastAsia" w:eastAsiaTheme="minorEastAsia" w:hAnsiTheme="minorEastAsia" w:hint="eastAsia"/>
          <w:szCs w:val="21"/>
        </w:rPr>
        <w:lastRenderedPageBreak/>
        <w:t>检查，但是未能发现该错误的，由此造成的基金资产估值错误，基金管理人和基金托管人可以免除赔偿责任。但基金管理人和基金托管人应当积极采取必要的措施消除由此造成的影响。</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4）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（5）法律法规或者监管部门另有规定的，从其规定。如果行业有通行做法，基金管理人和基金托管人双方应本着平等和保护基金持有人利益的原则进行协商。</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6）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（7）差错的责任方对可能导致有关当事人的直接损失予以赔偿，间接损失不予赔偿，并且仅对差错的有关直接当事人负责，不对第三方负责。</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8）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（9）差错调整采用尽量恢复至假设未发生差错的正确情形的方式。</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10）如果因基金管理人过错造成基金财产或基金份额持有人损失时，基金托管人应为基金的利益向基金管理人追偿，如果因基金托管人过错造成基金财产或基金份额持有人损失时，基金管理人应为基金的利益向基金托管人追偿。除基金管理人和托管人之外的第三方造成基金财产或基金份额持有人的损失，并拒绝进行赔偿时，由基金管理人负责向差错方追偿，但该第三方是由托管人委托的情况下，应由基金托管人负责赔偿并向差错方追偿。</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11）如果出现差错的当事人未按规定对受损方进行赔偿，并且依据法律、行政法规、《基金合同》或其他规定，基金管理人自行或依据法院判决、仲裁裁决对受损方承担了赔偿责任，则基金管理人有权向出现差错的当事人进行追索，并有权要求其赔偿或补偿由此发生的费用和遭受的损失。</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（12）按法律法规规定的其他原则处理差错。</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3</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差错处理程序</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差错被发现后，有关的当事人应当及时进行处理，处理的程序如下：</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w:t>
      </w:r>
      <w:r w:rsidRPr="00721084">
        <w:rPr>
          <w:rFonts w:asciiTheme="minorEastAsia" w:eastAsiaTheme="minorEastAsia" w:hAnsiTheme="minorEastAsia"/>
          <w:szCs w:val="21"/>
        </w:rPr>
        <w:t>1</w:t>
      </w:r>
      <w:r w:rsidRPr="00721084">
        <w:rPr>
          <w:rFonts w:asciiTheme="minorEastAsia" w:eastAsiaTheme="minorEastAsia" w:hAnsiTheme="minorEastAsia" w:hint="eastAsia"/>
          <w:szCs w:val="21"/>
        </w:rPr>
        <w:t>）查明差错发生的原因，列明所有的当事人，并根据差错发生的原因确定差错的责任方；</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2</w:t>
      </w:r>
      <w:r w:rsidRPr="00721084">
        <w:rPr>
          <w:rFonts w:asciiTheme="minorEastAsia" w:eastAsiaTheme="minorEastAsia" w:hAnsiTheme="minorEastAsia" w:hint="eastAsia"/>
          <w:szCs w:val="21"/>
        </w:rPr>
        <w:t>）根据差错处理原则或当事人协商的方法对因差错造成的损失进行评估；</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3</w:t>
      </w:r>
      <w:r w:rsidRPr="00721084">
        <w:rPr>
          <w:rFonts w:asciiTheme="minorEastAsia" w:eastAsiaTheme="minorEastAsia" w:hAnsiTheme="minorEastAsia" w:hint="eastAsia"/>
          <w:szCs w:val="21"/>
        </w:rPr>
        <w:t>）根据差错处理原则或当事人协商的方法由差错的责任方进行更正和赔偿损失；</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4</w:t>
      </w:r>
      <w:r w:rsidRPr="00721084">
        <w:rPr>
          <w:rFonts w:asciiTheme="minorEastAsia" w:eastAsiaTheme="minorEastAsia" w:hAnsiTheme="minorEastAsia" w:hint="eastAsia"/>
          <w:szCs w:val="21"/>
        </w:rPr>
        <w:t>）根据差错处理的方法，需要修改基金注册登记机构的交易数据的，由基金注册登记机构进行更正，并就差错的更正向有关当事人进行确认；</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w:t>
      </w:r>
      <w:r w:rsidRPr="00721084">
        <w:rPr>
          <w:rFonts w:asciiTheme="minorEastAsia" w:eastAsiaTheme="minorEastAsia" w:hAnsiTheme="minorEastAsia"/>
          <w:szCs w:val="21"/>
        </w:rPr>
        <w:t>5</w:t>
      </w:r>
      <w:r w:rsidRPr="00721084">
        <w:rPr>
          <w:rFonts w:asciiTheme="minorEastAsia" w:eastAsiaTheme="minorEastAsia" w:hAnsiTheme="minorEastAsia" w:hint="eastAsia"/>
          <w:szCs w:val="21"/>
        </w:rPr>
        <w:t>）基金管理人及基金托管人基金份额净值计算错误偏差达到基金份额净值的</w:t>
      </w:r>
      <w:r w:rsidRPr="00721084">
        <w:rPr>
          <w:rFonts w:asciiTheme="minorEastAsia" w:eastAsiaTheme="minorEastAsia" w:hAnsiTheme="minorEastAsia"/>
          <w:szCs w:val="21"/>
        </w:rPr>
        <w:t>0.5%</w:t>
      </w:r>
      <w:r w:rsidRPr="00721084">
        <w:rPr>
          <w:rFonts w:asciiTheme="minorEastAsia" w:eastAsiaTheme="minorEastAsia" w:hAnsiTheme="minorEastAsia" w:hint="eastAsia"/>
          <w:szCs w:val="21"/>
        </w:rPr>
        <w:t>时，基金管理人应当公告并报中国证监会备案。</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63" w:name="_Toc136455404"/>
      <w:bookmarkStart w:id="364" w:name="_Toc174616312"/>
      <w:r w:rsidRPr="00721084">
        <w:rPr>
          <w:rFonts w:asciiTheme="minorEastAsia" w:eastAsiaTheme="minorEastAsia" w:hAnsiTheme="minorEastAsia" w:hint="eastAsia"/>
          <w:b/>
          <w:szCs w:val="21"/>
        </w:rPr>
        <w:t>（四）</w:t>
      </w:r>
      <w:r w:rsidR="00692779" w:rsidRPr="00721084">
        <w:rPr>
          <w:rFonts w:asciiTheme="minorEastAsia" w:eastAsiaTheme="minorEastAsia" w:hAnsiTheme="minorEastAsia" w:hint="eastAsia"/>
          <w:b/>
          <w:szCs w:val="21"/>
        </w:rPr>
        <w:t>可</w:t>
      </w:r>
      <w:r w:rsidRPr="00721084">
        <w:rPr>
          <w:rFonts w:asciiTheme="minorEastAsia" w:eastAsiaTheme="minorEastAsia" w:hAnsiTheme="minorEastAsia" w:hint="eastAsia"/>
          <w:b/>
          <w:szCs w:val="21"/>
        </w:rPr>
        <w:t>暂停估值的情形</w:t>
      </w:r>
      <w:bookmarkEnd w:id="363"/>
      <w:bookmarkEnd w:id="364"/>
    </w:p>
    <w:p w:rsidR="00785666" w:rsidRPr="00721084" w:rsidRDefault="00785666" w:rsidP="00CE3F81">
      <w:pPr>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（1）</w:t>
      </w:r>
      <w:r w:rsidRPr="00721084">
        <w:rPr>
          <w:rFonts w:asciiTheme="minorEastAsia" w:eastAsiaTheme="minorEastAsia" w:hAnsiTheme="minorEastAsia" w:cs="宋体" w:hint="eastAsia"/>
          <w:kern w:val="0"/>
          <w:szCs w:val="21"/>
        </w:rPr>
        <w:t>基金投资所涉及的主要证券交易所或市场或外汇市场遇法定节假日或因其他原因暂停营业时；</w:t>
      </w:r>
    </w:p>
    <w:p w:rsidR="00785666" w:rsidRPr="00721084" w:rsidRDefault="00785666" w:rsidP="00CE3F81">
      <w:pPr>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（2）因不可抗力或其他情形致使基金管理人、基金托管人无法准确评估基金资产价值时；</w:t>
      </w:r>
    </w:p>
    <w:p w:rsidR="00913708" w:rsidRPr="00721084" w:rsidRDefault="00913708" w:rsidP="00913708">
      <w:pPr>
        <w:adjustRightInd w:val="0"/>
        <w:snapToGrid w:val="0"/>
        <w:spacing w:line="360" w:lineRule="auto"/>
        <w:ind w:firstLineChars="200" w:firstLine="420"/>
        <w:jc w:val="left"/>
        <w:rPr>
          <w:rFonts w:asciiTheme="minorEastAsia" w:eastAsiaTheme="minorEastAsia" w:hAnsiTheme="minorEastAsia"/>
        </w:rPr>
      </w:pPr>
      <w:r w:rsidRPr="00721084">
        <w:rPr>
          <w:rFonts w:asciiTheme="minorEastAsia" w:eastAsiaTheme="minorEastAsia" w:hAnsiTheme="minorEastAsia" w:hint="eastAsia"/>
        </w:rPr>
        <w:t>（3）前一估值日基金资产净值50%以上的资产出现无可参考的活跃市场价格且采用估值技术仍导致公允价值存在重大不确定性时，经与基金托管人协商一致的；</w:t>
      </w:r>
    </w:p>
    <w:p w:rsidR="00785666" w:rsidRPr="00721084" w:rsidRDefault="00913708" w:rsidP="00913708">
      <w:pPr>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rPr>
        <w:t>（4）</w:t>
      </w:r>
      <w:r w:rsidR="00785666" w:rsidRPr="00721084">
        <w:rPr>
          <w:rFonts w:asciiTheme="minorEastAsia" w:eastAsiaTheme="minorEastAsia" w:hAnsiTheme="minorEastAsia" w:hint="eastAsia"/>
          <w:szCs w:val="21"/>
        </w:rPr>
        <w:t>监管机构认定的其他情形。</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65" w:name="_Toc134845640"/>
      <w:bookmarkStart w:id="366" w:name="_Toc138227584"/>
      <w:bookmarkStart w:id="367" w:name="_Toc152143545"/>
      <w:bookmarkStart w:id="368" w:name="_Toc152223145"/>
      <w:bookmarkStart w:id="369" w:name="_Toc152223626"/>
      <w:bookmarkStart w:id="370" w:name="_Toc174616313"/>
      <w:r w:rsidRPr="00721084">
        <w:rPr>
          <w:rFonts w:asciiTheme="minorEastAsia" w:eastAsiaTheme="minorEastAsia" w:hAnsiTheme="minorEastAsia" w:hint="eastAsia"/>
          <w:b/>
          <w:szCs w:val="21"/>
        </w:rPr>
        <w:t>（五）</w:t>
      </w:r>
      <w:r w:rsidRPr="00721084">
        <w:rPr>
          <w:rFonts w:asciiTheme="minorEastAsia" w:eastAsiaTheme="minorEastAsia" w:hAnsiTheme="minorEastAsia"/>
          <w:b/>
          <w:szCs w:val="21"/>
        </w:rPr>
        <w:t>特殊情况的处理</w:t>
      </w:r>
      <w:bookmarkEnd w:id="365"/>
      <w:bookmarkEnd w:id="366"/>
      <w:bookmarkEnd w:id="367"/>
      <w:bookmarkEnd w:id="368"/>
      <w:bookmarkEnd w:id="369"/>
      <w:bookmarkEnd w:id="370"/>
    </w:p>
    <w:p w:rsidR="00785666" w:rsidRPr="00721084" w:rsidRDefault="00785666" w:rsidP="00CE3F81">
      <w:pPr>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基金管理人</w:t>
      </w:r>
      <w:r w:rsidRPr="00721084">
        <w:rPr>
          <w:rFonts w:asciiTheme="minorEastAsia" w:eastAsiaTheme="minorEastAsia" w:hAnsiTheme="minorEastAsia"/>
          <w:szCs w:val="21"/>
        </w:rPr>
        <w:t>或</w:t>
      </w:r>
      <w:r w:rsidRPr="00721084">
        <w:rPr>
          <w:rFonts w:asciiTheme="minorEastAsia" w:eastAsiaTheme="minorEastAsia" w:hAnsiTheme="minorEastAsia" w:hint="eastAsia"/>
          <w:szCs w:val="21"/>
        </w:rPr>
        <w:t>基金托管人</w:t>
      </w:r>
      <w:r w:rsidRPr="00721084">
        <w:rPr>
          <w:rFonts w:asciiTheme="minorEastAsia" w:eastAsiaTheme="minorEastAsia" w:hAnsiTheme="minorEastAsia"/>
          <w:szCs w:val="21"/>
        </w:rPr>
        <w:t>按</w:t>
      </w:r>
      <w:r w:rsidRPr="00721084">
        <w:rPr>
          <w:rFonts w:asciiTheme="minorEastAsia" w:eastAsiaTheme="minorEastAsia" w:hAnsiTheme="minorEastAsia" w:hint="eastAsia"/>
          <w:szCs w:val="21"/>
        </w:rPr>
        <w:t>《基金合同》规定</w:t>
      </w:r>
      <w:r w:rsidRPr="00721084">
        <w:rPr>
          <w:rFonts w:asciiTheme="minorEastAsia" w:eastAsiaTheme="minorEastAsia" w:hAnsiTheme="minorEastAsia"/>
          <w:szCs w:val="21"/>
        </w:rPr>
        <w:t>估值方法进行估值时，所造成的误差不作为</w:t>
      </w:r>
      <w:r w:rsidRPr="00721084">
        <w:rPr>
          <w:rFonts w:asciiTheme="minorEastAsia" w:eastAsiaTheme="minorEastAsia" w:hAnsiTheme="minorEastAsia" w:hint="eastAsia"/>
          <w:szCs w:val="21"/>
        </w:rPr>
        <w:t>基金</w:t>
      </w:r>
      <w:r w:rsidRPr="00721084">
        <w:rPr>
          <w:rFonts w:asciiTheme="minorEastAsia" w:eastAsiaTheme="minorEastAsia" w:hAnsiTheme="minorEastAsia"/>
          <w:szCs w:val="21"/>
        </w:rPr>
        <w:t>份额净值错误处理。</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71" w:name="_Toc174616314"/>
      <w:r w:rsidRPr="00721084">
        <w:rPr>
          <w:rFonts w:asciiTheme="minorEastAsia" w:eastAsiaTheme="minorEastAsia" w:hAnsiTheme="minorEastAsia" w:hint="eastAsia"/>
          <w:b/>
          <w:szCs w:val="21"/>
        </w:rPr>
        <w:t>（六）基金账册的建立</w:t>
      </w:r>
      <w:bookmarkEnd w:id="371"/>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管理人和基金托管人在《基金合同》生效后，应按照相关各方约定的同一记账方法和会计处理原则，分别独立地设置、登录和保管本基金的账册，对相关各方各自的账册定期进行核对，互相监督，以保证基金资产的安全。</w:t>
      </w:r>
    </w:p>
    <w:p w:rsidR="00785666" w:rsidRPr="00721084" w:rsidRDefault="00785666" w:rsidP="00CE3F81">
      <w:pPr>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经对账发现相关各方的账目存在不符的，基金管理人和基金托管人必须及时查明原因并纠正，保证相关各方平行登录的账册记录相符。</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72" w:name="_Toc174616315"/>
      <w:r w:rsidRPr="00721084">
        <w:rPr>
          <w:rFonts w:asciiTheme="minorEastAsia" w:eastAsiaTheme="minorEastAsia" w:hAnsiTheme="minorEastAsia" w:hint="eastAsia"/>
          <w:b/>
          <w:szCs w:val="21"/>
        </w:rPr>
        <w:t>（七）基金定期报告的编制和复核</w:t>
      </w:r>
      <w:bookmarkEnd w:id="372"/>
    </w:p>
    <w:p w:rsidR="00785666" w:rsidRPr="00721084" w:rsidRDefault="00785666" w:rsidP="00CE3F81">
      <w:pPr>
        <w:pStyle w:val="af0"/>
        <w:tabs>
          <w:tab w:val="left" w:pos="645"/>
        </w:tabs>
        <w:snapToGrid w:val="0"/>
        <w:spacing w:line="360" w:lineRule="auto"/>
        <w:ind w:firstLineChars="200"/>
        <w:rPr>
          <w:rFonts w:asciiTheme="minorEastAsia" w:eastAsiaTheme="minorEastAsia" w:hAnsiTheme="minorEastAsia"/>
          <w:kern w:val="0"/>
          <w:szCs w:val="21"/>
        </w:rPr>
      </w:pPr>
      <w:r w:rsidRPr="00721084">
        <w:rPr>
          <w:rFonts w:asciiTheme="minorEastAsia" w:eastAsiaTheme="minorEastAsia" w:hAnsiTheme="minorEastAsia" w:hint="eastAsia"/>
          <w:kern w:val="0"/>
          <w:szCs w:val="21"/>
        </w:rPr>
        <w:t>1</w:t>
      </w:r>
      <w:r w:rsidR="007F6D3E" w:rsidRPr="00721084">
        <w:rPr>
          <w:rFonts w:asciiTheme="minorEastAsia" w:eastAsiaTheme="minorEastAsia" w:hAnsiTheme="minorEastAsia" w:hint="eastAsia"/>
          <w:kern w:val="0"/>
          <w:szCs w:val="21"/>
        </w:rPr>
        <w:t>、</w:t>
      </w:r>
      <w:r w:rsidRPr="00721084">
        <w:rPr>
          <w:rFonts w:asciiTheme="minorEastAsia" w:eastAsiaTheme="minorEastAsia" w:hAnsiTheme="minorEastAsia" w:hint="eastAsia"/>
          <w:kern w:val="0"/>
          <w:szCs w:val="21"/>
        </w:rPr>
        <w:t>基金托管人法定报告</w:t>
      </w:r>
    </w:p>
    <w:p w:rsidR="00785666" w:rsidRPr="00721084"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721084">
        <w:rPr>
          <w:rFonts w:asciiTheme="minorEastAsia" w:eastAsiaTheme="minorEastAsia" w:hAnsiTheme="minorEastAsia"/>
          <w:sz w:val="21"/>
          <w:szCs w:val="21"/>
        </w:rPr>
        <w:t>基金托管人需根据相关法律法规的规定向监管机构报告相关信息，包括但不限于以下内容：</w:t>
      </w:r>
    </w:p>
    <w:p w:rsidR="00785666" w:rsidRPr="00721084"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721084">
        <w:rPr>
          <w:rFonts w:asciiTheme="minorEastAsia" w:eastAsiaTheme="minorEastAsia" w:hAnsiTheme="minorEastAsia"/>
          <w:sz w:val="21"/>
          <w:szCs w:val="21"/>
        </w:rPr>
        <w:t>（1）自开设境外结算账户之日起5日内，将有关账户的详情报告外管局；</w:t>
      </w:r>
    </w:p>
    <w:p w:rsidR="00785666" w:rsidRPr="00721084"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721084">
        <w:rPr>
          <w:rFonts w:asciiTheme="minorEastAsia" w:eastAsiaTheme="minorEastAsia" w:hAnsiTheme="minorEastAsia"/>
          <w:sz w:val="21"/>
          <w:szCs w:val="21"/>
        </w:rPr>
        <w:t>（2）每月结束后7个工作日内，向中国证监会和外管局报告基金境外投资情况，并按相关监管规定进行国际收支申报；</w:t>
      </w:r>
    </w:p>
    <w:p w:rsidR="00785666" w:rsidRPr="00721084"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721084">
        <w:rPr>
          <w:rFonts w:asciiTheme="minorEastAsia" w:eastAsiaTheme="minorEastAsia" w:hAnsiTheme="minorEastAsia"/>
          <w:sz w:val="21"/>
          <w:szCs w:val="21"/>
        </w:rPr>
        <w:t>（3）发现基金管理人投资指令或资金汇出违法、违规的，及时向中国证监会或外管局报告；</w:t>
      </w:r>
    </w:p>
    <w:p w:rsidR="00785666" w:rsidRPr="00721084"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721084">
        <w:rPr>
          <w:rFonts w:asciiTheme="minorEastAsia" w:eastAsiaTheme="minorEastAsia" w:hAnsiTheme="minorEastAsia"/>
          <w:sz w:val="21"/>
          <w:szCs w:val="21"/>
        </w:rPr>
        <w:lastRenderedPageBreak/>
        <w:t>（4）中国证监会和外管局规定的其他报告事项；</w:t>
      </w:r>
    </w:p>
    <w:p w:rsidR="00785666" w:rsidRPr="00721084"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721084">
        <w:rPr>
          <w:rFonts w:asciiTheme="minorEastAsia" w:eastAsiaTheme="minorEastAsia" w:hAnsiTheme="minorEastAsia"/>
          <w:sz w:val="21"/>
          <w:szCs w:val="21"/>
        </w:rPr>
        <w:t>上述报告应同时抄送基金管理人，对于基金托管人提供上述报告，基金管理人应予以支持和配合。</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2</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财务报表的编制与复核</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（1）报表的编制</w:t>
      </w:r>
    </w:p>
    <w:p w:rsidR="00746762" w:rsidRPr="00721084" w:rsidRDefault="00746762" w:rsidP="00746762">
      <w:pPr>
        <w:snapToGrid w:val="0"/>
        <w:spacing w:line="360" w:lineRule="auto"/>
        <w:ind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基金财务报表由基金管理人编制，基金托管人复核。</w:t>
      </w:r>
    </w:p>
    <w:p w:rsidR="00746762" w:rsidRPr="00721084" w:rsidRDefault="00746762" w:rsidP="00746762">
      <w:pPr>
        <w:snapToGrid w:val="0"/>
        <w:spacing w:line="360" w:lineRule="auto"/>
        <w:ind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管理人应当在上半年结束之日起两个月内完成基金中期报告的编制；在每年结束之日起三个月内完成基金年度报告的编制。基金年度报告的财务会计报告应当经过审计。基金合同生效不足两个月的，基金管理人可以不编制当期中期报告或者年度报告。</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（2）报表的复核</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szCs w:val="21"/>
        </w:rPr>
        <w:t>基金管理人应留足充分的时间，便于基金托管人复核相关报表及报告。</w:t>
      </w:r>
    </w:p>
    <w:p w:rsidR="00785666" w:rsidRPr="00721084"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721084">
        <w:rPr>
          <w:rFonts w:asciiTheme="minorEastAsia" w:eastAsiaTheme="minorEastAsia" w:hAnsiTheme="minorEastAsia"/>
          <w:sz w:val="21"/>
          <w:szCs w:val="21"/>
        </w:rPr>
        <w:t>3</w:t>
      </w:r>
      <w:r w:rsidR="007F6D3E" w:rsidRPr="00721084">
        <w:rPr>
          <w:rFonts w:asciiTheme="minorEastAsia" w:eastAsiaTheme="minorEastAsia" w:hAnsiTheme="minorEastAsia" w:hint="eastAsia"/>
          <w:sz w:val="21"/>
          <w:szCs w:val="21"/>
        </w:rPr>
        <w:t>、</w:t>
      </w:r>
      <w:r w:rsidRPr="00721084">
        <w:rPr>
          <w:rFonts w:asciiTheme="minorEastAsia" w:eastAsiaTheme="minorEastAsia" w:hAnsiTheme="minorEastAsia"/>
          <w:sz w:val="21"/>
          <w:szCs w:val="21"/>
        </w:rPr>
        <w:t>定期信息和报告</w:t>
      </w:r>
    </w:p>
    <w:p w:rsidR="00785666" w:rsidRPr="00721084" w:rsidRDefault="00785666" w:rsidP="00CE3F81">
      <w:pPr>
        <w:pStyle w:val="af3"/>
        <w:snapToGrid w:val="0"/>
        <w:spacing w:line="360" w:lineRule="auto"/>
        <w:ind w:firstLineChars="200" w:firstLine="420"/>
        <w:rPr>
          <w:rFonts w:asciiTheme="minorEastAsia" w:eastAsiaTheme="minorEastAsia" w:hAnsiTheme="minorEastAsia"/>
          <w:sz w:val="21"/>
          <w:szCs w:val="21"/>
        </w:rPr>
      </w:pPr>
      <w:r w:rsidRPr="00721084">
        <w:rPr>
          <w:rFonts w:asciiTheme="minorEastAsia" w:eastAsiaTheme="minorEastAsia" w:hAnsiTheme="minorEastAsia"/>
          <w:sz w:val="21"/>
          <w:szCs w:val="21"/>
        </w:rPr>
        <w:t>（1）基金托管人应按照本协议及时向基金管理人提供与</w:t>
      </w:r>
      <w:r w:rsidRPr="00721084">
        <w:rPr>
          <w:rFonts w:asciiTheme="minorEastAsia" w:eastAsiaTheme="minorEastAsia" w:hAnsiTheme="minorEastAsia" w:cs="宋体"/>
          <w:sz w:val="21"/>
          <w:szCs w:val="21"/>
        </w:rPr>
        <w:t>基金财产</w:t>
      </w:r>
      <w:r w:rsidRPr="00721084">
        <w:rPr>
          <w:rFonts w:asciiTheme="minorEastAsia" w:eastAsiaTheme="minorEastAsia" w:hAnsiTheme="minorEastAsia"/>
          <w:sz w:val="21"/>
          <w:szCs w:val="21"/>
        </w:rPr>
        <w:t>托管业务相关的信息报告，包括但不限于定期报告的基金财产账户的相关评估报告、会计报表、估值报告、监管报告；</w:t>
      </w:r>
    </w:p>
    <w:p w:rsidR="00785666" w:rsidRPr="00721084" w:rsidRDefault="00785666" w:rsidP="00CE3F81">
      <w:pPr>
        <w:snapToGrid w:val="0"/>
        <w:spacing w:line="360" w:lineRule="auto"/>
        <w:ind w:firstLineChars="200" w:firstLine="420"/>
        <w:jc w:val="left"/>
        <w:rPr>
          <w:rFonts w:asciiTheme="minorEastAsia" w:eastAsiaTheme="minorEastAsia" w:hAnsiTheme="minorEastAsia"/>
          <w:szCs w:val="21"/>
        </w:rPr>
      </w:pPr>
      <w:r w:rsidRPr="00721084">
        <w:rPr>
          <w:rFonts w:asciiTheme="minorEastAsia" w:eastAsiaTheme="minorEastAsia" w:hAnsiTheme="minorEastAsia" w:hint="eastAsia"/>
          <w:szCs w:val="21"/>
        </w:rPr>
        <w:t>（2）</w:t>
      </w:r>
      <w:r w:rsidRPr="00721084">
        <w:rPr>
          <w:rFonts w:asciiTheme="minorEastAsia" w:eastAsiaTheme="minorEastAsia" w:hAnsiTheme="minorEastAsia"/>
          <w:szCs w:val="21"/>
        </w:rPr>
        <w:t>应基金管理人要求，基金托管人及境外托管人可以就有关法律规定和市场惯例等事项向咨询机构进行咨询，但应谨慎处理该等咨询事项并向基金管理人报告有关结果。</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bookmarkStart w:id="373" w:name="_Toc136455405"/>
      <w:bookmarkStart w:id="374" w:name="_Toc174616316"/>
      <w:r w:rsidRPr="00721084">
        <w:rPr>
          <w:rFonts w:asciiTheme="minorEastAsia" w:eastAsiaTheme="minorEastAsia" w:hAnsiTheme="minorEastAsia" w:hint="eastAsia"/>
          <w:b/>
          <w:szCs w:val="21"/>
        </w:rPr>
        <w:t>（八）基金会计制度</w:t>
      </w:r>
      <w:bookmarkEnd w:id="373"/>
      <w:bookmarkEnd w:id="374"/>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按国家有关部门规定的会计制度和准则执行。</w:t>
      </w:r>
    </w:p>
    <w:p w:rsidR="00785666" w:rsidRPr="00721084" w:rsidRDefault="00785666" w:rsidP="00CE3F81">
      <w:pPr>
        <w:snapToGrid w:val="0"/>
        <w:spacing w:line="360" w:lineRule="auto"/>
        <w:ind w:firstLineChars="200" w:firstLine="422"/>
        <w:rPr>
          <w:rFonts w:asciiTheme="minorEastAsia" w:eastAsiaTheme="minorEastAsia" w:hAnsiTheme="minorEastAsia"/>
          <w:b/>
          <w:szCs w:val="21"/>
        </w:rPr>
      </w:pPr>
      <w:r w:rsidRPr="00721084">
        <w:rPr>
          <w:rFonts w:asciiTheme="minorEastAsia" w:eastAsiaTheme="minorEastAsia" w:hAnsiTheme="minorEastAsia" w:hint="eastAsia"/>
          <w:b/>
          <w:szCs w:val="21"/>
        </w:rPr>
        <w:t>六、</w:t>
      </w:r>
      <w:r w:rsidRPr="00721084">
        <w:rPr>
          <w:rFonts w:asciiTheme="minorEastAsia" w:eastAsiaTheme="minorEastAsia" w:hAnsiTheme="minorEastAsia"/>
          <w:b/>
          <w:szCs w:val="21"/>
        </w:rPr>
        <w:t>基金份额持有人名册的登记与保管</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基金管理人和基金托管人须分别妥善保管的基金份额持有人名册，包括</w:t>
      </w:r>
      <w:r w:rsidRPr="00721084">
        <w:rPr>
          <w:rFonts w:asciiTheme="minorEastAsia" w:eastAsiaTheme="minorEastAsia" w:hAnsiTheme="minorEastAsia" w:cs="Arial" w:hint="eastAsia"/>
          <w:szCs w:val="21"/>
        </w:rPr>
        <w:t>《基金合同》生效日、《基金合同》终止日、基金份额持有人大会权利登记日、每年6月30日、12月31日的基金份额持有人名册。</w:t>
      </w:r>
      <w:r w:rsidRPr="00721084">
        <w:rPr>
          <w:rFonts w:asciiTheme="minorEastAsia" w:eastAsiaTheme="minorEastAsia" w:hAnsiTheme="minorEastAsia" w:hint="eastAsia"/>
          <w:szCs w:val="21"/>
        </w:rPr>
        <w:t>基金份额持有人名册的内容必须包括基金份额持有人的名称和持有的基金份额。</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hint="eastAsia"/>
          <w:szCs w:val="21"/>
        </w:rPr>
        <w:t>基金份额持有人名册由基金的</w:t>
      </w:r>
      <w:r w:rsidRPr="00721084">
        <w:rPr>
          <w:rFonts w:asciiTheme="minorEastAsia" w:eastAsiaTheme="minorEastAsia" w:hAnsiTheme="minorEastAsia" w:cs="Arial" w:hint="eastAsia"/>
          <w:szCs w:val="21"/>
        </w:rPr>
        <w:t>基金注册登记机构根据基金管理人的指令编制和保管</w:t>
      </w:r>
      <w:r w:rsidRPr="00721084">
        <w:rPr>
          <w:rFonts w:asciiTheme="minorEastAsia" w:eastAsiaTheme="minorEastAsia" w:hAnsiTheme="minorEastAsia" w:hint="eastAsia"/>
          <w:szCs w:val="21"/>
        </w:rPr>
        <w:t>，基金管理人和基金托管人应按照目前相关规则分别保管基金份额持有人名册。保管方式可以采用电子或文档的形式。保管期限为法律法规规定的期限。</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cs="Arial" w:hint="eastAsia"/>
          <w:szCs w:val="21"/>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w:t>
      </w:r>
      <w:r w:rsidRPr="00721084">
        <w:rPr>
          <w:rFonts w:asciiTheme="minorEastAsia" w:eastAsiaTheme="minorEastAsia" w:hAnsiTheme="minorEastAsia" w:cs="Arial" w:hint="eastAsia"/>
          <w:szCs w:val="21"/>
        </w:rPr>
        <w:lastRenderedPageBreak/>
        <w:t>提交；《基金合同》生效日、《基金合同》终止日等涉及到基金重要事项日期的基金份额持有人名册应于发生日后十个工作日内提交。</w:t>
      </w:r>
    </w:p>
    <w:p w:rsidR="00785666" w:rsidRPr="00721084" w:rsidRDefault="00785666" w:rsidP="00CE3F81">
      <w:pPr>
        <w:snapToGrid w:val="0"/>
        <w:spacing w:line="360" w:lineRule="auto"/>
        <w:ind w:firstLineChars="200" w:firstLine="420"/>
        <w:rPr>
          <w:rFonts w:asciiTheme="minorEastAsia" w:eastAsiaTheme="minorEastAsia" w:hAnsiTheme="minorEastAsia" w:cs="Arial"/>
          <w:szCs w:val="21"/>
        </w:rPr>
      </w:pPr>
      <w:r w:rsidRPr="00721084">
        <w:rPr>
          <w:rFonts w:asciiTheme="minorEastAsia" w:eastAsiaTheme="minorEastAsia" w:hAnsiTheme="minorEastAsia" w:cs="Arial" w:hint="eastAsia"/>
          <w:szCs w:val="21"/>
        </w:rPr>
        <w:t>基金托管人以电子版形式妥善保管基金份额持有人名册，并定期刻成光盘备份，</w:t>
      </w:r>
      <w:r w:rsidRPr="00721084">
        <w:rPr>
          <w:rFonts w:asciiTheme="minorEastAsia" w:eastAsiaTheme="minorEastAsia" w:hAnsiTheme="minorEastAsia" w:hint="eastAsia"/>
          <w:szCs w:val="21"/>
        </w:rPr>
        <w:t>保管期限为法律法规规定的期限</w:t>
      </w:r>
      <w:r w:rsidRPr="00721084">
        <w:rPr>
          <w:rFonts w:asciiTheme="minorEastAsia" w:eastAsiaTheme="minorEastAsia" w:hAnsiTheme="minorEastAsia" w:cs="Arial" w:hint="eastAsia"/>
          <w:szCs w:val="21"/>
        </w:rPr>
        <w:t>。基金托管人不得将所保管的基金份额持有人名册用于基金托管业务以外的其他用途，并应遵守保密义务。</w:t>
      </w:r>
    </w:p>
    <w:p w:rsidR="00785666" w:rsidRPr="00721084" w:rsidRDefault="00785666" w:rsidP="00CE3F81">
      <w:pPr>
        <w:pStyle w:val="af3"/>
        <w:snapToGrid w:val="0"/>
        <w:spacing w:line="360" w:lineRule="auto"/>
        <w:ind w:firstLineChars="200" w:firstLine="420"/>
        <w:rPr>
          <w:rFonts w:asciiTheme="minorEastAsia" w:eastAsiaTheme="minorEastAsia" w:hAnsiTheme="minorEastAsia"/>
          <w:b/>
          <w:szCs w:val="21"/>
        </w:rPr>
      </w:pPr>
      <w:r w:rsidRPr="00721084">
        <w:rPr>
          <w:rFonts w:asciiTheme="minorEastAsia" w:eastAsiaTheme="minorEastAsia" w:hAnsiTheme="minorEastAsia" w:cs="Arial"/>
          <w:sz w:val="21"/>
          <w:szCs w:val="21"/>
        </w:rPr>
        <w:t>若基金管理人或基金托管人由于自身原因无法妥善保管基金份额持有人名册，应按有关法规规定各自</w:t>
      </w:r>
      <w:r w:rsidRPr="00721084">
        <w:rPr>
          <w:rFonts w:asciiTheme="minorEastAsia" w:eastAsiaTheme="minorEastAsia" w:hAnsiTheme="minorEastAsia"/>
          <w:sz w:val="21"/>
          <w:szCs w:val="21"/>
        </w:rPr>
        <w:t>承担相应的责任。</w:t>
      </w:r>
      <w:r w:rsidRPr="00721084">
        <w:rPr>
          <w:rFonts w:asciiTheme="minorEastAsia" w:eastAsiaTheme="minorEastAsia" w:hAnsiTheme="minorEastAsia"/>
          <w:b/>
          <w:szCs w:val="21"/>
        </w:rPr>
        <w:br/>
        <w:t xml:space="preserve">　　</w:t>
      </w:r>
      <w:r w:rsidRPr="00721084">
        <w:rPr>
          <w:rFonts w:asciiTheme="minorEastAsia" w:eastAsiaTheme="minorEastAsia" w:hAnsiTheme="minorEastAsia" w:hint="eastAsia"/>
          <w:b/>
          <w:szCs w:val="21"/>
        </w:rPr>
        <w:t>七、</w:t>
      </w:r>
      <w:r w:rsidRPr="00721084">
        <w:rPr>
          <w:rFonts w:asciiTheme="minorEastAsia" w:eastAsiaTheme="minorEastAsia" w:hAnsiTheme="minorEastAsia"/>
          <w:b/>
          <w:szCs w:val="21"/>
        </w:rPr>
        <w:t>争议解决方式</w:t>
      </w:r>
    </w:p>
    <w:p w:rsidR="00785666" w:rsidRPr="00721084" w:rsidRDefault="00785666" w:rsidP="00CE3F81">
      <w:pPr>
        <w:autoSpaceDE w:val="0"/>
        <w:autoSpaceDN w:val="0"/>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(一)</w:t>
      </w:r>
      <w:r w:rsidRPr="00721084">
        <w:rPr>
          <w:rFonts w:asciiTheme="minorEastAsia" w:eastAsiaTheme="minorEastAsia" w:hAnsiTheme="minorEastAsia" w:hint="eastAsia"/>
          <w:kern w:val="0"/>
          <w:szCs w:val="21"/>
        </w:rPr>
        <w:t>本托管协议适用中华人民共和国法律并依照其解释</w:t>
      </w:r>
      <w:r w:rsidRPr="00721084">
        <w:rPr>
          <w:rFonts w:asciiTheme="minorEastAsia" w:eastAsiaTheme="minorEastAsia" w:hAnsiTheme="minorEastAsia" w:hint="eastAsia"/>
          <w:szCs w:val="21"/>
        </w:rPr>
        <w:t>。相关各方当事人同意，因本协议而产生的或与本协议有关的一切争议，除经友好协商可以解决的，</w:t>
      </w:r>
      <w:r w:rsidRPr="00721084">
        <w:rPr>
          <w:rFonts w:asciiTheme="minorEastAsia" w:eastAsiaTheme="minorEastAsia" w:hAnsiTheme="minorEastAsia"/>
          <w:szCs w:val="21"/>
        </w:rPr>
        <w:t>均应提交中国国际经济贸易仲裁委员会</w:t>
      </w:r>
      <w:r w:rsidRPr="00721084">
        <w:rPr>
          <w:rFonts w:asciiTheme="minorEastAsia" w:eastAsiaTheme="minorEastAsia" w:hAnsiTheme="minorEastAsia" w:hint="eastAsia"/>
          <w:szCs w:val="21"/>
        </w:rPr>
        <w:t>在北京仲裁</w:t>
      </w:r>
      <w:r w:rsidRPr="00721084">
        <w:rPr>
          <w:rFonts w:asciiTheme="minorEastAsia" w:eastAsiaTheme="minorEastAsia" w:hAnsiTheme="minorEastAsia"/>
          <w:szCs w:val="21"/>
        </w:rPr>
        <w:t>，按照申请仲裁时该会现行有效的仲裁规则进行仲裁。仲裁裁决是终局的，对双方均有约束力。</w:t>
      </w:r>
    </w:p>
    <w:p w:rsidR="00785666" w:rsidRPr="00721084" w:rsidRDefault="00785666" w:rsidP="00CE3F81">
      <w:pPr>
        <w:autoSpaceDE w:val="0"/>
        <w:autoSpaceDN w:val="0"/>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(二)当任何争议发生或任何争议正在进行仲裁时，除争议事项外，双方仍有权行使本协议项下的其它权利并应履行本协议项下的其它义务。</w:t>
      </w:r>
      <w:r w:rsidRPr="00721084">
        <w:rPr>
          <w:rFonts w:asciiTheme="minorEastAsia" w:eastAsiaTheme="minorEastAsia" w:hAnsiTheme="minorEastAsia"/>
          <w:b/>
          <w:szCs w:val="21"/>
        </w:rPr>
        <w:br/>
        <w:t xml:space="preserve">　　</w:t>
      </w:r>
      <w:r w:rsidRPr="00721084">
        <w:rPr>
          <w:rFonts w:asciiTheme="minorEastAsia" w:eastAsiaTheme="minorEastAsia" w:hAnsiTheme="minorEastAsia" w:hint="eastAsia"/>
          <w:b/>
          <w:szCs w:val="21"/>
        </w:rPr>
        <w:t>八、</w:t>
      </w:r>
      <w:r w:rsidRPr="00721084">
        <w:rPr>
          <w:rFonts w:asciiTheme="minorEastAsia" w:eastAsiaTheme="minorEastAsia" w:hAnsiTheme="minorEastAsia"/>
          <w:b/>
          <w:szCs w:val="21"/>
        </w:rPr>
        <w:t>托管协议的修改与终止</w:t>
      </w:r>
      <w:r w:rsidRPr="00721084">
        <w:rPr>
          <w:rFonts w:asciiTheme="minorEastAsia" w:eastAsiaTheme="minorEastAsia" w:hAnsiTheme="minorEastAsia"/>
          <w:b/>
          <w:szCs w:val="21"/>
        </w:rPr>
        <w:br/>
      </w:r>
      <w:r w:rsidRPr="00721084">
        <w:rPr>
          <w:rFonts w:asciiTheme="minorEastAsia" w:eastAsiaTheme="minorEastAsia" w:hAnsiTheme="minorEastAsia" w:hint="eastAsia"/>
          <w:szCs w:val="21"/>
        </w:rPr>
        <w:t>（一）托管协议的变更</w:t>
      </w:r>
    </w:p>
    <w:p w:rsidR="00785666" w:rsidRPr="00721084" w:rsidRDefault="00785666" w:rsidP="00CE3F81">
      <w:pPr>
        <w:pStyle w:val="af0"/>
        <w:snapToGrid w:val="0"/>
        <w:spacing w:line="360" w:lineRule="auto"/>
        <w:ind w:firstLineChars="200"/>
        <w:rPr>
          <w:rStyle w:val="HTML0"/>
          <w:rFonts w:asciiTheme="minorEastAsia" w:eastAsiaTheme="minorEastAsia" w:hAnsiTheme="minorEastAsia"/>
          <w:sz w:val="21"/>
          <w:szCs w:val="21"/>
        </w:rPr>
      </w:pPr>
      <w:r w:rsidRPr="00721084">
        <w:rPr>
          <w:rFonts w:asciiTheme="minorEastAsia" w:eastAsiaTheme="minorEastAsia" w:hAnsiTheme="minorEastAsia" w:hint="eastAsia"/>
          <w:szCs w:val="21"/>
        </w:rPr>
        <w:t>本协议双方当事人经协商一致，可以书面形式对本协议进行修改。修改后的新协议，其内容不得与《基金合同》的规定有任何冲突。《托管协议》的修改和变更应报送中国证监会核准。</w:t>
      </w:r>
    </w:p>
    <w:p w:rsidR="00785666" w:rsidRPr="00721084" w:rsidRDefault="00785666" w:rsidP="007F6D3E">
      <w:pPr>
        <w:pStyle w:val="ab"/>
        <w:snapToGrid w:val="0"/>
        <w:spacing w:after="0" w:line="360" w:lineRule="auto"/>
        <w:ind w:firstLineChars="200" w:firstLine="420"/>
        <w:rPr>
          <w:rFonts w:asciiTheme="minorEastAsia" w:eastAsiaTheme="minorEastAsia" w:hAnsiTheme="minorEastAsia"/>
          <w:szCs w:val="21"/>
        </w:rPr>
      </w:pPr>
      <w:bookmarkStart w:id="375" w:name="_Toc174616344"/>
      <w:r w:rsidRPr="00721084">
        <w:rPr>
          <w:rFonts w:asciiTheme="minorEastAsia" w:eastAsiaTheme="minorEastAsia" w:hAnsiTheme="minorEastAsia" w:hint="eastAsia"/>
          <w:szCs w:val="21"/>
        </w:rPr>
        <w:t>（二）托管协议的终止</w:t>
      </w:r>
      <w:bookmarkEnd w:id="375"/>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发生以下任一情况，本协议终止：</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1</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《基金合同》终止；</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2</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基金管理人或基金托管人职责终止；</w:t>
      </w:r>
    </w:p>
    <w:p w:rsidR="00785666" w:rsidRPr="00721084" w:rsidRDefault="00785666"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3</w:t>
      </w:r>
      <w:r w:rsidR="007F6D3E" w:rsidRPr="00721084">
        <w:rPr>
          <w:rFonts w:asciiTheme="minorEastAsia" w:eastAsiaTheme="minorEastAsia" w:hAnsiTheme="minorEastAsia" w:hint="eastAsia"/>
          <w:szCs w:val="21"/>
        </w:rPr>
        <w:t>、</w:t>
      </w:r>
      <w:r w:rsidRPr="00721084">
        <w:rPr>
          <w:rFonts w:asciiTheme="minorEastAsia" w:eastAsiaTheme="minorEastAsia" w:hAnsiTheme="minorEastAsia" w:hint="eastAsia"/>
          <w:szCs w:val="21"/>
        </w:rPr>
        <w:t>中国证监会</w:t>
      </w:r>
      <w:r w:rsidRPr="00721084">
        <w:rPr>
          <w:rFonts w:asciiTheme="minorEastAsia" w:eastAsiaTheme="minorEastAsia" w:hAnsiTheme="minorEastAsia"/>
          <w:szCs w:val="21"/>
        </w:rPr>
        <w:t>规定的</w:t>
      </w:r>
      <w:r w:rsidRPr="00721084">
        <w:rPr>
          <w:rFonts w:asciiTheme="minorEastAsia" w:eastAsiaTheme="minorEastAsia" w:hAnsiTheme="minorEastAsia" w:hint="eastAsia"/>
          <w:szCs w:val="21"/>
        </w:rPr>
        <w:t>其他</w:t>
      </w:r>
      <w:r w:rsidRPr="00721084">
        <w:rPr>
          <w:rFonts w:asciiTheme="minorEastAsia" w:eastAsiaTheme="minorEastAsia" w:hAnsiTheme="minorEastAsia"/>
          <w:szCs w:val="21"/>
        </w:rPr>
        <w:t>终止</w:t>
      </w:r>
      <w:r w:rsidRPr="00721084">
        <w:rPr>
          <w:rFonts w:asciiTheme="minorEastAsia" w:eastAsiaTheme="minorEastAsia" w:hAnsiTheme="minorEastAsia" w:hint="eastAsia"/>
          <w:szCs w:val="21"/>
        </w:rPr>
        <w:t>情形。</w:t>
      </w:r>
    </w:p>
    <w:p w:rsidR="00BD4C5B" w:rsidRPr="00721084" w:rsidRDefault="00BD4C5B" w:rsidP="00CE3F81">
      <w:pPr>
        <w:snapToGrid w:val="0"/>
        <w:spacing w:line="360" w:lineRule="auto"/>
        <w:ind w:firstLineChars="200" w:firstLine="420"/>
        <w:rPr>
          <w:rFonts w:asciiTheme="minorEastAsia" w:eastAsiaTheme="minorEastAsia" w:hAnsiTheme="minorEastAsia"/>
          <w:szCs w:val="21"/>
        </w:rPr>
        <w:sectPr w:rsidR="00BD4C5B" w:rsidRPr="00721084" w:rsidSect="00684E94">
          <w:pgSz w:w="11906" w:h="16838" w:code="9"/>
          <w:pgMar w:top="1440" w:right="1800" w:bottom="1440" w:left="1800" w:header="851" w:footer="992" w:gutter="0"/>
          <w:cols w:space="425"/>
          <w:docGrid w:type="lines" w:linePitch="312"/>
        </w:sectPr>
      </w:pPr>
    </w:p>
    <w:p w:rsidR="00733014" w:rsidRPr="00721084" w:rsidRDefault="0073301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76" w:name="_Toc44351153"/>
      <w:bookmarkStart w:id="377" w:name="_Toc38186634"/>
      <w:r w:rsidRPr="00721084">
        <w:rPr>
          <w:rFonts w:asciiTheme="minorEastAsia" w:eastAsiaTheme="minorEastAsia" w:hAnsiTheme="minorEastAsia" w:hint="eastAsia"/>
        </w:rPr>
        <w:lastRenderedPageBreak/>
        <w:t>对基金份额持有人的服务</w:t>
      </w:r>
      <w:bookmarkEnd w:id="376"/>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（一）基金份额持有人投资交易确认服务</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基金注册登记机构保留基金份额持有人名册上列明的所有基金份额持有人的基金交易记录。</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基金管理人直销</w:t>
      </w:r>
      <w:r w:rsidR="00B866FF" w:rsidRPr="00721084">
        <w:rPr>
          <w:rFonts w:asciiTheme="minorEastAsia" w:eastAsiaTheme="minorEastAsia" w:hAnsiTheme="minorEastAsia" w:hint="eastAsia"/>
        </w:rPr>
        <w:t>网点</w:t>
      </w:r>
      <w:r w:rsidRPr="00721084">
        <w:rPr>
          <w:rFonts w:asciiTheme="minorEastAsia" w:eastAsiaTheme="minorEastAsia" w:hAnsiTheme="minorEastAsia" w:hint="eastAsia"/>
        </w:rPr>
        <w:t>应根据在基金管理人直销</w:t>
      </w:r>
      <w:r w:rsidR="00B866FF" w:rsidRPr="00721084">
        <w:rPr>
          <w:rFonts w:asciiTheme="minorEastAsia" w:eastAsiaTheme="minorEastAsia" w:hAnsiTheme="minorEastAsia" w:hint="eastAsia"/>
        </w:rPr>
        <w:t>网点</w:t>
      </w:r>
      <w:r w:rsidRPr="00721084">
        <w:rPr>
          <w:rFonts w:asciiTheme="minorEastAsia" w:eastAsiaTheme="minorEastAsia" w:hAnsiTheme="minorEastAsia" w:hint="eastAsia"/>
        </w:rPr>
        <w:t>进行交易的投资者的要求提</w:t>
      </w:r>
      <w:r w:rsidR="00B866FF" w:rsidRPr="00721084">
        <w:rPr>
          <w:rFonts w:asciiTheme="minorEastAsia" w:eastAsiaTheme="minorEastAsia" w:hAnsiTheme="minorEastAsia" w:hint="eastAsia"/>
        </w:rPr>
        <w:t>供</w:t>
      </w:r>
      <w:r w:rsidRPr="00721084">
        <w:rPr>
          <w:rFonts w:asciiTheme="minorEastAsia" w:eastAsiaTheme="minorEastAsia" w:hAnsiTheme="minorEastAsia" w:hint="eastAsia"/>
        </w:rPr>
        <w:t>成交确认单。基金</w:t>
      </w:r>
      <w:r w:rsidR="000D6E0C" w:rsidRPr="00721084">
        <w:rPr>
          <w:rFonts w:asciiTheme="minorEastAsia" w:eastAsiaTheme="minorEastAsia" w:hAnsiTheme="minorEastAsia" w:hint="eastAsia"/>
        </w:rPr>
        <w:t>非直销销售</w:t>
      </w:r>
      <w:r w:rsidRPr="00721084">
        <w:rPr>
          <w:rFonts w:asciiTheme="minorEastAsia" w:eastAsiaTheme="minorEastAsia" w:hAnsiTheme="minorEastAsia" w:hint="eastAsia"/>
        </w:rPr>
        <w:t>机构应根据在</w:t>
      </w:r>
      <w:r w:rsidR="000D6E0C" w:rsidRPr="00721084">
        <w:rPr>
          <w:rFonts w:asciiTheme="minorEastAsia" w:eastAsiaTheme="minorEastAsia" w:hAnsiTheme="minorEastAsia" w:hint="eastAsia"/>
        </w:rPr>
        <w:t>销售</w:t>
      </w:r>
      <w:r w:rsidRPr="00721084">
        <w:rPr>
          <w:rFonts w:asciiTheme="minorEastAsia" w:eastAsiaTheme="minorEastAsia" w:hAnsiTheme="minorEastAsia" w:hint="eastAsia"/>
        </w:rPr>
        <w:t>网点进行交易的投资者的要求提</w:t>
      </w:r>
      <w:r w:rsidR="00B866FF" w:rsidRPr="00721084">
        <w:rPr>
          <w:rFonts w:asciiTheme="minorEastAsia" w:eastAsiaTheme="minorEastAsia" w:hAnsiTheme="minorEastAsia" w:hint="eastAsia"/>
        </w:rPr>
        <w:t>供</w:t>
      </w:r>
      <w:r w:rsidRPr="00721084">
        <w:rPr>
          <w:rFonts w:asciiTheme="minorEastAsia" w:eastAsiaTheme="minorEastAsia" w:hAnsiTheme="minorEastAsia" w:hint="eastAsia"/>
        </w:rPr>
        <w:t>成交确认单。</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（二）基金份额持有人交易记录查询服务</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本基金份额持有人可通过基金管理人的客户服务中心查询历史交易记录。</w:t>
      </w:r>
    </w:p>
    <w:p w:rsidR="00D105CC" w:rsidRPr="00721084" w:rsidRDefault="000C5E26"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（三）</w:t>
      </w:r>
      <w:r w:rsidR="006602F4" w:rsidRPr="00721084">
        <w:rPr>
          <w:rFonts w:asciiTheme="minorEastAsia" w:eastAsiaTheme="minorEastAsia" w:hAnsiTheme="minorEastAsia" w:hint="eastAsia"/>
        </w:rPr>
        <w:t>基金份额持有人</w:t>
      </w:r>
      <w:r w:rsidR="00D105CC" w:rsidRPr="00721084">
        <w:rPr>
          <w:rFonts w:asciiTheme="minorEastAsia" w:eastAsiaTheme="minorEastAsia" w:hAnsiTheme="minorEastAsia" w:hint="eastAsia"/>
        </w:rPr>
        <w:t>的对账单服务</w:t>
      </w:r>
    </w:p>
    <w:p w:rsidR="00D105CC" w:rsidRPr="00721084" w:rsidRDefault="00D105CC"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rPr>
        <w:t>1</w:t>
      </w:r>
      <w:r w:rsidR="007F6D3E" w:rsidRPr="00721084">
        <w:rPr>
          <w:rFonts w:asciiTheme="minorEastAsia" w:eastAsiaTheme="minorEastAsia" w:hAnsiTheme="minorEastAsia" w:hint="eastAsia"/>
        </w:rPr>
        <w:t>、</w:t>
      </w:r>
      <w:r w:rsidRPr="00721084">
        <w:rPr>
          <w:rFonts w:asciiTheme="minorEastAsia" w:eastAsiaTheme="minorEastAsia" w:hAnsiTheme="minorEastAsia" w:hint="eastAsia"/>
        </w:rPr>
        <w:t>基金份额持有人可登录本公司网站（</w:t>
      </w:r>
      <w:r w:rsidRPr="00721084">
        <w:rPr>
          <w:rFonts w:asciiTheme="minorEastAsia" w:eastAsiaTheme="minorEastAsia" w:hAnsiTheme="minorEastAsia"/>
        </w:rPr>
        <w:t>http://www.efunds.com.cn</w:t>
      </w:r>
      <w:r w:rsidRPr="00721084">
        <w:rPr>
          <w:rFonts w:asciiTheme="minorEastAsia" w:eastAsiaTheme="minorEastAsia" w:hAnsiTheme="minorEastAsia" w:hint="eastAsia"/>
        </w:rPr>
        <w:t>）查阅对账单。</w:t>
      </w:r>
    </w:p>
    <w:p w:rsidR="00D105CC" w:rsidRPr="00721084" w:rsidRDefault="00D105CC"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rPr>
        <w:t>2</w:t>
      </w:r>
      <w:r w:rsidR="007F6D3E" w:rsidRPr="00721084">
        <w:rPr>
          <w:rFonts w:asciiTheme="minorEastAsia" w:eastAsiaTheme="minorEastAsia" w:hAnsiTheme="minorEastAsia" w:hint="eastAsia"/>
        </w:rPr>
        <w:t>、</w:t>
      </w:r>
      <w:r w:rsidRPr="00721084">
        <w:rPr>
          <w:rFonts w:asciiTheme="minorEastAsia" w:eastAsiaTheme="minorEastAsia" w:hAnsiTheme="minorEastAsia" w:hint="eastAsia"/>
        </w:rPr>
        <w:t>基金份额持有人也可向本公司定制电子对账单。</w:t>
      </w:r>
    </w:p>
    <w:p w:rsidR="006602F4" w:rsidRPr="00721084" w:rsidRDefault="006602F4"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具体查阅和定制账单的方法可参见本公司网站或拨打客服热线咨询。</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w:t>
      </w:r>
      <w:r w:rsidR="00B7261D" w:rsidRPr="00721084">
        <w:rPr>
          <w:rFonts w:asciiTheme="minorEastAsia" w:eastAsiaTheme="minorEastAsia" w:hAnsiTheme="minorEastAsia" w:hint="eastAsia"/>
        </w:rPr>
        <w:t>四</w:t>
      </w:r>
      <w:r w:rsidRPr="00721084">
        <w:rPr>
          <w:rFonts w:asciiTheme="minorEastAsia" w:eastAsiaTheme="minorEastAsia" w:hAnsiTheme="minorEastAsia" w:hint="eastAsia"/>
        </w:rPr>
        <w:t>）定期定额投资计划</w:t>
      </w:r>
    </w:p>
    <w:p w:rsidR="00703679" w:rsidRPr="00721084" w:rsidRDefault="00703679"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基金管理人可利用</w:t>
      </w:r>
      <w:r w:rsidR="000D6E0C" w:rsidRPr="00721084">
        <w:rPr>
          <w:rFonts w:asciiTheme="minorEastAsia" w:eastAsiaTheme="minorEastAsia" w:hAnsiTheme="minorEastAsia" w:hint="eastAsia"/>
        </w:rPr>
        <w:t>非直销销售</w:t>
      </w:r>
      <w:r w:rsidRPr="00721084">
        <w:rPr>
          <w:rFonts w:asciiTheme="minorEastAsia" w:eastAsiaTheme="minorEastAsia" w:hAnsiTheme="minorEastAsia" w:hint="eastAsia"/>
        </w:rPr>
        <w:t>机构网点和本公司网上交易系统为投资者提供定期定额投资的</w:t>
      </w:r>
      <w:r w:rsidRPr="00721084">
        <w:rPr>
          <w:rFonts w:asciiTheme="minorEastAsia" w:eastAsiaTheme="minorEastAsia" w:hAnsiTheme="minorEastAsia" w:hint="eastAsia"/>
          <w:szCs w:val="21"/>
        </w:rPr>
        <w:t>服务（本公司网上交易系统的定期定额投资服务目前仅对个人投资者开通）。通过定期定额投资计划，投资者可以通过固定的渠道，定期定额申购基金份额，具体实施方法见相关公告。</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w:t>
      </w:r>
      <w:r w:rsidR="00B7261D" w:rsidRPr="00721084">
        <w:rPr>
          <w:rFonts w:asciiTheme="minorEastAsia" w:eastAsiaTheme="minorEastAsia" w:hAnsiTheme="minorEastAsia" w:hint="eastAsia"/>
        </w:rPr>
        <w:t>五</w:t>
      </w:r>
      <w:r w:rsidRPr="00721084">
        <w:rPr>
          <w:rFonts w:asciiTheme="minorEastAsia" w:eastAsiaTheme="minorEastAsia" w:hAnsiTheme="minorEastAsia" w:hint="eastAsia"/>
        </w:rPr>
        <w:t>）资讯服务</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1</w:t>
      </w:r>
      <w:r w:rsidR="007F6D3E" w:rsidRPr="00721084">
        <w:rPr>
          <w:rFonts w:asciiTheme="minorEastAsia" w:eastAsiaTheme="minorEastAsia" w:hAnsiTheme="minorEastAsia" w:hint="eastAsia"/>
        </w:rPr>
        <w:t>、</w:t>
      </w:r>
      <w:r w:rsidRPr="00721084">
        <w:rPr>
          <w:rFonts w:asciiTheme="minorEastAsia" w:eastAsiaTheme="minorEastAsia" w:hAnsiTheme="minorEastAsia" w:hint="eastAsia"/>
        </w:rPr>
        <w:t>客户服务电话</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投资者如果想了解申购与赎回的交易情况、</w:t>
      </w:r>
      <w:r w:rsidR="000D6E0C" w:rsidRPr="00721084">
        <w:rPr>
          <w:rFonts w:asciiTheme="minorEastAsia" w:eastAsiaTheme="minorEastAsia" w:hAnsiTheme="minorEastAsia" w:hint="eastAsia"/>
        </w:rPr>
        <w:t>基金账户余额</w:t>
      </w:r>
      <w:r w:rsidRPr="00721084">
        <w:rPr>
          <w:rFonts w:asciiTheme="minorEastAsia" w:eastAsiaTheme="minorEastAsia" w:hAnsiTheme="minorEastAsia" w:hint="eastAsia"/>
        </w:rPr>
        <w:t>、基金产品与服务等信息</w:t>
      </w:r>
      <w:r w:rsidR="00EF2990" w:rsidRPr="00721084">
        <w:rPr>
          <w:rFonts w:asciiTheme="minorEastAsia" w:eastAsiaTheme="minorEastAsia" w:hAnsiTheme="minorEastAsia" w:hint="eastAsia"/>
          <w:kern w:val="0"/>
          <w:szCs w:val="21"/>
        </w:rPr>
        <w:t>，</w:t>
      </w:r>
      <w:r w:rsidR="00EF2990" w:rsidRPr="00721084">
        <w:rPr>
          <w:rFonts w:asciiTheme="minorEastAsia" w:eastAsiaTheme="minorEastAsia" w:hAnsiTheme="minorEastAsia" w:hint="eastAsia"/>
          <w:kern w:val="0"/>
        </w:rPr>
        <w:t>或反馈投资过程中需要投诉与建议的情况</w:t>
      </w:r>
      <w:r w:rsidRPr="00721084">
        <w:rPr>
          <w:rFonts w:asciiTheme="minorEastAsia" w:eastAsiaTheme="minorEastAsia" w:hAnsiTheme="minorEastAsia" w:hint="eastAsia"/>
        </w:rPr>
        <w:t>，可拨打如下电话：4008818088</w:t>
      </w:r>
      <w:r w:rsidRPr="00721084">
        <w:rPr>
          <w:rFonts w:asciiTheme="minorEastAsia" w:eastAsiaTheme="minorEastAsia" w:hAnsiTheme="minorEastAsia"/>
        </w:rPr>
        <w:t>（免长途话费）</w:t>
      </w:r>
      <w:r w:rsidRPr="00721084">
        <w:rPr>
          <w:rFonts w:asciiTheme="minorEastAsia" w:eastAsiaTheme="minorEastAsia" w:hAnsiTheme="minorEastAsia" w:hint="eastAsia"/>
        </w:rPr>
        <w:t>。</w:t>
      </w:r>
      <w:r w:rsidR="003803BE" w:rsidRPr="00721084">
        <w:rPr>
          <w:rFonts w:asciiTheme="minorEastAsia" w:eastAsiaTheme="minorEastAsia" w:hAnsiTheme="minorEastAsia" w:hint="eastAsia"/>
        </w:rPr>
        <w:t>投资者如果认为自己不能准确理解本基金《招募说明书》、《基金合同》的具体内容，也可拨打上述电话详询。</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2</w:t>
      </w:r>
      <w:r w:rsidR="007F6D3E" w:rsidRPr="00721084">
        <w:rPr>
          <w:rFonts w:asciiTheme="minorEastAsia" w:eastAsiaTheme="minorEastAsia" w:hAnsiTheme="minorEastAsia" w:hint="eastAsia"/>
        </w:rPr>
        <w:t>、</w:t>
      </w:r>
      <w:r w:rsidRPr="00721084">
        <w:rPr>
          <w:rFonts w:asciiTheme="minorEastAsia" w:eastAsiaTheme="minorEastAsia" w:hAnsiTheme="minorEastAsia" w:hint="eastAsia"/>
        </w:rPr>
        <w:t>互联网站及电子信箱</w:t>
      </w:r>
    </w:p>
    <w:p w:rsidR="004647A8"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网址：</w:t>
      </w:r>
      <w:hyperlink r:id="rId18" w:history="1">
        <w:r w:rsidRPr="00721084">
          <w:rPr>
            <w:rFonts w:asciiTheme="minorEastAsia" w:eastAsiaTheme="minorEastAsia" w:hAnsiTheme="minorEastAsia" w:hint="eastAsia"/>
          </w:rPr>
          <w:t>http://www.efunds.com.cn</w:t>
        </w:r>
      </w:hyperlink>
    </w:p>
    <w:p w:rsidR="0064594E" w:rsidRPr="00721084" w:rsidRDefault="004647A8"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电子信箱：</w:t>
      </w:r>
      <w:hyperlink r:id="rId19" w:history="1">
        <w:r w:rsidRPr="00721084">
          <w:rPr>
            <w:rFonts w:asciiTheme="minorEastAsia" w:eastAsiaTheme="minorEastAsia" w:hAnsiTheme="minorEastAsia" w:hint="eastAsia"/>
          </w:rPr>
          <w:t>service@efunds.com.cn</w:t>
        </w:r>
      </w:hyperlink>
    </w:p>
    <w:p w:rsidR="00BD4C5B" w:rsidRPr="00721084" w:rsidRDefault="00BD4C5B" w:rsidP="00CE3F81">
      <w:pPr>
        <w:pStyle w:val="ac"/>
        <w:autoSpaceDE w:val="0"/>
        <w:autoSpaceDN w:val="0"/>
        <w:snapToGrid w:val="0"/>
        <w:spacing w:after="0" w:line="360" w:lineRule="auto"/>
        <w:ind w:firstLineChars="200"/>
        <w:rPr>
          <w:rFonts w:asciiTheme="minorEastAsia" w:eastAsiaTheme="minorEastAsia" w:hAnsiTheme="minorEastAsia"/>
        </w:rPr>
        <w:sectPr w:rsidR="00BD4C5B" w:rsidRPr="00721084" w:rsidSect="00684E94">
          <w:pgSz w:w="11906" w:h="16838" w:code="9"/>
          <w:pgMar w:top="1440" w:right="1800" w:bottom="1440" w:left="1800" w:header="851" w:footer="992" w:gutter="0"/>
          <w:cols w:space="425"/>
          <w:docGrid w:type="lines" w:linePitch="312"/>
        </w:sectPr>
      </w:pPr>
    </w:p>
    <w:p w:rsidR="00FD1D54" w:rsidRPr="00721084" w:rsidRDefault="00FD1D5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78" w:name="_Toc38438275"/>
      <w:bookmarkStart w:id="379" w:name="_Toc38438612"/>
      <w:bookmarkStart w:id="380" w:name="_Toc38438949"/>
      <w:bookmarkStart w:id="381" w:name="_Toc38439286"/>
      <w:bookmarkStart w:id="382" w:name="_Toc38439623"/>
      <w:bookmarkStart w:id="383" w:name="_Toc38439960"/>
      <w:bookmarkStart w:id="384" w:name="_Toc38440297"/>
      <w:bookmarkStart w:id="385" w:name="_Toc38440630"/>
      <w:bookmarkStart w:id="386" w:name="_Toc38440829"/>
      <w:bookmarkStart w:id="387" w:name="_Toc38441161"/>
      <w:bookmarkStart w:id="388" w:name="_Toc38441493"/>
      <w:bookmarkStart w:id="389" w:name="_Toc38441821"/>
      <w:bookmarkStart w:id="390" w:name="_Toc38442153"/>
      <w:bookmarkStart w:id="391" w:name="_Toc38442485"/>
      <w:bookmarkStart w:id="392" w:name="_Toc38442816"/>
      <w:bookmarkStart w:id="393" w:name="_Toc38443147"/>
      <w:bookmarkStart w:id="394" w:name="_Toc38443478"/>
      <w:bookmarkStart w:id="395" w:name="_Toc38443809"/>
      <w:bookmarkStart w:id="396" w:name="_Toc38438277"/>
      <w:bookmarkStart w:id="397" w:name="_Toc38438614"/>
      <w:bookmarkStart w:id="398" w:name="_Toc38438951"/>
      <w:bookmarkStart w:id="399" w:name="_Toc38439288"/>
      <w:bookmarkStart w:id="400" w:name="_Toc38439625"/>
      <w:bookmarkStart w:id="401" w:name="_Toc38439962"/>
      <w:bookmarkStart w:id="402" w:name="_Toc38440299"/>
      <w:bookmarkStart w:id="403" w:name="_Toc38440632"/>
      <w:bookmarkStart w:id="404" w:name="_Toc38440831"/>
      <w:bookmarkStart w:id="405" w:name="_Toc38441163"/>
      <w:bookmarkStart w:id="406" w:name="_Toc38441495"/>
      <w:bookmarkStart w:id="407" w:name="_Toc38441823"/>
      <w:bookmarkStart w:id="408" w:name="_Toc38442155"/>
      <w:bookmarkStart w:id="409" w:name="_Toc38442487"/>
      <w:bookmarkStart w:id="410" w:name="_Toc38442818"/>
      <w:bookmarkStart w:id="411" w:name="_Toc38443149"/>
      <w:bookmarkStart w:id="412" w:name="_Toc38443480"/>
      <w:bookmarkStart w:id="413" w:name="_Toc38443811"/>
      <w:bookmarkStart w:id="414" w:name="_Toc38438278"/>
      <w:bookmarkStart w:id="415" w:name="_Toc38438615"/>
      <w:bookmarkStart w:id="416" w:name="_Toc38438952"/>
      <w:bookmarkStart w:id="417" w:name="_Toc38439289"/>
      <w:bookmarkStart w:id="418" w:name="_Toc38439626"/>
      <w:bookmarkStart w:id="419" w:name="_Toc38439963"/>
      <w:bookmarkStart w:id="420" w:name="_Toc38440300"/>
      <w:bookmarkStart w:id="421" w:name="_Toc38440633"/>
      <w:bookmarkStart w:id="422" w:name="_Toc38440832"/>
      <w:bookmarkStart w:id="423" w:name="_Toc38441164"/>
      <w:bookmarkStart w:id="424" w:name="_Toc38441496"/>
      <w:bookmarkStart w:id="425" w:name="_Toc38441824"/>
      <w:bookmarkStart w:id="426" w:name="_Toc38442156"/>
      <w:bookmarkStart w:id="427" w:name="_Toc38442488"/>
      <w:bookmarkStart w:id="428" w:name="_Toc38442819"/>
      <w:bookmarkStart w:id="429" w:name="_Toc38443150"/>
      <w:bookmarkStart w:id="430" w:name="_Toc38443481"/>
      <w:bookmarkStart w:id="431" w:name="_Toc38443812"/>
      <w:bookmarkStart w:id="432" w:name="_Toc38438279"/>
      <w:bookmarkStart w:id="433" w:name="_Toc38438616"/>
      <w:bookmarkStart w:id="434" w:name="_Toc38438953"/>
      <w:bookmarkStart w:id="435" w:name="_Toc38439290"/>
      <w:bookmarkStart w:id="436" w:name="_Toc38439627"/>
      <w:bookmarkStart w:id="437" w:name="_Toc38439964"/>
      <w:bookmarkStart w:id="438" w:name="_Toc38440301"/>
      <w:bookmarkStart w:id="439" w:name="_Toc38440634"/>
      <w:bookmarkStart w:id="440" w:name="_Toc38440833"/>
      <w:bookmarkStart w:id="441" w:name="_Toc38441165"/>
      <w:bookmarkStart w:id="442" w:name="_Toc38441497"/>
      <w:bookmarkStart w:id="443" w:name="_Toc38441825"/>
      <w:bookmarkStart w:id="444" w:name="_Toc38442157"/>
      <w:bookmarkStart w:id="445" w:name="_Toc38442489"/>
      <w:bookmarkStart w:id="446" w:name="_Toc38442820"/>
      <w:bookmarkStart w:id="447" w:name="_Toc38443151"/>
      <w:bookmarkStart w:id="448" w:name="_Toc38443482"/>
      <w:bookmarkStart w:id="449" w:name="_Toc38443813"/>
      <w:bookmarkStart w:id="450" w:name="_Toc38438280"/>
      <w:bookmarkStart w:id="451" w:name="_Toc38438617"/>
      <w:bookmarkStart w:id="452" w:name="_Toc38438954"/>
      <w:bookmarkStart w:id="453" w:name="_Toc38439291"/>
      <w:bookmarkStart w:id="454" w:name="_Toc38439628"/>
      <w:bookmarkStart w:id="455" w:name="_Toc38439965"/>
      <w:bookmarkStart w:id="456" w:name="_Toc38440302"/>
      <w:bookmarkStart w:id="457" w:name="_Toc38440635"/>
      <w:bookmarkStart w:id="458" w:name="_Toc38440834"/>
      <w:bookmarkStart w:id="459" w:name="_Toc38441166"/>
      <w:bookmarkStart w:id="460" w:name="_Toc38441498"/>
      <w:bookmarkStart w:id="461" w:name="_Toc38441826"/>
      <w:bookmarkStart w:id="462" w:name="_Toc38442158"/>
      <w:bookmarkStart w:id="463" w:name="_Toc38442490"/>
      <w:bookmarkStart w:id="464" w:name="_Toc38442821"/>
      <w:bookmarkStart w:id="465" w:name="_Toc38443152"/>
      <w:bookmarkStart w:id="466" w:name="_Toc38443483"/>
      <w:bookmarkStart w:id="467" w:name="_Toc38443814"/>
      <w:bookmarkStart w:id="468" w:name="_Toc38438281"/>
      <w:bookmarkStart w:id="469" w:name="_Toc38438618"/>
      <w:bookmarkStart w:id="470" w:name="_Toc38438955"/>
      <w:bookmarkStart w:id="471" w:name="_Toc38439292"/>
      <w:bookmarkStart w:id="472" w:name="_Toc38439629"/>
      <w:bookmarkStart w:id="473" w:name="_Toc38439966"/>
      <w:bookmarkStart w:id="474" w:name="_Toc38440303"/>
      <w:bookmarkStart w:id="475" w:name="_Toc38440636"/>
      <w:bookmarkStart w:id="476" w:name="_Toc38440835"/>
      <w:bookmarkStart w:id="477" w:name="_Toc38441167"/>
      <w:bookmarkStart w:id="478" w:name="_Toc38441499"/>
      <w:bookmarkStart w:id="479" w:name="_Toc38441827"/>
      <w:bookmarkStart w:id="480" w:name="_Toc38442159"/>
      <w:bookmarkStart w:id="481" w:name="_Toc38442491"/>
      <w:bookmarkStart w:id="482" w:name="_Toc38442822"/>
      <w:bookmarkStart w:id="483" w:name="_Toc38443153"/>
      <w:bookmarkStart w:id="484" w:name="_Toc38443484"/>
      <w:bookmarkStart w:id="485" w:name="_Toc38443815"/>
      <w:bookmarkStart w:id="486" w:name="_Toc38438282"/>
      <w:bookmarkStart w:id="487" w:name="_Toc38438619"/>
      <w:bookmarkStart w:id="488" w:name="_Toc38438956"/>
      <w:bookmarkStart w:id="489" w:name="_Toc38439293"/>
      <w:bookmarkStart w:id="490" w:name="_Toc38439630"/>
      <w:bookmarkStart w:id="491" w:name="_Toc38439967"/>
      <w:bookmarkStart w:id="492" w:name="_Toc38440304"/>
      <w:bookmarkStart w:id="493" w:name="_Toc38440637"/>
      <w:bookmarkStart w:id="494" w:name="_Toc38440836"/>
      <w:bookmarkStart w:id="495" w:name="_Toc38441168"/>
      <w:bookmarkStart w:id="496" w:name="_Toc38441500"/>
      <w:bookmarkStart w:id="497" w:name="_Toc38441828"/>
      <w:bookmarkStart w:id="498" w:name="_Toc38442160"/>
      <w:bookmarkStart w:id="499" w:name="_Toc38442492"/>
      <w:bookmarkStart w:id="500" w:name="_Toc38442823"/>
      <w:bookmarkStart w:id="501" w:name="_Toc38443154"/>
      <w:bookmarkStart w:id="502" w:name="_Toc38443485"/>
      <w:bookmarkStart w:id="503" w:name="_Toc38443816"/>
      <w:bookmarkStart w:id="504" w:name="_Toc38438283"/>
      <w:bookmarkStart w:id="505" w:name="_Toc38438620"/>
      <w:bookmarkStart w:id="506" w:name="_Toc38438957"/>
      <w:bookmarkStart w:id="507" w:name="_Toc38439294"/>
      <w:bookmarkStart w:id="508" w:name="_Toc38439631"/>
      <w:bookmarkStart w:id="509" w:name="_Toc38439968"/>
      <w:bookmarkStart w:id="510" w:name="_Toc38440305"/>
      <w:bookmarkStart w:id="511" w:name="_Toc38440638"/>
      <w:bookmarkStart w:id="512" w:name="_Toc38440837"/>
      <w:bookmarkStart w:id="513" w:name="_Toc38441169"/>
      <w:bookmarkStart w:id="514" w:name="_Toc38441501"/>
      <w:bookmarkStart w:id="515" w:name="_Toc38441829"/>
      <w:bookmarkStart w:id="516" w:name="_Toc38442161"/>
      <w:bookmarkStart w:id="517" w:name="_Toc38442493"/>
      <w:bookmarkStart w:id="518" w:name="_Toc38442824"/>
      <w:bookmarkStart w:id="519" w:name="_Toc38443155"/>
      <w:bookmarkStart w:id="520" w:name="_Toc38443486"/>
      <w:bookmarkStart w:id="521" w:name="_Toc38443817"/>
      <w:bookmarkStart w:id="522" w:name="_Toc38438284"/>
      <w:bookmarkStart w:id="523" w:name="_Toc38438621"/>
      <w:bookmarkStart w:id="524" w:name="_Toc38438958"/>
      <w:bookmarkStart w:id="525" w:name="_Toc38439295"/>
      <w:bookmarkStart w:id="526" w:name="_Toc38439632"/>
      <w:bookmarkStart w:id="527" w:name="_Toc38439969"/>
      <w:bookmarkStart w:id="528" w:name="_Toc38440306"/>
      <w:bookmarkStart w:id="529" w:name="_Toc38440639"/>
      <w:bookmarkStart w:id="530" w:name="_Toc38440838"/>
      <w:bookmarkStart w:id="531" w:name="_Toc38441170"/>
      <w:bookmarkStart w:id="532" w:name="_Toc38441502"/>
      <w:bookmarkStart w:id="533" w:name="_Toc38441830"/>
      <w:bookmarkStart w:id="534" w:name="_Toc38442162"/>
      <w:bookmarkStart w:id="535" w:name="_Toc38442494"/>
      <w:bookmarkStart w:id="536" w:name="_Toc38442825"/>
      <w:bookmarkStart w:id="537" w:name="_Toc38443156"/>
      <w:bookmarkStart w:id="538" w:name="_Toc38443487"/>
      <w:bookmarkStart w:id="539" w:name="_Toc38443818"/>
      <w:bookmarkStart w:id="540" w:name="_Toc38438285"/>
      <w:bookmarkStart w:id="541" w:name="_Toc38438622"/>
      <w:bookmarkStart w:id="542" w:name="_Toc38438959"/>
      <w:bookmarkStart w:id="543" w:name="_Toc38439296"/>
      <w:bookmarkStart w:id="544" w:name="_Toc38439633"/>
      <w:bookmarkStart w:id="545" w:name="_Toc38439970"/>
      <w:bookmarkStart w:id="546" w:name="_Toc38440307"/>
      <w:bookmarkStart w:id="547" w:name="_Toc38440640"/>
      <w:bookmarkStart w:id="548" w:name="_Toc38440839"/>
      <w:bookmarkStart w:id="549" w:name="_Toc38441171"/>
      <w:bookmarkStart w:id="550" w:name="_Toc38441503"/>
      <w:bookmarkStart w:id="551" w:name="_Toc38441831"/>
      <w:bookmarkStart w:id="552" w:name="_Toc38442163"/>
      <w:bookmarkStart w:id="553" w:name="_Toc38442495"/>
      <w:bookmarkStart w:id="554" w:name="_Toc38442826"/>
      <w:bookmarkStart w:id="555" w:name="_Toc38443157"/>
      <w:bookmarkStart w:id="556" w:name="_Toc38443488"/>
      <w:bookmarkStart w:id="557" w:name="_Toc38443819"/>
      <w:bookmarkStart w:id="558" w:name="_Toc38438286"/>
      <w:bookmarkStart w:id="559" w:name="_Toc38438623"/>
      <w:bookmarkStart w:id="560" w:name="_Toc38438960"/>
      <w:bookmarkStart w:id="561" w:name="_Toc38439297"/>
      <w:bookmarkStart w:id="562" w:name="_Toc38439634"/>
      <w:bookmarkStart w:id="563" w:name="_Toc38439971"/>
      <w:bookmarkStart w:id="564" w:name="_Toc38440308"/>
      <w:bookmarkStart w:id="565" w:name="_Toc38440641"/>
      <w:bookmarkStart w:id="566" w:name="_Toc38440840"/>
      <w:bookmarkStart w:id="567" w:name="_Toc38441172"/>
      <w:bookmarkStart w:id="568" w:name="_Toc38441504"/>
      <w:bookmarkStart w:id="569" w:name="_Toc38441832"/>
      <w:bookmarkStart w:id="570" w:name="_Toc38442164"/>
      <w:bookmarkStart w:id="571" w:name="_Toc38442496"/>
      <w:bookmarkStart w:id="572" w:name="_Toc38442827"/>
      <w:bookmarkStart w:id="573" w:name="_Toc38443158"/>
      <w:bookmarkStart w:id="574" w:name="_Toc38443489"/>
      <w:bookmarkStart w:id="575" w:name="_Toc38443820"/>
      <w:bookmarkStart w:id="576" w:name="_Toc38438287"/>
      <w:bookmarkStart w:id="577" w:name="_Toc38438624"/>
      <w:bookmarkStart w:id="578" w:name="_Toc38438961"/>
      <w:bookmarkStart w:id="579" w:name="_Toc38439298"/>
      <w:bookmarkStart w:id="580" w:name="_Toc38439635"/>
      <w:bookmarkStart w:id="581" w:name="_Toc38439972"/>
      <w:bookmarkStart w:id="582" w:name="_Toc38440309"/>
      <w:bookmarkStart w:id="583" w:name="_Toc38440642"/>
      <w:bookmarkStart w:id="584" w:name="_Toc38440841"/>
      <w:bookmarkStart w:id="585" w:name="_Toc38441173"/>
      <w:bookmarkStart w:id="586" w:name="_Toc38441505"/>
      <w:bookmarkStart w:id="587" w:name="_Toc38441833"/>
      <w:bookmarkStart w:id="588" w:name="_Toc38442165"/>
      <w:bookmarkStart w:id="589" w:name="_Toc38442497"/>
      <w:bookmarkStart w:id="590" w:name="_Toc38442828"/>
      <w:bookmarkStart w:id="591" w:name="_Toc38443159"/>
      <w:bookmarkStart w:id="592" w:name="_Toc38443490"/>
      <w:bookmarkStart w:id="593" w:name="_Toc38443821"/>
      <w:bookmarkStart w:id="594" w:name="_Toc38438288"/>
      <w:bookmarkStart w:id="595" w:name="_Toc38438625"/>
      <w:bookmarkStart w:id="596" w:name="_Toc38438962"/>
      <w:bookmarkStart w:id="597" w:name="_Toc38439299"/>
      <w:bookmarkStart w:id="598" w:name="_Toc38439636"/>
      <w:bookmarkStart w:id="599" w:name="_Toc38439973"/>
      <w:bookmarkStart w:id="600" w:name="_Toc38440310"/>
      <w:bookmarkStart w:id="601" w:name="_Toc38440643"/>
      <w:bookmarkStart w:id="602" w:name="_Toc38440842"/>
      <w:bookmarkStart w:id="603" w:name="_Toc38441174"/>
      <w:bookmarkStart w:id="604" w:name="_Toc38441506"/>
      <w:bookmarkStart w:id="605" w:name="_Toc38441834"/>
      <w:bookmarkStart w:id="606" w:name="_Toc38442166"/>
      <w:bookmarkStart w:id="607" w:name="_Toc38442498"/>
      <w:bookmarkStart w:id="608" w:name="_Toc38442829"/>
      <w:bookmarkStart w:id="609" w:name="_Toc38443160"/>
      <w:bookmarkStart w:id="610" w:name="_Toc38443491"/>
      <w:bookmarkStart w:id="611" w:name="_Toc38443822"/>
      <w:bookmarkStart w:id="612" w:name="_Toc38438289"/>
      <w:bookmarkStart w:id="613" w:name="_Toc38438626"/>
      <w:bookmarkStart w:id="614" w:name="_Toc38438963"/>
      <w:bookmarkStart w:id="615" w:name="_Toc38439300"/>
      <w:bookmarkStart w:id="616" w:name="_Toc38439637"/>
      <w:bookmarkStart w:id="617" w:name="_Toc38439974"/>
      <w:bookmarkStart w:id="618" w:name="_Toc38440311"/>
      <w:bookmarkStart w:id="619" w:name="_Toc38440644"/>
      <w:bookmarkStart w:id="620" w:name="_Toc38440843"/>
      <w:bookmarkStart w:id="621" w:name="_Toc38441175"/>
      <w:bookmarkStart w:id="622" w:name="_Toc38441507"/>
      <w:bookmarkStart w:id="623" w:name="_Toc38441835"/>
      <w:bookmarkStart w:id="624" w:name="_Toc38442167"/>
      <w:bookmarkStart w:id="625" w:name="_Toc38442499"/>
      <w:bookmarkStart w:id="626" w:name="_Toc38442830"/>
      <w:bookmarkStart w:id="627" w:name="_Toc38443161"/>
      <w:bookmarkStart w:id="628" w:name="_Toc38443492"/>
      <w:bookmarkStart w:id="629" w:name="_Toc38443823"/>
      <w:bookmarkStart w:id="630" w:name="_Toc38438290"/>
      <w:bookmarkStart w:id="631" w:name="_Toc38438627"/>
      <w:bookmarkStart w:id="632" w:name="_Toc38438964"/>
      <w:bookmarkStart w:id="633" w:name="_Toc38439301"/>
      <w:bookmarkStart w:id="634" w:name="_Toc38439638"/>
      <w:bookmarkStart w:id="635" w:name="_Toc38439975"/>
      <w:bookmarkStart w:id="636" w:name="_Toc38440312"/>
      <w:bookmarkStart w:id="637" w:name="_Toc38440645"/>
      <w:bookmarkStart w:id="638" w:name="_Toc38440844"/>
      <w:bookmarkStart w:id="639" w:name="_Toc38441176"/>
      <w:bookmarkStart w:id="640" w:name="_Toc38441508"/>
      <w:bookmarkStart w:id="641" w:name="_Toc38441836"/>
      <w:bookmarkStart w:id="642" w:name="_Toc38442168"/>
      <w:bookmarkStart w:id="643" w:name="_Toc38442500"/>
      <w:bookmarkStart w:id="644" w:name="_Toc38442831"/>
      <w:bookmarkStart w:id="645" w:name="_Toc38443162"/>
      <w:bookmarkStart w:id="646" w:name="_Toc38443493"/>
      <w:bookmarkStart w:id="647" w:name="_Toc38443824"/>
      <w:bookmarkStart w:id="648" w:name="_Toc38438291"/>
      <w:bookmarkStart w:id="649" w:name="_Toc38438628"/>
      <w:bookmarkStart w:id="650" w:name="_Toc38438965"/>
      <w:bookmarkStart w:id="651" w:name="_Toc38439302"/>
      <w:bookmarkStart w:id="652" w:name="_Toc38439639"/>
      <w:bookmarkStart w:id="653" w:name="_Toc38439976"/>
      <w:bookmarkStart w:id="654" w:name="_Toc38440313"/>
      <w:bookmarkStart w:id="655" w:name="_Toc38440646"/>
      <w:bookmarkStart w:id="656" w:name="_Toc38440845"/>
      <w:bookmarkStart w:id="657" w:name="_Toc38441177"/>
      <w:bookmarkStart w:id="658" w:name="_Toc38441509"/>
      <w:bookmarkStart w:id="659" w:name="_Toc38441837"/>
      <w:bookmarkStart w:id="660" w:name="_Toc38442169"/>
      <w:bookmarkStart w:id="661" w:name="_Toc38442501"/>
      <w:bookmarkStart w:id="662" w:name="_Toc38442832"/>
      <w:bookmarkStart w:id="663" w:name="_Toc38443163"/>
      <w:bookmarkStart w:id="664" w:name="_Toc38443494"/>
      <w:bookmarkStart w:id="665" w:name="_Toc38443825"/>
      <w:bookmarkStart w:id="666" w:name="_Toc38438292"/>
      <w:bookmarkStart w:id="667" w:name="_Toc38438629"/>
      <w:bookmarkStart w:id="668" w:name="_Toc38438966"/>
      <w:bookmarkStart w:id="669" w:name="_Toc38439303"/>
      <w:bookmarkStart w:id="670" w:name="_Toc38439640"/>
      <w:bookmarkStart w:id="671" w:name="_Toc38439977"/>
      <w:bookmarkStart w:id="672" w:name="_Toc38440314"/>
      <w:bookmarkStart w:id="673" w:name="_Toc38440647"/>
      <w:bookmarkStart w:id="674" w:name="_Toc38440846"/>
      <w:bookmarkStart w:id="675" w:name="_Toc38441178"/>
      <w:bookmarkStart w:id="676" w:name="_Toc38441510"/>
      <w:bookmarkStart w:id="677" w:name="_Toc38441838"/>
      <w:bookmarkStart w:id="678" w:name="_Toc38442170"/>
      <w:bookmarkStart w:id="679" w:name="_Toc38442502"/>
      <w:bookmarkStart w:id="680" w:name="_Toc38442833"/>
      <w:bookmarkStart w:id="681" w:name="_Toc38443164"/>
      <w:bookmarkStart w:id="682" w:name="_Toc38443495"/>
      <w:bookmarkStart w:id="683" w:name="_Toc38443826"/>
      <w:bookmarkStart w:id="684" w:name="_Toc38438293"/>
      <w:bookmarkStart w:id="685" w:name="_Toc38438630"/>
      <w:bookmarkStart w:id="686" w:name="_Toc38438967"/>
      <w:bookmarkStart w:id="687" w:name="_Toc38439304"/>
      <w:bookmarkStart w:id="688" w:name="_Toc38439641"/>
      <w:bookmarkStart w:id="689" w:name="_Toc38439978"/>
      <w:bookmarkStart w:id="690" w:name="_Toc38440315"/>
      <w:bookmarkStart w:id="691" w:name="_Toc38440648"/>
      <w:bookmarkStart w:id="692" w:name="_Toc38440847"/>
      <w:bookmarkStart w:id="693" w:name="_Toc38441179"/>
      <w:bookmarkStart w:id="694" w:name="_Toc38441511"/>
      <w:bookmarkStart w:id="695" w:name="_Toc38441839"/>
      <w:bookmarkStart w:id="696" w:name="_Toc38442171"/>
      <w:bookmarkStart w:id="697" w:name="_Toc38442503"/>
      <w:bookmarkStart w:id="698" w:name="_Toc38442834"/>
      <w:bookmarkStart w:id="699" w:name="_Toc38443165"/>
      <w:bookmarkStart w:id="700" w:name="_Toc38443496"/>
      <w:bookmarkStart w:id="701" w:name="_Toc38443827"/>
      <w:bookmarkStart w:id="702" w:name="_Toc38438296"/>
      <w:bookmarkStart w:id="703" w:name="_Toc38438633"/>
      <w:bookmarkStart w:id="704" w:name="_Toc38438970"/>
      <w:bookmarkStart w:id="705" w:name="_Toc38439307"/>
      <w:bookmarkStart w:id="706" w:name="_Toc38439644"/>
      <w:bookmarkStart w:id="707" w:name="_Toc38439981"/>
      <w:bookmarkStart w:id="708" w:name="_Toc38440318"/>
      <w:bookmarkStart w:id="709" w:name="_Toc38440651"/>
      <w:bookmarkStart w:id="710" w:name="_Toc38440850"/>
      <w:bookmarkStart w:id="711" w:name="_Toc38441182"/>
      <w:bookmarkStart w:id="712" w:name="_Toc38441514"/>
      <w:bookmarkStart w:id="713" w:name="_Toc38441842"/>
      <w:bookmarkStart w:id="714" w:name="_Toc38442174"/>
      <w:bookmarkStart w:id="715" w:name="_Toc38442506"/>
      <w:bookmarkStart w:id="716" w:name="_Toc38442837"/>
      <w:bookmarkStart w:id="717" w:name="_Toc38443168"/>
      <w:bookmarkStart w:id="718" w:name="_Toc38443499"/>
      <w:bookmarkStart w:id="719" w:name="_Toc38443830"/>
      <w:bookmarkStart w:id="720" w:name="_Toc38438297"/>
      <w:bookmarkStart w:id="721" w:name="_Toc38438634"/>
      <w:bookmarkStart w:id="722" w:name="_Toc38438971"/>
      <w:bookmarkStart w:id="723" w:name="_Toc38439308"/>
      <w:bookmarkStart w:id="724" w:name="_Toc38439645"/>
      <w:bookmarkStart w:id="725" w:name="_Toc38439982"/>
      <w:bookmarkStart w:id="726" w:name="_Toc38440319"/>
      <w:bookmarkStart w:id="727" w:name="_Toc38440652"/>
      <w:bookmarkStart w:id="728" w:name="_Toc38440851"/>
      <w:bookmarkStart w:id="729" w:name="_Toc38441183"/>
      <w:bookmarkStart w:id="730" w:name="_Toc38441515"/>
      <w:bookmarkStart w:id="731" w:name="_Toc38441843"/>
      <w:bookmarkStart w:id="732" w:name="_Toc38442175"/>
      <w:bookmarkStart w:id="733" w:name="_Toc38442507"/>
      <w:bookmarkStart w:id="734" w:name="_Toc38442838"/>
      <w:bookmarkStart w:id="735" w:name="_Toc38443169"/>
      <w:bookmarkStart w:id="736" w:name="_Toc38443500"/>
      <w:bookmarkStart w:id="737" w:name="_Toc38443831"/>
      <w:bookmarkStart w:id="738" w:name="_Toc38438298"/>
      <w:bookmarkStart w:id="739" w:name="_Toc38438635"/>
      <w:bookmarkStart w:id="740" w:name="_Toc38438972"/>
      <w:bookmarkStart w:id="741" w:name="_Toc38439309"/>
      <w:bookmarkStart w:id="742" w:name="_Toc38439646"/>
      <w:bookmarkStart w:id="743" w:name="_Toc38439983"/>
      <w:bookmarkStart w:id="744" w:name="_Toc38440320"/>
      <w:bookmarkStart w:id="745" w:name="_Toc38440653"/>
      <w:bookmarkStart w:id="746" w:name="_Toc38440852"/>
      <w:bookmarkStart w:id="747" w:name="_Toc38441184"/>
      <w:bookmarkStart w:id="748" w:name="_Toc38441516"/>
      <w:bookmarkStart w:id="749" w:name="_Toc38441844"/>
      <w:bookmarkStart w:id="750" w:name="_Toc38442176"/>
      <w:bookmarkStart w:id="751" w:name="_Toc38442508"/>
      <w:bookmarkStart w:id="752" w:name="_Toc38442839"/>
      <w:bookmarkStart w:id="753" w:name="_Toc38443170"/>
      <w:bookmarkStart w:id="754" w:name="_Toc38443501"/>
      <w:bookmarkStart w:id="755" w:name="_Toc38443832"/>
      <w:bookmarkStart w:id="756" w:name="_Toc38438299"/>
      <w:bookmarkStart w:id="757" w:name="_Toc38438636"/>
      <w:bookmarkStart w:id="758" w:name="_Toc38438973"/>
      <w:bookmarkStart w:id="759" w:name="_Toc38439310"/>
      <w:bookmarkStart w:id="760" w:name="_Toc38439647"/>
      <w:bookmarkStart w:id="761" w:name="_Toc38439984"/>
      <w:bookmarkStart w:id="762" w:name="_Toc38440321"/>
      <w:bookmarkStart w:id="763" w:name="_Toc38440654"/>
      <w:bookmarkStart w:id="764" w:name="_Toc38440853"/>
      <w:bookmarkStart w:id="765" w:name="_Toc38441185"/>
      <w:bookmarkStart w:id="766" w:name="_Toc38441517"/>
      <w:bookmarkStart w:id="767" w:name="_Toc38441845"/>
      <w:bookmarkStart w:id="768" w:name="_Toc38442177"/>
      <w:bookmarkStart w:id="769" w:name="_Toc38442509"/>
      <w:bookmarkStart w:id="770" w:name="_Toc38442840"/>
      <w:bookmarkStart w:id="771" w:name="_Toc38443171"/>
      <w:bookmarkStart w:id="772" w:name="_Toc38443502"/>
      <w:bookmarkStart w:id="773" w:name="_Toc38443833"/>
      <w:bookmarkStart w:id="774" w:name="_Toc38438301"/>
      <w:bookmarkStart w:id="775" w:name="_Toc38438638"/>
      <w:bookmarkStart w:id="776" w:name="_Toc38438975"/>
      <w:bookmarkStart w:id="777" w:name="_Toc38439312"/>
      <w:bookmarkStart w:id="778" w:name="_Toc38439649"/>
      <w:bookmarkStart w:id="779" w:name="_Toc38439986"/>
      <w:bookmarkStart w:id="780" w:name="_Toc38440323"/>
      <w:bookmarkStart w:id="781" w:name="_Toc38440656"/>
      <w:bookmarkStart w:id="782" w:name="_Toc38440855"/>
      <w:bookmarkStart w:id="783" w:name="_Toc38441187"/>
      <w:bookmarkStart w:id="784" w:name="_Toc38441519"/>
      <w:bookmarkStart w:id="785" w:name="_Toc38441847"/>
      <w:bookmarkStart w:id="786" w:name="_Toc38442179"/>
      <w:bookmarkStart w:id="787" w:name="_Toc38442511"/>
      <w:bookmarkStart w:id="788" w:name="_Toc38442842"/>
      <w:bookmarkStart w:id="789" w:name="_Toc38443173"/>
      <w:bookmarkStart w:id="790" w:name="_Toc38443504"/>
      <w:bookmarkStart w:id="791" w:name="_Toc38443835"/>
      <w:bookmarkStart w:id="792" w:name="_Toc38438302"/>
      <w:bookmarkStart w:id="793" w:name="_Toc38438639"/>
      <w:bookmarkStart w:id="794" w:name="_Toc38438976"/>
      <w:bookmarkStart w:id="795" w:name="_Toc38439313"/>
      <w:bookmarkStart w:id="796" w:name="_Toc38439650"/>
      <w:bookmarkStart w:id="797" w:name="_Toc38439987"/>
      <w:bookmarkStart w:id="798" w:name="_Toc38440324"/>
      <w:bookmarkStart w:id="799" w:name="_Toc38440657"/>
      <w:bookmarkStart w:id="800" w:name="_Toc38440856"/>
      <w:bookmarkStart w:id="801" w:name="_Toc38441188"/>
      <w:bookmarkStart w:id="802" w:name="_Toc38441520"/>
      <w:bookmarkStart w:id="803" w:name="_Toc38441848"/>
      <w:bookmarkStart w:id="804" w:name="_Toc38442180"/>
      <w:bookmarkStart w:id="805" w:name="_Toc38442512"/>
      <w:bookmarkStart w:id="806" w:name="_Toc38442843"/>
      <w:bookmarkStart w:id="807" w:name="_Toc38443174"/>
      <w:bookmarkStart w:id="808" w:name="_Toc38443505"/>
      <w:bookmarkStart w:id="809" w:name="_Toc38443836"/>
      <w:bookmarkStart w:id="810" w:name="_Toc38438303"/>
      <w:bookmarkStart w:id="811" w:name="_Toc38438640"/>
      <w:bookmarkStart w:id="812" w:name="_Toc38438977"/>
      <w:bookmarkStart w:id="813" w:name="_Toc38439314"/>
      <w:bookmarkStart w:id="814" w:name="_Toc38439651"/>
      <w:bookmarkStart w:id="815" w:name="_Toc38439988"/>
      <w:bookmarkStart w:id="816" w:name="_Toc38440325"/>
      <w:bookmarkStart w:id="817" w:name="_Toc38440658"/>
      <w:bookmarkStart w:id="818" w:name="_Toc38440857"/>
      <w:bookmarkStart w:id="819" w:name="_Toc38441189"/>
      <w:bookmarkStart w:id="820" w:name="_Toc38441521"/>
      <w:bookmarkStart w:id="821" w:name="_Toc38441849"/>
      <w:bookmarkStart w:id="822" w:name="_Toc38442181"/>
      <w:bookmarkStart w:id="823" w:name="_Toc38442513"/>
      <w:bookmarkStart w:id="824" w:name="_Toc38442844"/>
      <w:bookmarkStart w:id="825" w:name="_Toc38443175"/>
      <w:bookmarkStart w:id="826" w:name="_Toc38443506"/>
      <w:bookmarkStart w:id="827" w:name="_Toc38443837"/>
      <w:bookmarkStart w:id="828" w:name="_Toc38438304"/>
      <w:bookmarkStart w:id="829" w:name="_Toc38438641"/>
      <w:bookmarkStart w:id="830" w:name="_Toc38438978"/>
      <w:bookmarkStart w:id="831" w:name="_Toc38439315"/>
      <w:bookmarkStart w:id="832" w:name="_Toc38439652"/>
      <w:bookmarkStart w:id="833" w:name="_Toc38439989"/>
      <w:bookmarkStart w:id="834" w:name="_Toc38440326"/>
      <w:bookmarkStart w:id="835" w:name="_Toc38440659"/>
      <w:bookmarkStart w:id="836" w:name="_Toc38440858"/>
      <w:bookmarkStart w:id="837" w:name="_Toc38441190"/>
      <w:bookmarkStart w:id="838" w:name="_Toc38441522"/>
      <w:bookmarkStart w:id="839" w:name="_Toc38441850"/>
      <w:bookmarkStart w:id="840" w:name="_Toc38442182"/>
      <w:bookmarkStart w:id="841" w:name="_Toc38442514"/>
      <w:bookmarkStart w:id="842" w:name="_Toc38442845"/>
      <w:bookmarkStart w:id="843" w:name="_Toc38443176"/>
      <w:bookmarkStart w:id="844" w:name="_Toc38443507"/>
      <w:bookmarkStart w:id="845" w:name="_Toc38443838"/>
      <w:bookmarkStart w:id="846" w:name="_Toc38438305"/>
      <w:bookmarkStart w:id="847" w:name="_Toc38438642"/>
      <w:bookmarkStart w:id="848" w:name="_Toc38438979"/>
      <w:bookmarkStart w:id="849" w:name="_Toc38439316"/>
      <w:bookmarkStart w:id="850" w:name="_Toc38439653"/>
      <w:bookmarkStart w:id="851" w:name="_Toc38439990"/>
      <w:bookmarkStart w:id="852" w:name="_Toc38440327"/>
      <w:bookmarkStart w:id="853" w:name="_Toc38440660"/>
      <w:bookmarkStart w:id="854" w:name="_Toc38440859"/>
      <w:bookmarkStart w:id="855" w:name="_Toc38441191"/>
      <w:bookmarkStart w:id="856" w:name="_Toc38441523"/>
      <w:bookmarkStart w:id="857" w:name="_Toc38441851"/>
      <w:bookmarkStart w:id="858" w:name="_Toc38442183"/>
      <w:bookmarkStart w:id="859" w:name="_Toc38442515"/>
      <w:bookmarkStart w:id="860" w:name="_Toc38442846"/>
      <w:bookmarkStart w:id="861" w:name="_Toc38443177"/>
      <w:bookmarkStart w:id="862" w:name="_Toc38443508"/>
      <w:bookmarkStart w:id="863" w:name="_Toc38443839"/>
      <w:bookmarkStart w:id="864" w:name="_Toc38438306"/>
      <w:bookmarkStart w:id="865" w:name="_Toc38438643"/>
      <w:bookmarkStart w:id="866" w:name="_Toc38438980"/>
      <w:bookmarkStart w:id="867" w:name="_Toc38439317"/>
      <w:bookmarkStart w:id="868" w:name="_Toc38439654"/>
      <w:bookmarkStart w:id="869" w:name="_Toc38439991"/>
      <w:bookmarkStart w:id="870" w:name="_Toc38440328"/>
      <w:bookmarkStart w:id="871" w:name="_Toc38440661"/>
      <w:bookmarkStart w:id="872" w:name="_Toc38440860"/>
      <w:bookmarkStart w:id="873" w:name="_Toc38441192"/>
      <w:bookmarkStart w:id="874" w:name="_Toc38441524"/>
      <w:bookmarkStart w:id="875" w:name="_Toc38441852"/>
      <w:bookmarkStart w:id="876" w:name="_Toc38442184"/>
      <w:bookmarkStart w:id="877" w:name="_Toc38442516"/>
      <w:bookmarkStart w:id="878" w:name="_Toc38442847"/>
      <w:bookmarkStart w:id="879" w:name="_Toc38443178"/>
      <w:bookmarkStart w:id="880" w:name="_Toc38443509"/>
      <w:bookmarkStart w:id="881" w:name="_Toc38443840"/>
      <w:bookmarkStart w:id="882" w:name="_Toc38438310"/>
      <w:bookmarkStart w:id="883" w:name="_Toc38438647"/>
      <w:bookmarkStart w:id="884" w:name="_Toc38438984"/>
      <w:bookmarkStart w:id="885" w:name="_Toc38439321"/>
      <w:bookmarkStart w:id="886" w:name="_Toc38439658"/>
      <w:bookmarkStart w:id="887" w:name="_Toc38439995"/>
      <w:bookmarkStart w:id="888" w:name="_Toc38440332"/>
      <w:bookmarkStart w:id="889" w:name="_Toc38440665"/>
      <w:bookmarkStart w:id="890" w:name="_Toc38440864"/>
      <w:bookmarkStart w:id="891" w:name="_Toc38441196"/>
      <w:bookmarkStart w:id="892" w:name="_Toc38441528"/>
      <w:bookmarkStart w:id="893" w:name="_Toc38441856"/>
      <w:bookmarkStart w:id="894" w:name="_Toc38442188"/>
      <w:bookmarkStart w:id="895" w:name="_Toc38442520"/>
      <w:bookmarkStart w:id="896" w:name="_Toc38442851"/>
      <w:bookmarkStart w:id="897" w:name="_Toc38443182"/>
      <w:bookmarkStart w:id="898" w:name="_Toc38443513"/>
      <w:bookmarkStart w:id="899" w:name="_Toc38443844"/>
      <w:bookmarkStart w:id="900" w:name="_Toc38438311"/>
      <w:bookmarkStart w:id="901" w:name="_Toc38438648"/>
      <w:bookmarkStart w:id="902" w:name="_Toc38438985"/>
      <w:bookmarkStart w:id="903" w:name="_Toc38439322"/>
      <w:bookmarkStart w:id="904" w:name="_Toc38439659"/>
      <w:bookmarkStart w:id="905" w:name="_Toc38439996"/>
      <w:bookmarkStart w:id="906" w:name="_Toc38440333"/>
      <w:bookmarkStart w:id="907" w:name="_Toc38440666"/>
      <w:bookmarkStart w:id="908" w:name="_Toc38440865"/>
      <w:bookmarkStart w:id="909" w:name="_Toc38441197"/>
      <w:bookmarkStart w:id="910" w:name="_Toc38441529"/>
      <w:bookmarkStart w:id="911" w:name="_Toc38441857"/>
      <w:bookmarkStart w:id="912" w:name="_Toc38442189"/>
      <w:bookmarkStart w:id="913" w:name="_Toc38442521"/>
      <w:bookmarkStart w:id="914" w:name="_Toc38442852"/>
      <w:bookmarkStart w:id="915" w:name="_Toc38443183"/>
      <w:bookmarkStart w:id="916" w:name="_Toc38443514"/>
      <w:bookmarkStart w:id="917" w:name="_Toc38443845"/>
      <w:bookmarkStart w:id="918" w:name="_Toc38438312"/>
      <w:bookmarkStart w:id="919" w:name="_Toc38438649"/>
      <w:bookmarkStart w:id="920" w:name="_Toc38438986"/>
      <w:bookmarkStart w:id="921" w:name="_Toc38439323"/>
      <w:bookmarkStart w:id="922" w:name="_Toc38439660"/>
      <w:bookmarkStart w:id="923" w:name="_Toc38439997"/>
      <w:bookmarkStart w:id="924" w:name="_Toc38440334"/>
      <w:bookmarkStart w:id="925" w:name="_Toc38440667"/>
      <w:bookmarkStart w:id="926" w:name="_Toc38440866"/>
      <w:bookmarkStart w:id="927" w:name="_Toc38441198"/>
      <w:bookmarkStart w:id="928" w:name="_Toc38441530"/>
      <w:bookmarkStart w:id="929" w:name="_Toc38441858"/>
      <w:bookmarkStart w:id="930" w:name="_Toc38442190"/>
      <w:bookmarkStart w:id="931" w:name="_Toc38442522"/>
      <w:bookmarkStart w:id="932" w:name="_Toc38442853"/>
      <w:bookmarkStart w:id="933" w:name="_Toc38443184"/>
      <w:bookmarkStart w:id="934" w:name="_Toc38443515"/>
      <w:bookmarkStart w:id="935" w:name="_Toc38443846"/>
      <w:bookmarkStart w:id="936" w:name="_Toc38438313"/>
      <w:bookmarkStart w:id="937" w:name="_Toc38438650"/>
      <w:bookmarkStart w:id="938" w:name="_Toc38438987"/>
      <w:bookmarkStart w:id="939" w:name="_Toc38439324"/>
      <w:bookmarkStart w:id="940" w:name="_Toc38439661"/>
      <w:bookmarkStart w:id="941" w:name="_Toc38439998"/>
      <w:bookmarkStart w:id="942" w:name="_Toc38440335"/>
      <w:bookmarkStart w:id="943" w:name="_Toc38440668"/>
      <w:bookmarkStart w:id="944" w:name="_Toc38440867"/>
      <w:bookmarkStart w:id="945" w:name="_Toc38441199"/>
      <w:bookmarkStart w:id="946" w:name="_Toc38441531"/>
      <w:bookmarkStart w:id="947" w:name="_Toc38441859"/>
      <w:bookmarkStart w:id="948" w:name="_Toc38442191"/>
      <w:bookmarkStart w:id="949" w:name="_Toc38442523"/>
      <w:bookmarkStart w:id="950" w:name="_Toc38442854"/>
      <w:bookmarkStart w:id="951" w:name="_Toc38443185"/>
      <w:bookmarkStart w:id="952" w:name="_Toc38443516"/>
      <w:bookmarkStart w:id="953" w:name="_Toc38443847"/>
      <w:bookmarkStart w:id="954" w:name="_Toc38438314"/>
      <w:bookmarkStart w:id="955" w:name="_Toc38438651"/>
      <w:bookmarkStart w:id="956" w:name="_Toc38438988"/>
      <w:bookmarkStart w:id="957" w:name="_Toc38439325"/>
      <w:bookmarkStart w:id="958" w:name="_Toc38439662"/>
      <w:bookmarkStart w:id="959" w:name="_Toc38439999"/>
      <w:bookmarkStart w:id="960" w:name="_Toc38440336"/>
      <w:bookmarkStart w:id="961" w:name="_Toc38440669"/>
      <w:bookmarkStart w:id="962" w:name="_Toc38440868"/>
      <w:bookmarkStart w:id="963" w:name="_Toc38441200"/>
      <w:bookmarkStart w:id="964" w:name="_Toc38441532"/>
      <w:bookmarkStart w:id="965" w:name="_Toc38441860"/>
      <w:bookmarkStart w:id="966" w:name="_Toc38442192"/>
      <w:bookmarkStart w:id="967" w:name="_Toc38442524"/>
      <w:bookmarkStart w:id="968" w:name="_Toc38442855"/>
      <w:bookmarkStart w:id="969" w:name="_Toc38443186"/>
      <w:bookmarkStart w:id="970" w:name="_Toc38443517"/>
      <w:bookmarkStart w:id="971" w:name="_Toc38443848"/>
      <w:bookmarkStart w:id="972" w:name="_Toc38438315"/>
      <w:bookmarkStart w:id="973" w:name="_Toc38438652"/>
      <w:bookmarkStart w:id="974" w:name="_Toc38438989"/>
      <w:bookmarkStart w:id="975" w:name="_Toc38439326"/>
      <w:bookmarkStart w:id="976" w:name="_Toc38439663"/>
      <w:bookmarkStart w:id="977" w:name="_Toc38440000"/>
      <w:bookmarkStart w:id="978" w:name="_Toc38440337"/>
      <w:bookmarkStart w:id="979" w:name="_Toc38440670"/>
      <w:bookmarkStart w:id="980" w:name="_Toc38440869"/>
      <w:bookmarkStart w:id="981" w:name="_Toc38441201"/>
      <w:bookmarkStart w:id="982" w:name="_Toc38441533"/>
      <w:bookmarkStart w:id="983" w:name="_Toc38441861"/>
      <w:bookmarkStart w:id="984" w:name="_Toc38442193"/>
      <w:bookmarkStart w:id="985" w:name="_Toc38442525"/>
      <w:bookmarkStart w:id="986" w:name="_Toc38442856"/>
      <w:bookmarkStart w:id="987" w:name="_Toc38443187"/>
      <w:bookmarkStart w:id="988" w:name="_Toc38443518"/>
      <w:bookmarkStart w:id="989" w:name="_Toc38443849"/>
      <w:bookmarkStart w:id="990" w:name="_Toc38438316"/>
      <w:bookmarkStart w:id="991" w:name="_Toc38438653"/>
      <w:bookmarkStart w:id="992" w:name="_Toc38438990"/>
      <w:bookmarkStart w:id="993" w:name="_Toc38439327"/>
      <w:bookmarkStart w:id="994" w:name="_Toc38439664"/>
      <w:bookmarkStart w:id="995" w:name="_Toc38440001"/>
      <w:bookmarkStart w:id="996" w:name="_Toc38440338"/>
      <w:bookmarkStart w:id="997" w:name="_Toc38440671"/>
      <w:bookmarkStart w:id="998" w:name="_Toc38440870"/>
      <w:bookmarkStart w:id="999" w:name="_Toc38441202"/>
      <w:bookmarkStart w:id="1000" w:name="_Toc38441534"/>
      <w:bookmarkStart w:id="1001" w:name="_Toc38441862"/>
      <w:bookmarkStart w:id="1002" w:name="_Toc38442194"/>
      <w:bookmarkStart w:id="1003" w:name="_Toc38442526"/>
      <w:bookmarkStart w:id="1004" w:name="_Toc38442857"/>
      <w:bookmarkStart w:id="1005" w:name="_Toc38443188"/>
      <w:bookmarkStart w:id="1006" w:name="_Toc38443519"/>
      <w:bookmarkStart w:id="1007" w:name="_Toc38443850"/>
      <w:bookmarkStart w:id="1008" w:name="_Toc38438317"/>
      <w:bookmarkStart w:id="1009" w:name="_Toc38438654"/>
      <w:bookmarkStart w:id="1010" w:name="_Toc38438991"/>
      <w:bookmarkStart w:id="1011" w:name="_Toc38439328"/>
      <w:bookmarkStart w:id="1012" w:name="_Toc38439665"/>
      <w:bookmarkStart w:id="1013" w:name="_Toc38440002"/>
      <w:bookmarkStart w:id="1014" w:name="_Toc38440339"/>
      <w:bookmarkStart w:id="1015" w:name="_Toc38440672"/>
      <w:bookmarkStart w:id="1016" w:name="_Toc38440871"/>
      <w:bookmarkStart w:id="1017" w:name="_Toc38441203"/>
      <w:bookmarkStart w:id="1018" w:name="_Toc38441535"/>
      <w:bookmarkStart w:id="1019" w:name="_Toc38441863"/>
      <w:bookmarkStart w:id="1020" w:name="_Toc38442195"/>
      <w:bookmarkStart w:id="1021" w:name="_Toc38442527"/>
      <w:bookmarkStart w:id="1022" w:name="_Toc38442858"/>
      <w:bookmarkStart w:id="1023" w:name="_Toc38443189"/>
      <w:bookmarkStart w:id="1024" w:name="_Toc38443520"/>
      <w:bookmarkStart w:id="1025" w:name="_Toc38443851"/>
      <w:bookmarkStart w:id="1026" w:name="_Toc38438318"/>
      <w:bookmarkStart w:id="1027" w:name="_Toc38438655"/>
      <w:bookmarkStart w:id="1028" w:name="_Toc38438992"/>
      <w:bookmarkStart w:id="1029" w:name="_Toc38439329"/>
      <w:bookmarkStart w:id="1030" w:name="_Toc38439666"/>
      <w:bookmarkStart w:id="1031" w:name="_Toc38440003"/>
      <w:bookmarkStart w:id="1032" w:name="_Toc38440340"/>
      <w:bookmarkStart w:id="1033" w:name="_Toc38440673"/>
      <w:bookmarkStart w:id="1034" w:name="_Toc38440872"/>
      <w:bookmarkStart w:id="1035" w:name="_Toc38441204"/>
      <w:bookmarkStart w:id="1036" w:name="_Toc38441536"/>
      <w:bookmarkStart w:id="1037" w:name="_Toc38441864"/>
      <w:bookmarkStart w:id="1038" w:name="_Toc38442196"/>
      <w:bookmarkStart w:id="1039" w:name="_Toc38442528"/>
      <w:bookmarkStart w:id="1040" w:name="_Toc38442859"/>
      <w:bookmarkStart w:id="1041" w:name="_Toc38443190"/>
      <w:bookmarkStart w:id="1042" w:name="_Toc38443521"/>
      <w:bookmarkStart w:id="1043" w:name="_Toc38443852"/>
      <w:bookmarkStart w:id="1044" w:name="_Toc38438319"/>
      <w:bookmarkStart w:id="1045" w:name="_Toc38438656"/>
      <w:bookmarkStart w:id="1046" w:name="_Toc38438993"/>
      <w:bookmarkStart w:id="1047" w:name="_Toc38439330"/>
      <w:bookmarkStart w:id="1048" w:name="_Toc38439667"/>
      <w:bookmarkStart w:id="1049" w:name="_Toc38440004"/>
      <w:bookmarkStart w:id="1050" w:name="_Toc38440341"/>
      <w:bookmarkStart w:id="1051" w:name="_Toc38440674"/>
      <w:bookmarkStart w:id="1052" w:name="_Toc38440873"/>
      <w:bookmarkStart w:id="1053" w:name="_Toc38441205"/>
      <w:bookmarkStart w:id="1054" w:name="_Toc38441537"/>
      <w:bookmarkStart w:id="1055" w:name="_Toc38441865"/>
      <w:bookmarkStart w:id="1056" w:name="_Toc38442197"/>
      <w:bookmarkStart w:id="1057" w:name="_Toc38442529"/>
      <w:bookmarkStart w:id="1058" w:name="_Toc38442860"/>
      <w:bookmarkStart w:id="1059" w:name="_Toc38443191"/>
      <w:bookmarkStart w:id="1060" w:name="_Toc38443522"/>
      <w:bookmarkStart w:id="1061" w:name="_Toc38443853"/>
      <w:bookmarkStart w:id="1062" w:name="_Toc38438320"/>
      <w:bookmarkStart w:id="1063" w:name="_Toc38438657"/>
      <w:bookmarkStart w:id="1064" w:name="_Toc38438994"/>
      <w:bookmarkStart w:id="1065" w:name="_Toc38439331"/>
      <w:bookmarkStart w:id="1066" w:name="_Toc38439668"/>
      <w:bookmarkStart w:id="1067" w:name="_Toc38440005"/>
      <w:bookmarkStart w:id="1068" w:name="_Toc38440342"/>
      <w:bookmarkStart w:id="1069" w:name="_Toc38440675"/>
      <w:bookmarkStart w:id="1070" w:name="_Toc38440874"/>
      <w:bookmarkStart w:id="1071" w:name="_Toc38441206"/>
      <w:bookmarkStart w:id="1072" w:name="_Toc38441538"/>
      <w:bookmarkStart w:id="1073" w:name="_Toc38441866"/>
      <w:bookmarkStart w:id="1074" w:name="_Toc38442198"/>
      <w:bookmarkStart w:id="1075" w:name="_Toc38442530"/>
      <w:bookmarkStart w:id="1076" w:name="_Toc38442861"/>
      <w:bookmarkStart w:id="1077" w:name="_Toc38443192"/>
      <w:bookmarkStart w:id="1078" w:name="_Toc38443523"/>
      <w:bookmarkStart w:id="1079" w:name="_Toc38443854"/>
      <w:bookmarkStart w:id="1080" w:name="_Toc38438321"/>
      <w:bookmarkStart w:id="1081" w:name="_Toc38438658"/>
      <w:bookmarkStart w:id="1082" w:name="_Toc38438995"/>
      <w:bookmarkStart w:id="1083" w:name="_Toc38439332"/>
      <w:bookmarkStart w:id="1084" w:name="_Toc38439669"/>
      <w:bookmarkStart w:id="1085" w:name="_Toc38440006"/>
      <w:bookmarkStart w:id="1086" w:name="_Toc38440343"/>
      <w:bookmarkStart w:id="1087" w:name="_Toc38440676"/>
      <w:bookmarkStart w:id="1088" w:name="_Toc38440875"/>
      <w:bookmarkStart w:id="1089" w:name="_Toc38441207"/>
      <w:bookmarkStart w:id="1090" w:name="_Toc38441539"/>
      <w:bookmarkStart w:id="1091" w:name="_Toc38441867"/>
      <w:bookmarkStart w:id="1092" w:name="_Toc38442199"/>
      <w:bookmarkStart w:id="1093" w:name="_Toc38442531"/>
      <w:bookmarkStart w:id="1094" w:name="_Toc38442862"/>
      <w:bookmarkStart w:id="1095" w:name="_Toc38443193"/>
      <w:bookmarkStart w:id="1096" w:name="_Toc38443524"/>
      <w:bookmarkStart w:id="1097" w:name="_Toc38443855"/>
      <w:bookmarkStart w:id="1098" w:name="_Toc38438322"/>
      <w:bookmarkStart w:id="1099" w:name="_Toc38438659"/>
      <w:bookmarkStart w:id="1100" w:name="_Toc38438996"/>
      <w:bookmarkStart w:id="1101" w:name="_Toc38439333"/>
      <w:bookmarkStart w:id="1102" w:name="_Toc38439670"/>
      <w:bookmarkStart w:id="1103" w:name="_Toc38440007"/>
      <w:bookmarkStart w:id="1104" w:name="_Toc38440344"/>
      <w:bookmarkStart w:id="1105" w:name="_Toc38440677"/>
      <w:bookmarkStart w:id="1106" w:name="_Toc38440876"/>
      <w:bookmarkStart w:id="1107" w:name="_Toc38441208"/>
      <w:bookmarkStart w:id="1108" w:name="_Toc38441540"/>
      <w:bookmarkStart w:id="1109" w:name="_Toc38441868"/>
      <w:bookmarkStart w:id="1110" w:name="_Toc38442200"/>
      <w:bookmarkStart w:id="1111" w:name="_Toc38442532"/>
      <w:bookmarkStart w:id="1112" w:name="_Toc38442863"/>
      <w:bookmarkStart w:id="1113" w:name="_Toc38443194"/>
      <w:bookmarkStart w:id="1114" w:name="_Toc38443525"/>
      <w:bookmarkStart w:id="1115" w:name="_Toc38443856"/>
      <w:bookmarkStart w:id="1116" w:name="_Toc38438323"/>
      <w:bookmarkStart w:id="1117" w:name="_Toc38438660"/>
      <w:bookmarkStart w:id="1118" w:name="_Toc38438997"/>
      <w:bookmarkStart w:id="1119" w:name="_Toc38439334"/>
      <w:bookmarkStart w:id="1120" w:name="_Toc38439671"/>
      <w:bookmarkStart w:id="1121" w:name="_Toc38440008"/>
      <w:bookmarkStart w:id="1122" w:name="_Toc38440345"/>
      <w:bookmarkStart w:id="1123" w:name="_Toc38440678"/>
      <w:bookmarkStart w:id="1124" w:name="_Toc38440877"/>
      <w:bookmarkStart w:id="1125" w:name="_Toc38441209"/>
      <w:bookmarkStart w:id="1126" w:name="_Toc38441541"/>
      <w:bookmarkStart w:id="1127" w:name="_Toc38441869"/>
      <w:bookmarkStart w:id="1128" w:name="_Toc38442201"/>
      <w:bookmarkStart w:id="1129" w:name="_Toc38442533"/>
      <w:bookmarkStart w:id="1130" w:name="_Toc38442864"/>
      <w:bookmarkStart w:id="1131" w:name="_Toc38443195"/>
      <w:bookmarkStart w:id="1132" w:name="_Toc38443526"/>
      <w:bookmarkStart w:id="1133" w:name="_Toc38443857"/>
      <w:bookmarkStart w:id="1134" w:name="_Toc38438324"/>
      <w:bookmarkStart w:id="1135" w:name="_Toc38438661"/>
      <w:bookmarkStart w:id="1136" w:name="_Toc38438998"/>
      <w:bookmarkStart w:id="1137" w:name="_Toc38439335"/>
      <w:bookmarkStart w:id="1138" w:name="_Toc38439672"/>
      <w:bookmarkStart w:id="1139" w:name="_Toc38440009"/>
      <w:bookmarkStart w:id="1140" w:name="_Toc38440346"/>
      <w:bookmarkStart w:id="1141" w:name="_Toc38440679"/>
      <w:bookmarkStart w:id="1142" w:name="_Toc38440878"/>
      <w:bookmarkStart w:id="1143" w:name="_Toc38441210"/>
      <w:bookmarkStart w:id="1144" w:name="_Toc38441542"/>
      <w:bookmarkStart w:id="1145" w:name="_Toc38441870"/>
      <w:bookmarkStart w:id="1146" w:name="_Toc38442202"/>
      <w:bookmarkStart w:id="1147" w:name="_Toc38442534"/>
      <w:bookmarkStart w:id="1148" w:name="_Toc38442865"/>
      <w:bookmarkStart w:id="1149" w:name="_Toc38443196"/>
      <w:bookmarkStart w:id="1150" w:name="_Toc38443527"/>
      <w:bookmarkStart w:id="1151" w:name="_Toc38443858"/>
      <w:bookmarkStart w:id="1152" w:name="_Toc38438325"/>
      <w:bookmarkStart w:id="1153" w:name="_Toc38438662"/>
      <w:bookmarkStart w:id="1154" w:name="_Toc38438999"/>
      <w:bookmarkStart w:id="1155" w:name="_Toc38439336"/>
      <w:bookmarkStart w:id="1156" w:name="_Toc38439673"/>
      <w:bookmarkStart w:id="1157" w:name="_Toc38440010"/>
      <w:bookmarkStart w:id="1158" w:name="_Toc38440347"/>
      <w:bookmarkStart w:id="1159" w:name="_Toc38440879"/>
      <w:bookmarkStart w:id="1160" w:name="_Toc38441211"/>
      <w:bookmarkStart w:id="1161" w:name="_Toc38441543"/>
      <w:bookmarkStart w:id="1162" w:name="_Toc38441871"/>
      <w:bookmarkStart w:id="1163" w:name="_Toc38442203"/>
      <w:bookmarkStart w:id="1164" w:name="_Toc38442535"/>
      <w:bookmarkStart w:id="1165" w:name="_Toc38442866"/>
      <w:bookmarkStart w:id="1166" w:name="_Toc38443197"/>
      <w:bookmarkStart w:id="1167" w:name="_Toc38443528"/>
      <w:bookmarkStart w:id="1168" w:name="_Toc38443859"/>
      <w:bookmarkStart w:id="1169" w:name="_Toc38438326"/>
      <w:bookmarkStart w:id="1170" w:name="_Toc38438663"/>
      <w:bookmarkStart w:id="1171" w:name="_Toc38439000"/>
      <w:bookmarkStart w:id="1172" w:name="_Toc38439337"/>
      <w:bookmarkStart w:id="1173" w:name="_Toc38439674"/>
      <w:bookmarkStart w:id="1174" w:name="_Toc38440011"/>
      <w:bookmarkStart w:id="1175" w:name="_Toc38440348"/>
      <w:bookmarkStart w:id="1176" w:name="_Toc38440880"/>
      <w:bookmarkStart w:id="1177" w:name="_Toc38441212"/>
      <w:bookmarkStart w:id="1178" w:name="_Toc38441544"/>
      <w:bookmarkStart w:id="1179" w:name="_Toc38441872"/>
      <w:bookmarkStart w:id="1180" w:name="_Toc38442204"/>
      <w:bookmarkStart w:id="1181" w:name="_Toc38442536"/>
      <w:bookmarkStart w:id="1182" w:name="_Toc38442867"/>
      <w:bookmarkStart w:id="1183" w:name="_Toc38443198"/>
      <w:bookmarkStart w:id="1184" w:name="_Toc38443529"/>
      <w:bookmarkStart w:id="1185" w:name="_Toc38443860"/>
      <w:bookmarkStart w:id="1186" w:name="_Toc38438327"/>
      <w:bookmarkStart w:id="1187" w:name="_Toc38438664"/>
      <w:bookmarkStart w:id="1188" w:name="_Toc38439001"/>
      <w:bookmarkStart w:id="1189" w:name="_Toc38439338"/>
      <w:bookmarkStart w:id="1190" w:name="_Toc38439675"/>
      <w:bookmarkStart w:id="1191" w:name="_Toc38440012"/>
      <w:bookmarkStart w:id="1192" w:name="_Toc38440349"/>
      <w:bookmarkStart w:id="1193" w:name="_Toc38440881"/>
      <w:bookmarkStart w:id="1194" w:name="_Toc38441213"/>
      <w:bookmarkStart w:id="1195" w:name="_Toc38441545"/>
      <w:bookmarkStart w:id="1196" w:name="_Toc38441873"/>
      <w:bookmarkStart w:id="1197" w:name="_Toc38442205"/>
      <w:bookmarkStart w:id="1198" w:name="_Toc38442537"/>
      <w:bookmarkStart w:id="1199" w:name="_Toc38442868"/>
      <w:bookmarkStart w:id="1200" w:name="_Toc38443199"/>
      <w:bookmarkStart w:id="1201" w:name="_Toc38443530"/>
      <w:bookmarkStart w:id="1202" w:name="_Toc38443861"/>
      <w:bookmarkStart w:id="1203" w:name="_Toc38438328"/>
      <w:bookmarkStart w:id="1204" w:name="_Toc38438665"/>
      <w:bookmarkStart w:id="1205" w:name="_Toc38439002"/>
      <w:bookmarkStart w:id="1206" w:name="_Toc38439339"/>
      <w:bookmarkStart w:id="1207" w:name="_Toc38439676"/>
      <w:bookmarkStart w:id="1208" w:name="_Toc38440013"/>
      <w:bookmarkStart w:id="1209" w:name="_Toc38440350"/>
      <w:bookmarkStart w:id="1210" w:name="_Toc38440882"/>
      <w:bookmarkStart w:id="1211" w:name="_Toc38441214"/>
      <w:bookmarkStart w:id="1212" w:name="_Toc38441546"/>
      <w:bookmarkStart w:id="1213" w:name="_Toc38441874"/>
      <w:bookmarkStart w:id="1214" w:name="_Toc38442206"/>
      <w:bookmarkStart w:id="1215" w:name="_Toc38442538"/>
      <w:bookmarkStart w:id="1216" w:name="_Toc38442869"/>
      <w:bookmarkStart w:id="1217" w:name="_Toc38443200"/>
      <w:bookmarkStart w:id="1218" w:name="_Toc38443531"/>
      <w:bookmarkStart w:id="1219" w:name="_Toc38443862"/>
      <w:bookmarkStart w:id="1220" w:name="_Toc38438329"/>
      <w:bookmarkStart w:id="1221" w:name="_Toc38438666"/>
      <w:bookmarkStart w:id="1222" w:name="_Toc38439003"/>
      <w:bookmarkStart w:id="1223" w:name="_Toc38439340"/>
      <w:bookmarkStart w:id="1224" w:name="_Toc38439677"/>
      <w:bookmarkStart w:id="1225" w:name="_Toc38440014"/>
      <w:bookmarkStart w:id="1226" w:name="_Toc38440351"/>
      <w:bookmarkStart w:id="1227" w:name="_Toc38440883"/>
      <w:bookmarkStart w:id="1228" w:name="_Toc38441215"/>
      <w:bookmarkStart w:id="1229" w:name="_Toc38441547"/>
      <w:bookmarkStart w:id="1230" w:name="_Toc38441875"/>
      <w:bookmarkStart w:id="1231" w:name="_Toc38442207"/>
      <w:bookmarkStart w:id="1232" w:name="_Toc38442539"/>
      <w:bookmarkStart w:id="1233" w:name="_Toc38442870"/>
      <w:bookmarkStart w:id="1234" w:name="_Toc38443201"/>
      <w:bookmarkStart w:id="1235" w:name="_Toc38443532"/>
      <w:bookmarkStart w:id="1236" w:name="_Toc38443863"/>
      <w:bookmarkStart w:id="1237" w:name="_Toc38438330"/>
      <w:bookmarkStart w:id="1238" w:name="_Toc38438667"/>
      <w:bookmarkStart w:id="1239" w:name="_Toc38439004"/>
      <w:bookmarkStart w:id="1240" w:name="_Toc38439341"/>
      <w:bookmarkStart w:id="1241" w:name="_Toc38439678"/>
      <w:bookmarkStart w:id="1242" w:name="_Toc38440015"/>
      <w:bookmarkStart w:id="1243" w:name="_Toc38440352"/>
      <w:bookmarkStart w:id="1244" w:name="_Toc38440884"/>
      <w:bookmarkStart w:id="1245" w:name="_Toc38441216"/>
      <w:bookmarkStart w:id="1246" w:name="_Toc38441548"/>
      <w:bookmarkStart w:id="1247" w:name="_Toc38441876"/>
      <w:bookmarkStart w:id="1248" w:name="_Toc38442208"/>
      <w:bookmarkStart w:id="1249" w:name="_Toc38442540"/>
      <w:bookmarkStart w:id="1250" w:name="_Toc38442871"/>
      <w:bookmarkStart w:id="1251" w:name="_Toc38443202"/>
      <w:bookmarkStart w:id="1252" w:name="_Toc38443533"/>
      <w:bookmarkStart w:id="1253" w:name="_Toc38443864"/>
      <w:bookmarkStart w:id="1254" w:name="_Toc38438331"/>
      <w:bookmarkStart w:id="1255" w:name="_Toc38438668"/>
      <w:bookmarkStart w:id="1256" w:name="_Toc38439005"/>
      <w:bookmarkStart w:id="1257" w:name="_Toc38439342"/>
      <w:bookmarkStart w:id="1258" w:name="_Toc38439679"/>
      <w:bookmarkStart w:id="1259" w:name="_Toc38440016"/>
      <w:bookmarkStart w:id="1260" w:name="_Toc38440353"/>
      <w:bookmarkStart w:id="1261" w:name="_Toc38440885"/>
      <w:bookmarkStart w:id="1262" w:name="_Toc38441217"/>
      <w:bookmarkStart w:id="1263" w:name="_Toc38441549"/>
      <w:bookmarkStart w:id="1264" w:name="_Toc38441877"/>
      <w:bookmarkStart w:id="1265" w:name="_Toc38442209"/>
      <w:bookmarkStart w:id="1266" w:name="_Toc38442541"/>
      <w:bookmarkStart w:id="1267" w:name="_Toc38442872"/>
      <w:bookmarkStart w:id="1268" w:name="_Toc38443203"/>
      <w:bookmarkStart w:id="1269" w:name="_Toc38443534"/>
      <w:bookmarkStart w:id="1270" w:name="_Toc38443865"/>
      <w:bookmarkStart w:id="1271" w:name="_Toc38438332"/>
      <w:bookmarkStart w:id="1272" w:name="_Toc38438669"/>
      <w:bookmarkStart w:id="1273" w:name="_Toc38439006"/>
      <w:bookmarkStart w:id="1274" w:name="_Toc38439343"/>
      <w:bookmarkStart w:id="1275" w:name="_Toc38439680"/>
      <w:bookmarkStart w:id="1276" w:name="_Toc38440017"/>
      <w:bookmarkStart w:id="1277" w:name="_Toc38440354"/>
      <w:bookmarkStart w:id="1278" w:name="_Toc38440886"/>
      <w:bookmarkStart w:id="1279" w:name="_Toc38441218"/>
      <w:bookmarkStart w:id="1280" w:name="_Toc38441550"/>
      <w:bookmarkStart w:id="1281" w:name="_Toc38441878"/>
      <w:bookmarkStart w:id="1282" w:name="_Toc38442210"/>
      <w:bookmarkStart w:id="1283" w:name="_Toc38442542"/>
      <w:bookmarkStart w:id="1284" w:name="_Toc38442873"/>
      <w:bookmarkStart w:id="1285" w:name="_Toc38443204"/>
      <w:bookmarkStart w:id="1286" w:name="_Toc38443535"/>
      <w:bookmarkStart w:id="1287" w:name="_Toc38443866"/>
      <w:bookmarkStart w:id="1288" w:name="_Toc38438333"/>
      <w:bookmarkStart w:id="1289" w:name="_Toc38438670"/>
      <w:bookmarkStart w:id="1290" w:name="_Toc38439007"/>
      <w:bookmarkStart w:id="1291" w:name="_Toc38439344"/>
      <w:bookmarkStart w:id="1292" w:name="_Toc38439681"/>
      <w:bookmarkStart w:id="1293" w:name="_Toc38440018"/>
      <w:bookmarkStart w:id="1294" w:name="_Toc38440355"/>
      <w:bookmarkStart w:id="1295" w:name="_Toc38440887"/>
      <w:bookmarkStart w:id="1296" w:name="_Toc38441219"/>
      <w:bookmarkStart w:id="1297" w:name="_Toc38441551"/>
      <w:bookmarkStart w:id="1298" w:name="_Toc38441879"/>
      <w:bookmarkStart w:id="1299" w:name="_Toc38442211"/>
      <w:bookmarkStart w:id="1300" w:name="_Toc38442543"/>
      <w:bookmarkStart w:id="1301" w:name="_Toc38442874"/>
      <w:bookmarkStart w:id="1302" w:name="_Toc38443205"/>
      <w:bookmarkStart w:id="1303" w:name="_Toc38443536"/>
      <w:bookmarkStart w:id="1304" w:name="_Toc38443867"/>
      <w:bookmarkStart w:id="1305" w:name="_Toc38438334"/>
      <w:bookmarkStart w:id="1306" w:name="_Toc38438671"/>
      <w:bookmarkStart w:id="1307" w:name="_Toc38439008"/>
      <w:bookmarkStart w:id="1308" w:name="_Toc38439345"/>
      <w:bookmarkStart w:id="1309" w:name="_Toc38439682"/>
      <w:bookmarkStart w:id="1310" w:name="_Toc38440019"/>
      <w:bookmarkStart w:id="1311" w:name="_Toc38440356"/>
      <w:bookmarkStart w:id="1312" w:name="_Toc38440888"/>
      <w:bookmarkStart w:id="1313" w:name="_Toc38441220"/>
      <w:bookmarkStart w:id="1314" w:name="_Toc38441552"/>
      <w:bookmarkStart w:id="1315" w:name="_Toc38441880"/>
      <w:bookmarkStart w:id="1316" w:name="_Toc38442212"/>
      <w:bookmarkStart w:id="1317" w:name="_Toc38442544"/>
      <w:bookmarkStart w:id="1318" w:name="_Toc38442875"/>
      <w:bookmarkStart w:id="1319" w:name="_Toc38443206"/>
      <w:bookmarkStart w:id="1320" w:name="_Toc38443537"/>
      <w:bookmarkStart w:id="1321" w:name="_Toc38443868"/>
      <w:bookmarkStart w:id="1322" w:name="_Toc38438335"/>
      <w:bookmarkStart w:id="1323" w:name="_Toc38438672"/>
      <w:bookmarkStart w:id="1324" w:name="_Toc38439009"/>
      <w:bookmarkStart w:id="1325" w:name="_Toc38439346"/>
      <w:bookmarkStart w:id="1326" w:name="_Toc38439683"/>
      <w:bookmarkStart w:id="1327" w:name="_Toc38440020"/>
      <w:bookmarkStart w:id="1328" w:name="_Toc38440357"/>
      <w:bookmarkStart w:id="1329" w:name="_Toc38440889"/>
      <w:bookmarkStart w:id="1330" w:name="_Toc38441221"/>
      <w:bookmarkStart w:id="1331" w:name="_Toc38441553"/>
      <w:bookmarkStart w:id="1332" w:name="_Toc38441881"/>
      <w:bookmarkStart w:id="1333" w:name="_Toc38442213"/>
      <w:bookmarkStart w:id="1334" w:name="_Toc38442545"/>
      <w:bookmarkStart w:id="1335" w:name="_Toc38442876"/>
      <w:bookmarkStart w:id="1336" w:name="_Toc38443207"/>
      <w:bookmarkStart w:id="1337" w:name="_Toc38443538"/>
      <w:bookmarkStart w:id="1338" w:name="_Toc38443869"/>
      <w:bookmarkStart w:id="1339" w:name="_Toc38438336"/>
      <w:bookmarkStart w:id="1340" w:name="_Toc38438673"/>
      <w:bookmarkStart w:id="1341" w:name="_Toc38439010"/>
      <w:bookmarkStart w:id="1342" w:name="_Toc38439347"/>
      <w:bookmarkStart w:id="1343" w:name="_Toc38439684"/>
      <w:bookmarkStart w:id="1344" w:name="_Toc38440021"/>
      <w:bookmarkStart w:id="1345" w:name="_Toc38440358"/>
      <w:bookmarkStart w:id="1346" w:name="_Toc38440890"/>
      <w:bookmarkStart w:id="1347" w:name="_Toc38441222"/>
      <w:bookmarkStart w:id="1348" w:name="_Toc38441554"/>
      <w:bookmarkStart w:id="1349" w:name="_Toc38441882"/>
      <w:bookmarkStart w:id="1350" w:name="_Toc38442214"/>
      <w:bookmarkStart w:id="1351" w:name="_Toc38442546"/>
      <w:bookmarkStart w:id="1352" w:name="_Toc38442877"/>
      <w:bookmarkStart w:id="1353" w:name="_Toc38443208"/>
      <w:bookmarkStart w:id="1354" w:name="_Toc38443539"/>
      <w:bookmarkStart w:id="1355" w:name="_Toc38443870"/>
      <w:bookmarkStart w:id="1356" w:name="_Toc38438337"/>
      <w:bookmarkStart w:id="1357" w:name="_Toc38438674"/>
      <w:bookmarkStart w:id="1358" w:name="_Toc38439011"/>
      <w:bookmarkStart w:id="1359" w:name="_Toc38439348"/>
      <w:bookmarkStart w:id="1360" w:name="_Toc38439685"/>
      <w:bookmarkStart w:id="1361" w:name="_Toc38440022"/>
      <w:bookmarkStart w:id="1362" w:name="_Toc38440359"/>
      <w:bookmarkStart w:id="1363" w:name="_Toc38440891"/>
      <w:bookmarkStart w:id="1364" w:name="_Toc38441223"/>
      <w:bookmarkStart w:id="1365" w:name="_Toc38441555"/>
      <w:bookmarkStart w:id="1366" w:name="_Toc38441883"/>
      <w:bookmarkStart w:id="1367" w:name="_Toc38442215"/>
      <w:bookmarkStart w:id="1368" w:name="_Toc38442547"/>
      <w:bookmarkStart w:id="1369" w:name="_Toc38442878"/>
      <w:bookmarkStart w:id="1370" w:name="_Toc38443209"/>
      <w:bookmarkStart w:id="1371" w:name="_Toc38443540"/>
      <w:bookmarkStart w:id="1372" w:name="_Toc38443871"/>
      <w:bookmarkStart w:id="1373" w:name="_Toc38438338"/>
      <w:bookmarkStart w:id="1374" w:name="_Toc38438675"/>
      <w:bookmarkStart w:id="1375" w:name="_Toc38439012"/>
      <w:bookmarkStart w:id="1376" w:name="_Toc38439349"/>
      <w:bookmarkStart w:id="1377" w:name="_Toc38439686"/>
      <w:bookmarkStart w:id="1378" w:name="_Toc38440023"/>
      <w:bookmarkStart w:id="1379" w:name="_Toc38440360"/>
      <w:bookmarkStart w:id="1380" w:name="_Toc38440892"/>
      <w:bookmarkStart w:id="1381" w:name="_Toc38441224"/>
      <w:bookmarkStart w:id="1382" w:name="_Toc38441556"/>
      <w:bookmarkStart w:id="1383" w:name="_Toc38441884"/>
      <w:bookmarkStart w:id="1384" w:name="_Toc38442216"/>
      <w:bookmarkStart w:id="1385" w:name="_Toc38442548"/>
      <w:bookmarkStart w:id="1386" w:name="_Toc38442879"/>
      <w:bookmarkStart w:id="1387" w:name="_Toc38443210"/>
      <w:bookmarkStart w:id="1388" w:name="_Toc38443541"/>
      <w:bookmarkStart w:id="1389" w:name="_Toc38443872"/>
      <w:bookmarkStart w:id="1390" w:name="_Toc38438339"/>
      <w:bookmarkStart w:id="1391" w:name="_Toc38438676"/>
      <w:bookmarkStart w:id="1392" w:name="_Toc38439013"/>
      <w:bookmarkStart w:id="1393" w:name="_Toc38439350"/>
      <w:bookmarkStart w:id="1394" w:name="_Toc38439687"/>
      <w:bookmarkStart w:id="1395" w:name="_Toc38440024"/>
      <w:bookmarkStart w:id="1396" w:name="_Toc38440361"/>
      <w:bookmarkStart w:id="1397" w:name="_Toc38440893"/>
      <w:bookmarkStart w:id="1398" w:name="_Toc38441225"/>
      <w:bookmarkStart w:id="1399" w:name="_Toc38441557"/>
      <w:bookmarkStart w:id="1400" w:name="_Toc38441885"/>
      <w:bookmarkStart w:id="1401" w:name="_Toc38442217"/>
      <w:bookmarkStart w:id="1402" w:name="_Toc38442549"/>
      <w:bookmarkStart w:id="1403" w:name="_Toc38442880"/>
      <w:bookmarkStart w:id="1404" w:name="_Toc38443211"/>
      <w:bookmarkStart w:id="1405" w:name="_Toc38443542"/>
      <w:bookmarkStart w:id="1406" w:name="_Toc38443873"/>
      <w:bookmarkStart w:id="1407" w:name="_Toc38438340"/>
      <w:bookmarkStart w:id="1408" w:name="_Toc38438677"/>
      <w:bookmarkStart w:id="1409" w:name="_Toc38439014"/>
      <w:bookmarkStart w:id="1410" w:name="_Toc38439351"/>
      <w:bookmarkStart w:id="1411" w:name="_Toc38439688"/>
      <w:bookmarkStart w:id="1412" w:name="_Toc38440025"/>
      <w:bookmarkStart w:id="1413" w:name="_Toc38440362"/>
      <w:bookmarkStart w:id="1414" w:name="_Toc38440894"/>
      <w:bookmarkStart w:id="1415" w:name="_Toc38441226"/>
      <w:bookmarkStart w:id="1416" w:name="_Toc38441558"/>
      <w:bookmarkStart w:id="1417" w:name="_Toc38441886"/>
      <w:bookmarkStart w:id="1418" w:name="_Toc38442218"/>
      <w:bookmarkStart w:id="1419" w:name="_Toc38442550"/>
      <w:bookmarkStart w:id="1420" w:name="_Toc38442881"/>
      <w:bookmarkStart w:id="1421" w:name="_Toc38443212"/>
      <w:bookmarkStart w:id="1422" w:name="_Toc38443543"/>
      <w:bookmarkStart w:id="1423" w:name="_Toc38443874"/>
      <w:bookmarkStart w:id="1424" w:name="_Toc38438341"/>
      <w:bookmarkStart w:id="1425" w:name="_Toc38438678"/>
      <w:bookmarkStart w:id="1426" w:name="_Toc38439015"/>
      <w:bookmarkStart w:id="1427" w:name="_Toc38439352"/>
      <w:bookmarkStart w:id="1428" w:name="_Toc38439689"/>
      <w:bookmarkStart w:id="1429" w:name="_Toc38440026"/>
      <w:bookmarkStart w:id="1430" w:name="_Toc38440363"/>
      <w:bookmarkStart w:id="1431" w:name="_Toc38440895"/>
      <w:bookmarkStart w:id="1432" w:name="_Toc38441227"/>
      <w:bookmarkStart w:id="1433" w:name="_Toc38441559"/>
      <w:bookmarkStart w:id="1434" w:name="_Toc38441887"/>
      <w:bookmarkStart w:id="1435" w:name="_Toc38442219"/>
      <w:bookmarkStart w:id="1436" w:name="_Toc38442551"/>
      <w:bookmarkStart w:id="1437" w:name="_Toc38442882"/>
      <w:bookmarkStart w:id="1438" w:name="_Toc38443213"/>
      <w:bookmarkStart w:id="1439" w:name="_Toc38443544"/>
      <w:bookmarkStart w:id="1440" w:name="_Toc38443875"/>
      <w:bookmarkStart w:id="1441" w:name="_Toc38438342"/>
      <w:bookmarkStart w:id="1442" w:name="_Toc38438679"/>
      <w:bookmarkStart w:id="1443" w:name="_Toc38439016"/>
      <w:bookmarkStart w:id="1444" w:name="_Toc38439353"/>
      <w:bookmarkStart w:id="1445" w:name="_Toc38439690"/>
      <w:bookmarkStart w:id="1446" w:name="_Toc38440027"/>
      <w:bookmarkStart w:id="1447" w:name="_Toc38440364"/>
      <w:bookmarkStart w:id="1448" w:name="_Toc38440896"/>
      <w:bookmarkStart w:id="1449" w:name="_Toc38441228"/>
      <w:bookmarkStart w:id="1450" w:name="_Toc38441560"/>
      <w:bookmarkStart w:id="1451" w:name="_Toc38441888"/>
      <w:bookmarkStart w:id="1452" w:name="_Toc38442220"/>
      <w:bookmarkStart w:id="1453" w:name="_Toc38442552"/>
      <w:bookmarkStart w:id="1454" w:name="_Toc38442883"/>
      <w:bookmarkStart w:id="1455" w:name="_Toc38443214"/>
      <w:bookmarkStart w:id="1456" w:name="_Toc38443545"/>
      <w:bookmarkStart w:id="1457" w:name="_Toc38443876"/>
      <w:bookmarkStart w:id="1458" w:name="_Toc38438343"/>
      <w:bookmarkStart w:id="1459" w:name="_Toc38438680"/>
      <w:bookmarkStart w:id="1460" w:name="_Toc38439017"/>
      <w:bookmarkStart w:id="1461" w:name="_Toc38439354"/>
      <w:bookmarkStart w:id="1462" w:name="_Toc38439691"/>
      <w:bookmarkStart w:id="1463" w:name="_Toc38440028"/>
      <w:bookmarkStart w:id="1464" w:name="_Toc38440365"/>
      <w:bookmarkStart w:id="1465" w:name="_Toc38440897"/>
      <w:bookmarkStart w:id="1466" w:name="_Toc38441229"/>
      <w:bookmarkStart w:id="1467" w:name="_Toc38441561"/>
      <w:bookmarkStart w:id="1468" w:name="_Toc38441889"/>
      <w:bookmarkStart w:id="1469" w:name="_Toc38442221"/>
      <w:bookmarkStart w:id="1470" w:name="_Toc38442553"/>
      <w:bookmarkStart w:id="1471" w:name="_Toc38442884"/>
      <w:bookmarkStart w:id="1472" w:name="_Toc38443215"/>
      <w:bookmarkStart w:id="1473" w:name="_Toc38443546"/>
      <w:bookmarkStart w:id="1474" w:name="_Toc38443877"/>
      <w:bookmarkStart w:id="1475" w:name="_Toc44351154"/>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sidRPr="00721084">
        <w:rPr>
          <w:rFonts w:asciiTheme="minorEastAsia" w:eastAsiaTheme="minorEastAsia" w:hAnsiTheme="minorEastAsia" w:hint="eastAsia"/>
        </w:rPr>
        <w:lastRenderedPageBreak/>
        <w:t>其他应披露事项</w:t>
      </w:r>
      <w:bookmarkEnd w:id="1475"/>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1658"/>
      </w:tblGrid>
      <w:tr w:rsidR="006D35EC" w:rsidRPr="00721084" w:rsidTr="006A620A">
        <w:trPr>
          <w:trHeight w:val="765"/>
        </w:trPr>
        <w:tc>
          <w:tcPr>
            <w:tcW w:w="6771" w:type="dxa"/>
            <w:tcBorders>
              <w:top w:val="single" w:sz="4" w:space="0" w:color="auto"/>
              <w:left w:val="single" w:sz="4" w:space="0" w:color="auto"/>
              <w:bottom w:val="single" w:sz="4" w:space="0" w:color="auto"/>
              <w:right w:val="single" w:sz="4" w:space="0" w:color="auto"/>
            </w:tcBorders>
            <w:vAlign w:val="center"/>
            <w:hideMark/>
          </w:tcPr>
          <w:p w:rsidR="000633A3" w:rsidRPr="00721084" w:rsidRDefault="002465F1" w:rsidP="001B4D13">
            <w:pPr>
              <w:spacing w:line="360" w:lineRule="auto"/>
              <w:ind w:firstLineChars="200" w:firstLine="420"/>
              <w:jc w:val="center"/>
              <w:rPr>
                <w:rFonts w:asciiTheme="minorEastAsia" w:eastAsiaTheme="minorEastAsia" w:hAnsiTheme="minorEastAsia"/>
                <w:szCs w:val="21"/>
              </w:rPr>
            </w:pPr>
            <w:r w:rsidRPr="00721084">
              <w:rPr>
                <w:rFonts w:asciiTheme="minorEastAsia" w:eastAsiaTheme="minorEastAsia" w:hAnsiTheme="minorEastAsia" w:hint="eastAsia"/>
                <w:szCs w:val="21"/>
              </w:rPr>
              <w:t>公告事项</w:t>
            </w:r>
          </w:p>
        </w:tc>
        <w:tc>
          <w:tcPr>
            <w:tcW w:w="1658" w:type="dxa"/>
            <w:tcBorders>
              <w:top w:val="single" w:sz="4" w:space="0" w:color="auto"/>
              <w:left w:val="single" w:sz="4" w:space="0" w:color="auto"/>
              <w:bottom w:val="single" w:sz="4" w:space="0" w:color="auto"/>
              <w:right w:val="single" w:sz="4" w:space="0" w:color="auto"/>
            </w:tcBorders>
            <w:vAlign w:val="center"/>
            <w:hideMark/>
          </w:tcPr>
          <w:p w:rsidR="000633A3" w:rsidRPr="00721084" w:rsidRDefault="002465F1" w:rsidP="00D87C43">
            <w:pPr>
              <w:spacing w:line="360" w:lineRule="auto"/>
              <w:jc w:val="center"/>
              <w:rPr>
                <w:rFonts w:asciiTheme="minorEastAsia" w:eastAsiaTheme="minorEastAsia" w:hAnsiTheme="minorEastAsia"/>
                <w:szCs w:val="21"/>
              </w:rPr>
            </w:pPr>
            <w:r w:rsidRPr="00721084">
              <w:rPr>
                <w:rFonts w:asciiTheme="minorEastAsia" w:eastAsiaTheme="minorEastAsia" w:hAnsiTheme="minorEastAsia" w:hint="eastAsia"/>
                <w:szCs w:val="21"/>
              </w:rPr>
              <w:t>披露日期</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易方达亚洲精选股票型证券投资基金2019年7月31日暂停申购、赎回、转换及定期定额投资业务的公告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2019-08-01</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易方达基金管理有限公司关于旗下部分开放式基金参加海通证券费率优惠活动的公告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2019-08-12</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易方达基金管理有限公司关于旗下部分开放式基金参加销售机构申购费率优惠活动的公告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2019-08-13</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易方达基金管理有限公司关于暂停北京中期时代基金销售有限公司办理旗下基金相关销售业务的公告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2019-08-13</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2019-08-14</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2019-08-14</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易方达基金管理有限公司关于暂停深圳宜投基金销售有限公司办理旗下基金相关销售业务的公告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2019-08-14</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2019-08-14</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易方达基金管理有限公司关于旗下部分开放式基金参加潍坊银行费率优惠活动的公告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2019-08-26</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易方达亚洲精选股票型证券投资基金2019年9月2日暂停申购、赎回、转换及定期定额投资业务的公告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2019-08-28</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易方达基金管理有限公司旗下基金季度报告提示性公告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2019-10-24</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易方达基金管理有限公司旗下部分开放式基金参加方正证券费率优惠活动的公告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2019-11-08</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易方达亚洲精选股票型证券投资基金2019年11月28日暂停申购、赎回、转换及定期定额投资业务的公告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2019-11-25</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易方达基金管理有限公司旗下部分开放式基金增加中邮证券为销售机构的公告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2019-12-16</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易方达亚洲精选股票型证券投资基金2019年12月24日至12月26日暂停申购、赎回、转换及定期定额投资业务的公告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2019-12-19</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易方达亚洲精选股票型证券投资基金2019年12月31日暂停申购、赎回、转换及定期定额投资业务的公告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2019-12-26</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易方达基金管理有限公司旗下部分开放式基金参加中国邮政储蓄银行个人网上银行和手机银行申购费率优惠活动的公告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2019-12-30</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易方达基金管理有限公司关于公司股权变更的公告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2019-12-31</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易方达基金管理有限公司关于易方达亚洲精选股票型证券投资基金根据《公开募集证券投资基金信息披露管理办法》修订基金合同、托管协议部分条款的公告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2019-12-31</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易方达基金管理有限公司旗下部分开放式基金参加交通银行手机银行费</w:t>
            </w:r>
            <w:r w:rsidRPr="00721084">
              <w:rPr>
                <w:rFonts w:asciiTheme="minorEastAsia" w:eastAsiaTheme="minorEastAsia" w:hAnsiTheme="minorEastAsia" w:hint="eastAsia"/>
                <w:szCs w:val="21"/>
              </w:rPr>
              <w:lastRenderedPageBreak/>
              <w:t>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2019-12-31</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易方达基金管理有限公司旗下部分开放式基金参加苏州银行费率优惠活动的公告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2019-12-31</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易方达基金管理有限公司旗下部分开放式基金参加烟台银行定期定额投资费率优惠活动的公告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2019-12-31</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易方达基金管理有限公司旗下部分开放式基金参加中国工商银行“2020倾心回馈”基金定期定额投资费率优惠活动的公告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2019-12-31</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易方达基金管理有限公司旗下部分开放式基金参加中国工商银行个人电子银行渠道申购费率优惠活动的公告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2019-12-31</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易方达基金管理有限公司旗下部分开放式基金参加浦发银行“极客智投”申购费率优惠活动的公告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2020-01-03</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易方达基金管理有限公司旗下部分开放式基金参加中国农业银行费率优惠活动的公告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2020-01-06</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易方达基金管理有限公司旗下部分开放式基金增加微众银行为销售机构、参加微众银行费率优惠活动的公告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2020-01-15</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易方达亚洲精选股票型证券投资基金2020年1月20日暂停申购、赎回、转换及定期定额投资业务的公告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2020-01-15</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易方达基金管理有限公司旗下基金2019年第4季度报告提示性公告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2020-01-18</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易方达基金管理有限公司旗下部分开放式基金参加泉州银行费率优惠活动的公告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2020-01-23</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2020-01-30</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易方达基金管理有限公司关于公司旗下部分基金估值调整情况的公告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2020-02-04</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易方达基金管理有限公司及全资子公司投资旗下基金相关事宜的公告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2020-02-04</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易方达亚洲精选股票型证券投资基金2020年2月17日暂停申购、赎回、转换及定期定额投资业务的公告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2020-02-12</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易方达基金管理有限公司旗下部分开放式基金参加中金公司费率优惠活动的公告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2020-03-05</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易方达基金管理有限公司旗下部分开放式基金参加百度百盈费率优惠活动的公告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2020-03-10</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易方达亚洲精选股票型证券投资基金在直销中心暂停申购及转换转入业务的公告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2020-03-11</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易方达基金管理有限公司关于旗下部分开放式基金参加腾安基金费率优惠活动的公告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2020-03-17</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2020-03-23</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易方达亚洲精选股票型证券投资基金2020年4月10日、4月13日暂停申购、赎回、转换及定期定额投资业务的公告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2020-04-07</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易方达基金管理有限公司关于提醒投资者及时提供或更新身份信息资料的公告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2020-04-10</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易方达基金管理有限公司旗下部分开放式基金参加诺亚正行费率优惠活动的公告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2020-04-17</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易方达基金管理有限公司旗下部分开放式基金参加中国国际期货费率优</w:t>
            </w:r>
            <w:r w:rsidRPr="00721084">
              <w:rPr>
                <w:rFonts w:asciiTheme="minorEastAsia" w:eastAsiaTheme="minorEastAsia" w:hAnsiTheme="minorEastAsia" w:hint="eastAsia"/>
                <w:szCs w:val="21"/>
              </w:rPr>
              <w:lastRenderedPageBreak/>
              <w:t>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lastRenderedPageBreak/>
              <w:t>2020-04-17</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易方达基金管理有限公司旗下部分开放式基金参加国联证券费率优惠活动的公告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2020-04-22</w:t>
            </w:r>
          </w:p>
        </w:tc>
      </w:tr>
      <w:tr w:rsidR="002465F1" w:rsidRPr="00721084" w:rsidTr="00721084">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rsidR="002465F1" w:rsidRPr="00721084" w:rsidRDefault="002465F1" w:rsidP="002465F1">
            <w:pPr>
              <w:jc w:val="left"/>
              <w:rPr>
                <w:rFonts w:asciiTheme="minorEastAsia" w:eastAsiaTheme="minorEastAsia" w:hAnsiTheme="minorEastAsia"/>
                <w:szCs w:val="21"/>
              </w:rPr>
            </w:pPr>
            <w:r w:rsidRPr="00721084">
              <w:rPr>
                <w:rFonts w:asciiTheme="minorEastAsia" w:eastAsiaTheme="minorEastAsia" w:hAnsiTheme="minorEastAsia" w:hint="eastAsia"/>
                <w:szCs w:val="21"/>
              </w:rPr>
              <w:t>易方达亚洲精选股票型证券投资基金2020年4月30日暂停申购、赎回、转换及定期定额投资业务的公告</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2465F1" w:rsidRPr="00721084" w:rsidRDefault="002465F1" w:rsidP="00721084">
            <w:pPr>
              <w:widowControl/>
              <w:jc w:val="center"/>
              <w:rPr>
                <w:rFonts w:asciiTheme="minorEastAsia" w:eastAsiaTheme="minorEastAsia" w:hAnsiTheme="minorEastAsia"/>
                <w:szCs w:val="21"/>
              </w:rPr>
            </w:pPr>
            <w:r w:rsidRPr="00721084">
              <w:rPr>
                <w:rFonts w:asciiTheme="minorEastAsia" w:eastAsiaTheme="minorEastAsia" w:hAnsiTheme="minorEastAsia" w:hint="eastAsia"/>
                <w:szCs w:val="21"/>
              </w:rPr>
              <w:t>2020-04-27</w:t>
            </w:r>
          </w:p>
        </w:tc>
      </w:tr>
    </w:tbl>
    <w:p w:rsidR="00DE27D2" w:rsidRPr="00721084" w:rsidRDefault="00AE1964"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注：以上公告事项披露在指定媒介及基金管理人网站上。</w:t>
      </w:r>
    </w:p>
    <w:p w:rsidR="00BD4C5B" w:rsidRPr="00721084" w:rsidRDefault="00BD4C5B" w:rsidP="00CE3F81">
      <w:pPr>
        <w:snapToGrid w:val="0"/>
        <w:spacing w:line="360" w:lineRule="auto"/>
        <w:ind w:firstLineChars="200" w:firstLine="420"/>
        <w:rPr>
          <w:rFonts w:asciiTheme="minorEastAsia" w:eastAsiaTheme="minorEastAsia" w:hAnsiTheme="minorEastAsia"/>
          <w:szCs w:val="21"/>
        </w:rPr>
        <w:sectPr w:rsidR="00BD4C5B" w:rsidRPr="00721084" w:rsidSect="00684E94">
          <w:pgSz w:w="11906" w:h="16838" w:code="9"/>
          <w:pgMar w:top="1440" w:right="1800" w:bottom="1440" w:left="1800" w:header="851" w:footer="992" w:gutter="0"/>
          <w:cols w:space="425"/>
          <w:docGrid w:type="lines" w:linePitch="312"/>
        </w:sectPr>
      </w:pPr>
    </w:p>
    <w:p w:rsidR="00FD1D54" w:rsidRPr="00721084" w:rsidRDefault="00FD1D54"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1476" w:name="_Toc38438350"/>
      <w:bookmarkStart w:id="1477" w:name="_Toc38438687"/>
      <w:bookmarkStart w:id="1478" w:name="_Toc38439024"/>
      <w:bookmarkStart w:id="1479" w:name="_Toc38439361"/>
      <w:bookmarkStart w:id="1480" w:name="_Toc38439698"/>
      <w:bookmarkStart w:id="1481" w:name="_Toc38440035"/>
      <w:bookmarkStart w:id="1482" w:name="_Toc38440372"/>
      <w:bookmarkStart w:id="1483" w:name="_Toc38440904"/>
      <w:bookmarkStart w:id="1484" w:name="_Toc38441236"/>
      <w:bookmarkStart w:id="1485" w:name="_Toc38441568"/>
      <w:bookmarkStart w:id="1486" w:name="_Toc38441896"/>
      <w:bookmarkStart w:id="1487" w:name="_Toc38442228"/>
      <w:bookmarkStart w:id="1488" w:name="_Toc38442560"/>
      <w:bookmarkStart w:id="1489" w:name="_Toc38442891"/>
      <w:bookmarkStart w:id="1490" w:name="_Toc38443222"/>
      <w:bookmarkStart w:id="1491" w:name="_Toc38443553"/>
      <w:bookmarkStart w:id="1492" w:name="_Toc38443883"/>
      <w:bookmarkStart w:id="1493" w:name="_Toc38438351"/>
      <w:bookmarkStart w:id="1494" w:name="_Toc38438688"/>
      <w:bookmarkStart w:id="1495" w:name="_Toc38439025"/>
      <w:bookmarkStart w:id="1496" w:name="_Toc38439362"/>
      <w:bookmarkStart w:id="1497" w:name="_Toc38439699"/>
      <w:bookmarkStart w:id="1498" w:name="_Toc38440036"/>
      <w:bookmarkStart w:id="1499" w:name="_Toc38440373"/>
      <w:bookmarkStart w:id="1500" w:name="_Toc38440905"/>
      <w:bookmarkStart w:id="1501" w:name="_Toc38441237"/>
      <w:bookmarkStart w:id="1502" w:name="_Toc38441569"/>
      <w:bookmarkStart w:id="1503" w:name="_Toc38441897"/>
      <w:bookmarkStart w:id="1504" w:name="_Toc38442229"/>
      <w:bookmarkStart w:id="1505" w:name="_Toc38442561"/>
      <w:bookmarkStart w:id="1506" w:name="_Toc38442892"/>
      <w:bookmarkStart w:id="1507" w:name="_Toc38443223"/>
      <w:bookmarkStart w:id="1508" w:name="_Toc38443554"/>
      <w:bookmarkStart w:id="1509" w:name="_Toc38443884"/>
      <w:bookmarkStart w:id="1510" w:name="_Toc38438352"/>
      <w:bookmarkStart w:id="1511" w:name="_Toc38438689"/>
      <w:bookmarkStart w:id="1512" w:name="_Toc38439026"/>
      <w:bookmarkStart w:id="1513" w:name="_Toc38439363"/>
      <w:bookmarkStart w:id="1514" w:name="_Toc38439700"/>
      <w:bookmarkStart w:id="1515" w:name="_Toc38440037"/>
      <w:bookmarkStart w:id="1516" w:name="_Toc38440374"/>
      <w:bookmarkStart w:id="1517" w:name="_Toc38440906"/>
      <w:bookmarkStart w:id="1518" w:name="_Toc38441238"/>
      <w:bookmarkStart w:id="1519" w:name="_Toc38441570"/>
      <w:bookmarkStart w:id="1520" w:name="_Toc38441898"/>
      <w:bookmarkStart w:id="1521" w:name="_Toc38442230"/>
      <w:bookmarkStart w:id="1522" w:name="_Toc38442562"/>
      <w:bookmarkStart w:id="1523" w:name="_Toc38442893"/>
      <w:bookmarkStart w:id="1524" w:name="_Toc38443224"/>
      <w:bookmarkStart w:id="1525" w:name="_Toc38443555"/>
      <w:bookmarkStart w:id="1526" w:name="_Toc38443885"/>
      <w:bookmarkStart w:id="1527" w:name="_Toc38438353"/>
      <w:bookmarkStart w:id="1528" w:name="_Toc38438690"/>
      <w:bookmarkStart w:id="1529" w:name="_Toc38439027"/>
      <w:bookmarkStart w:id="1530" w:name="_Toc38439364"/>
      <w:bookmarkStart w:id="1531" w:name="_Toc38439701"/>
      <w:bookmarkStart w:id="1532" w:name="_Toc38440038"/>
      <w:bookmarkStart w:id="1533" w:name="_Toc38440375"/>
      <w:bookmarkStart w:id="1534" w:name="_Toc38440907"/>
      <w:bookmarkStart w:id="1535" w:name="_Toc38441239"/>
      <w:bookmarkStart w:id="1536" w:name="_Toc38441571"/>
      <w:bookmarkStart w:id="1537" w:name="_Toc38441899"/>
      <w:bookmarkStart w:id="1538" w:name="_Toc38442231"/>
      <w:bookmarkStart w:id="1539" w:name="_Toc38442563"/>
      <w:bookmarkStart w:id="1540" w:name="_Toc38442894"/>
      <w:bookmarkStart w:id="1541" w:name="_Toc38443225"/>
      <w:bookmarkStart w:id="1542" w:name="_Toc38443556"/>
      <w:bookmarkStart w:id="1543" w:name="_Toc38443886"/>
      <w:bookmarkStart w:id="1544" w:name="_Toc38438354"/>
      <w:bookmarkStart w:id="1545" w:name="_Toc38438691"/>
      <w:bookmarkStart w:id="1546" w:name="_Toc38439028"/>
      <w:bookmarkStart w:id="1547" w:name="_Toc38439365"/>
      <w:bookmarkStart w:id="1548" w:name="_Toc38439702"/>
      <w:bookmarkStart w:id="1549" w:name="_Toc38440039"/>
      <w:bookmarkStart w:id="1550" w:name="_Toc38440376"/>
      <w:bookmarkStart w:id="1551" w:name="_Toc38440908"/>
      <w:bookmarkStart w:id="1552" w:name="_Toc38441240"/>
      <w:bookmarkStart w:id="1553" w:name="_Toc38441572"/>
      <w:bookmarkStart w:id="1554" w:name="_Toc38441900"/>
      <w:bookmarkStart w:id="1555" w:name="_Toc38442232"/>
      <w:bookmarkStart w:id="1556" w:name="_Toc38442564"/>
      <w:bookmarkStart w:id="1557" w:name="_Toc38442895"/>
      <w:bookmarkStart w:id="1558" w:name="_Toc38443226"/>
      <w:bookmarkStart w:id="1559" w:name="_Toc38443557"/>
      <w:bookmarkStart w:id="1560" w:name="_Toc38443887"/>
      <w:bookmarkStart w:id="1561" w:name="_Toc38438355"/>
      <w:bookmarkStart w:id="1562" w:name="_Toc38438692"/>
      <w:bookmarkStart w:id="1563" w:name="_Toc38439029"/>
      <w:bookmarkStart w:id="1564" w:name="_Toc38439366"/>
      <w:bookmarkStart w:id="1565" w:name="_Toc38439703"/>
      <w:bookmarkStart w:id="1566" w:name="_Toc38440040"/>
      <w:bookmarkStart w:id="1567" w:name="_Toc38440377"/>
      <w:bookmarkStart w:id="1568" w:name="_Toc38440909"/>
      <w:bookmarkStart w:id="1569" w:name="_Toc38441241"/>
      <w:bookmarkStart w:id="1570" w:name="_Toc38441573"/>
      <w:bookmarkStart w:id="1571" w:name="_Toc38441901"/>
      <w:bookmarkStart w:id="1572" w:name="_Toc38442233"/>
      <w:bookmarkStart w:id="1573" w:name="_Toc38442565"/>
      <w:bookmarkStart w:id="1574" w:name="_Toc38442896"/>
      <w:bookmarkStart w:id="1575" w:name="_Toc38443227"/>
      <w:bookmarkStart w:id="1576" w:name="_Toc38443558"/>
      <w:bookmarkStart w:id="1577" w:name="_Toc38443888"/>
      <w:bookmarkStart w:id="1578" w:name="_Toc38438356"/>
      <w:bookmarkStart w:id="1579" w:name="_Toc38438693"/>
      <w:bookmarkStart w:id="1580" w:name="_Toc38439030"/>
      <w:bookmarkStart w:id="1581" w:name="_Toc38439367"/>
      <w:bookmarkStart w:id="1582" w:name="_Toc38439704"/>
      <w:bookmarkStart w:id="1583" w:name="_Toc38440041"/>
      <w:bookmarkStart w:id="1584" w:name="_Toc38440378"/>
      <w:bookmarkStart w:id="1585" w:name="_Toc38440910"/>
      <w:bookmarkStart w:id="1586" w:name="_Toc38441242"/>
      <w:bookmarkStart w:id="1587" w:name="_Toc38441574"/>
      <w:bookmarkStart w:id="1588" w:name="_Toc38441902"/>
      <w:bookmarkStart w:id="1589" w:name="_Toc38442234"/>
      <w:bookmarkStart w:id="1590" w:name="_Toc38442566"/>
      <w:bookmarkStart w:id="1591" w:name="_Toc38442897"/>
      <w:bookmarkStart w:id="1592" w:name="_Toc38443228"/>
      <w:bookmarkStart w:id="1593" w:name="_Toc38443559"/>
      <w:bookmarkStart w:id="1594" w:name="_Toc38443889"/>
      <w:bookmarkStart w:id="1595" w:name="_Toc38438357"/>
      <w:bookmarkStart w:id="1596" w:name="_Toc38438694"/>
      <w:bookmarkStart w:id="1597" w:name="_Toc38439031"/>
      <w:bookmarkStart w:id="1598" w:name="_Toc38439368"/>
      <w:bookmarkStart w:id="1599" w:name="_Toc38439705"/>
      <w:bookmarkStart w:id="1600" w:name="_Toc38440042"/>
      <w:bookmarkStart w:id="1601" w:name="_Toc38440379"/>
      <w:bookmarkStart w:id="1602" w:name="_Toc38440911"/>
      <w:bookmarkStart w:id="1603" w:name="_Toc38441243"/>
      <w:bookmarkStart w:id="1604" w:name="_Toc38441575"/>
      <w:bookmarkStart w:id="1605" w:name="_Toc38441903"/>
      <w:bookmarkStart w:id="1606" w:name="_Toc38442235"/>
      <w:bookmarkStart w:id="1607" w:name="_Toc38442567"/>
      <w:bookmarkStart w:id="1608" w:name="_Toc38442898"/>
      <w:bookmarkStart w:id="1609" w:name="_Toc38443229"/>
      <w:bookmarkStart w:id="1610" w:name="_Toc38443560"/>
      <w:bookmarkStart w:id="1611" w:name="_Toc38443890"/>
      <w:bookmarkStart w:id="1612" w:name="_Toc38438358"/>
      <w:bookmarkStart w:id="1613" w:name="_Toc38438695"/>
      <w:bookmarkStart w:id="1614" w:name="_Toc38439032"/>
      <w:bookmarkStart w:id="1615" w:name="_Toc38439369"/>
      <w:bookmarkStart w:id="1616" w:name="_Toc38439706"/>
      <w:bookmarkStart w:id="1617" w:name="_Toc38440043"/>
      <w:bookmarkStart w:id="1618" w:name="_Toc38440380"/>
      <w:bookmarkStart w:id="1619" w:name="_Toc38440912"/>
      <w:bookmarkStart w:id="1620" w:name="_Toc38441244"/>
      <w:bookmarkStart w:id="1621" w:name="_Toc38441576"/>
      <w:bookmarkStart w:id="1622" w:name="_Toc38441904"/>
      <w:bookmarkStart w:id="1623" w:name="_Toc38442236"/>
      <w:bookmarkStart w:id="1624" w:name="_Toc38442568"/>
      <w:bookmarkStart w:id="1625" w:name="_Toc38442899"/>
      <w:bookmarkStart w:id="1626" w:name="_Toc38443230"/>
      <w:bookmarkStart w:id="1627" w:name="_Toc38443561"/>
      <w:bookmarkStart w:id="1628" w:name="_Toc38443891"/>
      <w:bookmarkStart w:id="1629" w:name="_Toc38438359"/>
      <w:bookmarkStart w:id="1630" w:name="_Toc38438696"/>
      <w:bookmarkStart w:id="1631" w:name="_Toc38439033"/>
      <w:bookmarkStart w:id="1632" w:name="_Toc38439370"/>
      <w:bookmarkStart w:id="1633" w:name="_Toc38439707"/>
      <w:bookmarkStart w:id="1634" w:name="_Toc38440044"/>
      <w:bookmarkStart w:id="1635" w:name="_Toc38440381"/>
      <w:bookmarkStart w:id="1636" w:name="_Toc38440913"/>
      <w:bookmarkStart w:id="1637" w:name="_Toc38441245"/>
      <w:bookmarkStart w:id="1638" w:name="_Toc38441577"/>
      <w:bookmarkStart w:id="1639" w:name="_Toc38441905"/>
      <w:bookmarkStart w:id="1640" w:name="_Toc38442237"/>
      <w:bookmarkStart w:id="1641" w:name="_Toc38442569"/>
      <w:bookmarkStart w:id="1642" w:name="_Toc38442900"/>
      <w:bookmarkStart w:id="1643" w:name="_Toc38443231"/>
      <w:bookmarkStart w:id="1644" w:name="_Toc38443562"/>
      <w:bookmarkStart w:id="1645" w:name="_Toc38443892"/>
      <w:bookmarkStart w:id="1646" w:name="_Toc38438360"/>
      <w:bookmarkStart w:id="1647" w:name="_Toc38438697"/>
      <w:bookmarkStart w:id="1648" w:name="_Toc38439034"/>
      <w:bookmarkStart w:id="1649" w:name="_Toc38439371"/>
      <w:bookmarkStart w:id="1650" w:name="_Toc38439708"/>
      <w:bookmarkStart w:id="1651" w:name="_Toc38440045"/>
      <w:bookmarkStart w:id="1652" w:name="_Toc38440382"/>
      <w:bookmarkStart w:id="1653" w:name="_Toc38440914"/>
      <w:bookmarkStart w:id="1654" w:name="_Toc38441246"/>
      <w:bookmarkStart w:id="1655" w:name="_Toc38441578"/>
      <w:bookmarkStart w:id="1656" w:name="_Toc38441906"/>
      <w:bookmarkStart w:id="1657" w:name="_Toc38442238"/>
      <w:bookmarkStart w:id="1658" w:name="_Toc38442570"/>
      <w:bookmarkStart w:id="1659" w:name="_Toc38442901"/>
      <w:bookmarkStart w:id="1660" w:name="_Toc38443232"/>
      <w:bookmarkStart w:id="1661" w:name="_Toc38443563"/>
      <w:bookmarkStart w:id="1662" w:name="_Toc38443893"/>
      <w:bookmarkStart w:id="1663" w:name="_Toc38438361"/>
      <w:bookmarkStart w:id="1664" w:name="_Toc38438698"/>
      <w:bookmarkStart w:id="1665" w:name="_Toc38439035"/>
      <w:bookmarkStart w:id="1666" w:name="_Toc38439372"/>
      <w:bookmarkStart w:id="1667" w:name="_Toc38439709"/>
      <w:bookmarkStart w:id="1668" w:name="_Toc38440046"/>
      <w:bookmarkStart w:id="1669" w:name="_Toc38440383"/>
      <w:bookmarkStart w:id="1670" w:name="_Toc38440915"/>
      <w:bookmarkStart w:id="1671" w:name="_Toc38441247"/>
      <w:bookmarkStart w:id="1672" w:name="_Toc38441579"/>
      <w:bookmarkStart w:id="1673" w:name="_Toc38441907"/>
      <w:bookmarkStart w:id="1674" w:name="_Toc38442239"/>
      <w:bookmarkStart w:id="1675" w:name="_Toc38442571"/>
      <w:bookmarkStart w:id="1676" w:name="_Toc38442902"/>
      <w:bookmarkStart w:id="1677" w:name="_Toc38443233"/>
      <w:bookmarkStart w:id="1678" w:name="_Toc38443564"/>
      <w:bookmarkStart w:id="1679" w:name="_Toc38443894"/>
      <w:bookmarkStart w:id="1680" w:name="_Toc38438362"/>
      <w:bookmarkStart w:id="1681" w:name="_Toc38438699"/>
      <w:bookmarkStart w:id="1682" w:name="_Toc38439036"/>
      <w:bookmarkStart w:id="1683" w:name="_Toc38439373"/>
      <w:bookmarkStart w:id="1684" w:name="_Toc38439710"/>
      <w:bookmarkStart w:id="1685" w:name="_Toc38440047"/>
      <w:bookmarkStart w:id="1686" w:name="_Toc38440384"/>
      <w:bookmarkStart w:id="1687" w:name="_Toc38440916"/>
      <w:bookmarkStart w:id="1688" w:name="_Toc38441248"/>
      <w:bookmarkStart w:id="1689" w:name="_Toc38441580"/>
      <w:bookmarkStart w:id="1690" w:name="_Toc38441908"/>
      <w:bookmarkStart w:id="1691" w:name="_Toc38442240"/>
      <w:bookmarkStart w:id="1692" w:name="_Toc38442572"/>
      <w:bookmarkStart w:id="1693" w:name="_Toc38442903"/>
      <w:bookmarkStart w:id="1694" w:name="_Toc38443234"/>
      <w:bookmarkStart w:id="1695" w:name="_Toc38443565"/>
      <w:bookmarkStart w:id="1696" w:name="_Toc38443895"/>
      <w:bookmarkStart w:id="1697" w:name="_Toc38438363"/>
      <w:bookmarkStart w:id="1698" w:name="_Toc38438700"/>
      <w:bookmarkStart w:id="1699" w:name="_Toc38439037"/>
      <w:bookmarkStart w:id="1700" w:name="_Toc38439374"/>
      <w:bookmarkStart w:id="1701" w:name="_Toc38439711"/>
      <w:bookmarkStart w:id="1702" w:name="_Toc38440048"/>
      <w:bookmarkStart w:id="1703" w:name="_Toc38440385"/>
      <w:bookmarkStart w:id="1704" w:name="_Toc38440917"/>
      <w:bookmarkStart w:id="1705" w:name="_Toc38441249"/>
      <w:bookmarkStart w:id="1706" w:name="_Toc38441581"/>
      <w:bookmarkStart w:id="1707" w:name="_Toc38441909"/>
      <w:bookmarkStart w:id="1708" w:name="_Toc38442241"/>
      <w:bookmarkStart w:id="1709" w:name="_Toc38442573"/>
      <w:bookmarkStart w:id="1710" w:name="_Toc38442904"/>
      <w:bookmarkStart w:id="1711" w:name="_Toc38443235"/>
      <w:bookmarkStart w:id="1712" w:name="_Toc38443566"/>
      <w:bookmarkStart w:id="1713" w:name="_Toc38443896"/>
      <w:bookmarkStart w:id="1714" w:name="_Toc38438364"/>
      <w:bookmarkStart w:id="1715" w:name="_Toc38438701"/>
      <w:bookmarkStart w:id="1716" w:name="_Toc38439038"/>
      <w:bookmarkStart w:id="1717" w:name="_Toc38439375"/>
      <w:bookmarkStart w:id="1718" w:name="_Toc38439712"/>
      <w:bookmarkStart w:id="1719" w:name="_Toc38440049"/>
      <w:bookmarkStart w:id="1720" w:name="_Toc38440386"/>
      <w:bookmarkStart w:id="1721" w:name="_Toc38440918"/>
      <w:bookmarkStart w:id="1722" w:name="_Toc38441250"/>
      <w:bookmarkStart w:id="1723" w:name="_Toc38441582"/>
      <w:bookmarkStart w:id="1724" w:name="_Toc38441910"/>
      <w:bookmarkStart w:id="1725" w:name="_Toc38442242"/>
      <w:bookmarkStart w:id="1726" w:name="_Toc38442574"/>
      <w:bookmarkStart w:id="1727" w:name="_Toc38442905"/>
      <w:bookmarkStart w:id="1728" w:name="_Toc38443236"/>
      <w:bookmarkStart w:id="1729" w:name="_Toc38443567"/>
      <w:bookmarkStart w:id="1730" w:name="_Toc38443897"/>
      <w:bookmarkStart w:id="1731" w:name="_Toc38438365"/>
      <w:bookmarkStart w:id="1732" w:name="_Toc38438702"/>
      <w:bookmarkStart w:id="1733" w:name="_Toc38439039"/>
      <w:bookmarkStart w:id="1734" w:name="_Toc38439376"/>
      <w:bookmarkStart w:id="1735" w:name="_Toc38439713"/>
      <w:bookmarkStart w:id="1736" w:name="_Toc38440050"/>
      <w:bookmarkStart w:id="1737" w:name="_Toc38440387"/>
      <w:bookmarkStart w:id="1738" w:name="_Toc38440919"/>
      <w:bookmarkStart w:id="1739" w:name="_Toc38441251"/>
      <w:bookmarkStart w:id="1740" w:name="_Toc38441583"/>
      <w:bookmarkStart w:id="1741" w:name="_Toc38441911"/>
      <w:bookmarkStart w:id="1742" w:name="_Toc38442243"/>
      <w:bookmarkStart w:id="1743" w:name="_Toc38442575"/>
      <w:bookmarkStart w:id="1744" w:name="_Toc38442906"/>
      <w:bookmarkStart w:id="1745" w:name="_Toc38443237"/>
      <w:bookmarkStart w:id="1746" w:name="_Toc38443568"/>
      <w:bookmarkStart w:id="1747" w:name="_Toc38443898"/>
      <w:bookmarkStart w:id="1748" w:name="_Toc38438366"/>
      <w:bookmarkStart w:id="1749" w:name="_Toc38438703"/>
      <w:bookmarkStart w:id="1750" w:name="_Toc38439040"/>
      <w:bookmarkStart w:id="1751" w:name="_Toc38439377"/>
      <w:bookmarkStart w:id="1752" w:name="_Toc38439714"/>
      <w:bookmarkStart w:id="1753" w:name="_Toc38440051"/>
      <w:bookmarkStart w:id="1754" w:name="_Toc38440388"/>
      <w:bookmarkStart w:id="1755" w:name="_Toc38440920"/>
      <w:bookmarkStart w:id="1756" w:name="_Toc38441252"/>
      <w:bookmarkStart w:id="1757" w:name="_Toc38441584"/>
      <w:bookmarkStart w:id="1758" w:name="_Toc38441912"/>
      <w:bookmarkStart w:id="1759" w:name="_Toc38442244"/>
      <w:bookmarkStart w:id="1760" w:name="_Toc38442576"/>
      <w:bookmarkStart w:id="1761" w:name="_Toc38442907"/>
      <w:bookmarkStart w:id="1762" w:name="_Toc38443238"/>
      <w:bookmarkStart w:id="1763" w:name="_Toc38443569"/>
      <w:bookmarkStart w:id="1764" w:name="_Toc38443899"/>
      <w:bookmarkStart w:id="1765" w:name="_Toc38438367"/>
      <w:bookmarkStart w:id="1766" w:name="_Toc38438704"/>
      <w:bookmarkStart w:id="1767" w:name="_Toc38439041"/>
      <w:bookmarkStart w:id="1768" w:name="_Toc38439378"/>
      <w:bookmarkStart w:id="1769" w:name="_Toc38439715"/>
      <w:bookmarkStart w:id="1770" w:name="_Toc38440052"/>
      <w:bookmarkStart w:id="1771" w:name="_Toc38440389"/>
      <w:bookmarkStart w:id="1772" w:name="_Toc38440921"/>
      <w:bookmarkStart w:id="1773" w:name="_Toc38441253"/>
      <w:bookmarkStart w:id="1774" w:name="_Toc38441585"/>
      <w:bookmarkStart w:id="1775" w:name="_Toc38441913"/>
      <w:bookmarkStart w:id="1776" w:name="_Toc38442245"/>
      <w:bookmarkStart w:id="1777" w:name="_Toc38442577"/>
      <w:bookmarkStart w:id="1778" w:name="_Toc38442908"/>
      <w:bookmarkStart w:id="1779" w:name="_Toc38443239"/>
      <w:bookmarkStart w:id="1780" w:name="_Toc38443570"/>
      <w:bookmarkStart w:id="1781" w:name="_Toc38443900"/>
      <w:bookmarkStart w:id="1782" w:name="_Toc38438368"/>
      <w:bookmarkStart w:id="1783" w:name="_Toc38438705"/>
      <w:bookmarkStart w:id="1784" w:name="_Toc38439042"/>
      <w:bookmarkStart w:id="1785" w:name="_Toc38439379"/>
      <w:bookmarkStart w:id="1786" w:name="_Toc38439716"/>
      <w:bookmarkStart w:id="1787" w:name="_Toc38440053"/>
      <w:bookmarkStart w:id="1788" w:name="_Toc38440390"/>
      <w:bookmarkStart w:id="1789" w:name="_Toc38440922"/>
      <w:bookmarkStart w:id="1790" w:name="_Toc38441254"/>
      <w:bookmarkStart w:id="1791" w:name="_Toc38441586"/>
      <w:bookmarkStart w:id="1792" w:name="_Toc38441914"/>
      <w:bookmarkStart w:id="1793" w:name="_Toc38442246"/>
      <w:bookmarkStart w:id="1794" w:name="_Toc38442578"/>
      <w:bookmarkStart w:id="1795" w:name="_Toc38442909"/>
      <w:bookmarkStart w:id="1796" w:name="_Toc38443240"/>
      <w:bookmarkStart w:id="1797" w:name="_Toc38443571"/>
      <w:bookmarkStart w:id="1798" w:name="_Toc38443901"/>
      <w:bookmarkStart w:id="1799" w:name="_Toc38438369"/>
      <w:bookmarkStart w:id="1800" w:name="_Toc38438706"/>
      <w:bookmarkStart w:id="1801" w:name="_Toc38439043"/>
      <w:bookmarkStart w:id="1802" w:name="_Toc38439380"/>
      <w:bookmarkStart w:id="1803" w:name="_Toc38439717"/>
      <w:bookmarkStart w:id="1804" w:name="_Toc38440054"/>
      <w:bookmarkStart w:id="1805" w:name="_Toc38440391"/>
      <w:bookmarkStart w:id="1806" w:name="_Toc38440923"/>
      <w:bookmarkStart w:id="1807" w:name="_Toc38441255"/>
      <w:bookmarkStart w:id="1808" w:name="_Toc38441587"/>
      <w:bookmarkStart w:id="1809" w:name="_Toc38441915"/>
      <w:bookmarkStart w:id="1810" w:name="_Toc38442247"/>
      <w:bookmarkStart w:id="1811" w:name="_Toc38442579"/>
      <w:bookmarkStart w:id="1812" w:name="_Toc38442910"/>
      <w:bookmarkStart w:id="1813" w:name="_Toc38443241"/>
      <w:bookmarkStart w:id="1814" w:name="_Toc38443572"/>
      <w:bookmarkStart w:id="1815" w:name="_Toc38443902"/>
      <w:bookmarkStart w:id="1816" w:name="_Toc38438371"/>
      <w:bookmarkStart w:id="1817" w:name="_Toc38438708"/>
      <w:bookmarkStart w:id="1818" w:name="_Toc38439045"/>
      <w:bookmarkStart w:id="1819" w:name="_Toc38439382"/>
      <w:bookmarkStart w:id="1820" w:name="_Toc38439719"/>
      <w:bookmarkStart w:id="1821" w:name="_Toc38440056"/>
      <w:bookmarkStart w:id="1822" w:name="_Toc38440393"/>
      <w:bookmarkStart w:id="1823" w:name="_Toc38440925"/>
      <w:bookmarkStart w:id="1824" w:name="_Toc38441257"/>
      <w:bookmarkStart w:id="1825" w:name="_Toc38441589"/>
      <w:bookmarkStart w:id="1826" w:name="_Toc38441917"/>
      <w:bookmarkStart w:id="1827" w:name="_Toc38442249"/>
      <w:bookmarkStart w:id="1828" w:name="_Toc38442581"/>
      <w:bookmarkStart w:id="1829" w:name="_Toc38442912"/>
      <w:bookmarkStart w:id="1830" w:name="_Toc38443243"/>
      <w:bookmarkStart w:id="1831" w:name="_Toc38443574"/>
      <w:bookmarkStart w:id="1832" w:name="_Toc38443904"/>
      <w:bookmarkStart w:id="1833" w:name="_Toc38438372"/>
      <w:bookmarkStart w:id="1834" w:name="_Toc38438709"/>
      <w:bookmarkStart w:id="1835" w:name="_Toc38439046"/>
      <w:bookmarkStart w:id="1836" w:name="_Toc38439383"/>
      <w:bookmarkStart w:id="1837" w:name="_Toc38439720"/>
      <w:bookmarkStart w:id="1838" w:name="_Toc38440057"/>
      <w:bookmarkStart w:id="1839" w:name="_Toc38440394"/>
      <w:bookmarkStart w:id="1840" w:name="_Toc38440926"/>
      <w:bookmarkStart w:id="1841" w:name="_Toc38441258"/>
      <w:bookmarkStart w:id="1842" w:name="_Toc38441590"/>
      <w:bookmarkStart w:id="1843" w:name="_Toc38441918"/>
      <w:bookmarkStart w:id="1844" w:name="_Toc38442250"/>
      <w:bookmarkStart w:id="1845" w:name="_Toc38442582"/>
      <w:bookmarkStart w:id="1846" w:name="_Toc38442913"/>
      <w:bookmarkStart w:id="1847" w:name="_Toc38443244"/>
      <w:bookmarkStart w:id="1848" w:name="_Toc38443575"/>
      <w:bookmarkStart w:id="1849" w:name="_Toc38443905"/>
      <w:bookmarkStart w:id="1850" w:name="_Toc38438373"/>
      <w:bookmarkStart w:id="1851" w:name="_Toc38438710"/>
      <w:bookmarkStart w:id="1852" w:name="_Toc38439047"/>
      <w:bookmarkStart w:id="1853" w:name="_Toc38439384"/>
      <w:bookmarkStart w:id="1854" w:name="_Toc38439721"/>
      <w:bookmarkStart w:id="1855" w:name="_Toc38440058"/>
      <w:bookmarkStart w:id="1856" w:name="_Toc38440395"/>
      <w:bookmarkStart w:id="1857" w:name="_Toc38440927"/>
      <w:bookmarkStart w:id="1858" w:name="_Toc38441259"/>
      <w:bookmarkStart w:id="1859" w:name="_Toc38441591"/>
      <w:bookmarkStart w:id="1860" w:name="_Toc38441919"/>
      <w:bookmarkStart w:id="1861" w:name="_Toc38442251"/>
      <w:bookmarkStart w:id="1862" w:name="_Toc38442583"/>
      <w:bookmarkStart w:id="1863" w:name="_Toc38442914"/>
      <w:bookmarkStart w:id="1864" w:name="_Toc38443245"/>
      <w:bookmarkStart w:id="1865" w:name="_Toc38443576"/>
      <w:bookmarkStart w:id="1866" w:name="_Toc38443906"/>
      <w:bookmarkStart w:id="1867" w:name="_Toc38438374"/>
      <w:bookmarkStart w:id="1868" w:name="_Toc38438711"/>
      <w:bookmarkStart w:id="1869" w:name="_Toc38439048"/>
      <w:bookmarkStart w:id="1870" w:name="_Toc38439385"/>
      <w:bookmarkStart w:id="1871" w:name="_Toc38439722"/>
      <w:bookmarkStart w:id="1872" w:name="_Toc38440059"/>
      <w:bookmarkStart w:id="1873" w:name="_Toc38440396"/>
      <w:bookmarkStart w:id="1874" w:name="_Toc38440928"/>
      <w:bookmarkStart w:id="1875" w:name="_Toc38441260"/>
      <w:bookmarkStart w:id="1876" w:name="_Toc38441592"/>
      <w:bookmarkStart w:id="1877" w:name="_Toc38441920"/>
      <w:bookmarkStart w:id="1878" w:name="_Toc38442252"/>
      <w:bookmarkStart w:id="1879" w:name="_Toc38442584"/>
      <w:bookmarkStart w:id="1880" w:name="_Toc38442915"/>
      <w:bookmarkStart w:id="1881" w:name="_Toc38443246"/>
      <w:bookmarkStart w:id="1882" w:name="_Toc38443577"/>
      <w:bookmarkStart w:id="1883" w:name="_Toc38443907"/>
      <w:bookmarkStart w:id="1884" w:name="_Toc38438375"/>
      <w:bookmarkStart w:id="1885" w:name="_Toc38438712"/>
      <w:bookmarkStart w:id="1886" w:name="_Toc38439049"/>
      <w:bookmarkStart w:id="1887" w:name="_Toc38439386"/>
      <w:bookmarkStart w:id="1888" w:name="_Toc38439723"/>
      <w:bookmarkStart w:id="1889" w:name="_Toc38440060"/>
      <w:bookmarkStart w:id="1890" w:name="_Toc38440397"/>
      <w:bookmarkStart w:id="1891" w:name="_Toc38440929"/>
      <w:bookmarkStart w:id="1892" w:name="_Toc38441261"/>
      <w:bookmarkStart w:id="1893" w:name="_Toc38441593"/>
      <w:bookmarkStart w:id="1894" w:name="_Toc38441921"/>
      <w:bookmarkStart w:id="1895" w:name="_Toc38442253"/>
      <w:bookmarkStart w:id="1896" w:name="_Toc38442585"/>
      <w:bookmarkStart w:id="1897" w:name="_Toc38442916"/>
      <w:bookmarkStart w:id="1898" w:name="_Toc38443247"/>
      <w:bookmarkStart w:id="1899" w:name="_Toc38443578"/>
      <w:bookmarkStart w:id="1900" w:name="_Toc38443908"/>
      <w:bookmarkStart w:id="1901" w:name="_Toc38438376"/>
      <w:bookmarkStart w:id="1902" w:name="_Toc38438713"/>
      <w:bookmarkStart w:id="1903" w:name="_Toc38439050"/>
      <w:bookmarkStart w:id="1904" w:name="_Toc38439387"/>
      <w:bookmarkStart w:id="1905" w:name="_Toc38439724"/>
      <w:bookmarkStart w:id="1906" w:name="_Toc38440061"/>
      <w:bookmarkStart w:id="1907" w:name="_Toc38440398"/>
      <w:bookmarkStart w:id="1908" w:name="_Toc38440930"/>
      <w:bookmarkStart w:id="1909" w:name="_Toc38441262"/>
      <w:bookmarkStart w:id="1910" w:name="_Toc38441594"/>
      <w:bookmarkStart w:id="1911" w:name="_Toc38441922"/>
      <w:bookmarkStart w:id="1912" w:name="_Toc38442254"/>
      <w:bookmarkStart w:id="1913" w:name="_Toc38442586"/>
      <w:bookmarkStart w:id="1914" w:name="_Toc38442917"/>
      <w:bookmarkStart w:id="1915" w:name="_Toc38443248"/>
      <w:bookmarkStart w:id="1916" w:name="_Toc38443579"/>
      <w:bookmarkStart w:id="1917" w:name="_Toc38443909"/>
      <w:bookmarkStart w:id="1918" w:name="_Toc38438377"/>
      <w:bookmarkStart w:id="1919" w:name="_Toc38438714"/>
      <w:bookmarkStart w:id="1920" w:name="_Toc38439051"/>
      <w:bookmarkStart w:id="1921" w:name="_Toc38439388"/>
      <w:bookmarkStart w:id="1922" w:name="_Toc38439725"/>
      <w:bookmarkStart w:id="1923" w:name="_Toc38440062"/>
      <w:bookmarkStart w:id="1924" w:name="_Toc38440399"/>
      <w:bookmarkStart w:id="1925" w:name="_Toc38440931"/>
      <w:bookmarkStart w:id="1926" w:name="_Toc38441263"/>
      <w:bookmarkStart w:id="1927" w:name="_Toc38441595"/>
      <w:bookmarkStart w:id="1928" w:name="_Toc38441923"/>
      <w:bookmarkStart w:id="1929" w:name="_Toc38442255"/>
      <w:bookmarkStart w:id="1930" w:name="_Toc38442587"/>
      <w:bookmarkStart w:id="1931" w:name="_Toc38442918"/>
      <w:bookmarkStart w:id="1932" w:name="_Toc38443249"/>
      <w:bookmarkStart w:id="1933" w:name="_Toc38443580"/>
      <w:bookmarkStart w:id="1934" w:name="_Toc38443910"/>
      <w:bookmarkStart w:id="1935" w:name="_Toc38438378"/>
      <w:bookmarkStart w:id="1936" w:name="_Toc38438715"/>
      <w:bookmarkStart w:id="1937" w:name="_Toc38439052"/>
      <w:bookmarkStart w:id="1938" w:name="_Toc38439389"/>
      <w:bookmarkStart w:id="1939" w:name="_Toc38439726"/>
      <w:bookmarkStart w:id="1940" w:name="_Toc38440063"/>
      <w:bookmarkStart w:id="1941" w:name="_Toc38440400"/>
      <w:bookmarkStart w:id="1942" w:name="_Toc38440932"/>
      <w:bookmarkStart w:id="1943" w:name="_Toc38441264"/>
      <w:bookmarkStart w:id="1944" w:name="_Toc38441596"/>
      <w:bookmarkStart w:id="1945" w:name="_Toc38441924"/>
      <w:bookmarkStart w:id="1946" w:name="_Toc38442256"/>
      <w:bookmarkStart w:id="1947" w:name="_Toc38442588"/>
      <w:bookmarkStart w:id="1948" w:name="_Toc38442919"/>
      <w:bookmarkStart w:id="1949" w:name="_Toc38443250"/>
      <w:bookmarkStart w:id="1950" w:name="_Toc38443581"/>
      <w:bookmarkStart w:id="1951" w:name="_Toc38443911"/>
      <w:bookmarkStart w:id="1952" w:name="_Toc38438379"/>
      <w:bookmarkStart w:id="1953" w:name="_Toc38438716"/>
      <w:bookmarkStart w:id="1954" w:name="_Toc38439053"/>
      <w:bookmarkStart w:id="1955" w:name="_Toc38439390"/>
      <w:bookmarkStart w:id="1956" w:name="_Toc38439727"/>
      <w:bookmarkStart w:id="1957" w:name="_Toc38440064"/>
      <w:bookmarkStart w:id="1958" w:name="_Toc38440401"/>
      <w:bookmarkStart w:id="1959" w:name="_Toc38440933"/>
      <w:bookmarkStart w:id="1960" w:name="_Toc38441265"/>
      <w:bookmarkStart w:id="1961" w:name="_Toc38441597"/>
      <w:bookmarkStart w:id="1962" w:name="_Toc38441925"/>
      <w:bookmarkStart w:id="1963" w:name="_Toc38442257"/>
      <w:bookmarkStart w:id="1964" w:name="_Toc38442589"/>
      <w:bookmarkStart w:id="1965" w:name="_Toc38442920"/>
      <w:bookmarkStart w:id="1966" w:name="_Toc38443251"/>
      <w:bookmarkStart w:id="1967" w:name="_Toc38443582"/>
      <w:bookmarkStart w:id="1968" w:name="_Toc38443912"/>
      <w:bookmarkStart w:id="1969" w:name="_Toc38438380"/>
      <w:bookmarkStart w:id="1970" w:name="_Toc38438717"/>
      <w:bookmarkStart w:id="1971" w:name="_Toc38439054"/>
      <w:bookmarkStart w:id="1972" w:name="_Toc38439391"/>
      <w:bookmarkStart w:id="1973" w:name="_Toc38439728"/>
      <w:bookmarkStart w:id="1974" w:name="_Toc38440065"/>
      <w:bookmarkStart w:id="1975" w:name="_Toc38440402"/>
      <w:bookmarkStart w:id="1976" w:name="_Toc38440934"/>
      <w:bookmarkStart w:id="1977" w:name="_Toc38441266"/>
      <w:bookmarkStart w:id="1978" w:name="_Toc38441598"/>
      <w:bookmarkStart w:id="1979" w:name="_Toc38441926"/>
      <w:bookmarkStart w:id="1980" w:name="_Toc38442258"/>
      <w:bookmarkStart w:id="1981" w:name="_Toc38442590"/>
      <w:bookmarkStart w:id="1982" w:name="_Toc38442921"/>
      <w:bookmarkStart w:id="1983" w:name="_Toc38443252"/>
      <w:bookmarkStart w:id="1984" w:name="_Toc38443583"/>
      <w:bookmarkStart w:id="1985" w:name="_Toc38443913"/>
      <w:bookmarkStart w:id="1986" w:name="_Toc38438381"/>
      <w:bookmarkStart w:id="1987" w:name="_Toc38438718"/>
      <w:bookmarkStart w:id="1988" w:name="_Toc38439055"/>
      <w:bookmarkStart w:id="1989" w:name="_Toc38439392"/>
      <w:bookmarkStart w:id="1990" w:name="_Toc38439729"/>
      <w:bookmarkStart w:id="1991" w:name="_Toc38440066"/>
      <w:bookmarkStart w:id="1992" w:name="_Toc38440403"/>
      <w:bookmarkStart w:id="1993" w:name="_Toc38440935"/>
      <w:bookmarkStart w:id="1994" w:name="_Toc38441267"/>
      <w:bookmarkStart w:id="1995" w:name="_Toc38441599"/>
      <w:bookmarkStart w:id="1996" w:name="_Toc38441927"/>
      <w:bookmarkStart w:id="1997" w:name="_Toc38442259"/>
      <w:bookmarkStart w:id="1998" w:name="_Toc38442591"/>
      <w:bookmarkStart w:id="1999" w:name="_Toc38442922"/>
      <w:bookmarkStart w:id="2000" w:name="_Toc38443253"/>
      <w:bookmarkStart w:id="2001" w:name="_Toc38443584"/>
      <w:bookmarkStart w:id="2002" w:name="_Toc38443914"/>
      <w:bookmarkStart w:id="2003" w:name="_Toc38438382"/>
      <w:bookmarkStart w:id="2004" w:name="_Toc38438719"/>
      <w:bookmarkStart w:id="2005" w:name="_Toc38439056"/>
      <w:bookmarkStart w:id="2006" w:name="_Toc38439393"/>
      <w:bookmarkStart w:id="2007" w:name="_Toc38439730"/>
      <w:bookmarkStart w:id="2008" w:name="_Toc38440067"/>
      <w:bookmarkStart w:id="2009" w:name="_Toc38440404"/>
      <w:bookmarkStart w:id="2010" w:name="_Toc38440936"/>
      <w:bookmarkStart w:id="2011" w:name="_Toc38441268"/>
      <w:bookmarkStart w:id="2012" w:name="_Toc38441600"/>
      <w:bookmarkStart w:id="2013" w:name="_Toc38441928"/>
      <w:bookmarkStart w:id="2014" w:name="_Toc38442260"/>
      <w:bookmarkStart w:id="2015" w:name="_Toc38442592"/>
      <w:bookmarkStart w:id="2016" w:name="_Toc38442923"/>
      <w:bookmarkStart w:id="2017" w:name="_Toc38443254"/>
      <w:bookmarkStart w:id="2018" w:name="_Toc38443585"/>
      <w:bookmarkStart w:id="2019" w:name="_Toc38443915"/>
      <w:bookmarkStart w:id="2020" w:name="_Toc38438383"/>
      <w:bookmarkStart w:id="2021" w:name="_Toc38438720"/>
      <w:bookmarkStart w:id="2022" w:name="_Toc38439057"/>
      <w:bookmarkStart w:id="2023" w:name="_Toc38439394"/>
      <w:bookmarkStart w:id="2024" w:name="_Toc38439731"/>
      <w:bookmarkStart w:id="2025" w:name="_Toc38440068"/>
      <w:bookmarkStart w:id="2026" w:name="_Toc38440405"/>
      <w:bookmarkStart w:id="2027" w:name="_Toc38440937"/>
      <w:bookmarkStart w:id="2028" w:name="_Toc38441269"/>
      <w:bookmarkStart w:id="2029" w:name="_Toc38441601"/>
      <w:bookmarkStart w:id="2030" w:name="_Toc38441929"/>
      <w:bookmarkStart w:id="2031" w:name="_Toc38442261"/>
      <w:bookmarkStart w:id="2032" w:name="_Toc38442593"/>
      <w:bookmarkStart w:id="2033" w:name="_Toc38442924"/>
      <w:bookmarkStart w:id="2034" w:name="_Toc38443255"/>
      <w:bookmarkStart w:id="2035" w:name="_Toc38443586"/>
      <w:bookmarkStart w:id="2036" w:name="_Toc38443916"/>
      <w:bookmarkStart w:id="2037" w:name="_Toc38438384"/>
      <w:bookmarkStart w:id="2038" w:name="_Toc38438721"/>
      <w:bookmarkStart w:id="2039" w:name="_Toc38439058"/>
      <w:bookmarkStart w:id="2040" w:name="_Toc38439395"/>
      <w:bookmarkStart w:id="2041" w:name="_Toc38439732"/>
      <w:bookmarkStart w:id="2042" w:name="_Toc38440069"/>
      <w:bookmarkStart w:id="2043" w:name="_Toc38440406"/>
      <w:bookmarkStart w:id="2044" w:name="_Toc38440938"/>
      <w:bookmarkStart w:id="2045" w:name="_Toc38441270"/>
      <w:bookmarkStart w:id="2046" w:name="_Toc38441602"/>
      <w:bookmarkStart w:id="2047" w:name="_Toc38441930"/>
      <w:bookmarkStart w:id="2048" w:name="_Toc38442262"/>
      <w:bookmarkStart w:id="2049" w:name="_Toc38442594"/>
      <w:bookmarkStart w:id="2050" w:name="_Toc38442925"/>
      <w:bookmarkStart w:id="2051" w:name="_Toc38443256"/>
      <w:bookmarkStart w:id="2052" w:name="_Toc38443587"/>
      <w:bookmarkStart w:id="2053" w:name="_Toc38443917"/>
      <w:bookmarkStart w:id="2054" w:name="_Toc38438385"/>
      <w:bookmarkStart w:id="2055" w:name="_Toc38438722"/>
      <w:bookmarkStart w:id="2056" w:name="_Toc38439059"/>
      <w:bookmarkStart w:id="2057" w:name="_Toc38439396"/>
      <w:bookmarkStart w:id="2058" w:name="_Toc38439733"/>
      <w:bookmarkStart w:id="2059" w:name="_Toc38440070"/>
      <w:bookmarkStart w:id="2060" w:name="_Toc38440407"/>
      <w:bookmarkStart w:id="2061" w:name="_Toc38440939"/>
      <w:bookmarkStart w:id="2062" w:name="_Toc38441271"/>
      <w:bookmarkStart w:id="2063" w:name="_Toc38441603"/>
      <w:bookmarkStart w:id="2064" w:name="_Toc38441931"/>
      <w:bookmarkStart w:id="2065" w:name="_Toc38442263"/>
      <w:bookmarkStart w:id="2066" w:name="_Toc38442595"/>
      <w:bookmarkStart w:id="2067" w:name="_Toc38442926"/>
      <w:bookmarkStart w:id="2068" w:name="_Toc38443257"/>
      <w:bookmarkStart w:id="2069" w:name="_Toc38443588"/>
      <w:bookmarkStart w:id="2070" w:name="_Toc38443918"/>
      <w:bookmarkStart w:id="2071" w:name="_Toc38438386"/>
      <w:bookmarkStart w:id="2072" w:name="_Toc38438723"/>
      <w:bookmarkStart w:id="2073" w:name="_Toc38439060"/>
      <w:bookmarkStart w:id="2074" w:name="_Toc38439397"/>
      <w:bookmarkStart w:id="2075" w:name="_Toc38439734"/>
      <w:bookmarkStart w:id="2076" w:name="_Toc38440071"/>
      <w:bookmarkStart w:id="2077" w:name="_Toc38440408"/>
      <w:bookmarkStart w:id="2078" w:name="_Toc38440940"/>
      <w:bookmarkStart w:id="2079" w:name="_Toc38441272"/>
      <w:bookmarkStart w:id="2080" w:name="_Toc38441604"/>
      <w:bookmarkStart w:id="2081" w:name="_Toc38441932"/>
      <w:bookmarkStart w:id="2082" w:name="_Toc38442264"/>
      <w:bookmarkStart w:id="2083" w:name="_Toc38442596"/>
      <w:bookmarkStart w:id="2084" w:name="_Toc38442927"/>
      <w:bookmarkStart w:id="2085" w:name="_Toc38443258"/>
      <w:bookmarkStart w:id="2086" w:name="_Toc38443589"/>
      <w:bookmarkStart w:id="2087" w:name="_Toc38443919"/>
      <w:bookmarkStart w:id="2088" w:name="_Toc38438387"/>
      <w:bookmarkStart w:id="2089" w:name="_Toc38438724"/>
      <w:bookmarkStart w:id="2090" w:name="_Toc38439061"/>
      <w:bookmarkStart w:id="2091" w:name="_Toc38439398"/>
      <w:bookmarkStart w:id="2092" w:name="_Toc38439735"/>
      <w:bookmarkStart w:id="2093" w:name="_Toc38440072"/>
      <w:bookmarkStart w:id="2094" w:name="_Toc38440409"/>
      <w:bookmarkStart w:id="2095" w:name="_Toc38440941"/>
      <w:bookmarkStart w:id="2096" w:name="_Toc38441273"/>
      <w:bookmarkStart w:id="2097" w:name="_Toc38441605"/>
      <w:bookmarkStart w:id="2098" w:name="_Toc38441933"/>
      <w:bookmarkStart w:id="2099" w:name="_Toc38442265"/>
      <w:bookmarkStart w:id="2100" w:name="_Toc38442597"/>
      <w:bookmarkStart w:id="2101" w:name="_Toc38442928"/>
      <w:bookmarkStart w:id="2102" w:name="_Toc38443259"/>
      <w:bookmarkStart w:id="2103" w:name="_Toc38443590"/>
      <w:bookmarkStart w:id="2104" w:name="_Toc38443920"/>
      <w:bookmarkStart w:id="2105" w:name="_Toc38438388"/>
      <w:bookmarkStart w:id="2106" w:name="_Toc38438725"/>
      <w:bookmarkStart w:id="2107" w:name="_Toc38439062"/>
      <w:bookmarkStart w:id="2108" w:name="_Toc38439399"/>
      <w:bookmarkStart w:id="2109" w:name="_Toc38439736"/>
      <w:bookmarkStart w:id="2110" w:name="_Toc38440073"/>
      <w:bookmarkStart w:id="2111" w:name="_Toc38440410"/>
      <w:bookmarkStart w:id="2112" w:name="_Toc38440942"/>
      <w:bookmarkStart w:id="2113" w:name="_Toc38441274"/>
      <w:bookmarkStart w:id="2114" w:name="_Toc38441606"/>
      <w:bookmarkStart w:id="2115" w:name="_Toc38441934"/>
      <w:bookmarkStart w:id="2116" w:name="_Toc38442266"/>
      <w:bookmarkStart w:id="2117" w:name="_Toc38442598"/>
      <w:bookmarkStart w:id="2118" w:name="_Toc38442929"/>
      <w:bookmarkStart w:id="2119" w:name="_Toc38443260"/>
      <w:bookmarkStart w:id="2120" w:name="_Toc38443591"/>
      <w:bookmarkStart w:id="2121" w:name="_Toc38443921"/>
      <w:bookmarkStart w:id="2122" w:name="_Toc38438389"/>
      <w:bookmarkStart w:id="2123" w:name="_Toc38438726"/>
      <w:bookmarkStart w:id="2124" w:name="_Toc38439063"/>
      <w:bookmarkStart w:id="2125" w:name="_Toc38439400"/>
      <w:bookmarkStart w:id="2126" w:name="_Toc38439737"/>
      <w:bookmarkStart w:id="2127" w:name="_Toc38440074"/>
      <w:bookmarkStart w:id="2128" w:name="_Toc38440411"/>
      <w:bookmarkStart w:id="2129" w:name="_Toc38440943"/>
      <w:bookmarkStart w:id="2130" w:name="_Toc38441275"/>
      <w:bookmarkStart w:id="2131" w:name="_Toc38441607"/>
      <w:bookmarkStart w:id="2132" w:name="_Toc38441935"/>
      <w:bookmarkStart w:id="2133" w:name="_Toc38442267"/>
      <w:bookmarkStart w:id="2134" w:name="_Toc38442599"/>
      <w:bookmarkStart w:id="2135" w:name="_Toc38442930"/>
      <w:bookmarkStart w:id="2136" w:name="_Toc38443261"/>
      <w:bookmarkStart w:id="2137" w:name="_Toc38443592"/>
      <w:bookmarkStart w:id="2138" w:name="_Toc38443922"/>
      <w:bookmarkStart w:id="2139" w:name="_Toc38438390"/>
      <w:bookmarkStart w:id="2140" w:name="_Toc38438727"/>
      <w:bookmarkStart w:id="2141" w:name="_Toc38439064"/>
      <w:bookmarkStart w:id="2142" w:name="_Toc38439401"/>
      <w:bookmarkStart w:id="2143" w:name="_Toc38439738"/>
      <w:bookmarkStart w:id="2144" w:name="_Toc38440075"/>
      <w:bookmarkStart w:id="2145" w:name="_Toc38440412"/>
      <w:bookmarkStart w:id="2146" w:name="_Toc38440944"/>
      <w:bookmarkStart w:id="2147" w:name="_Toc38441276"/>
      <w:bookmarkStart w:id="2148" w:name="_Toc38441608"/>
      <w:bookmarkStart w:id="2149" w:name="_Toc38441936"/>
      <w:bookmarkStart w:id="2150" w:name="_Toc38442268"/>
      <w:bookmarkStart w:id="2151" w:name="_Toc38442600"/>
      <w:bookmarkStart w:id="2152" w:name="_Toc38442931"/>
      <w:bookmarkStart w:id="2153" w:name="_Toc38443262"/>
      <w:bookmarkStart w:id="2154" w:name="_Toc38443593"/>
      <w:bookmarkStart w:id="2155" w:name="_Toc38443923"/>
      <w:bookmarkStart w:id="2156" w:name="_Toc38438391"/>
      <w:bookmarkStart w:id="2157" w:name="_Toc38438728"/>
      <w:bookmarkStart w:id="2158" w:name="_Toc38439065"/>
      <w:bookmarkStart w:id="2159" w:name="_Toc38439402"/>
      <w:bookmarkStart w:id="2160" w:name="_Toc38439739"/>
      <w:bookmarkStart w:id="2161" w:name="_Toc38440076"/>
      <w:bookmarkStart w:id="2162" w:name="_Toc38440413"/>
      <w:bookmarkStart w:id="2163" w:name="_Toc38440945"/>
      <w:bookmarkStart w:id="2164" w:name="_Toc38441277"/>
      <w:bookmarkStart w:id="2165" w:name="_Toc38441609"/>
      <w:bookmarkStart w:id="2166" w:name="_Toc38441937"/>
      <w:bookmarkStart w:id="2167" w:name="_Toc38442269"/>
      <w:bookmarkStart w:id="2168" w:name="_Toc38442601"/>
      <w:bookmarkStart w:id="2169" w:name="_Toc38442932"/>
      <w:bookmarkStart w:id="2170" w:name="_Toc38443263"/>
      <w:bookmarkStart w:id="2171" w:name="_Toc38443594"/>
      <w:bookmarkStart w:id="2172" w:name="_Toc38443924"/>
      <w:bookmarkStart w:id="2173" w:name="_Toc38438392"/>
      <w:bookmarkStart w:id="2174" w:name="_Toc38438729"/>
      <w:bookmarkStart w:id="2175" w:name="_Toc38439066"/>
      <w:bookmarkStart w:id="2176" w:name="_Toc38439403"/>
      <w:bookmarkStart w:id="2177" w:name="_Toc38439740"/>
      <w:bookmarkStart w:id="2178" w:name="_Toc38440077"/>
      <w:bookmarkStart w:id="2179" w:name="_Toc38440414"/>
      <w:bookmarkStart w:id="2180" w:name="_Toc38440946"/>
      <w:bookmarkStart w:id="2181" w:name="_Toc38441278"/>
      <w:bookmarkStart w:id="2182" w:name="_Toc38441610"/>
      <w:bookmarkStart w:id="2183" w:name="_Toc38441938"/>
      <w:bookmarkStart w:id="2184" w:name="_Toc38442270"/>
      <w:bookmarkStart w:id="2185" w:name="_Toc38442602"/>
      <w:bookmarkStart w:id="2186" w:name="_Toc38442933"/>
      <w:bookmarkStart w:id="2187" w:name="_Toc38443264"/>
      <w:bookmarkStart w:id="2188" w:name="_Toc38443595"/>
      <w:bookmarkStart w:id="2189" w:name="_Toc38443925"/>
      <w:bookmarkStart w:id="2190" w:name="_Toc38438393"/>
      <w:bookmarkStart w:id="2191" w:name="_Toc38438730"/>
      <w:bookmarkStart w:id="2192" w:name="_Toc38439067"/>
      <w:bookmarkStart w:id="2193" w:name="_Toc38439404"/>
      <w:bookmarkStart w:id="2194" w:name="_Toc38439741"/>
      <w:bookmarkStart w:id="2195" w:name="_Toc38440078"/>
      <w:bookmarkStart w:id="2196" w:name="_Toc38440415"/>
      <w:bookmarkStart w:id="2197" w:name="_Toc38440947"/>
      <w:bookmarkStart w:id="2198" w:name="_Toc38441279"/>
      <w:bookmarkStart w:id="2199" w:name="_Toc38441611"/>
      <w:bookmarkStart w:id="2200" w:name="_Toc38441939"/>
      <w:bookmarkStart w:id="2201" w:name="_Toc38442271"/>
      <w:bookmarkStart w:id="2202" w:name="_Toc38442603"/>
      <w:bookmarkStart w:id="2203" w:name="_Toc38442934"/>
      <w:bookmarkStart w:id="2204" w:name="_Toc38443265"/>
      <w:bookmarkStart w:id="2205" w:name="_Toc38443596"/>
      <w:bookmarkStart w:id="2206" w:name="_Toc38443926"/>
      <w:bookmarkStart w:id="2207" w:name="_Toc38438394"/>
      <w:bookmarkStart w:id="2208" w:name="_Toc38438731"/>
      <w:bookmarkStart w:id="2209" w:name="_Toc38439068"/>
      <w:bookmarkStart w:id="2210" w:name="_Toc38439405"/>
      <w:bookmarkStart w:id="2211" w:name="_Toc38439742"/>
      <w:bookmarkStart w:id="2212" w:name="_Toc38440079"/>
      <w:bookmarkStart w:id="2213" w:name="_Toc38440416"/>
      <w:bookmarkStart w:id="2214" w:name="_Toc38440948"/>
      <w:bookmarkStart w:id="2215" w:name="_Toc38441280"/>
      <w:bookmarkStart w:id="2216" w:name="_Toc38441612"/>
      <w:bookmarkStart w:id="2217" w:name="_Toc38441940"/>
      <w:bookmarkStart w:id="2218" w:name="_Toc38442272"/>
      <w:bookmarkStart w:id="2219" w:name="_Toc38442604"/>
      <w:bookmarkStart w:id="2220" w:name="_Toc38442935"/>
      <w:bookmarkStart w:id="2221" w:name="_Toc38443266"/>
      <w:bookmarkStart w:id="2222" w:name="_Toc38443597"/>
      <w:bookmarkStart w:id="2223" w:name="_Toc38443927"/>
      <w:bookmarkStart w:id="2224" w:name="_Toc38438395"/>
      <w:bookmarkStart w:id="2225" w:name="_Toc38438732"/>
      <w:bookmarkStart w:id="2226" w:name="_Toc38439069"/>
      <w:bookmarkStart w:id="2227" w:name="_Toc38439406"/>
      <w:bookmarkStart w:id="2228" w:name="_Toc38439743"/>
      <w:bookmarkStart w:id="2229" w:name="_Toc38440080"/>
      <w:bookmarkStart w:id="2230" w:name="_Toc38440417"/>
      <w:bookmarkStart w:id="2231" w:name="_Toc38440949"/>
      <w:bookmarkStart w:id="2232" w:name="_Toc38441281"/>
      <w:bookmarkStart w:id="2233" w:name="_Toc38441613"/>
      <w:bookmarkStart w:id="2234" w:name="_Toc38441941"/>
      <w:bookmarkStart w:id="2235" w:name="_Toc38442273"/>
      <w:bookmarkStart w:id="2236" w:name="_Toc38442605"/>
      <w:bookmarkStart w:id="2237" w:name="_Toc38442936"/>
      <w:bookmarkStart w:id="2238" w:name="_Toc38443267"/>
      <w:bookmarkStart w:id="2239" w:name="_Toc38443598"/>
      <w:bookmarkStart w:id="2240" w:name="_Toc38443928"/>
      <w:bookmarkStart w:id="2241" w:name="_Toc38438396"/>
      <w:bookmarkStart w:id="2242" w:name="_Toc38438733"/>
      <w:bookmarkStart w:id="2243" w:name="_Toc38439070"/>
      <w:bookmarkStart w:id="2244" w:name="_Toc38439407"/>
      <w:bookmarkStart w:id="2245" w:name="_Toc38439744"/>
      <w:bookmarkStart w:id="2246" w:name="_Toc38440081"/>
      <w:bookmarkStart w:id="2247" w:name="_Toc38440418"/>
      <w:bookmarkStart w:id="2248" w:name="_Toc38440950"/>
      <w:bookmarkStart w:id="2249" w:name="_Toc38441282"/>
      <w:bookmarkStart w:id="2250" w:name="_Toc38441614"/>
      <w:bookmarkStart w:id="2251" w:name="_Toc38441942"/>
      <w:bookmarkStart w:id="2252" w:name="_Toc38442274"/>
      <w:bookmarkStart w:id="2253" w:name="_Toc38442606"/>
      <w:bookmarkStart w:id="2254" w:name="_Toc38442937"/>
      <w:bookmarkStart w:id="2255" w:name="_Toc38443268"/>
      <w:bookmarkStart w:id="2256" w:name="_Toc38443599"/>
      <w:bookmarkStart w:id="2257" w:name="_Toc38443929"/>
      <w:bookmarkStart w:id="2258" w:name="_Toc38438397"/>
      <w:bookmarkStart w:id="2259" w:name="_Toc38438734"/>
      <w:bookmarkStart w:id="2260" w:name="_Toc38439071"/>
      <w:bookmarkStart w:id="2261" w:name="_Toc38439408"/>
      <w:bookmarkStart w:id="2262" w:name="_Toc38439745"/>
      <w:bookmarkStart w:id="2263" w:name="_Toc38440082"/>
      <w:bookmarkStart w:id="2264" w:name="_Toc38440419"/>
      <w:bookmarkStart w:id="2265" w:name="_Toc38440951"/>
      <w:bookmarkStart w:id="2266" w:name="_Toc38441283"/>
      <w:bookmarkStart w:id="2267" w:name="_Toc38441615"/>
      <w:bookmarkStart w:id="2268" w:name="_Toc38441943"/>
      <w:bookmarkStart w:id="2269" w:name="_Toc38442275"/>
      <w:bookmarkStart w:id="2270" w:name="_Toc38442607"/>
      <w:bookmarkStart w:id="2271" w:name="_Toc38442938"/>
      <w:bookmarkStart w:id="2272" w:name="_Toc38443269"/>
      <w:bookmarkStart w:id="2273" w:name="_Toc38443600"/>
      <w:bookmarkStart w:id="2274" w:name="_Toc38443930"/>
      <w:bookmarkStart w:id="2275" w:name="_Toc38438398"/>
      <w:bookmarkStart w:id="2276" w:name="_Toc38438735"/>
      <w:bookmarkStart w:id="2277" w:name="_Toc38439072"/>
      <w:bookmarkStart w:id="2278" w:name="_Toc38439409"/>
      <w:bookmarkStart w:id="2279" w:name="_Toc38439746"/>
      <w:bookmarkStart w:id="2280" w:name="_Toc38440083"/>
      <w:bookmarkStart w:id="2281" w:name="_Toc38440420"/>
      <w:bookmarkStart w:id="2282" w:name="_Toc38440952"/>
      <w:bookmarkStart w:id="2283" w:name="_Toc38441284"/>
      <w:bookmarkStart w:id="2284" w:name="_Toc38441616"/>
      <w:bookmarkStart w:id="2285" w:name="_Toc38441944"/>
      <w:bookmarkStart w:id="2286" w:name="_Toc38442276"/>
      <w:bookmarkStart w:id="2287" w:name="_Toc38442608"/>
      <w:bookmarkStart w:id="2288" w:name="_Toc38442939"/>
      <w:bookmarkStart w:id="2289" w:name="_Toc38443270"/>
      <w:bookmarkStart w:id="2290" w:name="_Toc38443601"/>
      <w:bookmarkStart w:id="2291" w:name="_Toc38443931"/>
      <w:bookmarkStart w:id="2292" w:name="_Toc38438400"/>
      <w:bookmarkStart w:id="2293" w:name="_Toc38438737"/>
      <w:bookmarkStart w:id="2294" w:name="_Toc38439074"/>
      <w:bookmarkStart w:id="2295" w:name="_Toc38439411"/>
      <w:bookmarkStart w:id="2296" w:name="_Toc38439748"/>
      <w:bookmarkStart w:id="2297" w:name="_Toc38440085"/>
      <w:bookmarkStart w:id="2298" w:name="_Toc38440422"/>
      <w:bookmarkStart w:id="2299" w:name="_Toc38440954"/>
      <w:bookmarkStart w:id="2300" w:name="_Toc38441286"/>
      <w:bookmarkStart w:id="2301" w:name="_Toc38441618"/>
      <w:bookmarkStart w:id="2302" w:name="_Toc38441946"/>
      <w:bookmarkStart w:id="2303" w:name="_Toc38442278"/>
      <w:bookmarkStart w:id="2304" w:name="_Toc38442610"/>
      <w:bookmarkStart w:id="2305" w:name="_Toc38442941"/>
      <w:bookmarkStart w:id="2306" w:name="_Toc38443272"/>
      <w:bookmarkStart w:id="2307" w:name="_Toc38443603"/>
      <w:bookmarkStart w:id="2308" w:name="_Toc38443933"/>
      <w:bookmarkStart w:id="2309" w:name="_Toc38438401"/>
      <w:bookmarkStart w:id="2310" w:name="_Toc38438738"/>
      <w:bookmarkStart w:id="2311" w:name="_Toc38439075"/>
      <w:bookmarkStart w:id="2312" w:name="_Toc38439412"/>
      <w:bookmarkStart w:id="2313" w:name="_Toc38439749"/>
      <w:bookmarkStart w:id="2314" w:name="_Toc38440086"/>
      <w:bookmarkStart w:id="2315" w:name="_Toc38440423"/>
      <w:bookmarkStart w:id="2316" w:name="_Toc38440955"/>
      <w:bookmarkStart w:id="2317" w:name="_Toc38441287"/>
      <w:bookmarkStart w:id="2318" w:name="_Toc38441619"/>
      <w:bookmarkStart w:id="2319" w:name="_Toc38441947"/>
      <w:bookmarkStart w:id="2320" w:name="_Toc38442279"/>
      <w:bookmarkStart w:id="2321" w:name="_Toc38442611"/>
      <w:bookmarkStart w:id="2322" w:name="_Toc38442942"/>
      <w:bookmarkStart w:id="2323" w:name="_Toc38443273"/>
      <w:bookmarkStart w:id="2324" w:name="_Toc38443604"/>
      <w:bookmarkStart w:id="2325" w:name="_Toc38443934"/>
      <w:bookmarkStart w:id="2326" w:name="_Toc38438402"/>
      <w:bookmarkStart w:id="2327" w:name="_Toc38438739"/>
      <w:bookmarkStart w:id="2328" w:name="_Toc38439076"/>
      <w:bookmarkStart w:id="2329" w:name="_Toc38439413"/>
      <w:bookmarkStart w:id="2330" w:name="_Toc38439750"/>
      <w:bookmarkStart w:id="2331" w:name="_Toc38440087"/>
      <w:bookmarkStart w:id="2332" w:name="_Toc38440424"/>
      <w:bookmarkStart w:id="2333" w:name="_Toc38440956"/>
      <w:bookmarkStart w:id="2334" w:name="_Toc38441288"/>
      <w:bookmarkStart w:id="2335" w:name="_Toc38441620"/>
      <w:bookmarkStart w:id="2336" w:name="_Toc38441948"/>
      <w:bookmarkStart w:id="2337" w:name="_Toc38442280"/>
      <w:bookmarkStart w:id="2338" w:name="_Toc38442612"/>
      <w:bookmarkStart w:id="2339" w:name="_Toc38442943"/>
      <w:bookmarkStart w:id="2340" w:name="_Toc38443274"/>
      <w:bookmarkStart w:id="2341" w:name="_Toc38443605"/>
      <w:bookmarkStart w:id="2342" w:name="_Toc38443935"/>
      <w:bookmarkStart w:id="2343" w:name="_Toc38438404"/>
      <w:bookmarkStart w:id="2344" w:name="_Toc38438741"/>
      <w:bookmarkStart w:id="2345" w:name="_Toc38439078"/>
      <w:bookmarkStart w:id="2346" w:name="_Toc38439415"/>
      <w:bookmarkStart w:id="2347" w:name="_Toc38439752"/>
      <w:bookmarkStart w:id="2348" w:name="_Toc38440089"/>
      <w:bookmarkStart w:id="2349" w:name="_Toc38440426"/>
      <w:bookmarkStart w:id="2350" w:name="_Toc38440958"/>
      <w:bookmarkStart w:id="2351" w:name="_Toc38441290"/>
      <w:bookmarkStart w:id="2352" w:name="_Toc38441622"/>
      <w:bookmarkStart w:id="2353" w:name="_Toc38441950"/>
      <w:bookmarkStart w:id="2354" w:name="_Toc38442282"/>
      <w:bookmarkStart w:id="2355" w:name="_Toc38442614"/>
      <w:bookmarkStart w:id="2356" w:name="_Toc38442945"/>
      <w:bookmarkStart w:id="2357" w:name="_Toc38443276"/>
      <w:bookmarkStart w:id="2358" w:name="_Toc38443607"/>
      <w:bookmarkStart w:id="2359" w:name="_Toc38443937"/>
      <w:bookmarkStart w:id="2360" w:name="_Toc38438405"/>
      <w:bookmarkStart w:id="2361" w:name="_Toc38438742"/>
      <w:bookmarkStart w:id="2362" w:name="_Toc38439079"/>
      <w:bookmarkStart w:id="2363" w:name="_Toc38439416"/>
      <w:bookmarkStart w:id="2364" w:name="_Toc38439753"/>
      <w:bookmarkStart w:id="2365" w:name="_Toc38440090"/>
      <w:bookmarkStart w:id="2366" w:name="_Toc38440427"/>
      <w:bookmarkStart w:id="2367" w:name="_Toc38440959"/>
      <w:bookmarkStart w:id="2368" w:name="_Toc38441291"/>
      <w:bookmarkStart w:id="2369" w:name="_Toc38441623"/>
      <w:bookmarkStart w:id="2370" w:name="_Toc38441951"/>
      <w:bookmarkStart w:id="2371" w:name="_Toc38442283"/>
      <w:bookmarkStart w:id="2372" w:name="_Toc38442615"/>
      <w:bookmarkStart w:id="2373" w:name="_Toc38442946"/>
      <w:bookmarkStart w:id="2374" w:name="_Toc38443277"/>
      <w:bookmarkStart w:id="2375" w:name="_Toc38443608"/>
      <w:bookmarkStart w:id="2376" w:name="_Toc38443938"/>
      <w:bookmarkStart w:id="2377" w:name="_Toc38438406"/>
      <w:bookmarkStart w:id="2378" w:name="_Toc38438743"/>
      <w:bookmarkStart w:id="2379" w:name="_Toc38439080"/>
      <w:bookmarkStart w:id="2380" w:name="_Toc38439417"/>
      <w:bookmarkStart w:id="2381" w:name="_Toc38439754"/>
      <w:bookmarkStart w:id="2382" w:name="_Toc38440091"/>
      <w:bookmarkStart w:id="2383" w:name="_Toc38440428"/>
      <w:bookmarkStart w:id="2384" w:name="_Toc38440960"/>
      <w:bookmarkStart w:id="2385" w:name="_Toc38441292"/>
      <w:bookmarkStart w:id="2386" w:name="_Toc38441624"/>
      <w:bookmarkStart w:id="2387" w:name="_Toc38441952"/>
      <w:bookmarkStart w:id="2388" w:name="_Toc38442284"/>
      <w:bookmarkStart w:id="2389" w:name="_Toc38442616"/>
      <w:bookmarkStart w:id="2390" w:name="_Toc38442947"/>
      <w:bookmarkStart w:id="2391" w:name="_Toc38443278"/>
      <w:bookmarkStart w:id="2392" w:name="_Toc38443609"/>
      <w:bookmarkStart w:id="2393" w:name="_Toc38443939"/>
      <w:bookmarkStart w:id="2394" w:name="_Toc38438407"/>
      <w:bookmarkStart w:id="2395" w:name="_Toc38438744"/>
      <w:bookmarkStart w:id="2396" w:name="_Toc38439081"/>
      <w:bookmarkStart w:id="2397" w:name="_Toc38439418"/>
      <w:bookmarkStart w:id="2398" w:name="_Toc38439755"/>
      <w:bookmarkStart w:id="2399" w:name="_Toc38440092"/>
      <w:bookmarkStart w:id="2400" w:name="_Toc38440429"/>
      <w:bookmarkStart w:id="2401" w:name="_Toc38440961"/>
      <w:bookmarkStart w:id="2402" w:name="_Toc38441293"/>
      <w:bookmarkStart w:id="2403" w:name="_Toc38441625"/>
      <w:bookmarkStart w:id="2404" w:name="_Toc38441953"/>
      <w:bookmarkStart w:id="2405" w:name="_Toc38442285"/>
      <w:bookmarkStart w:id="2406" w:name="_Toc38442617"/>
      <w:bookmarkStart w:id="2407" w:name="_Toc38442948"/>
      <w:bookmarkStart w:id="2408" w:name="_Toc38443279"/>
      <w:bookmarkStart w:id="2409" w:name="_Toc38443610"/>
      <w:bookmarkStart w:id="2410" w:name="_Toc38443940"/>
      <w:bookmarkStart w:id="2411" w:name="_Toc38438408"/>
      <w:bookmarkStart w:id="2412" w:name="_Toc38438745"/>
      <w:bookmarkStart w:id="2413" w:name="_Toc38439082"/>
      <w:bookmarkStart w:id="2414" w:name="_Toc38439419"/>
      <w:bookmarkStart w:id="2415" w:name="_Toc38439756"/>
      <w:bookmarkStart w:id="2416" w:name="_Toc38440093"/>
      <w:bookmarkStart w:id="2417" w:name="_Toc38440430"/>
      <w:bookmarkStart w:id="2418" w:name="_Toc38440962"/>
      <w:bookmarkStart w:id="2419" w:name="_Toc38441294"/>
      <w:bookmarkStart w:id="2420" w:name="_Toc38441626"/>
      <w:bookmarkStart w:id="2421" w:name="_Toc38441954"/>
      <w:bookmarkStart w:id="2422" w:name="_Toc38442286"/>
      <w:bookmarkStart w:id="2423" w:name="_Toc38442618"/>
      <w:bookmarkStart w:id="2424" w:name="_Toc38442949"/>
      <w:bookmarkStart w:id="2425" w:name="_Toc38443280"/>
      <w:bookmarkStart w:id="2426" w:name="_Toc38443611"/>
      <w:bookmarkStart w:id="2427" w:name="_Toc38443941"/>
      <w:bookmarkStart w:id="2428" w:name="_Toc38438409"/>
      <w:bookmarkStart w:id="2429" w:name="_Toc38438746"/>
      <w:bookmarkStart w:id="2430" w:name="_Toc38439083"/>
      <w:bookmarkStart w:id="2431" w:name="_Toc38439420"/>
      <w:bookmarkStart w:id="2432" w:name="_Toc38439757"/>
      <w:bookmarkStart w:id="2433" w:name="_Toc38440094"/>
      <w:bookmarkStart w:id="2434" w:name="_Toc38440431"/>
      <w:bookmarkStart w:id="2435" w:name="_Toc38440963"/>
      <w:bookmarkStart w:id="2436" w:name="_Toc38441295"/>
      <w:bookmarkStart w:id="2437" w:name="_Toc38441627"/>
      <w:bookmarkStart w:id="2438" w:name="_Toc38441955"/>
      <w:bookmarkStart w:id="2439" w:name="_Toc38442287"/>
      <w:bookmarkStart w:id="2440" w:name="_Toc38442619"/>
      <w:bookmarkStart w:id="2441" w:name="_Toc38442950"/>
      <w:bookmarkStart w:id="2442" w:name="_Toc38443281"/>
      <w:bookmarkStart w:id="2443" w:name="_Toc38443612"/>
      <w:bookmarkStart w:id="2444" w:name="_Toc38443942"/>
      <w:bookmarkStart w:id="2445" w:name="_Toc38438410"/>
      <w:bookmarkStart w:id="2446" w:name="_Toc38438747"/>
      <w:bookmarkStart w:id="2447" w:name="_Toc38439084"/>
      <w:bookmarkStart w:id="2448" w:name="_Toc38439421"/>
      <w:bookmarkStart w:id="2449" w:name="_Toc38439758"/>
      <w:bookmarkStart w:id="2450" w:name="_Toc38440095"/>
      <w:bookmarkStart w:id="2451" w:name="_Toc38440432"/>
      <w:bookmarkStart w:id="2452" w:name="_Toc38440964"/>
      <w:bookmarkStart w:id="2453" w:name="_Toc38441296"/>
      <w:bookmarkStart w:id="2454" w:name="_Toc38441628"/>
      <w:bookmarkStart w:id="2455" w:name="_Toc38441956"/>
      <w:bookmarkStart w:id="2456" w:name="_Toc38442288"/>
      <w:bookmarkStart w:id="2457" w:name="_Toc38442620"/>
      <w:bookmarkStart w:id="2458" w:name="_Toc38442951"/>
      <w:bookmarkStart w:id="2459" w:name="_Toc38443282"/>
      <w:bookmarkStart w:id="2460" w:name="_Toc38443613"/>
      <w:bookmarkStart w:id="2461" w:name="_Toc38443943"/>
      <w:bookmarkStart w:id="2462" w:name="_Toc38438411"/>
      <w:bookmarkStart w:id="2463" w:name="_Toc38438748"/>
      <w:bookmarkStart w:id="2464" w:name="_Toc38439085"/>
      <w:bookmarkStart w:id="2465" w:name="_Toc38439422"/>
      <w:bookmarkStart w:id="2466" w:name="_Toc38439759"/>
      <w:bookmarkStart w:id="2467" w:name="_Toc38440096"/>
      <w:bookmarkStart w:id="2468" w:name="_Toc38440433"/>
      <w:bookmarkStart w:id="2469" w:name="_Toc38440965"/>
      <w:bookmarkStart w:id="2470" w:name="_Toc38441297"/>
      <w:bookmarkStart w:id="2471" w:name="_Toc38441629"/>
      <w:bookmarkStart w:id="2472" w:name="_Toc38441957"/>
      <w:bookmarkStart w:id="2473" w:name="_Toc38442289"/>
      <w:bookmarkStart w:id="2474" w:name="_Toc38442621"/>
      <w:bookmarkStart w:id="2475" w:name="_Toc38442952"/>
      <w:bookmarkStart w:id="2476" w:name="_Toc38443283"/>
      <w:bookmarkStart w:id="2477" w:name="_Toc38443614"/>
      <w:bookmarkStart w:id="2478" w:name="_Toc38443944"/>
      <w:bookmarkStart w:id="2479" w:name="_Toc38438412"/>
      <w:bookmarkStart w:id="2480" w:name="_Toc38438749"/>
      <w:bookmarkStart w:id="2481" w:name="_Toc38439086"/>
      <w:bookmarkStart w:id="2482" w:name="_Toc38439423"/>
      <w:bookmarkStart w:id="2483" w:name="_Toc38439760"/>
      <w:bookmarkStart w:id="2484" w:name="_Toc38440097"/>
      <w:bookmarkStart w:id="2485" w:name="_Toc38440434"/>
      <w:bookmarkStart w:id="2486" w:name="_Toc38440966"/>
      <w:bookmarkStart w:id="2487" w:name="_Toc38441298"/>
      <w:bookmarkStart w:id="2488" w:name="_Toc38441630"/>
      <w:bookmarkStart w:id="2489" w:name="_Toc38441958"/>
      <w:bookmarkStart w:id="2490" w:name="_Toc38442290"/>
      <w:bookmarkStart w:id="2491" w:name="_Toc38442622"/>
      <w:bookmarkStart w:id="2492" w:name="_Toc38442953"/>
      <w:bookmarkStart w:id="2493" w:name="_Toc38443284"/>
      <w:bookmarkStart w:id="2494" w:name="_Toc38443615"/>
      <w:bookmarkStart w:id="2495" w:name="_Toc38443945"/>
      <w:bookmarkStart w:id="2496" w:name="_Toc38438413"/>
      <w:bookmarkStart w:id="2497" w:name="_Toc38438750"/>
      <w:bookmarkStart w:id="2498" w:name="_Toc38439087"/>
      <w:bookmarkStart w:id="2499" w:name="_Toc38439424"/>
      <w:bookmarkStart w:id="2500" w:name="_Toc38439761"/>
      <w:bookmarkStart w:id="2501" w:name="_Toc38440098"/>
      <w:bookmarkStart w:id="2502" w:name="_Toc38440435"/>
      <w:bookmarkStart w:id="2503" w:name="_Toc38440967"/>
      <w:bookmarkStart w:id="2504" w:name="_Toc38441299"/>
      <w:bookmarkStart w:id="2505" w:name="_Toc38441631"/>
      <w:bookmarkStart w:id="2506" w:name="_Toc38441959"/>
      <w:bookmarkStart w:id="2507" w:name="_Toc38442291"/>
      <w:bookmarkStart w:id="2508" w:name="_Toc38442623"/>
      <w:bookmarkStart w:id="2509" w:name="_Toc38442954"/>
      <w:bookmarkStart w:id="2510" w:name="_Toc38443285"/>
      <w:bookmarkStart w:id="2511" w:name="_Toc38443616"/>
      <w:bookmarkStart w:id="2512" w:name="_Toc38443946"/>
      <w:bookmarkStart w:id="2513" w:name="_Toc38438414"/>
      <w:bookmarkStart w:id="2514" w:name="_Toc38438751"/>
      <w:bookmarkStart w:id="2515" w:name="_Toc38439088"/>
      <w:bookmarkStart w:id="2516" w:name="_Toc38439425"/>
      <w:bookmarkStart w:id="2517" w:name="_Toc38439762"/>
      <w:bookmarkStart w:id="2518" w:name="_Toc38440099"/>
      <w:bookmarkStart w:id="2519" w:name="_Toc38440436"/>
      <w:bookmarkStart w:id="2520" w:name="_Toc38440968"/>
      <w:bookmarkStart w:id="2521" w:name="_Toc38441300"/>
      <w:bookmarkStart w:id="2522" w:name="_Toc38441632"/>
      <w:bookmarkStart w:id="2523" w:name="_Toc38441960"/>
      <w:bookmarkStart w:id="2524" w:name="_Toc38442292"/>
      <w:bookmarkStart w:id="2525" w:name="_Toc38442624"/>
      <w:bookmarkStart w:id="2526" w:name="_Toc38442955"/>
      <w:bookmarkStart w:id="2527" w:name="_Toc38443286"/>
      <w:bookmarkStart w:id="2528" w:name="_Toc38443617"/>
      <w:bookmarkStart w:id="2529" w:name="_Toc38443947"/>
      <w:bookmarkStart w:id="2530" w:name="_Toc38438415"/>
      <w:bookmarkStart w:id="2531" w:name="_Toc38438752"/>
      <w:bookmarkStart w:id="2532" w:name="_Toc38439089"/>
      <w:bookmarkStart w:id="2533" w:name="_Toc38439426"/>
      <w:bookmarkStart w:id="2534" w:name="_Toc38439763"/>
      <w:bookmarkStart w:id="2535" w:name="_Toc38440100"/>
      <w:bookmarkStart w:id="2536" w:name="_Toc38440437"/>
      <w:bookmarkStart w:id="2537" w:name="_Toc38440969"/>
      <w:bookmarkStart w:id="2538" w:name="_Toc38441301"/>
      <w:bookmarkStart w:id="2539" w:name="_Toc38441633"/>
      <w:bookmarkStart w:id="2540" w:name="_Toc38441961"/>
      <w:bookmarkStart w:id="2541" w:name="_Toc38442293"/>
      <w:bookmarkStart w:id="2542" w:name="_Toc38442625"/>
      <w:bookmarkStart w:id="2543" w:name="_Toc38442956"/>
      <w:bookmarkStart w:id="2544" w:name="_Toc38443287"/>
      <w:bookmarkStart w:id="2545" w:name="_Toc38443618"/>
      <w:bookmarkStart w:id="2546" w:name="_Toc38443948"/>
      <w:bookmarkStart w:id="2547" w:name="_Toc38438416"/>
      <w:bookmarkStart w:id="2548" w:name="_Toc38438753"/>
      <w:bookmarkStart w:id="2549" w:name="_Toc38439090"/>
      <w:bookmarkStart w:id="2550" w:name="_Toc38439427"/>
      <w:bookmarkStart w:id="2551" w:name="_Toc38439764"/>
      <w:bookmarkStart w:id="2552" w:name="_Toc38440101"/>
      <w:bookmarkStart w:id="2553" w:name="_Toc38440438"/>
      <w:bookmarkStart w:id="2554" w:name="_Toc38440970"/>
      <w:bookmarkStart w:id="2555" w:name="_Toc38441302"/>
      <w:bookmarkStart w:id="2556" w:name="_Toc38441634"/>
      <w:bookmarkStart w:id="2557" w:name="_Toc38441962"/>
      <w:bookmarkStart w:id="2558" w:name="_Toc38442294"/>
      <w:bookmarkStart w:id="2559" w:name="_Toc38442626"/>
      <w:bookmarkStart w:id="2560" w:name="_Toc38442957"/>
      <w:bookmarkStart w:id="2561" w:name="_Toc38443288"/>
      <w:bookmarkStart w:id="2562" w:name="_Toc38443619"/>
      <w:bookmarkStart w:id="2563" w:name="_Toc38443949"/>
      <w:bookmarkStart w:id="2564" w:name="_Toc38438417"/>
      <w:bookmarkStart w:id="2565" w:name="_Toc38438754"/>
      <w:bookmarkStart w:id="2566" w:name="_Toc38439091"/>
      <w:bookmarkStart w:id="2567" w:name="_Toc38439428"/>
      <w:bookmarkStart w:id="2568" w:name="_Toc38439765"/>
      <w:bookmarkStart w:id="2569" w:name="_Toc38440102"/>
      <w:bookmarkStart w:id="2570" w:name="_Toc38440439"/>
      <w:bookmarkStart w:id="2571" w:name="_Toc38440971"/>
      <w:bookmarkStart w:id="2572" w:name="_Toc38441303"/>
      <w:bookmarkStart w:id="2573" w:name="_Toc38441635"/>
      <w:bookmarkStart w:id="2574" w:name="_Toc38441963"/>
      <w:bookmarkStart w:id="2575" w:name="_Toc38442295"/>
      <w:bookmarkStart w:id="2576" w:name="_Toc38442627"/>
      <w:bookmarkStart w:id="2577" w:name="_Toc38442958"/>
      <w:bookmarkStart w:id="2578" w:name="_Toc38443289"/>
      <w:bookmarkStart w:id="2579" w:name="_Toc38443620"/>
      <w:bookmarkStart w:id="2580" w:name="_Toc38443950"/>
      <w:bookmarkStart w:id="2581" w:name="_Toc38438418"/>
      <w:bookmarkStart w:id="2582" w:name="_Toc38438755"/>
      <w:bookmarkStart w:id="2583" w:name="_Toc38439092"/>
      <w:bookmarkStart w:id="2584" w:name="_Toc38439429"/>
      <w:bookmarkStart w:id="2585" w:name="_Toc38439766"/>
      <w:bookmarkStart w:id="2586" w:name="_Toc38440103"/>
      <w:bookmarkStart w:id="2587" w:name="_Toc38440440"/>
      <w:bookmarkStart w:id="2588" w:name="_Toc38440972"/>
      <w:bookmarkStart w:id="2589" w:name="_Toc38441304"/>
      <w:bookmarkStart w:id="2590" w:name="_Toc38441636"/>
      <w:bookmarkStart w:id="2591" w:name="_Toc38441964"/>
      <w:bookmarkStart w:id="2592" w:name="_Toc38442296"/>
      <w:bookmarkStart w:id="2593" w:name="_Toc38442628"/>
      <w:bookmarkStart w:id="2594" w:name="_Toc38442959"/>
      <w:bookmarkStart w:id="2595" w:name="_Toc38443290"/>
      <w:bookmarkStart w:id="2596" w:name="_Toc38443621"/>
      <w:bookmarkStart w:id="2597" w:name="_Toc38443951"/>
      <w:bookmarkStart w:id="2598" w:name="_Toc38438419"/>
      <w:bookmarkStart w:id="2599" w:name="_Toc38438756"/>
      <w:bookmarkStart w:id="2600" w:name="_Toc38439093"/>
      <w:bookmarkStart w:id="2601" w:name="_Toc38439430"/>
      <w:bookmarkStart w:id="2602" w:name="_Toc38439767"/>
      <w:bookmarkStart w:id="2603" w:name="_Toc38440104"/>
      <w:bookmarkStart w:id="2604" w:name="_Toc38440441"/>
      <w:bookmarkStart w:id="2605" w:name="_Toc38440973"/>
      <w:bookmarkStart w:id="2606" w:name="_Toc38441305"/>
      <w:bookmarkStart w:id="2607" w:name="_Toc38441637"/>
      <w:bookmarkStart w:id="2608" w:name="_Toc38441965"/>
      <w:bookmarkStart w:id="2609" w:name="_Toc38442297"/>
      <w:bookmarkStart w:id="2610" w:name="_Toc38442629"/>
      <w:bookmarkStart w:id="2611" w:name="_Toc38442960"/>
      <w:bookmarkStart w:id="2612" w:name="_Toc38443291"/>
      <w:bookmarkStart w:id="2613" w:name="_Toc38443622"/>
      <w:bookmarkStart w:id="2614" w:name="_Toc38443952"/>
      <w:bookmarkStart w:id="2615" w:name="_Toc38438420"/>
      <w:bookmarkStart w:id="2616" w:name="_Toc38438757"/>
      <w:bookmarkStart w:id="2617" w:name="_Toc38439094"/>
      <w:bookmarkStart w:id="2618" w:name="_Toc38439431"/>
      <w:bookmarkStart w:id="2619" w:name="_Toc38439768"/>
      <w:bookmarkStart w:id="2620" w:name="_Toc38440105"/>
      <w:bookmarkStart w:id="2621" w:name="_Toc38440442"/>
      <w:bookmarkStart w:id="2622" w:name="_Toc38440974"/>
      <w:bookmarkStart w:id="2623" w:name="_Toc38441306"/>
      <w:bookmarkStart w:id="2624" w:name="_Toc38441638"/>
      <w:bookmarkStart w:id="2625" w:name="_Toc38441966"/>
      <w:bookmarkStart w:id="2626" w:name="_Toc38442298"/>
      <w:bookmarkStart w:id="2627" w:name="_Toc38442630"/>
      <w:bookmarkStart w:id="2628" w:name="_Toc38442961"/>
      <w:bookmarkStart w:id="2629" w:name="_Toc38443292"/>
      <w:bookmarkStart w:id="2630" w:name="_Toc38443623"/>
      <w:bookmarkStart w:id="2631" w:name="_Toc38443953"/>
      <w:bookmarkStart w:id="2632" w:name="_Toc38438421"/>
      <w:bookmarkStart w:id="2633" w:name="_Toc38438758"/>
      <w:bookmarkStart w:id="2634" w:name="_Toc38439095"/>
      <w:bookmarkStart w:id="2635" w:name="_Toc38439432"/>
      <w:bookmarkStart w:id="2636" w:name="_Toc38439769"/>
      <w:bookmarkStart w:id="2637" w:name="_Toc38440106"/>
      <w:bookmarkStart w:id="2638" w:name="_Toc38440443"/>
      <w:bookmarkStart w:id="2639" w:name="_Toc38440975"/>
      <w:bookmarkStart w:id="2640" w:name="_Toc38441307"/>
      <w:bookmarkStart w:id="2641" w:name="_Toc38441639"/>
      <w:bookmarkStart w:id="2642" w:name="_Toc38441967"/>
      <w:bookmarkStart w:id="2643" w:name="_Toc38442299"/>
      <w:bookmarkStart w:id="2644" w:name="_Toc38442631"/>
      <w:bookmarkStart w:id="2645" w:name="_Toc38442962"/>
      <w:bookmarkStart w:id="2646" w:name="_Toc38443293"/>
      <w:bookmarkStart w:id="2647" w:name="_Toc38443624"/>
      <w:bookmarkStart w:id="2648" w:name="_Toc38443954"/>
      <w:bookmarkStart w:id="2649" w:name="_Toc38438422"/>
      <w:bookmarkStart w:id="2650" w:name="_Toc38438759"/>
      <w:bookmarkStart w:id="2651" w:name="_Toc38439096"/>
      <w:bookmarkStart w:id="2652" w:name="_Toc38439433"/>
      <w:bookmarkStart w:id="2653" w:name="_Toc38439770"/>
      <w:bookmarkStart w:id="2654" w:name="_Toc38440107"/>
      <w:bookmarkStart w:id="2655" w:name="_Toc38440444"/>
      <w:bookmarkStart w:id="2656" w:name="_Toc38440976"/>
      <w:bookmarkStart w:id="2657" w:name="_Toc38441308"/>
      <w:bookmarkStart w:id="2658" w:name="_Toc38441640"/>
      <w:bookmarkStart w:id="2659" w:name="_Toc38441968"/>
      <w:bookmarkStart w:id="2660" w:name="_Toc38442300"/>
      <w:bookmarkStart w:id="2661" w:name="_Toc38442632"/>
      <w:bookmarkStart w:id="2662" w:name="_Toc38442963"/>
      <w:bookmarkStart w:id="2663" w:name="_Toc38443294"/>
      <w:bookmarkStart w:id="2664" w:name="_Toc38443625"/>
      <w:bookmarkStart w:id="2665" w:name="_Toc38443955"/>
      <w:bookmarkStart w:id="2666" w:name="_Toc38438423"/>
      <w:bookmarkStart w:id="2667" w:name="_Toc38438760"/>
      <w:bookmarkStart w:id="2668" w:name="_Toc38439097"/>
      <w:bookmarkStart w:id="2669" w:name="_Toc38439434"/>
      <w:bookmarkStart w:id="2670" w:name="_Toc38439771"/>
      <w:bookmarkStart w:id="2671" w:name="_Toc38440108"/>
      <w:bookmarkStart w:id="2672" w:name="_Toc38440445"/>
      <w:bookmarkStart w:id="2673" w:name="_Toc38440977"/>
      <w:bookmarkStart w:id="2674" w:name="_Toc38441309"/>
      <w:bookmarkStart w:id="2675" w:name="_Toc38441641"/>
      <w:bookmarkStart w:id="2676" w:name="_Toc38441969"/>
      <w:bookmarkStart w:id="2677" w:name="_Toc38442301"/>
      <w:bookmarkStart w:id="2678" w:name="_Toc38442633"/>
      <w:bookmarkStart w:id="2679" w:name="_Toc38442964"/>
      <w:bookmarkStart w:id="2680" w:name="_Toc38443295"/>
      <w:bookmarkStart w:id="2681" w:name="_Toc38443626"/>
      <w:bookmarkStart w:id="2682" w:name="_Toc38443956"/>
      <w:bookmarkStart w:id="2683" w:name="_Toc38438424"/>
      <w:bookmarkStart w:id="2684" w:name="_Toc38438761"/>
      <w:bookmarkStart w:id="2685" w:name="_Toc38439098"/>
      <w:bookmarkStart w:id="2686" w:name="_Toc38439435"/>
      <w:bookmarkStart w:id="2687" w:name="_Toc38439772"/>
      <w:bookmarkStart w:id="2688" w:name="_Toc38440109"/>
      <w:bookmarkStart w:id="2689" w:name="_Toc38440446"/>
      <w:bookmarkStart w:id="2690" w:name="_Toc38440978"/>
      <w:bookmarkStart w:id="2691" w:name="_Toc38441310"/>
      <w:bookmarkStart w:id="2692" w:name="_Toc38441642"/>
      <w:bookmarkStart w:id="2693" w:name="_Toc38441970"/>
      <w:bookmarkStart w:id="2694" w:name="_Toc38442302"/>
      <w:bookmarkStart w:id="2695" w:name="_Toc38442634"/>
      <w:bookmarkStart w:id="2696" w:name="_Toc38442965"/>
      <w:bookmarkStart w:id="2697" w:name="_Toc38443296"/>
      <w:bookmarkStart w:id="2698" w:name="_Toc38443627"/>
      <w:bookmarkStart w:id="2699" w:name="_Toc38443957"/>
      <w:bookmarkStart w:id="2700" w:name="_Toc38438425"/>
      <w:bookmarkStart w:id="2701" w:name="_Toc38438762"/>
      <w:bookmarkStart w:id="2702" w:name="_Toc38439099"/>
      <w:bookmarkStart w:id="2703" w:name="_Toc38439436"/>
      <w:bookmarkStart w:id="2704" w:name="_Toc38439773"/>
      <w:bookmarkStart w:id="2705" w:name="_Toc38440110"/>
      <w:bookmarkStart w:id="2706" w:name="_Toc38440447"/>
      <w:bookmarkStart w:id="2707" w:name="_Toc38440979"/>
      <w:bookmarkStart w:id="2708" w:name="_Toc38441311"/>
      <w:bookmarkStart w:id="2709" w:name="_Toc38441643"/>
      <w:bookmarkStart w:id="2710" w:name="_Toc38441971"/>
      <w:bookmarkStart w:id="2711" w:name="_Toc38442303"/>
      <w:bookmarkStart w:id="2712" w:name="_Toc38442635"/>
      <w:bookmarkStart w:id="2713" w:name="_Toc38442966"/>
      <w:bookmarkStart w:id="2714" w:name="_Toc38443297"/>
      <w:bookmarkStart w:id="2715" w:name="_Toc38443628"/>
      <w:bookmarkStart w:id="2716" w:name="_Toc38443958"/>
      <w:bookmarkStart w:id="2717" w:name="_Toc38438426"/>
      <w:bookmarkStart w:id="2718" w:name="_Toc38438763"/>
      <w:bookmarkStart w:id="2719" w:name="_Toc38439100"/>
      <w:bookmarkStart w:id="2720" w:name="_Toc38439437"/>
      <w:bookmarkStart w:id="2721" w:name="_Toc38439774"/>
      <w:bookmarkStart w:id="2722" w:name="_Toc38440111"/>
      <w:bookmarkStart w:id="2723" w:name="_Toc38440448"/>
      <w:bookmarkStart w:id="2724" w:name="_Toc38440980"/>
      <w:bookmarkStart w:id="2725" w:name="_Toc38441312"/>
      <w:bookmarkStart w:id="2726" w:name="_Toc38441644"/>
      <w:bookmarkStart w:id="2727" w:name="_Toc38441972"/>
      <w:bookmarkStart w:id="2728" w:name="_Toc38442304"/>
      <w:bookmarkStart w:id="2729" w:name="_Toc38442636"/>
      <w:bookmarkStart w:id="2730" w:name="_Toc38442967"/>
      <w:bookmarkStart w:id="2731" w:name="_Toc38443298"/>
      <w:bookmarkStart w:id="2732" w:name="_Toc38443629"/>
      <w:bookmarkStart w:id="2733" w:name="_Toc38443959"/>
      <w:bookmarkStart w:id="2734" w:name="_Toc38438427"/>
      <w:bookmarkStart w:id="2735" w:name="_Toc38438764"/>
      <w:bookmarkStart w:id="2736" w:name="_Toc38439101"/>
      <w:bookmarkStart w:id="2737" w:name="_Toc38439438"/>
      <w:bookmarkStart w:id="2738" w:name="_Toc38439775"/>
      <w:bookmarkStart w:id="2739" w:name="_Toc38440112"/>
      <w:bookmarkStart w:id="2740" w:name="_Toc38440449"/>
      <w:bookmarkStart w:id="2741" w:name="_Toc38440981"/>
      <w:bookmarkStart w:id="2742" w:name="_Toc38441313"/>
      <w:bookmarkStart w:id="2743" w:name="_Toc38441645"/>
      <w:bookmarkStart w:id="2744" w:name="_Toc38441973"/>
      <w:bookmarkStart w:id="2745" w:name="_Toc38442305"/>
      <w:bookmarkStart w:id="2746" w:name="_Toc38442637"/>
      <w:bookmarkStart w:id="2747" w:name="_Toc38442968"/>
      <w:bookmarkStart w:id="2748" w:name="_Toc38443299"/>
      <w:bookmarkStart w:id="2749" w:name="_Toc38443630"/>
      <w:bookmarkStart w:id="2750" w:name="_Toc38443960"/>
      <w:bookmarkStart w:id="2751" w:name="_Toc38438428"/>
      <w:bookmarkStart w:id="2752" w:name="_Toc38438765"/>
      <w:bookmarkStart w:id="2753" w:name="_Toc38439102"/>
      <w:bookmarkStart w:id="2754" w:name="_Toc38439439"/>
      <w:bookmarkStart w:id="2755" w:name="_Toc38439776"/>
      <w:bookmarkStart w:id="2756" w:name="_Toc38440113"/>
      <w:bookmarkStart w:id="2757" w:name="_Toc38440450"/>
      <w:bookmarkStart w:id="2758" w:name="_Toc38440982"/>
      <w:bookmarkStart w:id="2759" w:name="_Toc38441314"/>
      <w:bookmarkStart w:id="2760" w:name="_Toc38441646"/>
      <w:bookmarkStart w:id="2761" w:name="_Toc38441974"/>
      <w:bookmarkStart w:id="2762" w:name="_Toc38442306"/>
      <w:bookmarkStart w:id="2763" w:name="_Toc38442638"/>
      <w:bookmarkStart w:id="2764" w:name="_Toc38442969"/>
      <w:bookmarkStart w:id="2765" w:name="_Toc38443300"/>
      <w:bookmarkStart w:id="2766" w:name="_Toc38443631"/>
      <w:bookmarkStart w:id="2767" w:name="_Toc38443961"/>
      <w:bookmarkStart w:id="2768" w:name="_Toc38438429"/>
      <w:bookmarkStart w:id="2769" w:name="_Toc38438766"/>
      <w:bookmarkStart w:id="2770" w:name="_Toc38439103"/>
      <w:bookmarkStart w:id="2771" w:name="_Toc38439440"/>
      <w:bookmarkStart w:id="2772" w:name="_Toc38439777"/>
      <w:bookmarkStart w:id="2773" w:name="_Toc38440114"/>
      <w:bookmarkStart w:id="2774" w:name="_Toc38440451"/>
      <w:bookmarkStart w:id="2775" w:name="_Toc38440983"/>
      <w:bookmarkStart w:id="2776" w:name="_Toc38441315"/>
      <w:bookmarkStart w:id="2777" w:name="_Toc38441647"/>
      <w:bookmarkStart w:id="2778" w:name="_Toc38441975"/>
      <w:bookmarkStart w:id="2779" w:name="_Toc38442307"/>
      <w:bookmarkStart w:id="2780" w:name="_Toc38442639"/>
      <w:bookmarkStart w:id="2781" w:name="_Toc38442970"/>
      <w:bookmarkStart w:id="2782" w:name="_Toc38443301"/>
      <w:bookmarkStart w:id="2783" w:name="_Toc38443632"/>
      <w:bookmarkStart w:id="2784" w:name="_Toc38443962"/>
      <w:bookmarkStart w:id="2785" w:name="_Toc38438430"/>
      <w:bookmarkStart w:id="2786" w:name="_Toc38438767"/>
      <w:bookmarkStart w:id="2787" w:name="_Toc38439104"/>
      <w:bookmarkStart w:id="2788" w:name="_Toc38439441"/>
      <w:bookmarkStart w:id="2789" w:name="_Toc38439778"/>
      <w:bookmarkStart w:id="2790" w:name="_Toc38440115"/>
      <w:bookmarkStart w:id="2791" w:name="_Toc38440452"/>
      <w:bookmarkStart w:id="2792" w:name="_Toc38440984"/>
      <w:bookmarkStart w:id="2793" w:name="_Toc38441316"/>
      <w:bookmarkStart w:id="2794" w:name="_Toc38441648"/>
      <w:bookmarkStart w:id="2795" w:name="_Toc38441976"/>
      <w:bookmarkStart w:id="2796" w:name="_Toc38442308"/>
      <w:bookmarkStart w:id="2797" w:name="_Toc38442640"/>
      <w:bookmarkStart w:id="2798" w:name="_Toc38442971"/>
      <w:bookmarkStart w:id="2799" w:name="_Toc38443302"/>
      <w:bookmarkStart w:id="2800" w:name="_Toc38443633"/>
      <w:bookmarkStart w:id="2801" w:name="_Toc38443963"/>
      <w:bookmarkStart w:id="2802" w:name="_Toc38438431"/>
      <w:bookmarkStart w:id="2803" w:name="_Toc38438768"/>
      <w:bookmarkStart w:id="2804" w:name="_Toc38439105"/>
      <w:bookmarkStart w:id="2805" w:name="_Toc38439442"/>
      <w:bookmarkStart w:id="2806" w:name="_Toc38439779"/>
      <w:bookmarkStart w:id="2807" w:name="_Toc38440116"/>
      <w:bookmarkStart w:id="2808" w:name="_Toc38440453"/>
      <w:bookmarkStart w:id="2809" w:name="_Toc38440985"/>
      <w:bookmarkStart w:id="2810" w:name="_Toc38441317"/>
      <w:bookmarkStart w:id="2811" w:name="_Toc38441649"/>
      <w:bookmarkStart w:id="2812" w:name="_Toc38441977"/>
      <w:bookmarkStart w:id="2813" w:name="_Toc38442309"/>
      <w:bookmarkStart w:id="2814" w:name="_Toc38442641"/>
      <w:bookmarkStart w:id="2815" w:name="_Toc38442972"/>
      <w:bookmarkStart w:id="2816" w:name="_Toc38443303"/>
      <w:bookmarkStart w:id="2817" w:name="_Toc38443634"/>
      <w:bookmarkStart w:id="2818" w:name="_Toc38443964"/>
      <w:bookmarkStart w:id="2819" w:name="_Toc38438432"/>
      <w:bookmarkStart w:id="2820" w:name="_Toc38438769"/>
      <w:bookmarkStart w:id="2821" w:name="_Toc38439106"/>
      <w:bookmarkStart w:id="2822" w:name="_Toc38439443"/>
      <w:bookmarkStart w:id="2823" w:name="_Toc38439780"/>
      <w:bookmarkStart w:id="2824" w:name="_Toc38440117"/>
      <w:bookmarkStart w:id="2825" w:name="_Toc38440454"/>
      <w:bookmarkStart w:id="2826" w:name="_Toc38440986"/>
      <w:bookmarkStart w:id="2827" w:name="_Toc38441318"/>
      <w:bookmarkStart w:id="2828" w:name="_Toc38441650"/>
      <w:bookmarkStart w:id="2829" w:name="_Toc38441978"/>
      <w:bookmarkStart w:id="2830" w:name="_Toc38442310"/>
      <w:bookmarkStart w:id="2831" w:name="_Toc38442642"/>
      <w:bookmarkStart w:id="2832" w:name="_Toc38442973"/>
      <w:bookmarkStart w:id="2833" w:name="_Toc38443304"/>
      <w:bookmarkStart w:id="2834" w:name="_Toc38443635"/>
      <w:bookmarkStart w:id="2835" w:name="_Toc38443965"/>
      <w:bookmarkStart w:id="2836" w:name="_Toc38438433"/>
      <w:bookmarkStart w:id="2837" w:name="_Toc38438770"/>
      <w:bookmarkStart w:id="2838" w:name="_Toc38439107"/>
      <w:bookmarkStart w:id="2839" w:name="_Toc38439444"/>
      <w:bookmarkStart w:id="2840" w:name="_Toc38439781"/>
      <w:bookmarkStart w:id="2841" w:name="_Toc38440118"/>
      <w:bookmarkStart w:id="2842" w:name="_Toc38440455"/>
      <w:bookmarkStart w:id="2843" w:name="_Toc38440987"/>
      <w:bookmarkStart w:id="2844" w:name="_Toc38441319"/>
      <w:bookmarkStart w:id="2845" w:name="_Toc38441651"/>
      <w:bookmarkStart w:id="2846" w:name="_Toc38441979"/>
      <w:bookmarkStart w:id="2847" w:name="_Toc38442311"/>
      <w:bookmarkStart w:id="2848" w:name="_Toc38442643"/>
      <w:bookmarkStart w:id="2849" w:name="_Toc38442974"/>
      <w:bookmarkStart w:id="2850" w:name="_Toc38443305"/>
      <w:bookmarkStart w:id="2851" w:name="_Toc38443636"/>
      <w:bookmarkStart w:id="2852" w:name="_Toc38443966"/>
      <w:bookmarkStart w:id="2853" w:name="_Toc38438434"/>
      <w:bookmarkStart w:id="2854" w:name="_Toc38438771"/>
      <w:bookmarkStart w:id="2855" w:name="_Toc38439108"/>
      <w:bookmarkStart w:id="2856" w:name="_Toc38439445"/>
      <w:bookmarkStart w:id="2857" w:name="_Toc38439782"/>
      <w:bookmarkStart w:id="2858" w:name="_Toc38440119"/>
      <w:bookmarkStart w:id="2859" w:name="_Toc38440456"/>
      <w:bookmarkStart w:id="2860" w:name="_Toc38440988"/>
      <w:bookmarkStart w:id="2861" w:name="_Toc38441320"/>
      <w:bookmarkStart w:id="2862" w:name="_Toc38441652"/>
      <w:bookmarkStart w:id="2863" w:name="_Toc38441980"/>
      <w:bookmarkStart w:id="2864" w:name="_Toc38442312"/>
      <w:bookmarkStart w:id="2865" w:name="_Toc38442644"/>
      <w:bookmarkStart w:id="2866" w:name="_Toc38442975"/>
      <w:bookmarkStart w:id="2867" w:name="_Toc38443306"/>
      <w:bookmarkStart w:id="2868" w:name="_Toc38443637"/>
      <w:bookmarkStart w:id="2869" w:name="_Toc38443967"/>
      <w:bookmarkStart w:id="2870" w:name="_Toc38438435"/>
      <w:bookmarkStart w:id="2871" w:name="_Toc38438772"/>
      <w:bookmarkStart w:id="2872" w:name="_Toc38439109"/>
      <w:bookmarkStart w:id="2873" w:name="_Toc38439446"/>
      <w:bookmarkStart w:id="2874" w:name="_Toc38439783"/>
      <w:bookmarkStart w:id="2875" w:name="_Toc38440120"/>
      <w:bookmarkStart w:id="2876" w:name="_Toc38440457"/>
      <w:bookmarkStart w:id="2877" w:name="_Toc38440989"/>
      <w:bookmarkStart w:id="2878" w:name="_Toc38441321"/>
      <w:bookmarkStart w:id="2879" w:name="_Toc38441653"/>
      <w:bookmarkStart w:id="2880" w:name="_Toc38441981"/>
      <w:bookmarkStart w:id="2881" w:name="_Toc38442313"/>
      <w:bookmarkStart w:id="2882" w:name="_Toc38442645"/>
      <w:bookmarkStart w:id="2883" w:name="_Toc38442976"/>
      <w:bookmarkStart w:id="2884" w:name="_Toc38443307"/>
      <w:bookmarkStart w:id="2885" w:name="_Toc38443638"/>
      <w:bookmarkStart w:id="2886" w:name="_Toc38443968"/>
      <w:bookmarkStart w:id="2887" w:name="_Toc38438436"/>
      <w:bookmarkStart w:id="2888" w:name="_Toc38438773"/>
      <w:bookmarkStart w:id="2889" w:name="_Toc38439110"/>
      <w:bookmarkStart w:id="2890" w:name="_Toc38439447"/>
      <w:bookmarkStart w:id="2891" w:name="_Toc38439784"/>
      <w:bookmarkStart w:id="2892" w:name="_Toc38440121"/>
      <w:bookmarkStart w:id="2893" w:name="_Toc38440458"/>
      <w:bookmarkStart w:id="2894" w:name="_Toc38440990"/>
      <w:bookmarkStart w:id="2895" w:name="_Toc38441322"/>
      <w:bookmarkStart w:id="2896" w:name="_Toc38441654"/>
      <w:bookmarkStart w:id="2897" w:name="_Toc38441982"/>
      <w:bookmarkStart w:id="2898" w:name="_Toc38442314"/>
      <w:bookmarkStart w:id="2899" w:name="_Toc38442646"/>
      <w:bookmarkStart w:id="2900" w:name="_Toc38442977"/>
      <w:bookmarkStart w:id="2901" w:name="_Toc38443308"/>
      <w:bookmarkStart w:id="2902" w:name="_Toc38443639"/>
      <w:bookmarkStart w:id="2903" w:name="_Toc38443969"/>
      <w:bookmarkStart w:id="2904" w:name="_Toc38438437"/>
      <w:bookmarkStart w:id="2905" w:name="_Toc38438774"/>
      <w:bookmarkStart w:id="2906" w:name="_Toc38439111"/>
      <w:bookmarkStart w:id="2907" w:name="_Toc38439448"/>
      <w:bookmarkStart w:id="2908" w:name="_Toc38439785"/>
      <w:bookmarkStart w:id="2909" w:name="_Toc38440122"/>
      <w:bookmarkStart w:id="2910" w:name="_Toc38440459"/>
      <w:bookmarkStart w:id="2911" w:name="_Toc38440991"/>
      <w:bookmarkStart w:id="2912" w:name="_Toc38441323"/>
      <w:bookmarkStart w:id="2913" w:name="_Toc38441655"/>
      <w:bookmarkStart w:id="2914" w:name="_Toc38441983"/>
      <w:bookmarkStart w:id="2915" w:name="_Toc38442315"/>
      <w:bookmarkStart w:id="2916" w:name="_Toc38442647"/>
      <w:bookmarkStart w:id="2917" w:name="_Toc38442978"/>
      <w:bookmarkStart w:id="2918" w:name="_Toc38443309"/>
      <w:bookmarkStart w:id="2919" w:name="_Toc38443640"/>
      <w:bookmarkStart w:id="2920" w:name="_Toc38443970"/>
      <w:bookmarkStart w:id="2921" w:name="_Toc38438438"/>
      <w:bookmarkStart w:id="2922" w:name="_Toc38438775"/>
      <w:bookmarkStart w:id="2923" w:name="_Toc38439112"/>
      <w:bookmarkStart w:id="2924" w:name="_Toc38439449"/>
      <w:bookmarkStart w:id="2925" w:name="_Toc38439786"/>
      <w:bookmarkStart w:id="2926" w:name="_Toc38440123"/>
      <w:bookmarkStart w:id="2927" w:name="_Toc38440460"/>
      <w:bookmarkStart w:id="2928" w:name="_Toc38440992"/>
      <w:bookmarkStart w:id="2929" w:name="_Toc38441324"/>
      <w:bookmarkStart w:id="2930" w:name="_Toc38441656"/>
      <w:bookmarkStart w:id="2931" w:name="_Toc38441984"/>
      <w:bookmarkStart w:id="2932" w:name="_Toc38442316"/>
      <w:bookmarkStart w:id="2933" w:name="_Toc38442648"/>
      <w:bookmarkStart w:id="2934" w:name="_Toc38442979"/>
      <w:bookmarkStart w:id="2935" w:name="_Toc38443310"/>
      <w:bookmarkStart w:id="2936" w:name="_Toc38443641"/>
      <w:bookmarkStart w:id="2937" w:name="_Toc38443971"/>
      <w:bookmarkStart w:id="2938" w:name="_Toc38438439"/>
      <w:bookmarkStart w:id="2939" w:name="_Toc38438776"/>
      <w:bookmarkStart w:id="2940" w:name="_Toc38439113"/>
      <w:bookmarkStart w:id="2941" w:name="_Toc38439450"/>
      <w:bookmarkStart w:id="2942" w:name="_Toc38439787"/>
      <w:bookmarkStart w:id="2943" w:name="_Toc38440124"/>
      <w:bookmarkStart w:id="2944" w:name="_Toc38440461"/>
      <w:bookmarkStart w:id="2945" w:name="_Toc38440993"/>
      <w:bookmarkStart w:id="2946" w:name="_Toc38441325"/>
      <w:bookmarkStart w:id="2947" w:name="_Toc38441657"/>
      <w:bookmarkStart w:id="2948" w:name="_Toc38441985"/>
      <w:bookmarkStart w:id="2949" w:name="_Toc38442317"/>
      <w:bookmarkStart w:id="2950" w:name="_Toc38442649"/>
      <w:bookmarkStart w:id="2951" w:name="_Toc38442980"/>
      <w:bookmarkStart w:id="2952" w:name="_Toc38443311"/>
      <w:bookmarkStart w:id="2953" w:name="_Toc38443642"/>
      <w:bookmarkStart w:id="2954" w:name="_Toc38443972"/>
      <w:bookmarkStart w:id="2955" w:name="_Toc38438440"/>
      <w:bookmarkStart w:id="2956" w:name="_Toc38438777"/>
      <w:bookmarkStart w:id="2957" w:name="_Toc38439114"/>
      <w:bookmarkStart w:id="2958" w:name="_Toc38439451"/>
      <w:bookmarkStart w:id="2959" w:name="_Toc38439788"/>
      <w:bookmarkStart w:id="2960" w:name="_Toc38440125"/>
      <w:bookmarkStart w:id="2961" w:name="_Toc38440462"/>
      <w:bookmarkStart w:id="2962" w:name="_Toc38440994"/>
      <w:bookmarkStart w:id="2963" w:name="_Toc38441326"/>
      <w:bookmarkStart w:id="2964" w:name="_Toc38441658"/>
      <w:bookmarkStart w:id="2965" w:name="_Toc38441986"/>
      <w:bookmarkStart w:id="2966" w:name="_Toc38442318"/>
      <w:bookmarkStart w:id="2967" w:name="_Toc38442650"/>
      <w:bookmarkStart w:id="2968" w:name="_Toc38442981"/>
      <w:bookmarkStart w:id="2969" w:name="_Toc38443312"/>
      <w:bookmarkStart w:id="2970" w:name="_Toc38443643"/>
      <w:bookmarkStart w:id="2971" w:name="_Toc38443973"/>
      <w:bookmarkStart w:id="2972" w:name="_Toc38438441"/>
      <w:bookmarkStart w:id="2973" w:name="_Toc38438778"/>
      <w:bookmarkStart w:id="2974" w:name="_Toc38439115"/>
      <w:bookmarkStart w:id="2975" w:name="_Toc38439452"/>
      <w:bookmarkStart w:id="2976" w:name="_Toc38439789"/>
      <w:bookmarkStart w:id="2977" w:name="_Toc38440126"/>
      <w:bookmarkStart w:id="2978" w:name="_Toc38440463"/>
      <w:bookmarkStart w:id="2979" w:name="_Toc38440995"/>
      <w:bookmarkStart w:id="2980" w:name="_Toc38441327"/>
      <w:bookmarkStart w:id="2981" w:name="_Toc38441659"/>
      <w:bookmarkStart w:id="2982" w:name="_Toc38441987"/>
      <w:bookmarkStart w:id="2983" w:name="_Toc38442319"/>
      <w:bookmarkStart w:id="2984" w:name="_Toc38442651"/>
      <w:bookmarkStart w:id="2985" w:name="_Toc38442982"/>
      <w:bookmarkStart w:id="2986" w:name="_Toc38443313"/>
      <w:bookmarkStart w:id="2987" w:name="_Toc38443644"/>
      <w:bookmarkStart w:id="2988" w:name="_Toc38443974"/>
      <w:bookmarkStart w:id="2989" w:name="_Toc38438442"/>
      <w:bookmarkStart w:id="2990" w:name="_Toc38438779"/>
      <w:bookmarkStart w:id="2991" w:name="_Toc38439116"/>
      <w:bookmarkStart w:id="2992" w:name="_Toc38439453"/>
      <w:bookmarkStart w:id="2993" w:name="_Toc38439790"/>
      <w:bookmarkStart w:id="2994" w:name="_Toc38440127"/>
      <w:bookmarkStart w:id="2995" w:name="_Toc38440464"/>
      <w:bookmarkStart w:id="2996" w:name="_Toc38440996"/>
      <w:bookmarkStart w:id="2997" w:name="_Toc38441328"/>
      <w:bookmarkStart w:id="2998" w:name="_Toc38441660"/>
      <w:bookmarkStart w:id="2999" w:name="_Toc38441988"/>
      <w:bookmarkStart w:id="3000" w:name="_Toc38442320"/>
      <w:bookmarkStart w:id="3001" w:name="_Toc38442652"/>
      <w:bookmarkStart w:id="3002" w:name="_Toc38442983"/>
      <w:bookmarkStart w:id="3003" w:name="_Toc38443314"/>
      <w:bookmarkStart w:id="3004" w:name="_Toc38443645"/>
      <w:bookmarkStart w:id="3005" w:name="_Toc38443975"/>
      <w:bookmarkStart w:id="3006" w:name="_Toc38438443"/>
      <w:bookmarkStart w:id="3007" w:name="_Toc38438780"/>
      <w:bookmarkStart w:id="3008" w:name="_Toc38439117"/>
      <w:bookmarkStart w:id="3009" w:name="_Toc38439454"/>
      <w:bookmarkStart w:id="3010" w:name="_Toc38439791"/>
      <w:bookmarkStart w:id="3011" w:name="_Toc38440128"/>
      <w:bookmarkStart w:id="3012" w:name="_Toc38440465"/>
      <w:bookmarkStart w:id="3013" w:name="_Toc38440997"/>
      <w:bookmarkStart w:id="3014" w:name="_Toc38441329"/>
      <w:bookmarkStart w:id="3015" w:name="_Toc38441661"/>
      <w:bookmarkStart w:id="3016" w:name="_Toc38441989"/>
      <w:bookmarkStart w:id="3017" w:name="_Toc38442321"/>
      <w:bookmarkStart w:id="3018" w:name="_Toc38442653"/>
      <w:bookmarkStart w:id="3019" w:name="_Toc38442984"/>
      <w:bookmarkStart w:id="3020" w:name="_Toc38443315"/>
      <w:bookmarkStart w:id="3021" w:name="_Toc38443646"/>
      <w:bookmarkStart w:id="3022" w:name="_Toc38443976"/>
      <w:bookmarkStart w:id="3023" w:name="_Toc38438444"/>
      <w:bookmarkStart w:id="3024" w:name="_Toc38438781"/>
      <w:bookmarkStart w:id="3025" w:name="_Toc38439118"/>
      <w:bookmarkStart w:id="3026" w:name="_Toc38439455"/>
      <w:bookmarkStart w:id="3027" w:name="_Toc38439792"/>
      <w:bookmarkStart w:id="3028" w:name="_Toc38440129"/>
      <w:bookmarkStart w:id="3029" w:name="_Toc38440466"/>
      <w:bookmarkStart w:id="3030" w:name="_Toc38440998"/>
      <w:bookmarkStart w:id="3031" w:name="_Toc38441330"/>
      <w:bookmarkStart w:id="3032" w:name="_Toc38441662"/>
      <w:bookmarkStart w:id="3033" w:name="_Toc38441990"/>
      <w:bookmarkStart w:id="3034" w:name="_Toc38442322"/>
      <w:bookmarkStart w:id="3035" w:name="_Toc38442654"/>
      <w:bookmarkStart w:id="3036" w:name="_Toc38442985"/>
      <w:bookmarkStart w:id="3037" w:name="_Toc38443316"/>
      <w:bookmarkStart w:id="3038" w:name="_Toc38443647"/>
      <w:bookmarkStart w:id="3039" w:name="_Toc38443977"/>
      <w:bookmarkStart w:id="3040" w:name="_Toc38438445"/>
      <w:bookmarkStart w:id="3041" w:name="_Toc38438782"/>
      <w:bookmarkStart w:id="3042" w:name="_Toc38439119"/>
      <w:bookmarkStart w:id="3043" w:name="_Toc38439456"/>
      <w:bookmarkStart w:id="3044" w:name="_Toc38439793"/>
      <w:bookmarkStart w:id="3045" w:name="_Toc38440130"/>
      <w:bookmarkStart w:id="3046" w:name="_Toc38440467"/>
      <w:bookmarkStart w:id="3047" w:name="_Toc38440999"/>
      <w:bookmarkStart w:id="3048" w:name="_Toc38441331"/>
      <w:bookmarkStart w:id="3049" w:name="_Toc38441663"/>
      <w:bookmarkStart w:id="3050" w:name="_Toc38441991"/>
      <w:bookmarkStart w:id="3051" w:name="_Toc38442323"/>
      <w:bookmarkStart w:id="3052" w:name="_Toc38442655"/>
      <w:bookmarkStart w:id="3053" w:name="_Toc38442986"/>
      <w:bookmarkStart w:id="3054" w:name="_Toc38443317"/>
      <w:bookmarkStart w:id="3055" w:name="_Toc38443648"/>
      <w:bookmarkStart w:id="3056" w:name="_Toc38443978"/>
      <w:bookmarkStart w:id="3057" w:name="_Toc38438446"/>
      <w:bookmarkStart w:id="3058" w:name="_Toc38438783"/>
      <w:bookmarkStart w:id="3059" w:name="_Toc38439120"/>
      <w:bookmarkStart w:id="3060" w:name="_Toc38439457"/>
      <w:bookmarkStart w:id="3061" w:name="_Toc38439794"/>
      <w:bookmarkStart w:id="3062" w:name="_Toc38440131"/>
      <w:bookmarkStart w:id="3063" w:name="_Toc38440468"/>
      <w:bookmarkStart w:id="3064" w:name="_Toc38441000"/>
      <w:bookmarkStart w:id="3065" w:name="_Toc38441332"/>
      <w:bookmarkStart w:id="3066" w:name="_Toc38441664"/>
      <w:bookmarkStart w:id="3067" w:name="_Toc38441992"/>
      <w:bookmarkStart w:id="3068" w:name="_Toc38442324"/>
      <w:bookmarkStart w:id="3069" w:name="_Toc38442656"/>
      <w:bookmarkStart w:id="3070" w:name="_Toc38442987"/>
      <w:bookmarkStart w:id="3071" w:name="_Toc38443318"/>
      <w:bookmarkStart w:id="3072" w:name="_Toc38443649"/>
      <w:bookmarkStart w:id="3073" w:name="_Toc38443979"/>
      <w:bookmarkStart w:id="3074" w:name="_Toc38438447"/>
      <w:bookmarkStart w:id="3075" w:name="_Toc38438784"/>
      <w:bookmarkStart w:id="3076" w:name="_Toc38439121"/>
      <w:bookmarkStart w:id="3077" w:name="_Toc38439458"/>
      <w:bookmarkStart w:id="3078" w:name="_Toc38439795"/>
      <w:bookmarkStart w:id="3079" w:name="_Toc38440132"/>
      <w:bookmarkStart w:id="3080" w:name="_Toc38440469"/>
      <w:bookmarkStart w:id="3081" w:name="_Toc38441001"/>
      <w:bookmarkStart w:id="3082" w:name="_Toc38441333"/>
      <w:bookmarkStart w:id="3083" w:name="_Toc38441665"/>
      <w:bookmarkStart w:id="3084" w:name="_Toc38441993"/>
      <w:bookmarkStart w:id="3085" w:name="_Toc38442325"/>
      <w:bookmarkStart w:id="3086" w:name="_Toc38442657"/>
      <w:bookmarkStart w:id="3087" w:name="_Toc38442988"/>
      <w:bookmarkStart w:id="3088" w:name="_Toc38443319"/>
      <w:bookmarkStart w:id="3089" w:name="_Toc38443650"/>
      <w:bookmarkStart w:id="3090" w:name="_Toc38443980"/>
      <w:bookmarkStart w:id="3091" w:name="_Toc38438448"/>
      <w:bookmarkStart w:id="3092" w:name="_Toc38438785"/>
      <w:bookmarkStart w:id="3093" w:name="_Toc38439122"/>
      <w:bookmarkStart w:id="3094" w:name="_Toc38439459"/>
      <w:bookmarkStart w:id="3095" w:name="_Toc38439796"/>
      <w:bookmarkStart w:id="3096" w:name="_Toc38440133"/>
      <w:bookmarkStart w:id="3097" w:name="_Toc38440470"/>
      <w:bookmarkStart w:id="3098" w:name="_Toc38441002"/>
      <w:bookmarkStart w:id="3099" w:name="_Toc38441334"/>
      <w:bookmarkStart w:id="3100" w:name="_Toc38441666"/>
      <w:bookmarkStart w:id="3101" w:name="_Toc38441994"/>
      <w:bookmarkStart w:id="3102" w:name="_Toc38442326"/>
      <w:bookmarkStart w:id="3103" w:name="_Toc38442658"/>
      <w:bookmarkStart w:id="3104" w:name="_Toc38442989"/>
      <w:bookmarkStart w:id="3105" w:name="_Toc38443320"/>
      <w:bookmarkStart w:id="3106" w:name="_Toc38443651"/>
      <w:bookmarkStart w:id="3107" w:name="_Toc38443981"/>
      <w:bookmarkStart w:id="3108" w:name="_Toc38438449"/>
      <w:bookmarkStart w:id="3109" w:name="_Toc38438786"/>
      <w:bookmarkStart w:id="3110" w:name="_Toc38439123"/>
      <w:bookmarkStart w:id="3111" w:name="_Toc38439460"/>
      <w:bookmarkStart w:id="3112" w:name="_Toc38439797"/>
      <w:bookmarkStart w:id="3113" w:name="_Toc38440134"/>
      <w:bookmarkStart w:id="3114" w:name="_Toc38440471"/>
      <w:bookmarkStart w:id="3115" w:name="_Toc38441003"/>
      <w:bookmarkStart w:id="3116" w:name="_Toc38441335"/>
      <w:bookmarkStart w:id="3117" w:name="_Toc38441667"/>
      <w:bookmarkStart w:id="3118" w:name="_Toc38441995"/>
      <w:bookmarkStart w:id="3119" w:name="_Toc38442327"/>
      <w:bookmarkStart w:id="3120" w:name="_Toc38442659"/>
      <w:bookmarkStart w:id="3121" w:name="_Toc38442990"/>
      <w:bookmarkStart w:id="3122" w:name="_Toc38443321"/>
      <w:bookmarkStart w:id="3123" w:name="_Toc38443652"/>
      <w:bookmarkStart w:id="3124" w:name="_Toc38443982"/>
      <w:bookmarkStart w:id="3125" w:name="_Toc38438450"/>
      <w:bookmarkStart w:id="3126" w:name="_Toc38438787"/>
      <w:bookmarkStart w:id="3127" w:name="_Toc38439124"/>
      <w:bookmarkStart w:id="3128" w:name="_Toc38439461"/>
      <w:bookmarkStart w:id="3129" w:name="_Toc38439798"/>
      <w:bookmarkStart w:id="3130" w:name="_Toc38440135"/>
      <w:bookmarkStart w:id="3131" w:name="_Toc38440472"/>
      <w:bookmarkStart w:id="3132" w:name="_Toc38441004"/>
      <w:bookmarkStart w:id="3133" w:name="_Toc38441336"/>
      <w:bookmarkStart w:id="3134" w:name="_Toc38441668"/>
      <w:bookmarkStart w:id="3135" w:name="_Toc38441996"/>
      <w:bookmarkStart w:id="3136" w:name="_Toc38442328"/>
      <w:bookmarkStart w:id="3137" w:name="_Toc38442660"/>
      <w:bookmarkStart w:id="3138" w:name="_Toc38442991"/>
      <w:bookmarkStart w:id="3139" w:name="_Toc38443322"/>
      <w:bookmarkStart w:id="3140" w:name="_Toc38443653"/>
      <w:bookmarkStart w:id="3141" w:name="_Toc38443983"/>
      <w:bookmarkStart w:id="3142" w:name="_Toc38438451"/>
      <w:bookmarkStart w:id="3143" w:name="_Toc38438788"/>
      <w:bookmarkStart w:id="3144" w:name="_Toc38439125"/>
      <w:bookmarkStart w:id="3145" w:name="_Toc38439462"/>
      <w:bookmarkStart w:id="3146" w:name="_Toc38439799"/>
      <w:bookmarkStart w:id="3147" w:name="_Toc38440136"/>
      <w:bookmarkStart w:id="3148" w:name="_Toc38440473"/>
      <w:bookmarkStart w:id="3149" w:name="_Toc38441005"/>
      <w:bookmarkStart w:id="3150" w:name="_Toc38441337"/>
      <w:bookmarkStart w:id="3151" w:name="_Toc38441669"/>
      <w:bookmarkStart w:id="3152" w:name="_Toc38441997"/>
      <w:bookmarkStart w:id="3153" w:name="_Toc38442329"/>
      <w:bookmarkStart w:id="3154" w:name="_Toc38442661"/>
      <w:bookmarkStart w:id="3155" w:name="_Toc38442992"/>
      <w:bookmarkStart w:id="3156" w:name="_Toc38443323"/>
      <w:bookmarkStart w:id="3157" w:name="_Toc38443654"/>
      <w:bookmarkStart w:id="3158" w:name="_Toc38443984"/>
      <w:bookmarkStart w:id="3159" w:name="_Toc38438452"/>
      <w:bookmarkStart w:id="3160" w:name="_Toc38438789"/>
      <w:bookmarkStart w:id="3161" w:name="_Toc38439126"/>
      <w:bookmarkStart w:id="3162" w:name="_Toc38439463"/>
      <w:bookmarkStart w:id="3163" w:name="_Toc38439800"/>
      <w:bookmarkStart w:id="3164" w:name="_Toc38440137"/>
      <w:bookmarkStart w:id="3165" w:name="_Toc38440474"/>
      <w:bookmarkStart w:id="3166" w:name="_Toc38441006"/>
      <w:bookmarkStart w:id="3167" w:name="_Toc38441338"/>
      <w:bookmarkStart w:id="3168" w:name="_Toc38441670"/>
      <w:bookmarkStart w:id="3169" w:name="_Toc38441998"/>
      <w:bookmarkStart w:id="3170" w:name="_Toc38442330"/>
      <w:bookmarkStart w:id="3171" w:name="_Toc38442662"/>
      <w:bookmarkStart w:id="3172" w:name="_Toc38442993"/>
      <w:bookmarkStart w:id="3173" w:name="_Toc38443324"/>
      <w:bookmarkStart w:id="3174" w:name="_Toc38443655"/>
      <w:bookmarkStart w:id="3175" w:name="_Toc38443985"/>
      <w:bookmarkStart w:id="3176" w:name="_Toc38438453"/>
      <w:bookmarkStart w:id="3177" w:name="_Toc38438790"/>
      <w:bookmarkStart w:id="3178" w:name="_Toc38439127"/>
      <w:bookmarkStart w:id="3179" w:name="_Toc38439464"/>
      <w:bookmarkStart w:id="3180" w:name="_Toc38439801"/>
      <w:bookmarkStart w:id="3181" w:name="_Toc38440138"/>
      <w:bookmarkStart w:id="3182" w:name="_Toc38440475"/>
      <w:bookmarkStart w:id="3183" w:name="_Toc38441007"/>
      <w:bookmarkStart w:id="3184" w:name="_Toc38441339"/>
      <w:bookmarkStart w:id="3185" w:name="_Toc38441671"/>
      <w:bookmarkStart w:id="3186" w:name="_Toc38441999"/>
      <w:bookmarkStart w:id="3187" w:name="_Toc38442331"/>
      <w:bookmarkStart w:id="3188" w:name="_Toc38442663"/>
      <w:bookmarkStart w:id="3189" w:name="_Toc38442994"/>
      <w:bookmarkStart w:id="3190" w:name="_Toc38443325"/>
      <w:bookmarkStart w:id="3191" w:name="_Toc38443656"/>
      <w:bookmarkStart w:id="3192" w:name="_Toc38443986"/>
      <w:bookmarkStart w:id="3193" w:name="_Toc38438454"/>
      <w:bookmarkStart w:id="3194" w:name="_Toc38438791"/>
      <w:bookmarkStart w:id="3195" w:name="_Toc38439128"/>
      <w:bookmarkStart w:id="3196" w:name="_Toc38439465"/>
      <w:bookmarkStart w:id="3197" w:name="_Toc38439802"/>
      <w:bookmarkStart w:id="3198" w:name="_Toc38440139"/>
      <w:bookmarkStart w:id="3199" w:name="_Toc38440476"/>
      <w:bookmarkStart w:id="3200" w:name="_Toc38441008"/>
      <w:bookmarkStart w:id="3201" w:name="_Toc38441340"/>
      <w:bookmarkStart w:id="3202" w:name="_Toc38441672"/>
      <w:bookmarkStart w:id="3203" w:name="_Toc38442000"/>
      <w:bookmarkStart w:id="3204" w:name="_Toc38442332"/>
      <w:bookmarkStart w:id="3205" w:name="_Toc38442664"/>
      <w:bookmarkStart w:id="3206" w:name="_Toc38442995"/>
      <w:bookmarkStart w:id="3207" w:name="_Toc38443326"/>
      <w:bookmarkStart w:id="3208" w:name="_Toc38443657"/>
      <w:bookmarkStart w:id="3209" w:name="_Toc38443987"/>
      <w:bookmarkStart w:id="3210" w:name="_Toc38438455"/>
      <w:bookmarkStart w:id="3211" w:name="_Toc38438792"/>
      <w:bookmarkStart w:id="3212" w:name="_Toc38439129"/>
      <w:bookmarkStart w:id="3213" w:name="_Toc38439466"/>
      <w:bookmarkStart w:id="3214" w:name="_Toc38439803"/>
      <w:bookmarkStart w:id="3215" w:name="_Toc38440140"/>
      <w:bookmarkStart w:id="3216" w:name="_Toc38440477"/>
      <w:bookmarkStart w:id="3217" w:name="_Toc38441009"/>
      <w:bookmarkStart w:id="3218" w:name="_Toc38441341"/>
      <w:bookmarkStart w:id="3219" w:name="_Toc38441673"/>
      <w:bookmarkStart w:id="3220" w:name="_Toc38442001"/>
      <w:bookmarkStart w:id="3221" w:name="_Toc38442333"/>
      <w:bookmarkStart w:id="3222" w:name="_Toc38442665"/>
      <w:bookmarkStart w:id="3223" w:name="_Toc38442996"/>
      <w:bookmarkStart w:id="3224" w:name="_Toc38443327"/>
      <w:bookmarkStart w:id="3225" w:name="_Toc38443658"/>
      <w:bookmarkStart w:id="3226" w:name="_Toc38443988"/>
      <w:bookmarkStart w:id="3227" w:name="_Toc38438456"/>
      <w:bookmarkStart w:id="3228" w:name="_Toc38438793"/>
      <w:bookmarkStart w:id="3229" w:name="_Toc38439130"/>
      <w:bookmarkStart w:id="3230" w:name="_Toc38439467"/>
      <w:bookmarkStart w:id="3231" w:name="_Toc38439804"/>
      <w:bookmarkStart w:id="3232" w:name="_Toc38440141"/>
      <w:bookmarkStart w:id="3233" w:name="_Toc38440478"/>
      <w:bookmarkStart w:id="3234" w:name="_Toc38441010"/>
      <w:bookmarkStart w:id="3235" w:name="_Toc38441342"/>
      <w:bookmarkStart w:id="3236" w:name="_Toc38441674"/>
      <w:bookmarkStart w:id="3237" w:name="_Toc38442002"/>
      <w:bookmarkStart w:id="3238" w:name="_Toc38442334"/>
      <w:bookmarkStart w:id="3239" w:name="_Toc38442666"/>
      <w:bookmarkStart w:id="3240" w:name="_Toc38442997"/>
      <w:bookmarkStart w:id="3241" w:name="_Toc38443328"/>
      <w:bookmarkStart w:id="3242" w:name="_Toc38443659"/>
      <w:bookmarkStart w:id="3243" w:name="_Toc38443989"/>
      <w:bookmarkStart w:id="3244" w:name="_Toc38438457"/>
      <w:bookmarkStart w:id="3245" w:name="_Toc38438794"/>
      <w:bookmarkStart w:id="3246" w:name="_Toc38439131"/>
      <w:bookmarkStart w:id="3247" w:name="_Toc38439468"/>
      <w:bookmarkStart w:id="3248" w:name="_Toc38439805"/>
      <w:bookmarkStart w:id="3249" w:name="_Toc38440142"/>
      <w:bookmarkStart w:id="3250" w:name="_Toc38440479"/>
      <w:bookmarkStart w:id="3251" w:name="_Toc38441011"/>
      <w:bookmarkStart w:id="3252" w:name="_Toc38441343"/>
      <w:bookmarkStart w:id="3253" w:name="_Toc38441675"/>
      <w:bookmarkStart w:id="3254" w:name="_Toc38442003"/>
      <w:bookmarkStart w:id="3255" w:name="_Toc38442335"/>
      <w:bookmarkStart w:id="3256" w:name="_Toc38442667"/>
      <w:bookmarkStart w:id="3257" w:name="_Toc38442998"/>
      <w:bookmarkStart w:id="3258" w:name="_Toc38443329"/>
      <w:bookmarkStart w:id="3259" w:name="_Toc38443660"/>
      <w:bookmarkStart w:id="3260" w:name="_Toc38443990"/>
      <w:bookmarkStart w:id="3261" w:name="_Toc38438458"/>
      <w:bookmarkStart w:id="3262" w:name="_Toc38438795"/>
      <w:bookmarkStart w:id="3263" w:name="_Toc38439132"/>
      <w:bookmarkStart w:id="3264" w:name="_Toc38439469"/>
      <w:bookmarkStart w:id="3265" w:name="_Toc38439806"/>
      <w:bookmarkStart w:id="3266" w:name="_Toc38440143"/>
      <w:bookmarkStart w:id="3267" w:name="_Toc38440480"/>
      <w:bookmarkStart w:id="3268" w:name="_Toc38441012"/>
      <w:bookmarkStart w:id="3269" w:name="_Toc38441344"/>
      <w:bookmarkStart w:id="3270" w:name="_Toc38441676"/>
      <w:bookmarkStart w:id="3271" w:name="_Toc38442004"/>
      <w:bookmarkStart w:id="3272" w:name="_Toc38442336"/>
      <w:bookmarkStart w:id="3273" w:name="_Toc38442668"/>
      <w:bookmarkStart w:id="3274" w:name="_Toc38442999"/>
      <w:bookmarkStart w:id="3275" w:name="_Toc38443330"/>
      <w:bookmarkStart w:id="3276" w:name="_Toc38443661"/>
      <w:bookmarkStart w:id="3277" w:name="_Toc38443991"/>
      <w:bookmarkStart w:id="3278" w:name="_Toc4435115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r w:rsidRPr="00721084">
        <w:rPr>
          <w:rFonts w:asciiTheme="minorEastAsia" w:eastAsiaTheme="minorEastAsia" w:hAnsiTheme="minorEastAsia" w:hint="eastAsia"/>
        </w:rPr>
        <w:lastRenderedPageBreak/>
        <w:t>招募说明书存放及查阅方式</w:t>
      </w:r>
      <w:bookmarkEnd w:id="3278"/>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本《招募说明书》存放在基金管理人、基金托管人及基金</w:t>
      </w:r>
      <w:r w:rsidR="00000DCB" w:rsidRPr="00721084">
        <w:rPr>
          <w:rFonts w:asciiTheme="minorEastAsia" w:eastAsiaTheme="minorEastAsia" w:hAnsiTheme="minorEastAsia" w:hint="eastAsia"/>
          <w:szCs w:val="21"/>
        </w:rPr>
        <w:t>销售</w:t>
      </w:r>
      <w:r w:rsidRPr="00721084">
        <w:rPr>
          <w:rFonts w:asciiTheme="minorEastAsia" w:eastAsiaTheme="minorEastAsia" w:hAnsiTheme="minorEastAsia" w:hint="eastAsia"/>
          <w:szCs w:val="21"/>
        </w:rPr>
        <w:t>机构</w:t>
      </w:r>
      <w:r w:rsidR="00721084" w:rsidRPr="00721084">
        <w:rPr>
          <w:rFonts w:asciiTheme="minorEastAsia" w:eastAsiaTheme="minorEastAsia" w:hAnsiTheme="minorEastAsia" w:hint="eastAsia"/>
          <w:szCs w:val="21"/>
        </w:rPr>
        <w:t>处</w:t>
      </w:r>
      <w:r w:rsidRPr="00721084">
        <w:rPr>
          <w:rFonts w:asciiTheme="minorEastAsia" w:eastAsiaTheme="minorEastAsia" w:hAnsiTheme="minorEastAsia" w:hint="eastAsia"/>
          <w:szCs w:val="21"/>
        </w:rPr>
        <w:t>，投资者可在营业时间免费查阅，也可按工本费购买复印件。</w:t>
      </w:r>
      <w:r w:rsidRPr="00721084">
        <w:rPr>
          <w:rFonts w:asciiTheme="minorEastAsia" w:eastAsiaTheme="minorEastAsia" w:hAnsiTheme="minorEastAsia"/>
        </w:rPr>
        <w:t>基金管理人和基金托管人保证</w:t>
      </w:r>
      <w:r w:rsidRPr="00721084">
        <w:rPr>
          <w:rFonts w:asciiTheme="minorEastAsia" w:eastAsiaTheme="minorEastAsia" w:hAnsiTheme="minorEastAsia" w:hint="eastAsia"/>
        </w:rPr>
        <w:t>其所提供的</w:t>
      </w:r>
      <w:r w:rsidRPr="00721084">
        <w:rPr>
          <w:rFonts w:asciiTheme="minorEastAsia" w:eastAsiaTheme="minorEastAsia" w:hAnsiTheme="minorEastAsia"/>
        </w:rPr>
        <w:t>文本的内容与所公告的内容完全一致。</w:t>
      </w:r>
    </w:p>
    <w:p w:rsidR="00566C89" w:rsidRPr="00721084" w:rsidRDefault="00566C89"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b/>
        </w:rPr>
      </w:pPr>
    </w:p>
    <w:p w:rsidR="007F6D3E" w:rsidRPr="00721084" w:rsidRDefault="007F6D3E" w:rsidP="007F6D3E">
      <w:pPr>
        <w:snapToGrid w:val="0"/>
        <w:spacing w:line="360" w:lineRule="auto"/>
        <w:rPr>
          <w:rFonts w:asciiTheme="minorEastAsia" w:eastAsiaTheme="minorEastAsia" w:hAnsiTheme="minorEastAsia"/>
        </w:rPr>
      </w:pPr>
    </w:p>
    <w:p w:rsidR="0064594E" w:rsidRPr="00721084" w:rsidRDefault="00566C89" w:rsidP="00791EC9">
      <w:pPr>
        <w:pStyle w:val="11"/>
        <w:pageBreakBefore w:val="0"/>
        <w:numPr>
          <w:ilvl w:val="0"/>
          <w:numId w:val="20"/>
        </w:numPr>
        <w:tabs>
          <w:tab w:val="clear" w:pos="1813"/>
        </w:tabs>
        <w:spacing w:before="312" w:after="312" w:line="320" w:lineRule="exact"/>
        <w:ind w:left="0" w:firstLine="643"/>
        <w:rPr>
          <w:rFonts w:asciiTheme="minorEastAsia" w:eastAsiaTheme="minorEastAsia" w:hAnsiTheme="minorEastAsia"/>
        </w:rPr>
      </w:pPr>
      <w:bookmarkStart w:id="3279" w:name="_Toc44351156"/>
      <w:r w:rsidRPr="00721084">
        <w:rPr>
          <w:rFonts w:asciiTheme="minorEastAsia" w:eastAsiaTheme="minorEastAsia" w:hAnsiTheme="minorEastAsia" w:hint="eastAsia"/>
        </w:rPr>
        <w:lastRenderedPageBreak/>
        <w:t>备查文件</w:t>
      </w:r>
      <w:bookmarkEnd w:id="3279"/>
    </w:p>
    <w:p w:rsidR="0064594E" w:rsidRPr="00721084" w:rsidRDefault="0064594E"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1</w:t>
      </w:r>
      <w:r w:rsidR="007F6D3E" w:rsidRPr="00721084">
        <w:rPr>
          <w:rFonts w:asciiTheme="minorEastAsia" w:eastAsiaTheme="minorEastAsia" w:hAnsiTheme="minorEastAsia" w:hint="eastAsia"/>
        </w:rPr>
        <w:t>、</w:t>
      </w:r>
      <w:r w:rsidRPr="00721084">
        <w:rPr>
          <w:rFonts w:asciiTheme="minorEastAsia" w:eastAsiaTheme="minorEastAsia" w:hAnsiTheme="minorEastAsia" w:hint="eastAsia"/>
        </w:rPr>
        <w:t>中国证监会核准易方达</w:t>
      </w:r>
      <w:r w:rsidR="00416014" w:rsidRPr="00721084">
        <w:rPr>
          <w:rFonts w:asciiTheme="minorEastAsia" w:eastAsiaTheme="minorEastAsia" w:hAnsiTheme="minorEastAsia" w:hint="eastAsia"/>
        </w:rPr>
        <w:t>亚洲精选</w:t>
      </w:r>
      <w:r w:rsidRPr="00721084">
        <w:rPr>
          <w:rFonts w:asciiTheme="minorEastAsia" w:eastAsiaTheme="minorEastAsia" w:hAnsiTheme="minorEastAsia" w:hint="eastAsia"/>
        </w:rPr>
        <w:t>股票型证券投资基金募集的文件；</w:t>
      </w:r>
    </w:p>
    <w:p w:rsidR="00667495" w:rsidRPr="00721084" w:rsidRDefault="00667495"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2</w:t>
      </w:r>
      <w:r w:rsidR="007F6D3E" w:rsidRPr="00721084">
        <w:rPr>
          <w:rFonts w:asciiTheme="minorEastAsia" w:eastAsiaTheme="minorEastAsia" w:hAnsiTheme="minorEastAsia" w:hint="eastAsia"/>
        </w:rPr>
        <w:t>、</w:t>
      </w:r>
      <w:r w:rsidR="00C253EC" w:rsidRPr="00721084">
        <w:rPr>
          <w:rFonts w:asciiTheme="minorEastAsia" w:eastAsiaTheme="minorEastAsia" w:hAnsiTheme="minorEastAsia" w:hint="eastAsia"/>
        </w:rPr>
        <w:t>中国证监会</w:t>
      </w:r>
      <w:r w:rsidRPr="00721084">
        <w:rPr>
          <w:rFonts w:asciiTheme="minorEastAsia" w:eastAsiaTheme="minorEastAsia" w:hAnsiTheme="minorEastAsia" w:hint="eastAsia"/>
        </w:rPr>
        <w:t>核准易方达亚洲精选股票型证券投资基金备案的</w:t>
      </w:r>
      <w:r w:rsidR="00C253EC" w:rsidRPr="00721084">
        <w:rPr>
          <w:rFonts w:asciiTheme="minorEastAsia" w:eastAsiaTheme="minorEastAsia" w:hAnsiTheme="minorEastAsia" w:hint="eastAsia"/>
        </w:rPr>
        <w:t>文件</w:t>
      </w:r>
      <w:r w:rsidRPr="00721084">
        <w:rPr>
          <w:rFonts w:asciiTheme="minorEastAsia" w:eastAsiaTheme="minorEastAsia" w:hAnsiTheme="minorEastAsia" w:hint="eastAsia"/>
        </w:rPr>
        <w:t>；</w:t>
      </w:r>
    </w:p>
    <w:p w:rsidR="0064594E" w:rsidRPr="00721084" w:rsidRDefault="00667495"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3</w:t>
      </w:r>
      <w:r w:rsidR="007F6D3E" w:rsidRPr="00721084">
        <w:rPr>
          <w:rFonts w:asciiTheme="minorEastAsia" w:eastAsiaTheme="minorEastAsia" w:hAnsiTheme="minorEastAsia" w:hint="eastAsia"/>
        </w:rPr>
        <w:t>、</w:t>
      </w:r>
      <w:r w:rsidR="0064594E" w:rsidRPr="00721084">
        <w:rPr>
          <w:rFonts w:asciiTheme="minorEastAsia" w:eastAsiaTheme="minorEastAsia" w:hAnsiTheme="minorEastAsia" w:hint="eastAsia"/>
        </w:rPr>
        <w:t>《易方达</w:t>
      </w:r>
      <w:r w:rsidR="00416014" w:rsidRPr="00721084">
        <w:rPr>
          <w:rFonts w:asciiTheme="minorEastAsia" w:eastAsiaTheme="minorEastAsia" w:hAnsiTheme="minorEastAsia" w:hint="eastAsia"/>
        </w:rPr>
        <w:t>亚洲精选</w:t>
      </w:r>
      <w:r w:rsidR="0064594E" w:rsidRPr="00721084">
        <w:rPr>
          <w:rFonts w:asciiTheme="minorEastAsia" w:eastAsiaTheme="minorEastAsia" w:hAnsiTheme="minorEastAsia" w:hint="eastAsia"/>
        </w:rPr>
        <w:t>股票型证券投资基金基金合同》；</w:t>
      </w:r>
    </w:p>
    <w:p w:rsidR="0064594E" w:rsidRPr="00721084" w:rsidRDefault="00667495" w:rsidP="00CE3F81">
      <w:pPr>
        <w:pStyle w:val="ac"/>
        <w:autoSpaceDE w:val="0"/>
        <w:autoSpaceDN w:val="0"/>
        <w:snapToGrid w:val="0"/>
        <w:spacing w:after="0" w:line="360" w:lineRule="auto"/>
        <w:ind w:firstLineChars="200"/>
        <w:rPr>
          <w:rFonts w:asciiTheme="minorEastAsia" w:eastAsiaTheme="minorEastAsia" w:hAnsiTheme="minorEastAsia"/>
        </w:rPr>
      </w:pPr>
      <w:r w:rsidRPr="00721084">
        <w:rPr>
          <w:rFonts w:asciiTheme="minorEastAsia" w:eastAsiaTheme="minorEastAsia" w:hAnsiTheme="minorEastAsia" w:hint="eastAsia"/>
        </w:rPr>
        <w:t>4</w:t>
      </w:r>
      <w:r w:rsidR="007F6D3E" w:rsidRPr="00721084">
        <w:rPr>
          <w:rFonts w:asciiTheme="minorEastAsia" w:eastAsiaTheme="minorEastAsia" w:hAnsiTheme="minorEastAsia" w:hint="eastAsia"/>
        </w:rPr>
        <w:t>、</w:t>
      </w:r>
      <w:r w:rsidR="0064594E" w:rsidRPr="00721084">
        <w:rPr>
          <w:rFonts w:asciiTheme="minorEastAsia" w:eastAsiaTheme="minorEastAsia" w:hAnsiTheme="minorEastAsia" w:hint="eastAsia"/>
        </w:rPr>
        <w:t>《易方达基金管理有限公司开放式基金业务规则》；</w:t>
      </w:r>
    </w:p>
    <w:p w:rsidR="0064594E" w:rsidRPr="00721084" w:rsidRDefault="00667495"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5</w:t>
      </w:r>
      <w:r w:rsidR="007F6D3E" w:rsidRPr="00721084">
        <w:rPr>
          <w:rFonts w:asciiTheme="minorEastAsia" w:eastAsiaTheme="minorEastAsia" w:hAnsiTheme="minorEastAsia" w:hint="eastAsia"/>
          <w:szCs w:val="21"/>
        </w:rPr>
        <w:t>、</w:t>
      </w:r>
      <w:r w:rsidR="0064594E" w:rsidRPr="00721084">
        <w:rPr>
          <w:rFonts w:asciiTheme="minorEastAsia" w:eastAsiaTheme="minorEastAsia" w:hAnsiTheme="minorEastAsia" w:hint="eastAsia"/>
          <w:szCs w:val="21"/>
        </w:rPr>
        <w:t>《易方达</w:t>
      </w:r>
      <w:r w:rsidR="00416014" w:rsidRPr="00721084">
        <w:rPr>
          <w:rFonts w:asciiTheme="minorEastAsia" w:eastAsiaTheme="minorEastAsia" w:hAnsiTheme="minorEastAsia" w:hint="eastAsia"/>
          <w:szCs w:val="21"/>
        </w:rPr>
        <w:t>亚洲精选</w:t>
      </w:r>
      <w:r w:rsidR="0064594E" w:rsidRPr="00721084">
        <w:rPr>
          <w:rFonts w:asciiTheme="minorEastAsia" w:eastAsiaTheme="minorEastAsia" w:hAnsiTheme="minorEastAsia" w:hint="eastAsia"/>
          <w:szCs w:val="21"/>
        </w:rPr>
        <w:t>股票型证券投资基金托管协议》；</w:t>
      </w:r>
    </w:p>
    <w:p w:rsidR="0064594E" w:rsidRPr="00721084" w:rsidRDefault="00667495"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rPr>
        <w:t>6</w:t>
      </w:r>
      <w:r w:rsidR="007F6D3E" w:rsidRPr="00721084">
        <w:rPr>
          <w:rFonts w:asciiTheme="minorEastAsia" w:eastAsiaTheme="minorEastAsia" w:hAnsiTheme="minorEastAsia" w:hint="eastAsia"/>
        </w:rPr>
        <w:t>、</w:t>
      </w:r>
      <w:r w:rsidR="0064594E" w:rsidRPr="00721084">
        <w:rPr>
          <w:rFonts w:asciiTheme="minorEastAsia" w:eastAsiaTheme="minorEastAsia" w:hAnsiTheme="minorEastAsia" w:hint="eastAsia"/>
        </w:rPr>
        <w:t>法律意见书；</w:t>
      </w:r>
    </w:p>
    <w:p w:rsidR="0064594E" w:rsidRPr="00721084" w:rsidRDefault="00667495"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7</w:t>
      </w:r>
      <w:r w:rsidR="007F6D3E" w:rsidRPr="00721084">
        <w:rPr>
          <w:rFonts w:asciiTheme="minorEastAsia" w:eastAsiaTheme="minorEastAsia" w:hAnsiTheme="minorEastAsia" w:hint="eastAsia"/>
          <w:szCs w:val="21"/>
        </w:rPr>
        <w:t>、</w:t>
      </w:r>
      <w:r w:rsidR="0064594E" w:rsidRPr="00721084">
        <w:rPr>
          <w:rFonts w:asciiTheme="minorEastAsia" w:eastAsiaTheme="minorEastAsia" w:hAnsiTheme="minorEastAsia" w:hint="eastAsia"/>
          <w:szCs w:val="21"/>
        </w:rPr>
        <w:t>基金管理人业务资格批件和营业执照；</w:t>
      </w:r>
    </w:p>
    <w:p w:rsidR="0064594E" w:rsidRPr="00721084" w:rsidRDefault="00667495" w:rsidP="00CE3F81">
      <w:pPr>
        <w:snapToGrid w:val="0"/>
        <w:spacing w:line="360" w:lineRule="auto"/>
        <w:ind w:firstLineChars="200" w:firstLine="420"/>
        <w:rPr>
          <w:rFonts w:asciiTheme="minorEastAsia" w:eastAsiaTheme="minorEastAsia" w:hAnsiTheme="minorEastAsia"/>
          <w:szCs w:val="21"/>
        </w:rPr>
      </w:pPr>
      <w:r w:rsidRPr="00721084">
        <w:rPr>
          <w:rFonts w:asciiTheme="minorEastAsia" w:eastAsiaTheme="minorEastAsia" w:hAnsiTheme="minorEastAsia" w:hint="eastAsia"/>
          <w:szCs w:val="21"/>
        </w:rPr>
        <w:t>8</w:t>
      </w:r>
      <w:r w:rsidR="007F6D3E" w:rsidRPr="00721084">
        <w:rPr>
          <w:rFonts w:asciiTheme="minorEastAsia" w:eastAsiaTheme="minorEastAsia" w:hAnsiTheme="minorEastAsia" w:hint="eastAsia"/>
          <w:szCs w:val="21"/>
        </w:rPr>
        <w:t>、</w:t>
      </w:r>
      <w:r w:rsidR="0064594E" w:rsidRPr="00721084">
        <w:rPr>
          <w:rFonts w:asciiTheme="minorEastAsia" w:eastAsiaTheme="minorEastAsia" w:hAnsiTheme="minorEastAsia" w:hint="eastAsia"/>
          <w:szCs w:val="21"/>
        </w:rPr>
        <w:t>基金托管人业务资格批件和营业执照。</w:t>
      </w:r>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存放地点：基金管理人、基金托管人处</w:t>
      </w:r>
      <w:bookmarkStart w:id="3280" w:name="_GoBack"/>
      <w:bookmarkEnd w:id="3280"/>
    </w:p>
    <w:p w:rsidR="0064594E" w:rsidRPr="00721084" w:rsidRDefault="0064594E" w:rsidP="00CE3F81">
      <w:pPr>
        <w:snapToGrid w:val="0"/>
        <w:spacing w:line="360" w:lineRule="auto"/>
        <w:ind w:firstLineChars="200" w:firstLine="420"/>
        <w:rPr>
          <w:rFonts w:asciiTheme="minorEastAsia" w:eastAsiaTheme="minorEastAsia" w:hAnsiTheme="minorEastAsia"/>
        </w:rPr>
      </w:pPr>
      <w:r w:rsidRPr="00721084">
        <w:rPr>
          <w:rFonts w:asciiTheme="minorEastAsia" w:eastAsiaTheme="minorEastAsia" w:hAnsiTheme="minorEastAsia" w:hint="eastAsia"/>
        </w:rPr>
        <w:t>查阅方式：投资者可在营业时间免费查阅，也可按工本费购买复印件。</w:t>
      </w:r>
    </w:p>
    <w:p w:rsidR="007F6D3E" w:rsidRPr="00721084" w:rsidRDefault="007F6D3E" w:rsidP="00CE3F81">
      <w:pPr>
        <w:snapToGrid w:val="0"/>
        <w:spacing w:line="360" w:lineRule="auto"/>
        <w:ind w:firstLineChars="200" w:firstLine="420"/>
        <w:rPr>
          <w:rFonts w:asciiTheme="minorEastAsia" w:eastAsiaTheme="minorEastAsia" w:hAnsiTheme="minorEastAsia"/>
          <w:szCs w:val="21"/>
        </w:rPr>
      </w:pPr>
    </w:p>
    <w:p w:rsidR="0064594E" w:rsidRPr="00721084" w:rsidRDefault="0064594E" w:rsidP="00CE3F81">
      <w:pPr>
        <w:snapToGrid w:val="0"/>
        <w:spacing w:line="360" w:lineRule="auto"/>
        <w:ind w:firstLineChars="200" w:firstLine="420"/>
        <w:rPr>
          <w:rFonts w:asciiTheme="minorEastAsia" w:eastAsiaTheme="minorEastAsia" w:hAnsiTheme="minorEastAsia"/>
          <w:szCs w:val="21"/>
        </w:rPr>
      </w:pPr>
    </w:p>
    <w:p w:rsidR="00D02AA0" w:rsidRPr="00721084" w:rsidRDefault="00D02AA0" w:rsidP="00CE3F81">
      <w:pPr>
        <w:snapToGrid w:val="0"/>
        <w:spacing w:line="360" w:lineRule="auto"/>
        <w:ind w:left="360" w:firstLine="480"/>
        <w:jc w:val="right"/>
        <w:rPr>
          <w:rFonts w:asciiTheme="minorEastAsia" w:eastAsiaTheme="minorEastAsia" w:hAnsiTheme="minorEastAsia"/>
        </w:rPr>
      </w:pPr>
      <w:r w:rsidRPr="00721084">
        <w:rPr>
          <w:rFonts w:asciiTheme="minorEastAsia" w:eastAsiaTheme="minorEastAsia" w:hAnsiTheme="minorEastAsia" w:hint="eastAsia"/>
        </w:rPr>
        <w:t>易方达基金管理有限公司</w:t>
      </w:r>
    </w:p>
    <w:p w:rsidR="00291ABB" w:rsidRPr="00721084" w:rsidRDefault="002465F1" w:rsidP="007F6D3E">
      <w:pPr>
        <w:wordWrap w:val="0"/>
        <w:snapToGrid w:val="0"/>
        <w:spacing w:line="360" w:lineRule="auto"/>
        <w:ind w:left="360" w:right="315" w:firstLine="480"/>
        <w:jc w:val="right"/>
        <w:rPr>
          <w:rFonts w:asciiTheme="minorEastAsia" w:eastAsiaTheme="minorEastAsia" w:hAnsiTheme="minorEastAsia"/>
        </w:rPr>
      </w:pPr>
      <w:r w:rsidRPr="00721084">
        <w:rPr>
          <w:rFonts w:asciiTheme="minorEastAsia" w:eastAsiaTheme="minorEastAsia" w:hAnsiTheme="minorEastAsia"/>
        </w:rPr>
        <w:t>2020年</w:t>
      </w:r>
      <w:r w:rsidR="00821FAD">
        <w:rPr>
          <w:rFonts w:asciiTheme="minorEastAsia" w:eastAsiaTheme="minorEastAsia" w:hAnsiTheme="minorEastAsia"/>
        </w:rPr>
        <w:t>7</w:t>
      </w:r>
      <w:r w:rsidRPr="00721084">
        <w:rPr>
          <w:rFonts w:asciiTheme="minorEastAsia" w:eastAsiaTheme="minorEastAsia" w:hAnsiTheme="minorEastAsia"/>
        </w:rPr>
        <w:t>月</w:t>
      </w:r>
      <w:r w:rsidR="00821FAD">
        <w:rPr>
          <w:rFonts w:asciiTheme="minorEastAsia" w:eastAsiaTheme="minorEastAsia" w:hAnsiTheme="minorEastAsia"/>
        </w:rPr>
        <w:t>1</w:t>
      </w:r>
      <w:r w:rsidRPr="00721084">
        <w:rPr>
          <w:rFonts w:asciiTheme="minorEastAsia" w:eastAsiaTheme="minorEastAsia" w:hAnsiTheme="minorEastAsia"/>
        </w:rPr>
        <w:t>日</w:t>
      </w:r>
    </w:p>
    <w:sectPr w:rsidR="00291ABB" w:rsidRPr="00721084" w:rsidSect="00684E94">
      <w:pgSz w:w="11906" w:h="16838" w:code="9"/>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E2" w:rsidRDefault="00BE0AE2">
      <w:r>
        <w:separator/>
      </w:r>
    </w:p>
  </w:endnote>
  <w:endnote w:type="continuationSeparator" w:id="0">
    <w:p w:rsidR="00BE0AE2" w:rsidRDefault="00BE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ˎ̥">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9E" w:rsidRDefault="0012219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Default="005005C3" w:rsidP="00417074">
    <w:pPr>
      <w:pStyle w:val="a5"/>
      <w:ind w:rightChars="171" w:right="359" w:firstLineChars="1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Default="005005C3">
    <w:pPr>
      <w:pStyle w:val="a5"/>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Default="005005C3" w:rsidP="004A5B4B">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sidR="003012AE">
      <w:rPr>
        <w:rStyle w:val="a4"/>
        <w:noProof/>
      </w:rPr>
      <w:t>IV</w:t>
    </w:r>
    <w:r>
      <w:rPr>
        <w:rStyle w:val="a4"/>
      </w:rPr>
      <w:fldChar w:fldCharType="end"/>
    </w:r>
  </w:p>
  <w:p w:rsidR="005005C3" w:rsidRDefault="005005C3" w:rsidP="00417074">
    <w:pPr>
      <w:pStyle w:val="a5"/>
      <w:ind w:rightChars="171" w:right="359" w:firstLineChars="1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Default="005005C3" w:rsidP="00DA31A9">
    <w:pPr>
      <w:pStyle w:val="a5"/>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sidR="003012AE">
      <w:rPr>
        <w:rStyle w:val="a4"/>
        <w:noProof/>
      </w:rPr>
      <w:t>169</w:t>
    </w:r>
    <w:r>
      <w:rPr>
        <w:rStyle w:val="a4"/>
      </w:rPr>
      <w:fldChar w:fldCharType="end"/>
    </w:r>
  </w:p>
  <w:p w:rsidR="005005C3" w:rsidRDefault="005005C3" w:rsidP="00417074">
    <w:pPr>
      <w:pStyle w:val="a5"/>
      <w:ind w:rightChars="171" w:right="359" w:firstLineChars="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E2" w:rsidRDefault="00BE0AE2">
      <w:r>
        <w:separator/>
      </w:r>
    </w:p>
  </w:footnote>
  <w:footnote w:type="continuationSeparator" w:id="0">
    <w:p w:rsidR="00BE0AE2" w:rsidRDefault="00BE0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9E" w:rsidRDefault="0012219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9E" w:rsidRDefault="0012219E" w:rsidP="006D35EC">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5C3" w:rsidRPr="003E1DB8" w:rsidRDefault="005005C3" w:rsidP="008169B8">
    <w:pPr>
      <w:pStyle w:val="a3"/>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2E05"/>
    <w:multiLevelType w:val="hybridMultilevel"/>
    <w:tmpl w:val="412A60E8"/>
    <w:lvl w:ilvl="0" w:tplc="12C8DB60">
      <w:start w:val="1"/>
      <w:numFmt w:val="chineseCountingThousand"/>
      <w:lvlText w:val="%1、"/>
      <w:lvlJc w:val="left"/>
      <w:pPr>
        <w:tabs>
          <w:tab w:val="num" w:pos="1140"/>
        </w:tabs>
        <w:ind w:left="1140" w:hanging="720"/>
      </w:pPr>
      <w:rPr>
        <w:rFonts w:hint="default"/>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47F210E"/>
    <w:multiLevelType w:val="hybridMultilevel"/>
    <w:tmpl w:val="264C8C1E"/>
    <w:lvl w:ilvl="0" w:tplc="E2209A48">
      <w:start w:val="1"/>
      <w:numFmt w:val="decimal"/>
      <w:lvlText w:val="%1."/>
      <w:lvlJc w:val="left"/>
      <w:pPr>
        <w:tabs>
          <w:tab w:val="num" w:pos="1003"/>
        </w:tabs>
        <w:ind w:left="1003"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48B05CC"/>
    <w:multiLevelType w:val="hybridMultilevel"/>
    <w:tmpl w:val="18B2D5B2"/>
    <w:lvl w:ilvl="0" w:tplc="9BCA280E">
      <w:start w:val="1"/>
      <w:numFmt w:val="decimal"/>
      <w:lvlText w:val="%1）"/>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5180DE5"/>
    <w:multiLevelType w:val="hybridMultilevel"/>
    <w:tmpl w:val="0906922E"/>
    <w:lvl w:ilvl="0" w:tplc="AAFC0E0A">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05780DA2"/>
    <w:multiLevelType w:val="multilevel"/>
    <w:tmpl w:val="05780DA2"/>
    <w:lvl w:ilvl="0">
      <w:start w:val="1"/>
      <w:numFmt w:val="decimal"/>
      <w:lvlText w:val="(%1)"/>
      <w:lvlJc w:val="left"/>
      <w:pPr>
        <w:ind w:left="840" w:hanging="420"/>
      </w:pPr>
      <w:rPr>
        <w:rFonts w:hint="default"/>
      </w:rPr>
    </w:lvl>
    <w:lvl w:ilvl="1">
      <w:start w:val="1"/>
      <w:numFmt w:val="decimal"/>
      <w:lvlText w:val="%2."/>
      <w:lvlJc w:val="left"/>
      <w:pPr>
        <w:ind w:left="1680" w:hanging="84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57E54C1"/>
    <w:multiLevelType w:val="hybridMultilevel"/>
    <w:tmpl w:val="3C8ACA3A"/>
    <w:lvl w:ilvl="0" w:tplc="04090013">
      <w:start w:val="1"/>
      <w:numFmt w:val="chineseCountingThousand"/>
      <w:lvlText w:val="%1、"/>
      <w:lvlJc w:val="left"/>
      <w:pPr>
        <w:ind w:left="840" w:hanging="420"/>
      </w:pPr>
    </w:lvl>
    <w:lvl w:ilvl="1" w:tplc="BA4436BC">
      <w:start w:val="1"/>
      <w:numFmt w:val="decimal"/>
      <w:lvlText w:val="（%2）"/>
      <w:lvlJc w:val="left"/>
      <w:pPr>
        <w:ind w:left="1785" w:hanging="94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5E376EE"/>
    <w:multiLevelType w:val="hybridMultilevel"/>
    <w:tmpl w:val="4BE4D7DE"/>
    <w:lvl w:ilvl="0" w:tplc="AAFC0E0A">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06175218"/>
    <w:multiLevelType w:val="hybridMultilevel"/>
    <w:tmpl w:val="6CFC5A78"/>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75619C9"/>
    <w:multiLevelType w:val="hybridMultilevel"/>
    <w:tmpl w:val="F4CA9D04"/>
    <w:lvl w:ilvl="0" w:tplc="06C03282">
      <w:start w:val="6"/>
      <w:numFmt w:val="decimal"/>
      <w:lvlText w:val="(%1)"/>
      <w:lvlJc w:val="left"/>
      <w:pPr>
        <w:ind w:left="1161" w:hanging="73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7EE5B24"/>
    <w:multiLevelType w:val="hybridMultilevel"/>
    <w:tmpl w:val="547C6BDE"/>
    <w:lvl w:ilvl="0" w:tplc="F11EC35C">
      <w:start w:val="1"/>
      <w:numFmt w:val="decimal"/>
      <w:lvlText w:val="（%1）"/>
      <w:lvlJc w:val="left"/>
      <w:pPr>
        <w:tabs>
          <w:tab w:val="num" w:pos="0"/>
        </w:tabs>
        <w:ind w:left="0" w:firstLine="0"/>
      </w:pPr>
      <w:rPr>
        <w:rFonts w:ascii="宋体" w:eastAsia="宋体" w:hAnsi="宋体"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0" w15:restartNumberingAfterBreak="0">
    <w:nsid w:val="094C5E14"/>
    <w:multiLevelType w:val="hybridMultilevel"/>
    <w:tmpl w:val="F9BA1D4A"/>
    <w:lvl w:ilvl="0" w:tplc="2A2C6004">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AD8239B"/>
    <w:multiLevelType w:val="hybridMultilevel"/>
    <w:tmpl w:val="6B5C3DB2"/>
    <w:lvl w:ilvl="0" w:tplc="D18EAE40">
      <w:start w:val="1"/>
      <w:numFmt w:val="chineseCountingThousand"/>
      <w:lvlText w:val="%1、"/>
      <w:lvlJc w:val="left"/>
      <w:pPr>
        <w:ind w:left="720" w:hanging="720"/>
      </w:pPr>
      <w:rPr>
        <w:rFonts w:hint="eastAsia"/>
      </w:rPr>
    </w:lvl>
    <w:lvl w:ilvl="1" w:tplc="E5987DAC">
      <w:start w:val="1"/>
      <w:numFmt w:val="upp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0E323CCD"/>
    <w:multiLevelType w:val="hybridMultilevel"/>
    <w:tmpl w:val="E1E0D5EC"/>
    <w:lvl w:ilvl="0" w:tplc="4A76F1F6">
      <w:start w:val="1"/>
      <w:numFmt w:val="decimal"/>
      <w:lvlText w:val="%1."/>
      <w:lvlJc w:val="left"/>
      <w:pPr>
        <w:tabs>
          <w:tab w:val="num" w:pos="360"/>
        </w:tabs>
        <w:ind w:left="360" w:hanging="36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07B66C2"/>
    <w:multiLevelType w:val="hybridMultilevel"/>
    <w:tmpl w:val="B434A088"/>
    <w:lvl w:ilvl="0" w:tplc="87C2BABC">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1AC36EB"/>
    <w:multiLevelType w:val="hybridMultilevel"/>
    <w:tmpl w:val="EB769AF2"/>
    <w:lvl w:ilvl="0" w:tplc="AAC4D57E">
      <w:start w:val="1"/>
      <w:numFmt w:val="decimal"/>
      <w:lvlText w:val="(%1)"/>
      <w:lvlJc w:val="left"/>
      <w:pPr>
        <w:tabs>
          <w:tab w:val="num" w:pos="0"/>
        </w:tabs>
        <w:ind w:left="0" w:firstLine="0"/>
      </w:pPr>
      <w:rPr>
        <w:rFonts w:hint="default"/>
      </w:rPr>
    </w:lvl>
    <w:lvl w:ilvl="1" w:tplc="E39EB42C">
      <w:start w:val="1"/>
      <w:numFmt w:val="japaneseCounting"/>
      <w:lvlText w:val="（%2）"/>
      <w:lvlJc w:val="left"/>
      <w:pPr>
        <w:tabs>
          <w:tab w:val="num" w:pos="1980"/>
        </w:tabs>
        <w:ind w:left="1980" w:hanging="72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15:restartNumberingAfterBreak="0">
    <w:nsid w:val="13194FD6"/>
    <w:multiLevelType w:val="hybridMultilevel"/>
    <w:tmpl w:val="F94448A8"/>
    <w:lvl w:ilvl="0" w:tplc="FFB8E43A">
      <w:start w:val="1"/>
      <w:numFmt w:val="decimal"/>
      <w:lvlText w:val="（%1）"/>
      <w:lvlJc w:val="left"/>
      <w:pPr>
        <w:tabs>
          <w:tab w:val="num" w:pos="1560"/>
        </w:tabs>
        <w:ind w:left="1560" w:hanging="7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4B346ED"/>
    <w:multiLevelType w:val="hybridMultilevel"/>
    <w:tmpl w:val="470AB7EA"/>
    <w:lvl w:ilvl="0" w:tplc="04090001">
      <w:start w:val="1"/>
      <w:numFmt w:val="bullet"/>
      <w:lvlText w:val=""/>
      <w:lvlJc w:val="left"/>
      <w:pPr>
        <w:ind w:left="902" w:hanging="420"/>
      </w:pPr>
      <w:rPr>
        <w:rFonts w:ascii="Wingdings" w:hAnsi="Wingdings" w:hint="default"/>
      </w:rPr>
    </w:lvl>
    <w:lvl w:ilvl="1" w:tplc="04090003">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17" w15:restartNumberingAfterBreak="0">
    <w:nsid w:val="157C7951"/>
    <w:multiLevelType w:val="hybridMultilevel"/>
    <w:tmpl w:val="67826138"/>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6AB585B"/>
    <w:multiLevelType w:val="hybridMultilevel"/>
    <w:tmpl w:val="E42C2BB2"/>
    <w:lvl w:ilvl="0" w:tplc="04090001">
      <w:start w:val="1"/>
      <w:numFmt w:val="bullet"/>
      <w:lvlText w:val=""/>
      <w:lvlJc w:val="left"/>
      <w:pPr>
        <w:ind w:left="902" w:hanging="420"/>
      </w:pPr>
      <w:rPr>
        <w:rFonts w:ascii="Wingdings" w:hAnsi="Wingdings" w:hint="default"/>
      </w:rPr>
    </w:lvl>
    <w:lvl w:ilvl="1" w:tplc="04090003">
      <w:start w:val="1"/>
      <w:numFmt w:val="bullet"/>
      <w:lvlText w:val=""/>
      <w:lvlJc w:val="left"/>
      <w:pPr>
        <w:ind w:left="1322" w:hanging="420"/>
      </w:pPr>
      <w:rPr>
        <w:rFonts w:ascii="Wingdings" w:hAnsi="Wingdings" w:hint="default"/>
      </w:rPr>
    </w:lvl>
    <w:lvl w:ilvl="2" w:tplc="04090005">
      <w:start w:val="1"/>
      <w:numFmt w:val="bullet"/>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19" w15:restartNumberingAfterBreak="0">
    <w:nsid w:val="170F49A0"/>
    <w:multiLevelType w:val="hybridMultilevel"/>
    <w:tmpl w:val="61022932"/>
    <w:lvl w:ilvl="0" w:tplc="35FEE406">
      <w:start w:val="1"/>
      <w:numFmt w:val="lowerLetter"/>
      <w:lvlText w:val="%1."/>
      <w:lvlJc w:val="left"/>
      <w:pPr>
        <w:ind w:left="1770" w:hanging="57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0" w15:restartNumberingAfterBreak="0">
    <w:nsid w:val="18BA49EC"/>
    <w:multiLevelType w:val="hybridMultilevel"/>
    <w:tmpl w:val="251CF70E"/>
    <w:lvl w:ilvl="0" w:tplc="08CE296A">
      <w:start w:val="1"/>
      <w:numFmt w:val="chineseCountingThousand"/>
      <w:lvlText w:val="%1、"/>
      <w:lvlJc w:val="left"/>
      <w:pPr>
        <w:ind w:left="846" w:hanging="420"/>
      </w:pPr>
      <w:rPr>
        <w:rFonts w:hint="eastAsia"/>
        <w:lang w:val="en-US"/>
      </w:rPr>
    </w:lvl>
    <w:lvl w:ilvl="1" w:tplc="6548D432">
      <w:start w:val="1"/>
      <w:numFmt w:val="chineseCountingThousand"/>
      <w:lvlText w:val="%2、"/>
      <w:lvlJc w:val="left"/>
      <w:pPr>
        <w:ind w:left="720" w:hanging="720"/>
      </w:pPr>
      <w:rPr>
        <w:rFonts w:hint="eastAsia"/>
      </w:rPr>
    </w:lvl>
    <w:lvl w:ilvl="2" w:tplc="534845E6">
      <w:start w:val="1"/>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8F81E20"/>
    <w:multiLevelType w:val="hybridMultilevel"/>
    <w:tmpl w:val="1512D33E"/>
    <w:lvl w:ilvl="0" w:tplc="0409000F">
      <w:start w:val="1"/>
      <w:numFmt w:val="decimal"/>
      <w:lvlText w:val="%1."/>
      <w:lvlJc w:val="left"/>
      <w:pPr>
        <w:tabs>
          <w:tab w:val="num" w:pos="0"/>
        </w:tabs>
        <w:ind w:left="0" w:firstLine="0"/>
      </w:pPr>
      <w:rPr>
        <w:rFonts w:hint="default"/>
        <w:lang w:val="en-US"/>
      </w:rPr>
    </w:lvl>
    <w:lvl w:ilvl="1" w:tplc="B0DC8444">
      <w:start w:val="1"/>
      <w:numFmt w:val="decimal"/>
      <w:lvlText w:val="（%2）"/>
      <w:lvlJc w:val="left"/>
      <w:pPr>
        <w:tabs>
          <w:tab w:val="num" w:pos="0"/>
        </w:tabs>
        <w:ind w:left="0" w:firstLine="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2"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1A9A312F"/>
    <w:multiLevelType w:val="hybridMultilevel"/>
    <w:tmpl w:val="2BD03268"/>
    <w:lvl w:ilvl="0" w:tplc="12C8DB60">
      <w:start w:val="1"/>
      <w:numFmt w:val="chineseCountingThousand"/>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1ACC458D"/>
    <w:multiLevelType w:val="hybridMultilevel"/>
    <w:tmpl w:val="AC5E3730"/>
    <w:lvl w:ilvl="0" w:tplc="0409000F">
      <w:start w:val="1"/>
      <w:numFmt w:val="decimal"/>
      <w:lvlText w:val="%1."/>
      <w:lvlJc w:val="left"/>
      <w:pPr>
        <w:tabs>
          <w:tab w:val="num" w:pos="420"/>
        </w:tabs>
        <w:ind w:left="420" w:hanging="420"/>
      </w:pPr>
    </w:lvl>
    <w:lvl w:ilvl="1" w:tplc="43E64C08">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E000D59"/>
    <w:multiLevelType w:val="hybridMultilevel"/>
    <w:tmpl w:val="6FD006D6"/>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22B82E80"/>
    <w:multiLevelType w:val="hybridMultilevel"/>
    <w:tmpl w:val="CD00388C"/>
    <w:lvl w:ilvl="0" w:tplc="04090001">
      <w:start w:val="1"/>
      <w:numFmt w:val="chineseCountingThousand"/>
      <w:lvlText w:val="%1、"/>
      <w:lvlJc w:val="left"/>
      <w:pPr>
        <w:ind w:left="840" w:hanging="420"/>
      </w:pPr>
      <w:rPr>
        <w:rFonts w:hint="eastAsia"/>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7"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8" w15:restartNumberingAfterBreak="0">
    <w:nsid w:val="26FF4223"/>
    <w:multiLevelType w:val="hybridMultilevel"/>
    <w:tmpl w:val="58402642"/>
    <w:lvl w:ilvl="0" w:tplc="CC705FB0">
      <w:start w:val="1"/>
      <w:numFmt w:val="chineseCountingThousand"/>
      <w:lvlText w:val="%1、"/>
      <w:lvlJc w:val="left"/>
      <w:pPr>
        <w:ind w:left="720" w:hanging="720"/>
      </w:pPr>
      <w:rPr>
        <w:rFonts w:hint="eastAsia"/>
      </w:rPr>
    </w:lvl>
    <w:lvl w:ilvl="1" w:tplc="02F84E52" w:tentative="1">
      <w:start w:val="1"/>
      <w:numFmt w:val="lowerLetter"/>
      <w:lvlText w:val="%2)"/>
      <w:lvlJc w:val="left"/>
      <w:pPr>
        <w:ind w:left="1260" w:hanging="420"/>
      </w:pPr>
    </w:lvl>
    <w:lvl w:ilvl="2" w:tplc="EF203AB6" w:tentative="1">
      <w:start w:val="1"/>
      <w:numFmt w:val="lowerRoman"/>
      <w:lvlText w:val="%3."/>
      <w:lvlJc w:val="right"/>
      <w:pPr>
        <w:ind w:left="1680" w:hanging="420"/>
      </w:pPr>
    </w:lvl>
    <w:lvl w:ilvl="3" w:tplc="BFFA85EE" w:tentative="1">
      <w:start w:val="1"/>
      <w:numFmt w:val="decimal"/>
      <w:lvlText w:val="%4."/>
      <w:lvlJc w:val="left"/>
      <w:pPr>
        <w:ind w:left="2100" w:hanging="420"/>
      </w:pPr>
    </w:lvl>
    <w:lvl w:ilvl="4" w:tplc="5F22FBE8" w:tentative="1">
      <w:start w:val="1"/>
      <w:numFmt w:val="lowerLetter"/>
      <w:lvlText w:val="%5)"/>
      <w:lvlJc w:val="left"/>
      <w:pPr>
        <w:ind w:left="2520" w:hanging="420"/>
      </w:pPr>
    </w:lvl>
    <w:lvl w:ilvl="5" w:tplc="83AE4B8E" w:tentative="1">
      <w:start w:val="1"/>
      <w:numFmt w:val="lowerRoman"/>
      <w:lvlText w:val="%6."/>
      <w:lvlJc w:val="right"/>
      <w:pPr>
        <w:ind w:left="2940" w:hanging="420"/>
      </w:pPr>
    </w:lvl>
    <w:lvl w:ilvl="6" w:tplc="14AA123E" w:tentative="1">
      <w:start w:val="1"/>
      <w:numFmt w:val="decimal"/>
      <w:lvlText w:val="%7."/>
      <w:lvlJc w:val="left"/>
      <w:pPr>
        <w:ind w:left="3360" w:hanging="420"/>
      </w:pPr>
    </w:lvl>
    <w:lvl w:ilvl="7" w:tplc="3A46E3D8" w:tentative="1">
      <w:start w:val="1"/>
      <w:numFmt w:val="lowerLetter"/>
      <w:lvlText w:val="%8)"/>
      <w:lvlJc w:val="left"/>
      <w:pPr>
        <w:ind w:left="3780" w:hanging="420"/>
      </w:pPr>
    </w:lvl>
    <w:lvl w:ilvl="8" w:tplc="5540023E" w:tentative="1">
      <w:start w:val="1"/>
      <w:numFmt w:val="lowerRoman"/>
      <w:lvlText w:val="%9."/>
      <w:lvlJc w:val="right"/>
      <w:pPr>
        <w:ind w:left="4200" w:hanging="420"/>
      </w:pPr>
    </w:lvl>
  </w:abstractNum>
  <w:abstractNum w:abstractNumId="29" w15:restartNumberingAfterBreak="0">
    <w:nsid w:val="2B2F7082"/>
    <w:multiLevelType w:val="hybridMultilevel"/>
    <w:tmpl w:val="0CFC9488"/>
    <w:lvl w:ilvl="0" w:tplc="B9E2B97C">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2D78108E"/>
    <w:multiLevelType w:val="hybridMultilevel"/>
    <w:tmpl w:val="A28C427E"/>
    <w:lvl w:ilvl="0" w:tplc="261C5502">
      <w:start w:val="1"/>
      <w:numFmt w:val="decimal"/>
      <w:lvlText w:val="%1."/>
      <w:lvlJc w:val="left"/>
      <w:pPr>
        <w:tabs>
          <w:tab w:val="num" w:pos="360"/>
        </w:tabs>
        <w:ind w:left="360" w:hanging="360"/>
      </w:pPr>
      <w:rPr>
        <w:rFonts w:eastAsia="宋体" w:hint="eastAsia"/>
      </w:rPr>
    </w:lvl>
    <w:lvl w:ilvl="1" w:tplc="04090019">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31" w15:restartNumberingAfterBreak="0">
    <w:nsid w:val="2F353D7D"/>
    <w:multiLevelType w:val="hybridMultilevel"/>
    <w:tmpl w:val="5B2AC37C"/>
    <w:lvl w:ilvl="0" w:tplc="2D42890E">
      <w:start w:val="1"/>
      <w:numFmt w:val="decimal"/>
      <w:lvlText w:val="%1."/>
      <w:lvlJc w:val="left"/>
      <w:pPr>
        <w:tabs>
          <w:tab w:val="num" w:pos="600"/>
        </w:tabs>
        <w:ind w:left="600" w:hanging="420"/>
      </w:pPr>
      <w:rPr>
        <w:color w:val="FF0000"/>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32" w15:restartNumberingAfterBreak="0">
    <w:nsid w:val="36342792"/>
    <w:multiLevelType w:val="hybridMultilevel"/>
    <w:tmpl w:val="833C208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3" w15:restartNumberingAfterBreak="0">
    <w:nsid w:val="36C67A29"/>
    <w:multiLevelType w:val="hybridMultilevel"/>
    <w:tmpl w:val="DBB8BDAC"/>
    <w:lvl w:ilvl="0" w:tplc="BBE6D9C4">
      <w:start w:val="1"/>
      <w:numFmt w:val="decimal"/>
      <w:lvlText w:val="%1."/>
      <w:lvlJc w:val="left"/>
      <w:pPr>
        <w:ind w:left="1110" w:hanging="360"/>
      </w:pPr>
      <w:rPr>
        <w:rFonts w:ascii="Courier New" w:hAnsi="Courier New" w:cs="Courier New" w:hint="default"/>
        <w:sz w:val="20"/>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4" w15:restartNumberingAfterBreak="0">
    <w:nsid w:val="37E46BB2"/>
    <w:multiLevelType w:val="hybridMultilevel"/>
    <w:tmpl w:val="A3F4567C"/>
    <w:lvl w:ilvl="0" w:tplc="10BA351C">
      <w:start w:val="1"/>
      <w:numFmt w:val="decimal"/>
      <w:lvlText w:val="%1、"/>
      <w:lvlJc w:val="left"/>
      <w:pPr>
        <w:tabs>
          <w:tab w:val="num" w:pos="780"/>
        </w:tabs>
        <w:ind w:left="0" w:firstLine="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396752D9"/>
    <w:multiLevelType w:val="hybridMultilevel"/>
    <w:tmpl w:val="61022932"/>
    <w:lvl w:ilvl="0" w:tplc="11543A86">
      <w:start w:val="1"/>
      <w:numFmt w:val="lowerLetter"/>
      <w:lvlText w:val="%1."/>
      <w:lvlJc w:val="left"/>
      <w:pPr>
        <w:ind w:left="1770" w:hanging="57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6" w15:restartNumberingAfterBreak="0">
    <w:nsid w:val="39CB5E54"/>
    <w:multiLevelType w:val="hybridMultilevel"/>
    <w:tmpl w:val="1730D3AE"/>
    <w:lvl w:ilvl="0" w:tplc="FFFFFFFF">
      <w:start w:val="1"/>
      <w:numFmt w:val="japaneseCounting"/>
      <w:lvlText w:val="(%1)"/>
      <w:lvlJc w:val="left"/>
      <w:pPr>
        <w:tabs>
          <w:tab w:val="num" w:pos="360"/>
        </w:tabs>
        <w:ind w:left="360" w:hanging="360"/>
      </w:pPr>
      <w:rPr>
        <w:rFonts w:ascii="Times New Roman" w:eastAsia="宋体" w:hAnsi="Times New Roman" w:cs="Times New Roman" w:hint="default"/>
        <w:b w:val="0"/>
        <w:sz w:val="21"/>
        <w:szCs w:val="21"/>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A5502A3"/>
    <w:multiLevelType w:val="hybridMultilevel"/>
    <w:tmpl w:val="CBECB95C"/>
    <w:lvl w:ilvl="0" w:tplc="3FDE96AA">
      <w:start w:val="1"/>
      <w:numFmt w:val="lowerLetter"/>
      <w:lvlText w:val="%1"/>
      <w:lvlJc w:val="left"/>
      <w:pPr>
        <w:tabs>
          <w:tab w:val="num" w:pos="3537"/>
        </w:tabs>
        <w:ind w:left="3537" w:hanging="7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3A70091D"/>
    <w:multiLevelType w:val="hybridMultilevel"/>
    <w:tmpl w:val="86EC9CE0"/>
    <w:lvl w:ilvl="0" w:tplc="3FDE96AA">
      <w:start w:val="1"/>
      <w:numFmt w:val="decimal"/>
      <w:lvlText w:val="（%1）"/>
      <w:lvlJc w:val="left"/>
      <w:pPr>
        <w:ind w:left="1110" w:hanging="420"/>
      </w:pPr>
      <w:rPr>
        <w:rFonts w:hint="eastAsia"/>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39" w15:restartNumberingAfterBreak="0">
    <w:nsid w:val="3D535FF1"/>
    <w:multiLevelType w:val="hybridMultilevel"/>
    <w:tmpl w:val="D19E2AFE"/>
    <w:lvl w:ilvl="0" w:tplc="B9E2B97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EB55A5A"/>
    <w:multiLevelType w:val="hybridMultilevel"/>
    <w:tmpl w:val="E9006A3E"/>
    <w:lvl w:ilvl="0" w:tplc="4FB6808C">
      <w:start w:val="1"/>
      <w:numFmt w:val="decimal"/>
      <w:lvlText w:val="(%1)"/>
      <w:lvlJc w:val="left"/>
      <w:pPr>
        <w:ind w:left="1217" w:hanging="735"/>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41" w15:restartNumberingAfterBreak="0">
    <w:nsid w:val="4108037F"/>
    <w:multiLevelType w:val="hybridMultilevel"/>
    <w:tmpl w:val="E026A106"/>
    <w:lvl w:ilvl="0" w:tplc="0F602EE8">
      <w:start w:val="1"/>
      <w:numFmt w:val="chineseCountingThousand"/>
      <w:lvlText w:val="第%1节"/>
      <w:lvlJc w:val="left"/>
      <w:pPr>
        <w:tabs>
          <w:tab w:val="num" w:pos="1813"/>
        </w:tabs>
        <w:ind w:left="1813" w:hanging="1170"/>
      </w:pPr>
      <w:rPr>
        <w:rFonts w:hint="default"/>
      </w:rPr>
    </w:lvl>
    <w:lvl w:ilvl="1" w:tplc="12C8DB60">
      <w:start w:val="1"/>
      <w:numFmt w:val="chineseCountingThousand"/>
      <w:lvlText w:val="%2、"/>
      <w:lvlJc w:val="left"/>
      <w:pPr>
        <w:tabs>
          <w:tab w:val="num" w:pos="720"/>
        </w:tabs>
        <w:ind w:left="720" w:hanging="720"/>
      </w:pPr>
      <w:rPr>
        <w:rFonts w:hint="default"/>
        <w:lang w:val="en-US"/>
      </w:r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42" w15:restartNumberingAfterBreak="0">
    <w:nsid w:val="429F092F"/>
    <w:multiLevelType w:val="hybridMultilevel"/>
    <w:tmpl w:val="FCD079BA"/>
    <w:lvl w:ilvl="0" w:tplc="81784470">
      <w:start w:val="1"/>
      <w:numFmt w:val="chineseCountingThousand"/>
      <w:lvlText w:val="%1、"/>
      <w:lvlJc w:val="left"/>
      <w:pPr>
        <w:ind w:left="720" w:hanging="720"/>
      </w:pPr>
      <w:rPr>
        <w:rFonts w:hint="eastAsia"/>
      </w:rPr>
    </w:lvl>
    <w:lvl w:ilvl="1" w:tplc="D06C5DD6"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4311251F"/>
    <w:multiLevelType w:val="hybridMultilevel"/>
    <w:tmpl w:val="05C001E8"/>
    <w:lvl w:ilvl="0" w:tplc="04090013">
      <w:start w:val="1"/>
      <w:numFmt w:val="chineseCountingThousand"/>
      <w:lvlText w:val="%1、"/>
      <w:lvlJc w:val="left"/>
      <w:pPr>
        <w:ind w:left="420" w:hanging="420"/>
      </w:pPr>
      <w:rPr>
        <w:rFonts w:hint="eastAsia"/>
      </w:rPr>
    </w:lvl>
    <w:lvl w:ilvl="1" w:tplc="04090019">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38D4BA0"/>
    <w:multiLevelType w:val="hybridMultilevel"/>
    <w:tmpl w:val="FF46BC1A"/>
    <w:lvl w:ilvl="0" w:tplc="10BA351C">
      <w:start w:val="1"/>
      <w:numFmt w:val="decimal"/>
      <w:lvlText w:val="%1、"/>
      <w:lvlJc w:val="left"/>
      <w:pPr>
        <w:tabs>
          <w:tab w:val="num" w:pos="780"/>
        </w:tabs>
        <w:ind w:left="420" w:firstLine="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43B37399"/>
    <w:multiLevelType w:val="hybridMultilevel"/>
    <w:tmpl w:val="9A5055AE"/>
    <w:lvl w:ilvl="0" w:tplc="0409000F">
      <w:start w:val="1"/>
      <w:numFmt w:val="decimal"/>
      <w:lvlText w:val="%1."/>
      <w:lvlJc w:val="left"/>
      <w:pPr>
        <w:tabs>
          <w:tab w:val="num" w:pos="0"/>
        </w:tabs>
        <w:ind w:left="0" w:firstLine="0"/>
      </w:pPr>
      <w:rPr>
        <w:rFonts w:hint="default"/>
        <w:lang w:val="en-US"/>
      </w:rPr>
    </w:lvl>
    <w:lvl w:ilvl="1" w:tplc="B0DC8444">
      <w:start w:val="1"/>
      <w:numFmt w:val="decimal"/>
      <w:lvlText w:val="（%2）"/>
      <w:lvlJc w:val="left"/>
      <w:pPr>
        <w:tabs>
          <w:tab w:val="num" w:pos="0"/>
        </w:tabs>
        <w:ind w:left="0" w:firstLine="0"/>
      </w:pPr>
      <w:rPr>
        <w:rFonts w:hint="default"/>
      </w:rPr>
    </w:lvl>
    <w:lvl w:ilvl="2" w:tplc="0409001B">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6"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7" w15:restartNumberingAfterBreak="0">
    <w:nsid w:val="45DE0F87"/>
    <w:multiLevelType w:val="hybridMultilevel"/>
    <w:tmpl w:val="FB3EFFF6"/>
    <w:lvl w:ilvl="0" w:tplc="10BA351C">
      <w:start w:val="1"/>
      <w:numFmt w:val="chineseCountingThousand"/>
      <w:lvlText w:val="%1、"/>
      <w:lvlJc w:val="left"/>
      <w:pPr>
        <w:ind w:left="704"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46631172"/>
    <w:multiLevelType w:val="hybridMultilevel"/>
    <w:tmpl w:val="0B482238"/>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4A5B5776"/>
    <w:multiLevelType w:val="hybridMultilevel"/>
    <w:tmpl w:val="5B82EFF4"/>
    <w:lvl w:ilvl="0" w:tplc="1B2CAE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B6D5126"/>
    <w:multiLevelType w:val="multilevel"/>
    <w:tmpl w:val="EE2824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15:restartNumberingAfterBreak="0">
    <w:nsid w:val="4C116A79"/>
    <w:multiLevelType w:val="hybridMultilevel"/>
    <w:tmpl w:val="630C3AA0"/>
    <w:lvl w:ilvl="0" w:tplc="9ADC73CC">
      <w:start w:val="1"/>
      <w:numFmt w:val="decimal"/>
      <w:lvlText w:val="（%1）"/>
      <w:lvlJc w:val="left"/>
      <w:pPr>
        <w:tabs>
          <w:tab w:val="num" w:pos="1200"/>
        </w:tabs>
        <w:ind w:left="120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15:restartNumberingAfterBreak="0">
    <w:nsid w:val="4D561378"/>
    <w:multiLevelType w:val="hybridMultilevel"/>
    <w:tmpl w:val="F6DE4366"/>
    <w:lvl w:ilvl="0" w:tplc="00A2C91E">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50B20066"/>
    <w:multiLevelType w:val="hybridMultilevel"/>
    <w:tmpl w:val="99BC5040"/>
    <w:lvl w:ilvl="0" w:tplc="FF40CEBE">
      <w:start w:val="1"/>
      <w:numFmt w:val="decimal"/>
      <w:lvlText w:val="%1."/>
      <w:lvlJc w:val="left"/>
      <w:pPr>
        <w:tabs>
          <w:tab w:val="num" w:pos="360"/>
        </w:tabs>
        <w:ind w:left="360" w:hanging="360"/>
      </w:pPr>
      <w:rPr>
        <w:rFonts w:ascii="宋体" w:eastAsia="宋体" w:hAnsi="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54" w15:restartNumberingAfterBreak="0">
    <w:nsid w:val="53860606"/>
    <w:multiLevelType w:val="hybridMultilevel"/>
    <w:tmpl w:val="DD8AB470"/>
    <w:lvl w:ilvl="0" w:tplc="AEB87138">
      <w:start w:val="1"/>
      <w:numFmt w:val="japaneseCounting"/>
      <w:lvlText w:val="%1、"/>
      <w:lvlJc w:val="left"/>
      <w:pPr>
        <w:ind w:left="495" w:hanging="39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55" w15:restartNumberingAfterBreak="0">
    <w:nsid w:val="548959F9"/>
    <w:multiLevelType w:val="hybridMultilevel"/>
    <w:tmpl w:val="49165390"/>
    <w:lvl w:ilvl="0" w:tplc="CB9CB670">
      <w:start w:val="1"/>
      <w:numFmt w:val="japaneseCounting"/>
      <w:lvlText w:val="%1、"/>
      <w:lvlJc w:val="left"/>
      <w:pPr>
        <w:tabs>
          <w:tab w:val="num" w:pos="420"/>
        </w:tabs>
        <w:ind w:left="420" w:hanging="420"/>
      </w:pPr>
      <w:rPr>
        <w:rFonts w:hint="default"/>
        <w:lang w:val="en-US"/>
      </w:rPr>
    </w:lvl>
    <w:lvl w:ilvl="1" w:tplc="04090017">
      <w:start w:val="1"/>
      <w:numFmt w:val="chineseCountingThousand"/>
      <w:lvlText w:val="(%2)"/>
      <w:lvlJc w:val="left"/>
      <w:pPr>
        <w:tabs>
          <w:tab w:val="num" w:pos="840"/>
        </w:tabs>
        <w:ind w:left="840" w:hanging="420"/>
      </w:pPr>
      <w:rPr>
        <w:rFonts w:hint="default"/>
      </w:rPr>
    </w:lvl>
    <w:lvl w:ilvl="2" w:tplc="FFB8E43A">
      <w:start w:val="1"/>
      <w:numFmt w:val="decimal"/>
      <w:lvlText w:val="（%3）"/>
      <w:lvlJc w:val="left"/>
      <w:pPr>
        <w:tabs>
          <w:tab w:val="num" w:pos="1560"/>
        </w:tabs>
        <w:ind w:left="1560" w:hanging="720"/>
      </w:pPr>
      <w:rPr>
        <w:rFonts w:ascii="宋体" w:eastAsia="宋体" w:hAnsi="宋体" w:hint="default"/>
        <w:lang w:val="en-US"/>
      </w:rPr>
    </w:lvl>
    <w:lvl w:ilvl="3" w:tplc="04090011">
      <w:start w:val="1"/>
      <w:numFmt w:val="decimal"/>
      <w:lvlText w:val="%4)"/>
      <w:lvlJc w:val="left"/>
      <w:pPr>
        <w:tabs>
          <w:tab w:val="num" w:pos="1260"/>
        </w:tabs>
        <w:ind w:left="1260" w:hanging="420"/>
      </w:pPr>
      <w:rPr>
        <w:rFonts w:hint="default"/>
      </w:rPr>
    </w:lvl>
    <w:lvl w:ilvl="4" w:tplc="851AC3A4">
      <w:start w:val="1"/>
      <w:numFmt w:val="decimal"/>
      <w:lvlText w:val="（%5）"/>
      <w:lvlJc w:val="left"/>
      <w:pPr>
        <w:tabs>
          <w:tab w:val="num" w:pos="2400"/>
        </w:tabs>
        <w:ind w:left="2400" w:hanging="720"/>
      </w:pPr>
      <w:rPr>
        <w:rFonts w:hint="default"/>
        <w:lang w:val="en-US"/>
      </w:rPr>
    </w:lvl>
    <w:lvl w:ilvl="5" w:tplc="AD02A9C8">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15:restartNumberingAfterBreak="0">
    <w:nsid w:val="55206459"/>
    <w:multiLevelType w:val="hybridMultilevel"/>
    <w:tmpl w:val="3EAE29A6"/>
    <w:lvl w:ilvl="0" w:tplc="04090019">
      <w:start w:val="1"/>
      <w:numFmt w:val="japaneseCounting"/>
      <w:lvlText w:val="%1、"/>
      <w:lvlJc w:val="left"/>
      <w:pPr>
        <w:ind w:left="735" w:hanging="4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7"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55D33962"/>
    <w:multiLevelType w:val="hybridMultilevel"/>
    <w:tmpl w:val="5CC8E110"/>
    <w:lvl w:ilvl="0" w:tplc="9DE6F642">
      <w:start w:val="1"/>
      <w:numFmt w:val="decimal"/>
      <w:lvlText w:val="%1."/>
      <w:lvlJc w:val="left"/>
      <w:pPr>
        <w:tabs>
          <w:tab w:val="num" w:pos="1003"/>
        </w:tabs>
        <w:ind w:left="1003" w:hanging="36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55E7444E"/>
    <w:multiLevelType w:val="hybridMultilevel"/>
    <w:tmpl w:val="C9B6E80C"/>
    <w:lvl w:ilvl="0" w:tplc="0F602EE8">
      <w:start w:val="1"/>
      <w:numFmt w:val="chineseCountingThousand"/>
      <w:lvlText w:val="第%1节"/>
      <w:lvlJc w:val="left"/>
      <w:pPr>
        <w:tabs>
          <w:tab w:val="num" w:pos="1813"/>
        </w:tabs>
        <w:ind w:left="1813" w:hanging="1170"/>
      </w:pPr>
      <w:rPr>
        <w:rFonts w:hint="default"/>
      </w:rPr>
    </w:lvl>
    <w:lvl w:ilvl="1" w:tplc="0DC49E38">
      <w:start w:val="1"/>
      <w:numFmt w:val="chineseCountingThousand"/>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15:restartNumberingAfterBreak="0">
    <w:nsid w:val="5D3E6F72"/>
    <w:multiLevelType w:val="multilevel"/>
    <w:tmpl w:val="B434A088"/>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15:restartNumberingAfterBreak="0">
    <w:nsid w:val="5D82141E"/>
    <w:multiLevelType w:val="hybridMultilevel"/>
    <w:tmpl w:val="F7344D52"/>
    <w:lvl w:ilvl="0" w:tplc="8EFCE3D4">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5FF4606B"/>
    <w:multiLevelType w:val="hybridMultilevel"/>
    <w:tmpl w:val="78F6D392"/>
    <w:lvl w:ilvl="0" w:tplc="261C5502">
      <w:start w:val="1"/>
      <w:numFmt w:val="decimal"/>
      <w:lvlText w:val="%1."/>
      <w:lvlJc w:val="left"/>
      <w:pPr>
        <w:tabs>
          <w:tab w:val="num" w:pos="360"/>
        </w:tabs>
        <w:ind w:left="360" w:hanging="360"/>
      </w:pPr>
      <w:rPr>
        <w:rFonts w:eastAsia="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63" w15:restartNumberingAfterBreak="0">
    <w:nsid w:val="60667158"/>
    <w:multiLevelType w:val="hybridMultilevel"/>
    <w:tmpl w:val="D70C626E"/>
    <w:lvl w:ilvl="0" w:tplc="91D2CB2C">
      <w:start w:val="1"/>
      <w:numFmt w:val="decimal"/>
      <w:lvlText w:val="(%1)"/>
      <w:lvlJc w:val="left"/>
      <w:pPr>
        <w:tabs>
          <w:tab w:val="num" w:pos="1260"/>
        </w:tabs>
        <w:ind w:left="1260" w:hanging="420"/>
      </w:pPr>
      <w:rPr>
        <w:rFonts w:ascii="宋体" w:eastAsia="宋体" w:hAnsi="宋体" w:hint="default"/>
      </w:rPr>
    </w:lvl>
    <w:lvl w:ilvl="1" w:tplc="04090019" w:tentative="1">
      <w:start w:val="1"/>
      <w:numFmt w:val="lowerLetter"/>
      <w:lvlText w:val="%2)"/>
      <w:lvlJc w:val="left"/>
      <w:pPr>
        <w:tabs>
          <w:tab w:val="num" w:pos="61"/>
        </w:tabs>
        <w:ind w:left="61" w:hanging="420"/>
      </w:pPr>
    </w:lvl>
    <w:lvl w:ilvl="2" w:tplc="0409001B" w:tentative="1">
      <w:start w:val="1"/>
      <w:numFmt w:val="lowerRoman"/>
      <w:lvlText w:val="%3."/>
      <w:lvlJc w:val="right"/>
      <w:pPr>
        <w:tabs>
          <w:tab w:val="num" w:pos="481"/>
        </w:tabs>
        <w:ind w:left="481" w:hanging="420"/>
      </w:pPr>
    </w:lvl>
    <w:lvl w:ilvl="3" w:tplc="0409000F" w:tentative="1">
      <w:start w:val="1"/>
      <w:numFmt w:val="decimal"/>
      <w:lvlText w:val="%4."/>
      <w:lvlJc w:val="left"/>
      <w:pPr>
        <w:tabs>
          <w:tab w:val="num" w:pos="901"/>
        </w:tabs>
        <w:ind w:left="901" w:hanging="420"/>
      </w:pPr>
    </w:lvl>
    <w:lvl w:ilvl="4" w:tplc="04090019" w:tentative="1">
      <w:start w:val="1"/>
      <w:numFmt w:val="lowerLetter"/>
      <w:lvlText w:val="%5)"/>
      <w:lvlJc w:val="left"/>
      <w:pPr>
        <w:tabs>
          <w:tab w:val="num" w:pos="1321"/>
        </w:tabs>
        <w:ind w:left="1321" w:hanging="420"/>
      </w:pPr>
    </w:lvl>
    <w:lvl w:ilvl="5" w:tplc="0409001B" w:tentative="1">
      <w:start w:val="1"/>
      <w:numFmt w:val="lowerRoman"/>
      <w:lvlText w:val="%6."/>
      <w:lvlJc w:val="right"/>
      <w:pPr>
        <w:tabs>
          <w:tab w:val="num" w:pos="1741"/>
        </w:tabs>
        <w:ind w:left="1741" w:hanging="420"/>
      </w:pPr>
    </w:lvl>
    <w:lvl w:ilvl="6" w:tplc="0409000F" w:tentative="1">
      <w:start w:val="1"/>
      <w:numFmt w:val="decimal"/>
      <w:lvlText w:val="%7."/>
      <w:lvlJc w:val="left"/>
      <w:pPr>
        <w:tabs>
          <w:tab w:val="num" w:pos="2161"/>
        </w:tabs>
        <w:ind w:left="2161" w:hanging="420"/>
      </w:pPr>
    </w:lvl>
    <w:lvl w:ilvl="7" w:tplc="04090019" w:tentative="1">
      <w:start w:val="1"/>
      <w:numFmt w:val="lowerLetter"/>
      <w:lvlText w:val="%8)"/>
      <w:lvlJc w:val="left"/>
      <w:pPr>
        <w:tabs>
          <w:tab w:val="num" w:pos="2581"/>
        </w:tabs>
        <w:ind w:left="2581" w:hanging="420"/>
      </w:pPr>
    </w:lvl>
    <w:lvl w:ilvl="8" w:tplc="0409001B" w:tentative="1">
      <w:start w:val="1"/>
      <w:numFmt w:val="lowerRoman"/>
      <w:lvlText w:val="%9."/>
      <w:lvlJc w:val="right"/>
      <w:pPr>
        <w:tabs>
          <w:tab w:val="num" w:pos="3001"/>
        </w:tabs>
        <w:ind w:left="3001" w:hanging="420"/>
      </w:pPr>
    </w:lvl>
  </w:abstractNum>
  <w:abstractNum w:abstractNumId="64" w15:restartNumberingAfterBreak="0">
    <w:nsid w:val="64887D73"/>
    <w:multiLevelType w:val="hybridMultilevel"/>
    <w:tmpl w:val="97004024"/>
    <w:lvl w:ilvl="0" w:tplc="271E205C">
      <w:start w:val="1"/>
      <w:numFmt w:val="decimal"/>
      <w:lvlText w:val="（%1）"/>
      <w:lvlJc w:val="left"/>
      <w:pPr>
        <w:tabs>
          <w:tab w:val="num" w:pos="147"/>
        </w:tabs>
        <w:ind w:left="567" w:firstLine="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64E14F1F"/>
    <w:multiLevelType w:val="hybridMultilevel"/>
    <w:tmpl w:val="B9B03D50"/>
    <w:lvl w:ilvl="0" w:tplc="2AF8B9E2">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650B2610"/>
    <w:multiLevelType w:val="multilevel"/>
    <w:tmpl w:val="B434A088"/>
    <w:lvl w:ilvl="0">
      <w:start w:val="1"/>
      <w:numFmt w:val="decimal"/>
      <w:lvlText w:val="(%1)"/>
      <w:lvlJc w:val="left"/>
      <w:pPr>
        <w:tabs>
          <w:tab w:val="num" w:pos="780"/>
        </w:tabs>
        <w:ind w:left="7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15:restartNumberingAfterBreak="0">
    <w:nsid w:val="658606FC"/>
    <w:multiLevelType w:val="hybridMultilevel"/>
    <w:tmpl w:val="0B9E301C"/>
    <w:lvl w:ilvl="0" w:tplc="E73CA914">
      <w:start w:val="1"/>
      <w:numFmt w:val="chineseCountingThousand"/>
      <w:lvlText w:val="%1、"/>
      <w:lvlJc w:val="left"/>
      <w:pPr>
        <w:ind w:left="720" w:hanging="7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15:restartNumberingAfterBreak="0">
    <w:nsid w:val="65B6367F"/>
    <w:multiLevelType w:val="hybridMultilevel"/>
    <w:tmpl w:val="E12AAF70"/>
    <w:lvl w:ilvl="0" w:tplc="261C5502">
      <w:start w:val="1"/>
      <w:numFmt w:val="decimal"/>
      <w:lvlText w:val="%1."/>
      <w:lvlJc w:val="left"/>
      <w:pPr>
        <w:tabs>
          <w:tab w:val="num" w:pos="360"/>
        </w:tabs>
        <w:ind w:left="360" w:hanging="360"/>
      </w:pPr>
      <w:rPr>
        <w:rFonts w:eastAsia="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69"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70" w15:restartNumberingAfterBreak="0">
    <w:nsid w:val="69A52F2B"/>
    <w:multiLevelType w:val="hybridMultilevel"/>
    <w:tmpl w:val="5158196C"/>
    <w:lvl w:ilvl="0" w:tplc="A6DE4732">
      <w:start w:val="1"/>
      <w:numFmt w:val="decimal"/>
      <w:lvlText w:val="%1."/>
      <w:lvlJc w:val="left"/>
      <w:pPr>
        <w:tabs>
          <w:tab w:val="num" w:pos="360"/>
        </w:tabs>
        <w:ind w:left="360" w:hanging="360"/>
      </w:pPr>
      <w:rPr>
        <w:rFonts w:ascii="宋体" w:eastAsia="宋体" w:hAnsi="宋体" w:hint="eastAsia"/>
        <w:b w:val="0"/>
        <w:sz w:val="21"/>
        <w:szCs w:val="21"/>
        <w:lang w:val="en-US"/>
      </w:rPr>
    </w:lvl>
    <w:lvl w:ilvl="1" w:tplc="04090011">
      <w:start w:val="1"/>
      <w:numFmt w:val="decimal"/>
      <w:lvlText w:val="%2)"/>
      <w:lvlJc w:val="left"/>
      <w:pPr>
        <w:tabs>
          <w:tab w:val="num" w:pos="840"/>
        </w:tabs>
        <w:ind w:left="840" w:hanging="420"/>
      </w:pPr>
      <w:rPr>
        <w:rFonts w:hint="default"/>
        <w:b/>
        <w:sz w:val="21"/>
        <w:szCs w:val="21"/>
        <w:lang w:val="en-US"/>
      </w:rPr>
    </w:lvl>
    <w:lvl w:ilvl="2" w:tplc="FFFFFFFF">
      <w:start w:val="2"/>
      <w:numFmt w:val="japaneseCounting"/>
      <w:lvlText w:val="第%3章"/>
      <w:lvlJc w:val="left"/>
      <w:pPr>
        <w:tabs>
          <w:tab w:val="num" w:pos="1560"/>
        </w:tabs>
        <w:ind w:left="1560" w:hanging="720"/>
      </w:pPr>
      <w:rPr>
        <w:rFonts w:hint="default"/>
      </w:rPr>
    </w:lvl>
    <w:lvl w:ilvl="3" w:tplc="FFFFFFFF">
      <w:start w:val="1"/>
      <w:numFmt w:val="decimal"/>
      <w:lvlText w:val="%4)"/>
      <w:lvlJc w:val="left"/>
      <w:pPr>
        <w:tabs>
          <w:tab w:val="num" w:pos="1680"/>
        </w:tabs>
        <w:ind w:left="900" w:firstLine="360"/>
      </w:pPr>
      <w:rPr>
        <w:rFonts w:hint="eastAsia"/>
        <w:b/>
        <w:lang w:val="en-US"/>
      </w:rPr>
    </w:lvl>
    <w:lvl w:ilvl="4" w:tplc="FFFFFFFF">
      <w:start w:val="1"/>
      <w:numFmt w:val="decimal"/>
      <w:lvlText w:val="%5）"/>
      <w:lvlJc w:val="left"/>
      <w:pPr>
        <w:tabs>
          <w:tab w:val="num" w:pos="2040"/>
        </w:tabs>
        <w:ind w:left="2040" w:hanging="360"/>
      </w:pPr>
      <w:rPr>
        <w:rFonts w:eastAsia="宋体" w:hint="default"/>
      </w:rPr>
    </w:lvl>
    <w:lvl w:ilvl="5" w:tplc="FFFFFFFF">
      <w:start w:val="7"/>
      <w:numFmt w:val="decimal"/>
      <w:lvlText w:val="%6．"/>
      <w:lvlJc w:val="left"/>
      <w:pPr>
        <w:tabs>
          <w:tab w:val="num" w:pos="2460"/>
        </w:tabs>
        <w:ind w:left="2460" w:hanging="360"/>
      </w:pPr>
      <w:rPr>
        <w:rFonts w:hint="default"/>
      </w:rPr>
    </w:lvl>
    <w:lvl w:ilvl="6" w:tplc="FFFFFFFF">
      <w:start w:val="1"/>
      <w:numFmt w:val="japaneseCounting"/>
      <w:lvlText w:val="(%7)"/>
      <w:lvlJc w:val="left"/>
      <w:pPr>
        <w:tabs>
          <w:tab w:val="num" w:pos="720"/>
        </w:tabs>
        <w:ind w:left="720" w:hanging="360"/>
      </w:pPr>
      <w:rPr>
        <w:rFonts w:ascii="Times New Roman" w:eastAsia="宋体" w:hAnsi="Times New Roman" w:cs="Times New Roman"/>
      </w:rPr>
    </w:lvl>
    <w:lvl w:ilvl="7" w:tplc="FFFFFFFF">
      <w:start w:val="1"/>
      <w:numFmt w:val="ideographDigital"/>
      <w:lvlText w:val="(%8)"/>
      <w:lvlJc w:val="left"/>
      <w:pPr>
        <w:tabs>
          <w:tab w:val="num" w:pos="3360"/>
        </w:tabs>
        <w:ind w:left="3360" w:hanging="420"/>
      </w:pPr>
      <w:rPr>
        <w:rFonts w:hint="eastAsia"/>
        <w:b w:val="0"/>
        <w:lang w:val="en-US"/>
      </w:rPr>
    </w:lvl>
    <w:lvl w:ilvl="8" w:tplc="FFFFFFFF">
      <w:start w:val="1"/>
      <w:numFmt w:val="japaneseCounting"/>
      <w:lvlText w:val="（%9）"/>
      <w:lvlJc w:val="left"/>
      <w:pPr>
        <w:tabs>
          <w:tab w:val="num" w:pos="4200"/>
        </w:tabs>
        <w:ind w:left="4200" w:hanging="840"/>
      </w:pPr>
      <w:rPr>
        <w:rFonts w:hint="default"/>
      </w:rPr>
    </w:lvl>
  </w:abstractNum>
  <w:abstractNum w:abstractNumId="71" w15:restartNumberingAfterBreak="0">
    <w:nsid w:val="6A726416"/>
    <w:multiLevelType w:val="multilevel"/>
    <w:tmpl w:val="6A7264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2" w15:restartNumberingAfterBreak="0">
    <w:nsid w:val="6F0C5F25"/>
    <w:multiLevelType w:val="hybridMultilevel"/>
    <w:tmpl w:val="CB029A4A"/>
    <w:lvl w:ilvl="0" w:tplc="04090019">
      <w:start w:val="1"/>
      <w:numFmt w:val="chineseCountingThousand"/>
      <w:lvlText w:val="%1、"/>
      <w:lvlJc w:val="left"/>
      <w:pPr>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74" w15:restartNumberingAfterBreak="0">
    <w:nsid w:val="727C540E"/>
    <w:multiLevelType w:val="multilevel"/>
    <w:tmpl w:val="B434A088"/>
    <w:lvl w:ilvl="0">
      <w:start w:val="1"/>
      <w:numFmt w:val="decimal"/>
      <w:lvlText w:val="(%1)"/>
      <w:lvlJc w:val="left"/>
      <w:pPr>
        <w:tabs>
          <w:tab w:val="num" w:pos="780"/>
        </w:tabs>
        <w:ind w:left="78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15:restartNumberingAfterBreak="0">
    <w:nsid w:val="73346218"/>
    <w:multiLevelType w:val="hybridMultilevel"/>
    <w:tmpl w:val="FB3EFFF6"/>
    <w:lvl w:ilvl="0" w:tplc="04090013">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15:restartNumberingAfterBreak="0">
    <w:nsid w:val="74181C13"/>
    <w:multiLevelType w:val="hybridMultilevel"/>
    <w:tmpl w:val="66A4FD16"/>
    <w:lvl w:ilvl="0" w:tplc="261C5502">
      <w:start w:val="1"/>
      <w:numFmt w:val="decimal"/>
      <w:lvlText w:val="%1."/>
      <w:lvlJc w:val="left"/>
      <w:pPr>
        <w:tabs>
          <w:tab w:val="num" w:pos="360"/>
        </w:tabs>
        <w:ind w:left="360" w:hanging="360"/>
      </w:pPr>
      <w:rPr>
        <w:rFonts w:eastAsia="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77" w15:restartNumberingAfterBreak="0">
    <w:nsid w:val="7465198C"/>
    <w:multiLevelType w:val="hybridMultilevel"/>
    <w:tmpl w:val="B0AA079C"/>
    <w:lvl w:ilvl="0" w:tplc="2D8A59BA">
      <w:start w:val="1"/>
      <w:numFmt w:val="decimal"/>
      <w:lvlText w:val="（%1）"/>
      <w:lvlJc w:val="left"/>
      <w:pPr>
        <w:ind w:left="846" w:hanging="420"/>
      </w:pPr>
      <w:rPr>
        <w:rFonts w:hint="eastAsia"/>
      </w:rPr>
    </w:lvl>
    <w:lvl w:ilvl="1" w:tplc="C75829C2">
      <w:start w:val="1"/>
      <w:numFmt w:val="decimal"/>
      <w:lvlText w:val="%2、"/>
      <w:lvlJc w:val="left"/>
      <w:pPr>
        <w:ind w:left="1213" w:hanging="375"/>
      </w:pPr>
      <w:rPr>
        <w:rFonts w:hAnsi="Times New Roman" w:hint="default"/>
      </w:rPr>
    </w:lvl>
    <w:lvl w:ilvl="2" w:tplc="5532E580" w:tentative="1">
      <w:start w:val="1"/>
      <w:numFmt w:val="lowerRoman"/>
      <w:lvlText w:val="%3."/>
      <w:lvlJc w:val="right"/>
      <w:pPr>
        <w:ind w:left="1678" w:hanging="420"/>
      </w:pPr>
    </w:lvl>
    <w:lvl w:ilvl="3" w:tplc="01D22E6A" w:tentative="1">
      <w:start w:val="1"/>
      <w:numFmt w:val="decimal"/>
      <w:lvlText w:val="%4."/>
      <w:lvlJc w:val="left"/>
      <w:pPr>
        <w:ind w:left="2098" w:hanging="420"/>
      </w:pPr>
    </w:lvl>
    <w:lvl w:ilvl="4" w:tplc="DEEE01F8" w:tentative="1">
      <w:start w:val="1"/>
      <w:numFmt w:val="lowerLetter"/>
      <w:lvlText w:val="%5)"/>
      <w:lvlJc w:val="left"/>
      <w:pPr>
        <w:ind w:left="2518" w:hanging="420"/>
      </w:pPr>
    </w:lvl>
    <w:lvl w:ilvl="5" w:tplc="026E82CA" w:tentative="1">
      <w:start w:val="1"/>
      <w:numFmt w:val="lowerRoman"/>
      <w:lvlText w:val="%6."/>
      <w:lvlJc w:val="right"/>
      <w:pPr>
        <w:ind w:left="2938" w:hanging="420"/>
      </w:pPr>
    </w:lvl>
    <w:lvl w:ilvl="6" w:tplc="086C6042" w:tentative="1">
      <w:start w:val="1"/>
      <w:numFmt w:val="decimal"/>
      <w:lvlText w:val="%7."/>
      <w:lvlJc w:val="left"/>
      <w:pPr>
        <w:ind w:left="3358" w:hanging="420"/>
      </w:pPr>
    </w:lvl>
    <w:lvl w:ilvl="7" w:tplc="3320D30C" w:tentative="1">
      <w:start w:val="1"/>
      <w:numFmt w:val="lowerLetter"/>
      <w:lvlText w:val="%8)"/>
      <w:lvlJc w:val="left"/>
      <w:pPr>
        <w:ind w:left="3778" w:hanging="420"/>
      </w:pPr>
    </w:lvl>
    <w:lvl w:ilvl="8" w:tplc="10E21586" w:tentative="1">
      <w:start w:val="1"/>
      <w:numFmt w:val="lowerRoman"/>
      <w:lvlText w:val="%9."/>
      <w:lvlJc w:val="right"/>
      <w:pPr>
        <w:ind w:left="4198" w:hanging="420"/>
      </w:pPr>
    </w:lvl>
  </w:abstractNum>
  <w:abstractNum w:abstractNumId="78" w15:restartNumberingAfterBreak="0">
    <w:nsid w:val="75F74D1A"/>
    <w:multiLevelType w:val="hybridMultilevel"/>
    <w:tmpl w:val="15B2A43E"/>
    <w:lvl w:ilvl="0" w:tplc="22FEB792">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765E4C60"/>
    <w:multiLevelType w:val="hybridMultilevel"/>
    <w:tmpl w:val="E19A5E84"/>
    <w:lvl w:ilvl="0" w:tplc="D3528780">
      <w:start w:val="1"/>
      <w:numFmt w:val="decimal"/>
      <w:lvlText w:val="%1）"/>
      <w:lvlJc w:val="left"/>
      <w:pPr>
        <w:tabs>
          <w:tab w:val="num" w:pos="0"/>
        </w:tabs>
        <w:ind w:left="0" w:firstLine="840"/>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15:restartNumberingAfterBreak="0">
    <w:nsid w:val="77B4748A"/>
    <w:multiLevelType w:val="hybridMultilevel"/>
    <w:tmpl w:val="806C3D62"/>
    <w:lvl w:ilvl="0" w:tplc="99AA8908">
      <w:start w:val="1"/>
      <w:numFmt w:val="decimal"/>
      <w:lvlText w:val="%1."/>
      <w:lvlJc w:val="left"/>
      <w:pPr>
        <w:tabs>
          <w:tab w:val="num" w:pos="1070"/>
        </w:tabs>
        <w:ind w:left="71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15:restartNumberingAfterBreak="0">
    <w:nsid w:val="783C7759"/>
    <w:multiLevelType w:val="hybridMultilevel"/>
    <w:tmpl w:val="DA50ECFE"/>
    <w:lvl w:ilvl="0" w:tplc="58FC3F26">
      <w:start w:val="1"/>
      <w:numFmt w:val="decimal"/>
      <w:lvlText w:val="（%1）"/>
      <w:lvlJc w:val="left"/>
      <w:pPr>
        <w:tabs>
          <w:tab w:val="num" w:pos="851"/>
        </w:tabs>
        <w:ind w:left="851" w:hanging="567"/>
      </w:pPr>
      <w:rPr>
        <w:rFonts w:ascii="宋体" w:eastAsia="宋体"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15:restartNumberingAfterBreak="0">
    <w:nsid w:val="78855797"/>
    <w:multiLevelType w:val="hybridMultilevel"/>
    <w:tmpl w:val="C5B8DB76"/>
    <w:lvl w:ilvl="0" w:tplc="87C2BABC">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78965417"/>
    <w:multiLevelType w:val="multilevel"/>
    <w:tmpl w:val="7896541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4" w15:restartNumberingAfterBreak="0">
    <w:nsid w:val="79894A28"/>
    <w:multiLevelType w:val="hybridMultilevel"/>
    <w:tmpl w:val="A75CEFA0"/>
    <w:lvl w:ilvl="0" w:tplc="99AA8908">
      <w:start w:val="1"/>
      <w:numFmt w:val="decimal"/>
      <w:lvlText w:val="(%1)"/>
      <w:lvlJc w:val="left"/>
      <w:pPr>
        <w:ind w:left="1161" w:hanging="735"/>
      </w:pPr>
    </w:lvl>
    <w:lvl w:ilvl="1" w:tplc="271E205C">
      <w:start w:val="1"/>
      <w:numFmt w:val="decimal"/>
      <w:lvlText w:val="(%2)"/>
      <w:lvlJc w:val="left"/>
      <w:pPr>
        <w:ind w:left="1155" w:hanging="735"/>
      </w:pPr>
    </w:lvl>
    <w:lvl w:ilvl="2" w:tplc="23888C08">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5" w15:restartNumberingAfterBreak="0">
    <w:nsid w:val="7BA65790"/>
    <w:multiLevelType w:val="hybridMultilevel"/>
    <w:tmpl w:val="05CA7C80"/>
    <w:lvl w:ilvl="0" w:tplc="841C8DC8">
      <w:start w:val="1"/>
      <w:numFmt w:val="decimal"/>
      <w:lvlText w:val="（%1）"/>
      <w:lvlJc w:val="left"/>
      <w:pPr>
        <w:tabs>
          <w:tab w:val="num" w:pos="1134"/>
        </w:tabs>
        <w:ind w:left="1134" w:hanging="71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7D1F6586"/>
    <w:multiLevelType w:val="hybridMultilevel"/>
    <w:tmpl w:val="28D6DEC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7" w15:restartNumberingAfterBreak="0">
    <w:nsid w:val="7D671B5B"/>
    <w:multiLevelType w:val="hybridMultilevel"/>
    <w:tmpl w:val="38FEC73C"/>
    <w:lvl w:ilvl="0" w:tplc="0DC49E38">
      <w:start w:val="1"/>
      <w:numFmt w:val="chineseCountingThousand"/>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8" w15:restartNumberingAfterBreak="0">
    <w:nsid w:val="7DAB5D99"/>
    <w:multiLevelType w:val="hybridMultilevel"/>
    <w:tmpl w:val="F98E6ABC"/>
    <w:lvl w:ilvl="0" w:tplc="261C5502">
      <w:start w:val="1"/>
      <w:numFmt w:val="decimal"/>
      <w:lvlText w:val="%1."/>
      <w:lvlJc w:val="left"/>
      <w:pPr>
        <w:tabs>
          <w:tab w:val="num" w:pos="360"/>
        </w:tabs>
        <w:ind w:left="360" w:hanging="360"/>
      </w:pPr>
      <w:rPr>
        <w:rFonts w:eastAsia="宋体" w:hint="eastAsia"/>
      </w:rPr>
    </w:lvl>
    <w:lvl w:ilvl="1" w:tplc="04090019" w:tentative="1">
      <w:start w:val="1"/>
      <w:numFmt w:val="lowerLetter"/>
      <w:lvlText w:val="%2)"/>
      <w:lvlJc w:val="left"/>
      <w:pPr>
        <w:tabs>
          <w:tab w:val="num" w:pos="197"/>
        </w:tabs>
        <w:ind w:left="197" w:hanging="420"/>
      </w:pPr>
    </w:lvl>
    <w:lvl w:ilvl="2" w:tplc="0409001B" w:tentative="1">
      <w:start w:val="1"/>
      <w:numFmt w:val="lowerRoman"/>
      <w:lvlText w:val="%3."/>
      <w:lvlJc w:val="right"/>
      <w:pPr>
        <w:tabs>
          <w:tab w:val="num" w:pos="617"/>
        </w:tabs>
        <w:ind w:left="617" w:hanging="420"/>
      </w:pPr>
    </w:lvl>
    <w:lvl w:ilvl="3" w:tplc="0409000F" w:tentative="1">
      <w:start w:val="1"/>
      <w:numFmt w:val="decimal"/>
      <w:lvlText w:val="%4."/>
      <w:lvlJc w:val="left"/>
      <w:pPr>
        <w:tabs>
          <w:tab w:val="num" w:pos="1037"/>
        </w:tabs>
        <w:ind w:left="1037" w:hanging="420"/>
      </w:pPr>
    </w:lvl>
    <w:lvl w:ilvl="4" w:tplc="04090019" w:tentative="1">
      <w:start w:val="1"/>
      <w:numFmt w:val="lowerLetter"/>
      <w:lvlText w:val="%5)"/>
      <w:lvlJc w:val="left"/>
      <w:pPr>
        <w:tabs>
          <w:tab w:val="num" w:pos="1457"/>
        </w:tabs>
        <w:ind w:left="1457" w:hanging="420"/>
      </w:pPr>
    </w:lvl>
    <w:lvl w:ilvl="5" w:tplc="0409001B" w:tentative="1">
      <w:start w:val="1"/>
      <w:numFmt w:val="lowerRoman"/>
      <w:lvlText w:val="%6."/>
      <w:lvlJc w:val="right"/>
      <w:pPr>
        <w:tabs>
          <w:tab w:val="num" w:pos="1877"/>
        </w:tabs>
        <w:ind w:left="1877" w:hanging="420"/>
      </w:pPr>
    </w:lvl>
    <w:lvl w:ilvl="6" w:tplc="0409000F" w:tentative="1">
      <w:start w:val="1"/>
      <w:numFmt w:val="decimal"/>
      <w:lvlText w:val="%7."/>
      <w:lvlJc w:val="left"/>
      <w:pPr>
        <w:tabs>
          <w:tab w:val="num" w:pos="2297"/>
        </w:tabs>
        <w:ind w:left="2297" w:hanging="420"/>
      </w:pPr>
    </w:lvl>
    <w:lvl w:ilvl="7" w:tplc="04090019" w:tentative="1">
      <w:start w:val="1"/>
      <w:numFmt w:val="lowerLetter"/>
      <w:lvlText w:val="%8)"/>
      <w:lvlJc w:val="left"/>
      <w:pPr>
        <w:tabs>
          <w:tab w:val="num" w:pos="2717"/>
        </w:tabs>
        <w:ind w:left="2717" w:hanging="420"/>
      </w:pPr>
    </w:lvl>
    <w:lvl w:ilvl="8" w:tplc="0409001B" w:tentative="1">
      <w:start w:val="1"/>
      <w:numFmt w:val="lowerRoman"/>
      <w:lvlText w:val="%9."/>
      <w:lvlJc w:val="right"/>
      <w:pPr>
        <w:tabs>
          <w:tab w:val="num" w:pos="3137"/>
        </w:tabs>
        <w:ind w:left="3137" w:hanging="420"/>
      </w:pPr>
    </w:lvl>
  </w:abstractNum>
  <w:abstractNum w:abstractNumId="89" w15:restartNumberingAfterBreak="0">
    <w:nsid w:val="7DF03319"/>
    <w:multiLevelType w:val="hybridMultilevel"/>
    <w:tmpl w:val="E9365C7C"/>
    <w:lvl w:ilvl="0" w:tplc="12C8DB60">
      <w:start w:val="1"/>
      <w:numFmt w:val="chineseCountingThousand"/>
      <w:lvlText w:val="%1、"/>
      <w:lvlJc w:val="left"/>
      <w:pPr>
        <w:tabs>
          <w:tab w:val="num" w:pos="1140"/>
        </w:tabs>
        <w:ind w:left="1140" w:hanging="720"/>
      </w:pPr>
      <w:rPr>
        <w:rFonts w:hint="default"/>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0" w15:restartNumberingAfterBreak="0">
    <w:nsid w:val="7F5C31ED"/>
    <w:multiLevelType w:val="hybridMultilevel"/>
    <w:tmpl w:val="D19E2AFE"/>
    <w:lvl w:ilvl="0" w:tplc="10BA351C">
      <w:start w:val="1"/>
      <w:numFmt w:val="upperLetter"/>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69"/>
  </w:num>
  <w:num w:numId="3">
    <w:abstractNumId w:val="80"/>
  </w:num>
  <w:num w:numId="4">
    <w:abstractNumId w:val="81"/>
  </w:num>
  <w:num w:numId="5">
    <w:abstractNumId w:val="48"/>
  </w:num>
  <w:num w:numId="6">
    <w:abstractNumId w:val="22"/>
  </w:num>
  <w:num w:numId="7">
    <w:abstractNumId w:val="55"/>
  </w:num>
  <w:num w:numId="8">
    <w:abstractNumId w:val="51"/>
  </w:num>
  <w:num w:numId="9">
    <w:abstractNumId w:val="70"/>
  </w:num>
  <w:num w:numId="10">
    <w:abstractNumId w:val="14"/>
  </w:num>
  <w:num w:numId="11">
    <w:abstractNumId w:val="24"/>
  </w:num>
  <w:num w:numId="12">
    <w:abstractNumId w:val="25"/>
  </w:num>
  <w:num w:numId="13">
    <w:abstractNumId w:val="12"/>
  </w:num>
  <w:num w:numId="14">
    <w:abstractNumId w:val="9"/>
  </w:num>
  <w:num w:numId="15">
    <w:abstractNumId w:val="41"/>
  </w:num>
  <w:num w:numId="16">
    <w:abstractNumId w:val="57"/>
  </w:num>
  <w:num w:numId="17">
    <w:abstractNumId w:val="37"/>
  </w:num>
  <w:num w:numId="18">
    <w:abstractNumId w:val="79"/>
  </w:num>
  <w:num w:numId="19">
    <w:abstractNumId w:val="63"/>
  </w:num>
  <w:num w:numId="20">
    <w:abstractNumId w:val="59"/>
  </w:num>
  <w:num w:numId="21">
    <w:abstractNumId w:val="87"/>
  </w:num>
  <w:num w:numId="22">
    <w:abstractNumId w:val="23"/>
  </w:num>
  <w:num w:numId="23">
    <w:abstractNumId w:val="0"/>
  </w:num>
  <w:num w:numId="24">
    <w:abstractNumId w:val="89"/>
  </w:num>
  <w:num w:numId="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58"/>
  </w:num>
  <w:num w:numId="28">
    <w:abstractNumId w:val="1"/>
  </w:num>
  <w:num w:numId="29">
    <w:abstractNumId w:val="53"/>
  </w:num>
  <w:num w:numId="30">
    <w:abstractNumId w:val="88"/>
  </w:num>
  <w:num w:numId="31">
    <w:abstractNumId w:val="68"/>
  </w:num>
  <w:num w:numId="32">
    <w:abstractNumId w:val="30"/>
  </w:num>
  <w:num w:numId="33">
    <w:abstractNumId w:val="76"/>
  </w:num>
  <w:num w:numId="34">
    <w:abstractNumId w:val="62"/>
  </w:num>
  <w:num w:numId="35">
    <w:abstractNumId w:val="31"/>
  </w:num>
  <w:num w:numId="36">
    <w:abstractNumId w:val="50"/>
  </w:num>
  <w:num w:numId="37">
    <w:abstractNumId w:val="60"/>
  </w:num>
  <w:num w:numId="38">
    <w:abstractNumId w:val="86"/>
  </w:num>
  <w:num w:numId="39">
    <w:abstractNumId w:val="66"/>
  </w:num>
  <w:num w:numId="40">
    <w:abstractNumId w:val="74"/>
  </w:num>
  <w:num w:numId="41">
    <w:abstractNumId w:val="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 w:numId="45">
    <w:abstractNumId w:val="21"/>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num>
  <w:num w:numId="49">
    <w:abstractNumId w:val="64"/>
  </w:num>
  <w:num w:numId="50">
    <w:abstractNumId w:val="45"/>
  </w:num>
  <w:num w:numId="51">
    <w:abstractNumId w:val="64"/>
  </w:num>
  <w:num w:numId="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54"/>
  </w:num>
  <w:num w:numId="57">
    <w:abstractNumId w:val="32"/>
  </w:num>
  <w:num w:numId="58">
    <w:abstractNumId w:val="3"/>
  </w:num>
  <w:num w:numId="59">
    <w:abstractNumId w:val="6"/>
  </w:num>
  <w:num w:numId="60">
    <w:abstractNumId w:val="26"/>
  </w:num>
  <w:num w:numId="61">
    <w:abstractNumId w:val="20"/>
  </w:num>
  <w:num w:numId="62">
    <w:abstractNumId w:val="42"/>
  </w:num>
  <w:num w:numId="63">
    <w:abstractNumId w:val="10"/>
  </w:num>
  <w:num w:numId="64">
    <w:abstractNumId w:val="65"/>
  </w:num>
  <w:num w:numId="65">
    <w:abstractNumId w:val="61"/>
  </w:num>
  <w:num w:numId="66">
    <w:abstractNumId w:val="11"/>
  </w:num>
  <w:num w:numId="67">
    <w:abstractNumId w:val="28"/>
  </w:num>
  <w:num w:numId="68">
    <w:abstractNumId w:val="47"/>
  </w:num>
  <w:num w:numId="69">
    <w:abstractNumId w:val="67"/>
  </w:num>
  <w:num w:numId="70">
    <w:abstractNumId w:val="52"/>
  </w:num>
  <w:num w:numId="71">
    <w:abstractNumId w:val="19"/>
  </w:num>
  <w:num w:numId="72">
    <w:abstractNumId w:val="39"/>
  </w:num>
  <w:num w:numId="73">
    <w:abstractNumId w:val="35"/>
  </w:num>
  <w:num w:numId="74">
    <w:abstractNumId w:val="90"/>
  </w:num>
  <w:num w:numId="75">
    <w:abstractNumId w:val="77"/>
  </w:num>
  <w:num w:numId="76">
    <w:abstractNumId w:val="38"/>
  </w:num>
  <w:num w:numId="77">
    <w:abstractNumId w:val="43"/>
  </w:num>
  <w:num w:numId="78">
    <w:abstractNumId w:val="5"/>
  </w:num>
  <w:num w:numId="79">
    <w:abstractNumId w:val="4"/>
  </w:num>
  <w:num w:numId="80">
    <w:abstractNumId w:val="83"/>
  </w:num>
  <w:num w:numId="81">
    <w:abstractNumId w:val="34"/>
  </w:num>
  <w:num w:numId="82">
    <w:abstractNumId w:val="44"/>
  </w:num>
  <w:num w:numId="83">
    <w:abstractNumId w:val="71"/>
  </w:num>
  <w:num w:numId="84">
    <w:abstractNumId w:val="73"/>
  </w:num>
  <w:num w:numId="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num>
  <w:num w:numId="87">
    <w:abstractNumId w:val="7"/>
  </w:num>
  <w:num w:numId="88">
    <w:abstractNumId w:val="56"/>
  </w:num>
  <w:num w:numId="89">
    <w:abstractNumId w:val="72"/>
  </w:num>
  <w:num w:numId="90">
    <w:abstractNumId w:val="75"/>
  </w:num>
  <w:num w:numId="91">
    <w:abstractNumId w:val="17"/>
  </w:num>
  <w:num w:numId="92">
    <w:abstractNumId w:val="29"/>
  </w:num>
  <w:num w:numId="93">
    <w:abstractNumId w:val="16"/>
  </w:num>
  <w:num w:numId="94">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1A8F"/>
    <w:rsid w:val="00000DCB"/>
    <w:rsid w:val="00001E15"/>
    <w:rsid w:val="00001E34"/>
    <w:rsid w:val="000022DB"/>
    <w:rsid w:val="000042A0"/>
    <w:rsid w:val="00004CB9"/>
    <w:rsid w:val="000051D5"/>
    <w:rsid w:val="000055B6"/>
    <w:rsid w:val="00007729"/>
    <w:rsid w:val="00010F4B"/>
    <w:rsid w:val="00010FE8"/>
    <w:rsid w:val="000110E8"/>
    <w:rsid w:val="00011968"/>
    <w:rsid w:val="00014443"/>
    <w:rsid w:val="00015BC6"/>
    <w:rsid w:val="00015BEC"/>
    <w:rsid w:val="00022438"/>
    <w:rsid w:val="00022CF2"/>
    <w:rsid w:val="000270DD"/>
    <w:rsid w:val="00027A0C"/>
    <w:rsid w:val="00030A48"/>
    <w:rsid w:val="00031D02"/>
    <w:rsid w:val="00033207"/>
    <w:rsid w:val="000332DF"/>
    <w:rsid w:val="000347BF"/>
    <w:rsid w:val="00035C24"/>
    <w:rsid w:val="0004070B"/>
    <w:rsid w:val="00040D6B"/>
    <w:rsid w:val="000415F9"/>
    <w:rsid w:val="00041761"/>
    <w:rsid w:val="00042011"/>
    <w:rsid w:val="000423F3"/>
    <w:rsid w:val="000429FF"/>
    <w:rsid w:val="00042FDC"/>
    <w:rsid w:val="000441CF"/>
    <w:rsid w:val="00045CBE"/>
    <w:rsid w:val="000476E5"/>
    <w:rsid w:val="00050A8C"/>
    <w:rsid w:val="00050E60"/>
    <w:rsid w:val="000513E2"/>
    <w:rsid w:val="00052B90"/>
    <w:rsid w:val="00053E44"/>
    <w:rsid w:val="00055239"/>
    <w:rsid w:val="00055DC5"/>
    <w:rsid w:val="00056E49"/>
    <w:rsid w:val="00056EBE"/>
    <w:rsid w:val="00060947"/>
    <w:rsid w:val="000624A9"/>
    <w:rsid w:val="000633A3"/>
    <w:rsid w:val="000635A0"/>
    <w:rsid w:val="000665EB"/>
    <w:rsid w:val="00066EB3"/>
    <w:rsid w:val="00070F6A"/>
    <w:rsid w:val="0007151D"/>
    <w:rsid w:val="000735A5"/>
    <w:rsid w:val="00073C69"/>
    <w:rsid w:val="0007456D"/>
    <w:rsid w:val="00074F60"/>
    <w:rsid w:val="00075621"/>
    <w:rsid w:val="00076907"/>
    <w:rsid w:val="000769FC"/>
    <w:rsid w:val="00076A0B"/>
    <w:rsid w:val="00082479"/>
    <w:rsid w:val="00082864"/>
    <w:rsid w:val="00082C42"/>
    <w:rsid w:val="00083C6A"/>
    <w:rsid w:val="000844DD"/>
    <w:rsid w:val="00084F69"/>
    <w:rsid w:val="000850BF"/>
    <w:rsid w:val="00087A19"/>
    <w:rsid w:val="00087B88"/>
    <w:rsid w:val="00092365"/>
    <w:rsid w:val="000949D6"/>
    <w:rsid w:val="00095857"/>
    <w:rsid w:val="000964B0"/>
    <w:rsid w:val="000A0DA0"/>
    <w:rsid w:val="000A0EC0"/>
    <w:rsid w:val="000A2357"/>
    <w:rsid w:val="000A2714"/>
    <w:rsid w:val="000A35EA"/>
    <w:rsid w:val="000A3B29"/>
    <w:rsid w:val="000A4233"/>
    <w:rsid w:val="000A4885"/>
    <w:rsid w:val="000A52B8"/>
    <w:rsid w:val="000A5890"/>
    <w:rsid w:val="000A7D89"/>
    <w:rsid w:val="000B0139"/>
    <w:rsid w:val="000B1575"/>
    <w:rsid w:val="000B1CA0"/>
    <w:rsid w:val="000B2832"/>
    <w:rsid w:val="000B2873"/>
    <w:rsid w:val="000B2FFD"/>
    <w:rsid w:val="000B3B9A"/>
    <w:rsid w:val="000B3CCB"/>
    <w:rsid w:val="000B761B"/>
    <w:rsid w:val="000C1A10"/>
    <w:rsid w:val="000C2077"/>
    <w:rsid w:val="000C3A8A"/>
    <w:rsid w:val="000C4718"/>
    <w:rsid w:val="000C55C8"/>
    <w:rsid w:val="000C5A9D"/>
    <w:rsid w:val="000C5E26"/>
    <w:rsid w:val="000C65BF"/>
    <w:rsid w:val="000C6962"/>
    <w:rsid w:val="000C71E2"/>
    <w:rsid w:val="000C7A12"/>
    <w:rsid w:val="000C7CD1"/>
    <w:rsid w:val="000D0FD5"/>
    <w:rsid w:val="000D1356"/>
    <w:rsid w:val="000D3836"/>
    <w:rsid w:val="000D4C97"/>
    <w:rsid w:val="000D5124"/>
    <w:rsid w:val="000D5843"/>
    <w:rsid w:val="000D6077"/>
    <w:rsid w:val="000D6088"/>
    <w:rsid w:val="000D6E0C"/>
    <w:rsid w:val="000D6E4A"/>
    <w:rsid w:val="000E11E7"/>
    <w:rsid w:val="000E205E"/>
    <w:rsid w:val="000E2AED"/>
    <w:rsid w:val="000E3083"/>
    <w:rsid w:val="000E45B1"/>
    <w:rsid w:val="000E5478"/>
    <w:rsid w:val="000E5A70"/>
    <w:rsid w:val="000E5F6B"/>
    <w:rsid w:val="000E631B"/>
    <w:rsid w:val="000F07E0"/>
    <w:rsid w:val="000F110E"/>
    <w:rsid w:val="000F15C9"/>
    <w:rsid w:val="000F1E00"/>
    <w:rsid w:val="000F1F19"/>
    <w:rsid w:val="000F2B81"/>
    <w:rsid w:val="000F2C9A"/>
    <w:rsid w:val="000F6441"/>
    <w:rsid w:val="000F6FD0"/>
    <w:rsid w:val="00100276"/>
    <w:rsid w:val="00100CB6"/>
    <w:rsid w:val="00101DE7"/>
    <w:rsid w:val="00102893"/>
    <w:rsid w:val="001029C6"/>
    <w:rsid w:val="00102B3B"/>
    <w:rsid w:val="001037BB"/>
    <w:rsid w:val="00104727"/>
    <w:rsid w:val="00106BAE"/>
    <w:rsid w:val="001074FD"/>
    <w:rsid w:val="001107ED"/>
    <w:rsid w:val="00110A55"/>
    <w:rsid w:val="0011213E"/>
    <w:rsid w:val="00112376"/>
    <w:rsid w:val="00112DB1"/>
    <w:rsid w:val="00114078"/>
    <w:rsid w:val="00114134"/>
    <w:rsid w:val="00114D89"/>
    <w:rsid w:val="0011551D"/>
    <w:rsid w:val="0011576F"/>
    <w:rsid w:val="00117144"/>
    <w:rsid w:val="001175AA"/>
    <w:rsid w:val="00117DB7"/>
    <w:rsid w:val="0012219E"/>
    <w:rsid w:val="001223DA"/>
    <w:rsid w:val="0012288F"/>
    <w:rsid w:val="00122A64"/>
    <w:rsid w:val="00123A5D"/>
    <w:rsid w:val="00123C1B"/>
    <w:rsid w:val="00124817"/>
    <w:rsid w:val="00124E4C"/>
    <w:rsid w:val="00124EF5"/>
    <w:rsid w:val="00125009"/>
    <w:rsid w:val="00126382"/>
    <w:rsid w:val="001271BB"/>
    <w:rsid w:val="00127248"/>
    <w:rsid w:val="00127541"/>
    <w:rsid w:val="001279B5"/>
    <w:rsid w:val="00127DBB"/>
    <w:rsid w:val="001305D7"/>
    <w:rsid w:val="00132358"/>
    <w:rsid w:val="00133050"/>
    <w:rsid w:val="00133BB5"/>
    <w:rsid w:val="00133DDB"/>
    <w:rsid w:val="00134354"/>
    <w:rsid w:val="00135317"/>
    <w:rsid w:val="00135950"/>
    <w:rsid w:val="00136957"/>
    <w:rsid w:val="00137C27"/>
    <w:rsid w:val="00140F0C"/>
    <w:rsid w:val="00141B21"/>
    <w:rsid w:val="00142B90"/>
    <w:rsid w:val="00142D24"/>
    <w:rsid w:val="0014420B"/>
    <w:rsid w:val="001442FD"/>
    <w:rsid w:val="00144DC8"/>
    <w:rsid w:val="001466DF"/>
    <w:rsid w:val="00147D38"/>
    <w:rsid w:val="00147F41"/>
    <w:rsid w:val="00150CC8"/>
    <w:rsid w:val="001517FC"/>
    <w:rsid w:val="0015186D"/>
    <w:rsid w:val="001541BA"/>
    <w:rsid w:val="00154534"/>
    <w:rsid w:val="00154556"/>
    <w:rsid w:val="00155BE8"/>
    <w:rsid w:val="00156526"/>
    <w:rsid w:val="00156AC4"/>
    <w:rsid w:val="0016066F"/>
    <w:rsid w:val="0016085B"/>
    <w:rsid w:val="00161615"/>
    <w:rsid w:val="00162D16"/>
    <w:rsid w:val="00163012"/>
    <w:rsid w:val="00163767"/>
    <w:rsid w:val="00163A8A"/>
    <w:rsid w:val="0016507D"/>
    <w:rsid w:val="00165121"/>
    <w:rsid w:val="0016530B"/>
    <w:rsid w:val="0016546D"/>
    <w:rsid w:val="001657E3"/>
    <w:rsid w:val="00167070"/>
    <w:rsid w:val="0016717C"/>
    <w:rsid w:val="001674D5"/>
    <w:rsid w:val="001703AF"/>
    <w:rsid w:val="001705E7"/>
    <w:rsid w:val="001707CF"/>
    <w:rsid w:val="001720F6"/>
    <w:rsid w:val="00172966"/>
    <w:rsid w:val="00172E3C"/>
    <w:rsid w:val="0017421C"/>
    <w:rsid w:val="00174628"/>
    <w:rsid w:val="001749DC"/>
    <w:rsid w:val="001754B2"/>
    <w:rsid w:val="00175CC1"/>
    <w:rsid w:val="00175D5A"/>
    <w:rsid w:val="00176D12"/>
    <w:rsid w:val="00180A79"/>
    <w:rsid w:val="001827B6"/>
    <w:rsid w:val="00182AC7"/>
    <w:rsid w:val="00182D83"/>
    <w:rsid w:val="00184AA0"/>
    <w:rsid w:val="00184C44"/>
    <w:rsid w:val="001854D5"/>
    <w:rsid w:val="00187844"/>
    <w:rsid w:val="00192544"/>
    <w:rsid w:val="0019292F"/>
    <w:rsid w:val="001962A7"/>
    <w:rsid w:val="0019659B"/>
    <w:rsid w:val="00196D15"/>
    <w:rsid w:val="00196D5A"/>
    <w:rsid w:val="0019727C"/>
    <w:rsid w:val="0019747C"/>
    <w:rsid w:val="001A0334"/>
    <w:rsid w:val="001A118E"/>
    <w:rsid w:val="001A2171"/>
    <w:rsid w:val="001A329A"/>
    <w:rsid w:val="001A448F"/>
    <w:rsid w:val="001A6F41"/>
    <w:rsid w:val="001A71C0"/>
    <w:rsid w:val="001B0854"/>
    <w:rsid w:val="001B1337"/>
    <w:rsid w:val="001B1BE0"/>
    <w:rsid w:val="001B2837"/>
    <w:rsid w:val="001B2AB9"/>
    <w:rsid w:val="001B365E"/>
    <w:rsid w:val="001B3D1F"/>
    <w:rsid w:val="001B4D13"/>
    <w:rsid w:val="001B53FB"/>
    <w:rsid w:val="001B5880"/>
    <w:rsid w:val="001B5B11"/>
    <w:rsid w:val="001B6447"/>
    <w:rsid w:val="001B6743"/>
    <w:rsid w:val="001B6C4C"/>
    <w:rsid w:val="001B6E9A"/>
    <w:rsid w:val="001B7150"/>
    <w:rsid w:val="001C01FD"/>
    <w:rsid w:val="001C1197"/>
    <w:rsid w:val="001C277D"/>
    <w:rsid w:val="001C289A"/>
    <w:rsid w:val="001C531C"/>
    <w:rsid w:val="001C5DC8"/>
    <w:rsid w:val="001C61F8"/>
    <w:rsid w:val="001C6DE0"/>
    <w:rsid w:val="001C6FA2"/>
    <w:rsid w:val="001C7366"/>
    <w:rsid w:val="001C78CC"/>
    <w:rsid w:val="001D0401"/>
    <w:rsid w:val="001D04EC"/>
    <w:rsid w:val="001D14AF"/>
    <w:rsid w:val="001D16AE"/>
    <w:rsid w:val="001D3377"/>
    <w:rsid w:val="001D495E"/>
    <w:rsid w:val="001D596D"/>
    <w:rsid w:val="001D6126"/>
    <w:rsid w:val="001D6546"/>
    <w:rsid w:val="001D71EA"/>
    <w:rsid w:val="001E16F5"/>
    <w:rsid w:val="001E1792"/>
    <w:rsid w:val="001E3471"/>
    <w:rsid w:val="001E36A9"/>
    <w:rsid w:val="001E3952"/>
    <w:rsid w:val="001E4C7B"/>
    <w:rsid w:val="001E50B3"/>
    <w:rsid w:val="001E6F1F"/>
    <w:rsid w:val="001E75CF"/>
    <w:rsid w:val="001E7C29"/>
    <w:rsid w:val="001F0C75"/>
    <w:rsid w:val="001F1B2F"/>
    <w:rsid w:val="001F1DCF"/>
    <w:rsid w:val="001F2F83"/>
    <w:rsid w:val="001F3544"/>
    <w:rsid w:val="001F581A"/>
    <w:rsid w:val="001F5CD7"/>
    <w:rsid w:val="001F660D"/>
    <w:rsid w:val="001F69CB"/>
    <w:rsid w:val="00203483"/>
    <w:rsid w:val="0020552D"/>
    <w:rsid w:val="0020799E"/>
    <w:rsid w:val="00211724"/>
    <w:rsid w:val="00215040"/>
    <w:rsid w:val="00215790"/>
    <w:rsid w:val="00216D16"/>
    <w:rsid w:val="00217C18"/>
    <w:rsid w:val="00217F6F"/>
    <w:rsid w:val="002232FF"/>
    <w:rsid w:val="00223430"/>
    <w:rsid w:val="002234B2"/>
    <w:rsid w:val="00223CF3"/>
    <w:rsid w:val="00224621"/>
    <w:rsid w:val="00225F40"/>
    <w:rsid w:val="002264A5"/>
    <w:rsid w:val="00226590"/>
    <w:rsid w:val="00230E78"/>
    <w:rsid w:val="0023109B"/>
    <w:rsid w:val="0023144C"/>
    <w:rsid w:val="00231AFF"/>
    <w:rsid w:val="00232942"/>
    <w:rsid w:val="002331C4"/>
    <w:rsid w:val="002362B6"/>
    <w:rsid w:val="00243AFA"/>
    <w:rsid w:val="0024606B"/>
    <w:rsid w:val="002465F1"/>
    <w:rsid w:val="00247B4F"/>
    <w:rsid w:val="00247BE0"/>
    <w:rsid w:val="00250B1E"/>
    <w:rsid w:val="002511C5"/>
    <w:rsid w:val="00252FED"/>
    <w:rsid w:val="0025311C"/>
    <w:rsid w:val="00253B5C"/>
    <w:rsid w:val="002554EC"/>
    <w:rsid w:val="00256D1B"/>
    <w:rsid w:val="002572C4"/>
    <w:rsid w:val="00260641"/>
    <w:rsid w:val="002609AA"/>
    <w:rsid w:val="00262010"/>
    <w:rsid w:val="002628B4"/>
    <w:rsid w:val="002634CE"/>
    <w:rsid w:val="002636E9"/>
    <w:rsid w:val="0026465F"/>
    <w:rsid w:val="002670C8"/>
    <w:rsid w:val="002705FB"/>
    <w:rsid w:val="00271439"/>
    <w:rsid w:val="002716A8"/>
    <w:rsid w:val="002742CC"/>
    <w:rsid w:val="002743F7"/>
    <w:rsid w:val="0027469F"/>
    <w:rsid w:val="00274877"/>
    <w:rsid w:val="002758F6"/>
    <w:rsid w:val="00275FBD"/>
    <w:rsid w:val="00277639"/>
    <w:rsid w:val="002778AD"/>
    <w:rsid w:val="00280583"/>
    <w:rsid w:val="00280B42"/>
    <w:rsid w:val="00281E73"/>
    <w:rsid w:val="00282042"/>
    <w:rsid w:val="00282B1D"/>
    <w:rsid w:val="002843F6"/>
    <w:rsid w:val="002845A7"/>
    <w:rsid w:val="002850CA"/>
    <w:rsid w:val="00285275"/>
    <w:rsid w:val="00286242"/>
    <w:rsid w:val="0028729B"/>
    <w:rsid w:val="00291398"/>
    <w:rsid w:val="002916E8"/>
    <w:rsid w:val="00291ABB"/>
    <w:rsid w:val="00292FFB"/>
    <w:rsid w:val="0029380B"/>
    <w:rsid w:val="0029412A"/>
    <w:rsid w:val="002948E3"/>
    <w:rsid w:val="00295430"/>
    <w:rsid w:val="0029614C"/>
    <w:rsid w:val="00296722"/>
    <w:rsid w:val="00297EFE"/>
    <w:rsid w:val="002A0444"/>
    <w:rsid w:val="002A0A29"/>
    <w:rsid w:val="002A386D"/>
    <w:rsid w:val="002A3B1B"/>
    <w:rsid w:val="002A40AE"/>
    <w:rsid w:val="002A504B"/>
    <w:rsid w:val="002A547E"/>
    <w:rsid w:val="002A6347"/>
    <w:rsid w:val="002A7EB0"/>
    <w:rsid w:val="002B0C93"/>
    <w:rsid w:val="002B105F"/>
    <w:rsid w:val="002B2B4C"/>
    <w:rsid w:val="002B348F"/>
    <w:rsid w:val="002B41BD"/>
    <w:rsid w:val="002B6994"/>
    <w:rsid w:val="002C2F26"/>
    <w:rsid w:val="002C395A"/>
    <w:rsid w:val="002C41D8"/>
    <w:rsid w:val="002C4EB6"/>
    <w:rsid w:val="002C63E2"/>
    <w:rsid w:val="002C6B65"/>
    <w:rsid w:val="002D0939"/>
    <w:rsid w:val="002D0A71"/>
    <w:rsid w:val="002D3DDA"/>
    <w:rsid w:val="002D4057"/>
    <w:rsid w:val="002D6D3D"/>
    <w:rsid w:val="002D6DA6"/>
    <w:rsid w:val="002D7A44"/>
    <w:rsid w:val="002E05F2"/>
    <w:rsid w:val="002E1423"/>
    <w:rsid w:val="002E3038"/>
    <w:rsid w:val="002E367F"/>
    <w:rsid w:val="002E518C"/>
    <w:rsid w:val="002E5396"/>
    <w:rsid w:val="002E6CCE"/>
    <w:rsid w:val="002E73ED"/>
    <w:rsid w:val="002F00C3"/>
    <w:rsid w:val="002F595F"/>
    <w:rsid w:val="002F59A6"/>
    <w:rsid w:val="002F6A59"/>
    <w:rsid w:val="00300087"/>
    <w:rsid w:val="0030056B"/>
    <w:rsid w:val="003012AE"/>
    <w:rsid w:val="0030168F"/>
    <w:rsid w:val="00302DDB"/>
    <w:rsid w:val="00302E8D"/>
    <w:rsid w:val="00303371"/>
    <w:rsid w:val="0030350E"/>
    <w:rsid w:val="00303715"/>
    <w:rsid w:val="00303900"/>
    <w:rsid w:val="003045E2"/>
    <w:rsid w:val="00305955"/>
    <w:rsid w:val="00307EB1"/>
    <w:rsid w:val="00310EB6"/>
    <w:rsid w:val="003117A7"/>
    <w:rsid w:val="00311EA4"/>
    <w:rsid w:val="00313BE0"/>
    <w:rsid w:val="00316404"/>
    <w:rsid w:val="00321F49"/>
    <w:rsid w:val="003247F4"/>
    <w:rsid w:val="0032521E"/>
    <w:rsid w:val="00325EF5"/>
    <w:rsid w:val="00327C48"/>
    <w:rsid w:val="00330156"/>
    <w:rsid w:val="00330AB9"/>
    <w:rsid w:val="00332836"/>
    <w:rsid w:val="003330DC"/>
    <w:rsid w:val="00340826"/>
    <w:rsid w:val="00341234"/>
    <w:rsid w:val="00341CF3"/>
    <w:rsid w:val="00343DC1"/>
    <w:rsid w:val="0034430A"/>
    <w:rsid w:val="00345B13"/>
    <w:rsid w:val="00347BEE"/>
    <w:rsid w:val="0035078F"/>
    <w:rsid w:val="003510DD"/>
    <w:rsid w:val="00351377"/>
    <w:rsid w:val="0035158E"/>
    <w:rsid w:val="00351B86"/>
    <w:rsid w:val="00352D25"/>
    <w:rsid w:val="0035376D"/>
    <w:rsid w:val="00354370"/>
    <w:rsid w:val="003543A9"/>
    <w:rsid w:val="00360815"/>
    <w:rsid w:val="0036157F"/>
    <w:rsid w:val="00361B57"/>
    <w:rsid w:val="00361D0F"/>
    <w:rsid w:val="00362F97"/>
    <w:rsid w:val="003672B3"/>
    <w:rsid w:val="00367525"/>
    <w:rsid w:val="00367FC8"/>
    <w:rsid w:val="00370F15"/>
    <w:rsid w:val="00371105"/>
    <w:rsid w:val="00372A35"/>
    <w:rsid w:val="00372BE5"/>
    <w:rsid w:val="00373F1A"/>
    <w:rsid w:val="0037466D"/>
    <w:rsid w:val="00375E52"/>
    <w:rsid w:val="00375F69"/>
    <w:rsid w:val="00376340"/>
    <w:rsid w:val="00376B80"/>
    <w:rsid w:val="003803BE"/>
    <w:rsid w:val="0038273C"/>
    <w:rsid w:val="00383278"/>
    <w:rsid w:val="003841EA"/>
    <w:rsid w:val="0038582B"/>
    <w:rsid w:val="00386DF3"/>
    <w:rsid w:val="003905CE"/>
    <w:rsid w:val="00390986"/>
    <w:rsid w:val="00390D62"/>
    <w:rsid w:val="00390EC5"/>
    <w:rsid w:val="0039181F"/>
    <w:rsid w:val="00391FFB"/>
    <w:rsid w:val="0039445C"/>
    <w:rsid w:val="003946BD"/>
    <w:rsid w:val="00394A08"/>
    <w:rsid w:val="00394FBC"/>
    <w:rsid w:val="00395EA3"/>
    <w:rsid w:val="003966EA"/>
    <w:rsid w:val="00396F5C"/>
    <w:rsid w:val="00397B0F"/>
    <w:rsid w:val="00397BD2"/>
    <w:rsid w:val="003A0F14"/>
    <w:rsid w:val="003A13C6"/>
    <w:rsid w:val="003A2171"/>
    <w:rsid w:val="003A24D1"/>
    <w:rsid w:val="003A2FCF"/>
    <w:rsid w:val="003A3D5B"/>
    <w:rsid w:val="003A54EA"/>
    <w:rsid w:val="003A5714"/>
    <w:rsid w:val="003A663A"/>
    <w:rsid w:val="003B24AE"/>
    <w:rsid w:val="003B4B67"/>
    <w:rsid w:val="003B51C5"/>
    <w:rsid w:val="003B5B2E"/>
    <w:rsid w:val="003B70E8"/>
    <w:rsid w:val="003B767D"/>
    <w:rsid w:val="003B79F7"/>
    <w:rsid w:val="003C14C5"/>
    <w:rsid w:val="003C2B9D"/>
    <w:rsid w:val="003C519D"/>
    <w:rsid w:val="003C6EF2"/>
    <w:rsid w:val="003D1651"/>
    <w:rsid w:val="003D31D3"/>
    <w:rsid w:val="003D5041"/>
    <w:rsid w:val="003D55AE"/>
    <w:rsid w:val="003D6B71"/>
    <w:rsid w:val="003D7E6A"/>
    <w:rsid w:val="003E0224"/>
    <w:rsid w:val="003E0A6E"/>
    <w:rsid w:val="003E1C9C"/>
    <w:rsid w:val="003E1DB8"/>
    <w:rsid w:val="003E39EA"/>
    <w:rsid w:val="003E5027"/>
    <w:rsid w:val="003E5AE2"/>
    <w:rsid w:val="003E66A8"/>
    <w:rsid w:val="003F11EE"/>
    <w:rsid w:val="003F196C"/>
    <w:rsid w:val="003F2361"/>
    <w:rsid w:val="003F562F"/>
    <w:rsid w:val="003F5DAB"/>
    <w:rsid w:val="003F60AE"/>
    <w:rsid w:val="003F6461"/>
    <w:rsid w:val="003F6979"/>
    <w:rsid w:val="003F6B23"/>
    <w:rsid w:val="003F76E7"/>
    <w:rsid w:val="00401324"/>
    <w:rsid w:val="004043DE"/>
    <w:rsid w:val="00406B14"/>
    <w:rsid w:val="00406DBF"/>
    <w:rsid w:val="00407282"/>
    <w:rsid w:val="004100AA"/>
    <w:rsid w:val="00411054"/>
    <w:rsid w:val="004114A0"/>
    <w:rsid w:val="0041348F"/>
    <w:rsid w:val="00413D23"/>
    <w:rsid w:val="00414238"/>
    <w:rsid w:val="004147EB"/>
    <w:rsid w:val="00414CBF"/>
    <w:rsid w:val="00415871"/>
    <w:rsid w:val="00416014"/>
    <w:rsid w:val="00417074"/>
    <w:rsid w:val="004200B2"/>
    <w:rsid w:val="0042128C"/>
    <w:rsid w:val="00422422"/>
    <w:rsid w:val="004234EB"/>
    <w:rsid w:val="0042447E"/>
    <w:rsid w:val="00424767"/>
    <w:rsid w:val="0042497A"/>
    <w:rsid w:val="00424E63"/>
    <w:rsid w:val="00430B3A"/>
    <w:rsid w:val="00431120"/>
    <w:rsid w:val="00431525"/>
    <w:rsid w:val="00431CBE"/>
    <w:rsid w:val="00433683"/>
    <w:rsid w:val="0043530A"/>
    <w:rsid w:val="00437239"/>
    <w:rsid w:val="004373DD"/>
    <w:rsid w:val="00437626"/>
    <w:rsid w:val="00440779"/>
    <w:rsid w:val="0044387D"/>
    <w:rsid w:val="0044554B"/>
    <w:rsid w:val="00446558"/>
    <w:rsid w:val="00446867"/>
    <w:rsid w:val="00446B98"/>
    <w:rsid w:val="00447FA4"/>
    <w:rsid w:val="0045081E"/>
    <w:rsid w:val="00450FBC"/>
    <w:rsid w:val="00451496"/>
    <w:rsid w:val="00451A8B"/>
    <w:rsid w:val="00451DB8"/>
    <w:rsid w:val="0045276E"/>
    <w:rsid w:val="004538FF"/>
    <w:rsid w:val="00453ED2"/>
    <w:rsid w:val="004552B6"/>
    <w:rsid w:val="00457735"/>
    <w:rsid w:val="00457C3A"/>
    <w:rsid w:val="00457FC4"/>
    <w:rsid w:val="004600C0"/>
    <w:rsid w:val="0046028D"/>
    <w:rsid w:val="00460B54"/>
    <w:rsid w:val="00461843"/>
    <w:rsid w:val="00461A15"/>
    <w:rsid w:val="00462C95"/>
    <w:rsid w:val="00463A84"/>
    <w:rsid w:val="004647A8"/>
    <w:rsid w:val="004669D0"/>
    <w:rsid w:val="00466A14"/>
    <w:rsid w:val="00466CE9"/>
    <w:rsid w:val="00467093"/>
    <w:rsid w:val="0047296D"/>
    <w:rsid w:val="0047316B"/>
    <w:rsid w:val="0047485F"/>
    <w:rsid w:val="0047610A"/>
    <w:rsid w:val="004770A6"/>
    <w:rsid w:val="00480FBD"/>
    <w:rsid w:val="00481C63"/>
    <w:rsid w:val="0048231F"/>
    <w:rsid w:val="004832F1"/>
    <w:rsid w:val="00483E5B"/>
    <w:rsid w:val="004852D7"/>
    <w:rsid w:val="00490186"/>
    <w:rsid w:val="0049137A"/>
    <w:rsid w:val="004917BF"/>
    <w:rsid w:val="00492011"/>
    <w:rsid w:val="00492685"/>
    <w:rsid w:val="004928D8"/>
    <w:rsid w:val="00493502"/>
    <w:rsid w:val="004952B8"/>
    <w:rsid w:val="00495655"/>
    <w:rsid w:val="00497166"/>
    <w:rsid w:val="00497CA7"/>
    <w:rsid w:val="004A0D56"/>
    <w:rsid w:val="004A1A1D"/>
    <w:rsid w:val="004A552E"/>
    <w:rsid w:val="004A5B4B"/>
    <w:rsid w:val="004A6021"/>
    <w:rsid w:val="004B2AE1"/>
    <w:rsid w:val="004B352F"/>
    <w:rsid w:val="004B4111"/>
    <w:rsid w:val="004B6555"/>
    <w:rsid w:val="004B78D9"/>
    <w:rsid w:val="004B7D74"/>
    <w:rsid w:val="004C199A"/>
    <w:rsid w:val="004C4020"/>
    <w:rsid w:val="004C595F"/>
    <w:rsid w:val="004C607C"/>
    <w:rsid w:val="004C62CC"/>
    <w:rsid w:val="004D0458"/>
    <w:rsid w:val="004D06C4"/>
    <w:rsid w:val="004D1E0F"/>
    <w:rsid w:val="004D36EE"/>
    <w:rsid w:val="004D3B5A"/>
    <w:rsid w:val="004D53AB"/>
    <w:rsid w:val="004D5CA5"/>
    <w:rsid w:val="004E08F6"/>
    <w:rsid w:val="004E0D1F"/>
    <w:rsid w:val="004E218B"/>
    <w:rsid w:val="004E2E20"/>
    <w:rsid w:val="004E37A0"/>
    <w:rsid w:val="004E5A69"/>
    <w:rsid w:val="004E6379"/>
    <w:rsid w:val="004E7738"/>
    <w:rsid w:val="004E7D0C"/>
    <w:rsid w:val="004F0949"/>
    <w:rsid w:val="004F22C8"/>
    <w:rsid w:val="004F2353"/>
    <w:rsid w:val="004F2540"/>
    <w:rsid w:val="004F2AD8"/>
    <w:rsid w:val="004F4088"/>
    <w:rsid w:val="004F41CD"/>
    <w:rsid w:val="004F51E0"/>
    <w:rsid w:val="004F5638"/>
    <w:rsid w:val="004F5B1B"/>
    <w:rsid w:val="004F675F"/>
    <w:rsid w:val="004F73AC"/>
    <w:rsid w:val="005005C3"/>
    <w:rsid w:val="005028A8"/>
    <w:rsid w:val="00502E18"/>
    <w:rsid w:val="00503079"/>
    <w:rsid w:val="00503B1D"/>
    <w:rsid w:val="00503EE8"/>
    <w:rsid w:val="005041E4"/>
    <w:rsid w:val="00507006"/>
    <w:rsid w:val="0051048B"/>
    <w:rsid w:val="005118CA"/>
    <w:rsid w:val="00511D24"/>
    <w:rsid w:val="00512721"/>
    <w:rsid w:val="00512792"/>
    <w:rsid w:val="005127C5"/>
    <w:rsid w:val="00512872"/>
    <w:rsid w:val="00515775"/>
    <w:rsid w:val="00516892"/>
    <w:rsid w:val="0051725E"/>
    <w:rsid w:val="00517C3D"/>
    <w:rsid w:val="00517E44"/>
    <w:rsid w:val="005200A0"/>
    <w:rsid w:val="00520DEC"/>
    <w:rsid w:val="00521102"/>
    <w:rsid w:val="005223A6"/>
    <w:rsid w:val="00524967"/>
    <w:rsid w:val="00524A7F"/>
    <w:rsid w:val="005250FF"/>
    <w:rsid w:val="00525249"/>
    <w:rsid w:val="00525715"/>
    <w:rsid w:val="00525C4E"/>
    <w:rsid w:val="00525EBD"/>
    <w:rsid w:val="00526990"/>
    <w:rsid w:val="00526EA5"/>
    <w:rsid w:val="0053041F"/>
    <w:rsid w:val="005320EA"/>
    <w:rsid w:val="00532823"/>
    <w:rsid w:val="00533205"/>
    <w:rsid w:val="00534AAC"/>
    <w:rsid w:val="00534B38"/>
    <w:rsid w:val="0053538D"/>
    <w:rsid w:val="00535631"/>
    <w:rsid w:val="005357C7"/>
    <w:rsid w:val="005374BF"/>
    <w:rsid w:val="005406CD"/>
    <w:rsid w:val="005418BF"/>
    <w:rsid w:val="00541D9B"/>
    <w:rsid w:val="00542DFB"/>
    <w:rsid w:val="00543023"/>
    <w:rsid w:val="005435DD"/>
    <w:rsid w:val="0054364B"/>
    <w:rsid w:val="005446BE"/>
    <w:rsid w:val="005470C7"/>
    <w:rsid w:val="00550158"/>
    <w:rsid w:val="00550D90"/>
    <w:rsid w:val="00553354"/>
    <w:rsid w:val="00553643"/>
    <w:rsid w:val="005556C4"/>
    <w:rsid w:val="0055619F"/>
    <w:rsid w:val="00556F3C"/>
    <w:rsid w:val="0056179A"/>
    <w:rsid w:val="005628EA"/>
    <w:rsid w:val="00564795"/>
    <w:rsid w:val="00564E46"/>
    <w:rsid w:val="00564EE6"/>
    <w:rsid w:val="0056575A"/>
    <w:rsid w:val="00566BF9"/>
    <w:rsid w:val="00566C89"/>
    <w:rsid w:val="00567A44"/>
    <w:rsid w:val="0057074A"/>
    <w:rsid w:val="005719A6"/>
    <w:rsid w:val="00576267"/>
    <w:rsid w:val="005805A8"/>
    <w:rsid w:val="0058124B"/>
    <w:rsid w:val="0058187B"/>
    <w:rsid w:val="00581D5A"/>
    <w:rsid w:val="005833DA"/>
    <w:rsid w:val="005856CE"/>
    <w:rsid w:val="005859DE"/>
    <w:rsid w:val="00590C62"/>
    <w:rsid w:val="00591303"/>
    <w:rsid w:val="005936A9"/>
    <w:rsid w:val="005938E7"/>
    <w:rsid w:val="005956DD"/>
    <w:rsid w:val="00596412"/>
    <w:rsid w:val="005964CB"/>
    <w:rsid w:val="00597353"/>
    <w:rsid w:val="0059743F"/>
    <w:rsid w:val="00597D00"/>
    <w:rsid w:val="00597E45"/>
    <w:rsid w:val="00597FF3"/>
    <w:rsid w:val="005A1B88"/>
    <w:rsid w:val="005A37B8"/>
    <w:rsid w:val="005A3AE4"/>
    <w:rsid w:val="005A3EE0"/>
    <w:rsid w:val="005A4B84"/>
    <w:rsid w:val="005A4FA9"/>
    <w:rsid w:val="005A622C"/>
    <w:rsid w:val="005A6383"/>
    <w:rsid w:val="005A7908"/>
    <w:rsid w:val="005B07DC"/>
    <w:rsid w:val="005B1C6A"/>
    <w:rsid w:val="005B213F"/>
    <w:rsid w:val="005B27F1"/>
    <w:rsid w:val="005B5FE0"/>
    <w:rsid w:val="005B6184"/>
    <w:rsid w:val="005B769E"/>
    <w:rsid w:val="005B78E6"/>
    <w:rsid w:val="005B7F53"/>
    <w:rsid w:val="005C0186"/>
    <w:rsid w:val="005C037A"/>
    <w:rsid w:val="005C0821"/>
    <w:rsid w:val="005C1AE8"/>
    <w:rsid w:val="005C1ED7"/>
    <w:rsid w:val="005C1F89"/>
    <w:rsid w:val="005C2BE1"/>
    <w:rsid w:val="005C3ABC"/>
    <w:rsid w:val="005C4636"/>
    <w:rsid w:val="005C4C63"/>
    <w:rsid w:val="005C7171"/>
    <w:rsid w:val="005D1EFE"/>
    <w:rsid w:val="005D4BAF"/>
    <w:rsid w:val="005D632A"/>
    <w:rsid w:val="005D7193"/>
    <w:rsid w:val="005D7755"/>
    <w:rsid w:val="005E01E6"/>
    <w:rsid w:val="005E0E82"/>
    <w:rsid w:val="005E15E0"/>
    <w:rsid w:val="005E2802"/>
    <w:rsid w:val="005E2CA4"/>
    <w:rsid w:val="005E369C"/>
    <w:rsid w:val="005E3C9E"/>
    <w:rsid w:val="005E5157"/>
    <w:rsid w:val="005E526F"/>
    <w:rsid w:val="005E57C3"/>
    <w:rsid w:val="005E7D57"/>
    <w:rsid w:val="005F029B"/>
    <w:rsid w:val="005F053E"/>
    <w:rsid w:val="005F1EFE"/>
    <w:rsid w:val="005F4850"/>
    <w:rsid w:val="005F52CA"/>
    <w:rsid w:val="005F5571"/>
    <w:rsid w:val="005F5B54"/>
    <w:rsid w:val="005F62C4"/>
    <w:rsid w:val="005F6375"/>
    <w:rsid w:val="005F71D4"/>
    <w:rsid w:val="00600807"/>
    <w:rsid w:val="006013B3"/>
    <w:rsid w:val="006019FD"/>
    <w:rsid w:val="00602034"/>
    <w:rsid w:val="00603D84"/>
    <w:rsid w:val="006052B3"/>
    <w:rsid w:val="00605B4F"/>
    <w:rsid w:val="00611BA6"/>
    <w:rsid w:val="00611CC2"/>
    <w:rsid w:val="00613572"/>
    <w:rsid w:val="00613C23"/>
    <w:rsid w:val="00613EBD"/>
    <w:rsid w:val="00614B68"/>
    <w:rsid w:val="006152E4"/>
    <w:rsid w:val="00615AD0"/>
    <w:rsid w:val="006162AE"/>
    <w:rsid w:val="0061630F"/>
    <w:rsid w:val="006175E5"/>
    <w:rsid w:val="00617979"/>
    <w:rsid w:val="006204F3"/>
    <w:rsid w:val="00621DE7"/>
    <w:rsid w:val="0062403A"/>
    <w:rsid w:val="006258CE"/>
    <w:rsid w:val="00627F7D"/>
    <w:rsid w:val="00632C9B"/>
    <w:rsid w:val="00634141"/>
    <w:rsid w:val="0063480F"/>
    <w:rsid w:val="00634972"/>
    <w:rsid w:val="006349B4"/>
    <w:rsid w:val="00634CA6"/>
    <w:rsid w:val="00635B9A"/>
    <w:rsid w:val="0063753E"/>
    <w:rsid w:val="00637852"/>
    <w:rsid w:val="00637D14"/>
    <w:rsid w:val="00637E33"/>
    <w:rsid w:val="00640CFD"/>
    <w:rsid w:val="00640DDF"/>
    <w:rsid w:val="0064206D"/>
    <w:rsid w:val="00642B75"/>
    <w:rsid w:val="00643707"/>
    <w:rsid w:val="006438ED"/>
    <w:rsid w:val="00643BD9"/>
    <w:rsid w:val="00644525"/>
    <w:rsid w:val="0064594E"/>
    <w:rsid w:val="00646115"/>
    <w:rsid w:val="00646FFD"/>
    <w:rsid w:val="00647BDB"/>
    <w:rsid w:val="00650584"/>
    <w:rsid w:val="006527D0"/>
    <w:rsid w:val="00653DA4"/>
    <w:rsid w:val="006541A1"/>
    <w:rsid w:val="00654D15"/>
    <w:rsid w:val="00655570"/>
    <w:rsid w:val="00656304"/>
    <w:rsid w:val="00660126"/>
    <w:rsid w:val="006602F4"/>
    <w:rsid w:val="0066166E"/>
    <w:rsid w:val="00662702"/>
    <w:rsid w:val="006638C9"/>
    <w:rsid w:val="00663C71"/>
    <w:rsid w:val="0066417F"/>
    <w:rsid w:val="0066437C"/>
    <w:rsid w:val="00664810"/>
    <w:rsid w:val="00664D47"/>
    <w:rsid w:val="006665AC"/>
    <w:rsid w:val="00667063"/>
    <w:rsid w:val="00667495"/>
    <w:rsid w:val="00667E3F"/>
    <w:rsid w:val="00671302"/>
    <w:rsid w:val="00671AC8"/>
    <w:rsid w:val="0068076D"/>
    <w:rsid w:val="00680DE0"/>
    <w:rsid w:val="00680F83"/>
    <w:rsid w:val="006823CA"/>
    <w:rsid w:val="00682E14"/>
    <w:rsid w:val="006846E1"/>
    <w:rsid w:val="00684B74"/>
    <w:rsid w:val="00684E94"/>
    <w:rsid w:val="00685A3A"/>
    <w:rsid w:val="00687F2B"/>
    <w:rsid w:val="00690414"/>
    <w:rsid w:val="00690866"/>
    <w:rsid w:val="006923A2"/>
    <w:rsid w:val="00692779"/>
    <w:rsid w:val="00693898"/>
    <w:rsid w:val="0069426D"/>
    <w:rsid w:val="00696B4C"/>
    <w:rsid w:val="006974AF"/>
    <w:rsid w:val="006A13AC"/>
    <w:rsid w:val="006A14B5"/>
    <w:rsid w:val="006A16DD"/>
    <w:rsid w:val="006A1D96"/>
    <w:rsid w:val="006A1E63"/>
    <w:rsid w:val="006A2C15"/>
    <w:rsid w:val="006A613F"/>
    <w:rsid w:val="006A620A"/>
    <w:rsid w:val="006A682F"/>
    <w:rsid w:val="006B09EE"/>
    <w:rsid w:val="006B0B17"/>
    <w:rsid w:val="006B0E59"/>
    <w:rsid w:val="006B30AB"/>
    <w:rsid w:val="006B3C71"/>
    <w:rsid w:val="006B4627"/>
    <w:rsid w:val="006B49C3"/>
    <w:rsid w:val="006B4C91"/>
    <w:rsid w:val="006B56D0"/>
    <w:rsid w:val="006B6817"/>
    <w:rsid w:val="006C0841"/>
    <w:rsid w:val="006C08E8"/>
    <w:rsid w:val="006C3584"/>
    <w:rsid w:val="006C4EB9"/>
    <w:rsid w:val="006C6292"/>
    <w:rsid w:val="006C66BC"/>
    <w:rsid w:val="006C74ED"/>
    <w:rsid w:val="006C7DBC"/>
    <w:rsid w:val="006D20D9"/>
    <w:rsid w:val="006D22AC"/>
    <w:rsid w:val="006D25A3"/>
    <w:rsid w:val="006D3568"/>
    <w:rsid w:val="006D35EC"/>
    <w:rsid w:val="006D47EC"/>
    <w:rsid w:val="006D79B3"/>
    <w:rsid w:val="006D7B7A"/>
    <w:rsid w:val="006E0D4A"/>
    <w:rsid w:val="006E1559"/>
    <w:rsid w:val="006E2804"/>
    <w:rsid w:val="006E410A"/>
    <w:rsid w:val="006E5158"/>
    <w:rsid w:val="006E5A26"/>
    <w:rsid w:val="006E5AFB"/>
    <w:rsid w:val="006E5DEF"/>
    <w:rsid w:val="006E6514"/>
    <w:rsid w:val="006E734C"/>
    <w:rsid w:val="006F0F11"/>
    <w:rsid w:val="006F2988"/>
    <w:rsid w:val="006F2F30"/>
    <w:rsid w:val="006F49BD"/>
    <w:rsid w:val="006F5A68"/>
    <w:rsid w:val="006F6595"/>
    <w:rsid w:val="006F6A78"/>
    <w:rsid w:val="006F73CB"/>
    <w:rsid w:val="00700F59"/>
    <w:rsid w:val="007026DE"/>
    <w:rsid w:val="00702942"/>
    <w:rsid w:val="00703185"/>
    <w:rsid w:val="00703679"/>
    <w:rsid w:val="00703E46"/>
    <w:rsid w:val="00704424"/>
    <w:rsid w:val="00704D2B"/>
    <w:rsid w:val="007054AA"/>
    <w:rsid w:val="0070659E"/>
    <w:rsid w:val="00707628"/>
    <w:rsid w:val="007078FC"/>
    <w:rsid w:val="00707F1B"/>
    <w:rsid w:val="007100DC"/>
    <w:rsid w:val="0071189C"/>
    <w:rsid w:val="00712150"/>
    <w:rsid w:val="0071243F"/>
    <w:rsid w:val="00713A03"/>
    <w:rsid w:val="00713A73"/>
    <w:rsid w:val="00717557"/>
    <w:rsid w:val="007206A5"/>
    <w:rsid w:val="00721084"/>
    <w:rsid w:val="007214E0"/>
    <w:rsid w:val="00721E94"/>
    <w:rsid w:val="00723631"/>
    <w:rsid w:val="0072483E"/>
    <w:rsid w:val="00725219"/>
    <w:rsid w:val="007252B2"/>
    <w:rsid w:val="00726131"/>
    <w:rsid w:val="00726833"/>
    <w:rsid w:val="00726B6F"/>
    <w:rsid w:val="00732370"/>
    <w:rsid w:val="00732ECC"/>
    <w:rsid w:val="00733014"/>
    <w:rsid w:val="0073455C"/>
    <w:rsid w:val="00734BFC"/>
    <w:rsid w:val="0073574C"/>
    <w:rsid w:val="00736AED"/>
    <w:rsid w:val="007379F8"/>
    <w:rsid w:val="00737B2A"/>
    <w:rsid w:val="007407C3"/>
    <w:rsid w:val="00740AD0"/>
    <w:rsid w:val="00740EEC"/>
    <w:rsid w:val="007413F4"/>
    <w:rsid w:val="00742EF7"/>
    <w:rsid w:val="00742FEA"/>
    <w:rsid w:val="0074325A"/>
    <w:rsid w:val="00743A93"/>
    <w:rsid w:val="007443E0"/>
    <w:rsid w:val="0074591E"/>
    <w:rsid w:val="007461FC"/>
    <w:rsid w:val="00746762"/>
    <w:rsid w:val="00746B0A"/>
    <w:rsid w:val="0074708B"/>
    <w:rsid w:val="0074728F"/>
    <w:rsid w:val="00752D69"/>
    <w:rsid w:val="007555A3"/>
    <w:rsid w:val="00755A13"/>
    <w:rsid w:val="00756907"/>
    <w:rsid w:val="00756F9A"/>
    <w:rsid w:val="0075733C"/>
    <w:rsid w:val="007574F9"/>
    <w:rsid w:val="00757C5A"/>
    <w:rsid w:val="00757ECC"/>
    <w:rsid w:val="007601FB"/>
    <w:rsid w:val="00763027"/>
    <w:rsid w:val="00763330"/>
    <w:rsid w:val="007634D0"/>
    <w:rsid w:val="007638A2"/>
    <w:rsid w:val="0076419D"/>
    <w:rsid w:val="0076422A"/>
    <w:rsid w:val="00764FB0"/>
    <w:rsid w:val="007657B8"/>
    <w:rsid w:val="00765916"/>
    <w:rsid w:val="007721F8"/>
    <w:rsid w:val="00773EEB"/>
    <w:rsid w:val="00774152"/>
    <w:rsid w:val="007741A4"/>
    <w:rsid w:val="00775478"/>
    <w:rsid w:val="0077646E"/>
    <w:rsid w:val="00776B59"/>
    <w:rsid w:val="00776BEB"/>
    <w:rsid w:val="00777156"/>
    <w:rsid w:val="00777389"/>
    <w:rsid w:val="007774B1"/>
    <w:rsid w:val="00777A4A"/>
    <w:rsid w:val="00780085"/>
    <w:rsid w:val="007805A4"/>
    <w:rsid w:val="00781059"/>
    <w:rsid w:val="00781D3C"/>
    <w:rsid w:val="00782D81"/>
    <w:rsid w:val="007839AD"/>
    <w:rsid w:val="00784687"/>
    <w:rsid w:val="00785666"/>
    <w:rsid w:val="00785833"/>
    <w:rsid w:val="007869B0"/>
    <w:rsid w:val="00787275"/>
    <w:rsid w:val="0078778C"/>
    <w:rsid w:val="0079120E"/>
    <w:rsid w:val="00791EC9"/>
    <w:rsid w:val="00792A8C"/>
    <w:rsid w:val="00793F21"/>
    <w:rsid w:val="00797387"/>
    <w:rsid w:val="007A0EDD"/>
    <w:rsid w:val="007A0F7F"/>
    <w:rsid w:val="007A13DD"/>
    <w:rsid w:val="007A18CE"/>
    <w:rsid w:val="007A22BD"/>
    <w:rsid w:val="007A2523"/>
    <w:rsid w:val="007A2594"/>
    <w:rsid w:val="007A2720"/>
    <w:rsid w:val="007A2AF3"/>
    <w:rsid w:val="007A3DD1"/>
    <w:rsid w:val="007A5E65"/>
    <w:rsid w:val="007A62E0"/>
    <w:rsid w:val="007A67E3"/>
    <w:rsid w:val="007A72E3"/>
    <w:rsid w:val="007A7DFA"/>
    <w:rsid w:val="007B03BD"/>
    <w:rsid w:val="007B0BDC"/>
    <w:rsid w:val="007B211A"/>
    <w:rsid w:val="007B71C3"/>
    <w:rsid w:val="007C39E3"/>
    <w:rsid w:val="007C6714"/>
    <w:rsid w:val="007D1AAB"/>
    <w:rsid w:val="007D20F5"/>
    <w:rsid w:val="007D2985"/>
    <w:rsid w:val="007D3E23"/>
    <w:rsid w:val="007D677F"/>
    <w:rsid w:val="007D6E19"/>
    <w:rsid w:val="007D70A3"/>
    <w:rsid w:val="007E10F5"/>
    <w:rsid w:val="007E1974"/>
    <w:rsid w:val="007E1A7D"/>
    <w:rsid w:val="007E1CDB"/>
    <w:rsid w:val="007E3748"/>
    <w:rsid w:val="007E405E"/>
    <w:rsid w:val="007E5F95"/>
    <w:rsid w:val="007E6E51"/>
    <w:rsid w:val="007F4A09"/>
    <w:rsid w:val="007F4E93"/>
    <w:rsid w:val="007F5476"/>
    <w:rsid w:val="007F5809"/>
    <w:rsid w:val="007F6D3E"/>
    <w:rsid w:val="007F7BA8"/>
    <w:rsid w:val="0080121B"/>
    <w:rsid w:val="008018CC"/>
    <w:rsid w:val="008029DC"/>
    <w:rsid w:val="008037E1"/>
    <w:rsid w:val="00803DEA"/>
    <w:rsid w:val="00803F98"/>
    <w:rsid w:val="00804FAE"/>
    <w:rsid w:val="008061E2"/>
    <w:rsid w:val="00806397"/>
    <w:rsid w:val="00806C0D"/>
    <w:rsid w:val="008106A9"/>
    <w:rsid w:val="00810E86"/>
    <w:rsid w:val="00811EFA"/>
    <w:rsid w:val="00812A58"/>
    <w:rsid w:val="0081481A"/>
    <w:rsid w:val="00814859"/>
    <w:rsid w:val="008160B1"/>
    <w:rsid w:val="008165DD"/>
    <w:rsid w:val="008169B8"/>
    <w:rsid w:val="00816B58"/>
    <w:rsid w:val="00817875"/>
    <w:rsid w:val="0082058E"/>
    <w:rsid w:val="00821FAD"/>
    <w:rsid w:val="00822F01"/>
    <w:rsid w:val="008242AC"/>
    <w:rsid w:val="00825DDA"/>
    <w:rsid w:val="00826348"/>
    <w:rsid w:val="00826784"/>
    <w:rsid w:val="0082776A"/>
    <w:rsid w:val="00827F22"/>
    <w:rsid w:val="0083039C"/>
    <w:rsid w:val="0083047C"/>
    <w:rsid w:val="008307FE"/>
    <w:rsid w:val="008322F9"/>
    <w:rsid w:val="008337A1"/>
    <w:rsid w:val="00834E98"/>
    <w:rsid w:val="0083681C"/>
    <w:rsid w:val="00836D72"/>
    <w:rsid w:val="00837482"/>
    <w:rsid w:val="0083796A"/>
    <w:rsid w:val="0084006F"/>
    <w:rsid w:val="008418B2"/>
    <w:rsid w:val="008424C3"/>
    <w:rsid w:val="008444BD"/>
    <w:rsid w:val="00844767"/>
    <w:rsid w:val="00844814"/>
    <w:rsid w:val="00844A13"/>
    <w:rsid w:val="00844F02"/>
    <w:rsid w:val="008467E3"/>
    <w:rsid w:val="0085175A"/>
    <w:rsid w:val="008524DF"/>
    <w:rsid w:val="00854070"/>
    <w:rsid w:val="0085577A"/>
    <w:rsid w:val="00855F9E"/>
    <w:rsid w:val="00856A3A"/>
    <w:rsid w:val="00861985"/>
    <w:rsid w:val="00861B10"/>
    <w:rsid w:val="00863C8F"/>
    <w:rsid w:val="008649C2"/>
    <w:rsid w:val="00865013"/>
    <w:rsid w:val="0086568F"/>
    <w:rsid w:val="00865C8A"/>
    <w:rsid w:val="00867FF9"/>
    <w:rsid w:val="0087013B"/>
    <w:rsid w:val="00870742"/>
    <w:rsid w:val="008708F9"/>
    <w:rsid w:val="0087130E"/>
    <w:rsid w:val="0087167A"/>
    <w:rsid w:val="00871761"/>
    <w:rsid w:val="00872DEC"/>
    <w:rsid w:val="00872FBE"/>
    <w:rsid w:val="008730F5"/>
    <w:rsid w:val="00874EFE"/>
    <w:rsid w:val="008750F0"/>
    <w:rsid w:val="00876733"/>
    <w:rsid w:val="008800BC"/>
    <w:rsid w:val="00880ED2"/>
    <w:rsid w:val="008812E4"/>
    <w:rsid w:val="00882457"/>
    <w:rsid w:val="008829D2"/>
    <w:rsid w:val="00882CB4"/>
    <w:rsid w:val="008833B3"/>
    <w:rsid w:val="008852CD"/>
    <w:rsid w:val="00885D50"/>
    <w:rsid w:val="00886BE7"/>
    <w:rsid w:val="00887A5F"/>
    <w:rsid w:val="00890390"/>
    <w:rsid w:val="00891769"/>
    <w:rsid w:val="00894E8D"/>
    <w:rsid w:val="00894F8B"/>
    <w:rsid w:val="008956A5"/>
    <w:rsid w:val="00896286"/>
    <w:rsid w:val="008A1B63"/>
    <w:rsid w:val="008A2373"/>
    <w:rsid w:val="008A2C56"/>
    <w:rsid w:val="008A33A1"/>
    <w:rsid w:val="008A4287"/>
    <w:rsid w:val="008A48EB"/>
    <w:rsid w:val="008A4D95"/>
    <w:rsid w:val="008A525A"/>
    <w:rsid w:val="008A532F"/>
    <w:rsid w:val="008A5FE7"/>
    <w:rsid w:val="008A73E3"/>
    <w:rsid w:val="008B0AB0"/>
    <w:rsid w:val="008B128A"/>
    <w:rsid w:val="008B47A1"/>
    <w:rsid w:val="008B4B01"/>
    <w:rsid w:val="008B59C2"/>
    <w:rsid w:val="008B7F1C"/>
    <w:rsid w:val="008C32BC"/>
    <w:rsid w:val="008C40A3"/>
    <w:rsid w:val="008C4196"/>
    <w:rsid w:val="008C48A1"/>
    <w:rsid w:val="008C48AA"/>
    <w:rsid w:val="008C4B4C"/>
    <w:rsid w:val="008C50DB"/>
    <w:rsid w:val="008C7ADA"/>
    <w:rsid w:val="008D4F51"/>
    <w:rsid w:val="008D556B"/>
    <w:rsid w:val="008D7555"/>
    <w:rsid w:val="008D7E64"/>
    <w:rsid w:val="008E13AC"/>
    <w:rsid w:val="008E4017"/>
    <w:rsid w:val="008E5346"/>
    <w:rsid w:val="008E6297"/>
    <w:rsid w:val="008E661B"/>
    <w:rsid w:val="008E75B6"/>
    <w:rsid w:val="008F00A2"/>
    <w:rsid w:val="008F05AD"/>
    <w:rsid w:val="008F0DC0"/>
    <w:rsid w:val="008F2EBA"/>
    <w:rsid w:val="008F7658"/>
    <w:rsid w:val="009002FF"/>
    <w:rsid w:val="009009AB"/>
    <w:rsid w:val="00900E0C"/>
    <w:rsid w:val="009037E5"/>
    <w:rsid w:val="009078A9"/>
    <w:rsid w:val="009117B2"/>
    <w:rsid w:val="00912596"/>
    <w:rsid w:val="00912838"/>
    <w:rsid w:val="00913708"/>
    <w:rsid w:val="00914C98"/>
    <w:rsid w:val="00915957"/>
    <w:rsid w:val="00916B7B"/>
    <w:rsid w:val="009177CA"/>
    <w:rsid w:val="00917F07"/>
    <w:rsid w:val="00920324"/>
    <w:rsid w:val="00920631"/>
    <w:rsid w:val="00920BDE"/>
    <w:rsid w:val="00920FA6"/>
    <w:rsid w:val="009231FE"/>
    <w:rsid w:val="00923311"/>
    <w:rsid w:val="0092370E"/>
    <w:rsid w:val="00923A51"/>
    <w:rsid w:val="00924AAD"/>
    <w:rsid w:val="0092630D"/>
    <w:rsid w:val="00926459"/>
    <w:rsid w:val="009278E3"/>
    <w:rsid w:val="009339BE"/>
    <w:rsid w:val="009358EC"/>
    <w:rsid w:val="00935B86"/>
    <w:rsid w:val="00936564"/>
    <w:rsid w:val="00941464"/>
    <w:rsid w:val="00942BA0"/>
    <w:rsid w:val="00945688"/>
    <w:rsid w:val="00945A6E"/>
    <w:rsid w:val="00946336"/>
    <w:rsid w:val="00946B62"/>
    <w:rsid w:val="00946E0E"/>
    <w:rsid w:val="00947EB3"/>
    <w:rsid w:val="0095006C"/>
    <w:rsid w:val="009501B2"/>
    <w:rsid w:val="0095200F"/>
    <w:rsid w:val="00952771"/>
    <w:rsid w:val="009537C5"/>
    <w:rsid w:val="00953816"/>
    <w:rsid w:val="009558DC"/>
    <w:rsid w:val="00955BCF"/>
    <w:rsid w:val="00955DED"/>
    <w:rsid w:val="00956C21"/>
    <w:rsid w:val="009573FD"/>
    <w:rsid w:val="009574E2"/>
    <w:rsid w:val="00957D0C"/>
    <w:rsid w:val="009607CB"/>
    <w:rsid w:val="00962AC9"/>
    <w:rsid w:val="0096487B"/>
    <w:rsid w:val="009654E2"/>
    <w:rsid w:val="009655FE"/>
    <w:rsid w:val="009668CD"/>
    <w:rsid w:val="0096748D"/>
    <w:rsid w:val="00970322"/>
    <w:rsid w:val="0097058D"/>
    <w:rsid w:val="00971F71"/>
    <w:rsid w:val="0097267F"/>
    <w:rsid w:val="00972BC4"/>
    <w:rsid w:val="00973136"/>
    <w:rsid w:val="00974298"/>
    <w:rsid w:val="009744B4"/>
    <w:rsid w:val="009746BD"/>
    <w:rsid w:val="00974FCA"/>
    <w:rsid w:val="00975452"/>
    <w:rsid w:val="00975B3D"/>
    <w:rsid w:val="00977A8B"/>
    <w:rsid w:val="00980978"/>
    <w:rsid w:val="00981C05"/>
    <w:rsid w:val="0098280C"/>
    <w:rsid w:val="0098363C"/>
    <w:rsid w:val="00984FF5"/>
    <w:rsid w:val="00985B6F"/>
    <w:rsid w:val="0098727F"/>
    <w:rsid w:val="00987C26"/>
    <w:rsid w:val="00987C90"/>
    <w:rsid w:val="00990CD4"/>
    <w:rsid w:val="00992564"/>
    <w:rsid w:val="00992D40"/>
    <w:rsid w:val="00994F6C"/>
    <w:rsid w:val="009958A8"/>
    <w:rsid w:val="00995E72"/>
    <w:rsid w:val="009A025D"/>
    <w:rsid w:val="009A2AD5"/>
    <w:rsid w:val="009A31C3"/>
    <w:rsid w:val="009A3621"/>
    <w:rsid w:val="009A4115"/>
    <w:rsid w:val="009A4342"/>
    <w:rsid w:val="009A4551"/>
    <w:rsid w:val="009A4616"/>
    <w:rsid w:val="009A4E61"/>
    <w:rsid w:val="009A5BEF"/>
    <w:rsid w:val="009A6430"/>
    <w:rsid w:val="009A6DDE"/>
    <w:rsid w:val="009A6FE1"/>
    <w:rsid w:val="009A77E0"/>
    <w:rsid w:val="009B0E2F"/>
    <w:rsid w:val="009B2869"/>
    <w:rsid w:val="009B28F6"/>
    <w:rsid w:val="009B3D07"/>
    <w:rsid w:val="009B40A2"/>
    <w:rsid w:val="009B47AE"/>
    <w:rsid w:val="009B4925"/>
    <w:rsid w:val="009B4BCD"/>
    <w:rsid w:val="009B4EDA"/>
    <w:rsid w:val="009B5EF2"/>
    <w:rsid w:val="009B70D6"/>
    <w:rsid w:val="009B7454"/>
    <w:rsid w:val="009B7533"/>
    <w:rsid w:val="009C0462"/>
    <w:rsid w:val="009C047A"/>
    <w:rsid w:val="009C1769"/>
    <w:rsid w:val="009C20B9"/>
    <w:rsid w:val="009C4B2D"/>
    <w:rsid w:val="009C5BCE"/>
    <w:rsid w:val="009C6B21"/>
    <w:rsid w:val="009C7732"/>
    <w:rsid w:val="009D06F0"/>
    <w:rsid w:val="009D23AC"/>
    <w:rsid w:val="009D2F8E"/>
    <w:rsid w:val="009D3193"/>
    <w:rsid w:val="009D370E"/>
    <w:rsid w:val="009D3F2F"/>
    <w:rsid w:val="009D4B37"/>
    <w:rsid w:val="009D76FC"/>
    <w:rsid w:val="009E0C7B"/>
    <w:rsid w:val="009E0EF8"/>
    <w:rsid w:val="009E1882"/>
    <w:rsid w:val="009E1C23"/>
    <w:rsid w:val="009E2424"/>
    <w:rsid w:val="009E2978"/>
    <w:rsid w:val="009E562F"/>
    <w:rsid w:val="009F0CAC"/>
    <w:rsid w:val="009F3591"/>
    <w:rsid w:val="009F4975"/>
    <w:rsid w:val="009F534D"/>
    <w:rsid w:val="009F5BA4"/>
    <w:rsid w:val="009F5CB3"/>
    <w:rsid w:val="009F5DE5"/>
    <w:rsid w:val="009F7987"/>
    <w:rsid w:val="00A0123B"/>
    <w:rsid w:val="00A01D9B"/>
    <w:rsid w:val="00A020A7"/>
    <w:rsid w:val="00A029FE"/>
    <w:rsid w:val="00A04E2B"/>
    <w:rsid w:val="00A06794"/>
    <w:rsid w:val="00A068C7"/>
    <w:rsid w:val="00A13951"/>
    <w:rsid w:val="00A1405E"/>
    <w:rsid w:val="00A156EF"/>
    <w:rsid w:val="00A158C5"/>
    <w:rsid w:val="00A15A6F"/>
    <w:rsid w:val="00A166BF"/>
    <w:rsid w:val="00A16F40"/>
    <w:rsid w:val="00A17246"/>
    <w:rsid w:val="00A17B90"/>
    <w:rsid w:val="00A17E9D"/>
    <w:rsid w:val="00A17F75"/>
    <w:rsid w:val="00A20147"/>
    <w:rsid w:val="00A219FF"/>
    <w:rsid w:val="00A22382"/>
    <w:rsid w:val="00A2345B"/>
    <w:rsid w:val="00A25E10"/>
    <w:rsid w:val="00A260B1"/>
    <w:rsid w:val="00A26547"/>
    <w:rsid w:val="00A26905"/>
    <w:rsid w:val="00A26A39"/>
    <w:rsid w:val="00A27A05"/>
    <w:rsid w:val="00A27B1F"/>
    <w:rsid w:val="00A300B7"/>
    <w:rsid w:val="00A30D58"/>
    <w:rsid w:val="00A31C61"/>
    <w:rsid w:val="00A33B64"/>
    <w:rsid w:val="00A33C63"/>
    <w:rsid w:val="00A33C92"/>
    <w:rsid w:val="00A352AC"/>
    <w:rsid w:val="00A418EC"/>
    <w:rsid w:val="00A42A47"/>
    <w:rsid w:val="00A42D6E"/>
    <w:rsid w:val="00A4329B"/>
    <w:rsid w:val="00A441F1"/>
    <w:rsid w:val="00A466F8"/>
    <w:rsid w:val="00A47680"/>
    <w:rsid w:val="00A54A43"/>
    <w:rsid w:val="00A55836"/>
    <w:rsid w:val="00A55C6A"/>
    <w:rsid w:val="00A56100"/>
    <w:rsid w:val="00A57618"/>
    <w:rsid w:val="00A604E0"/>
    <w:rsid w:val="00A617C0"/>
    <w:rsid w:val="00A6235D"/>
    <w:rsid w:val="00A626C0"/>
    <w:rsid w:val="00A63323"/>
    <w:rsid w:val="00A64359"/>
    <w:rsid w:val="00A664DC"/>
    <w:rsid w:val="00A67058"/>
    <w:rsid w:val="00A671D5"/>
    <w:rsid w:val="00A73AE4"/>
    <w:rsid w:val="00A73D9C"/>
    <w:rsid w:val="00A74D05"/>
    <w:rsid w:val="00A75AFA"/>
    <w:rsid w:val="00A75B59"/>
    <w:rsid w:val="00A75D88"/>
    <w:rsid w:val="00A75E32"/>
    <w:rsid w:val="00A775A2"/>
    <w:rsid w:val="00A80436"/>
    <w:rsid w:val="00A81677"/>
    <w:rsid w:val="00A821A7"/>
    <w:rsid w:val="00A8330D"/>
    <w:rsid w:val="00A837E6"/>
    <w:rsid w:val="00A84C96"/>
    <w:rsid w:val="00A86A1B"/>
    <w:rsid w:val="00A87729"/>
    <w:rsid w:val="00A90789"/>
    <w:rsid w:val="00A9363F"/>
    <w:rsid w:val="00A93FB4"/>
    <w:rsid w:val="00A96758"/>
    <w:rsid w:val="00AA1AB8"/>
    <w:rsid w:val="00AA1D58"/>
    <w:rsid w:val="00AA30F9"/>
    <w:rsid w:val="00AA424B"/>
    <w:rsid w:val="00AA53F7"/>
    <w:rsid w:val="00AA758B"/>
    <w:rsid w:val="00AA7AE9"/>
    <w:rsid w:val="00AA7D5D"/>
    <w:rsid w:val="00AB0018"/>
    <w:rsid w:val="00AB0735"/>
    <w:rsid w:val="00AB18AC"/>
    <w:rsid w:val="00AB2622"/>
    <w:rsid w:val="00AB2A46"/>
    <w:rsid w:val="00AB36B5"/>
    <w:rsid w:val="00AB3A0C"/>
    <w:rsid w:val="00AB4533"/>
    <w:rsid w:val="00AB5030"/>
    <w:rsid w:val="00AB533D"/>
    <w:rsid w:val="00AB5A18"/>
    <w:rsid w:val="00AB6ACC"/>
    <w:rsid w:val="00AB77B4"/>
    <w:rsid w:val="00AB786F"/>
    <w:rsid w:val="00AC0BF7"/>
    <w:rsid w:val="00AC0F4C"/>
    <w:rsid w:val="00AC157F"/>
    <w:rsid w:val="00AC1DD3"/>
    <w:rsid w:val="00AC2385"/>
    <w:rsid w:val="00AC2C21"/>
    <w:rsid w:val="00AC337F"/>
    <w:rsid w:val="00AC573B"/>
    <w:rsid w:val="00AD0912"/>
    <w:rsid w:val="00AD1B62"/>
    <w:rsid w:val="00AD1BC0"/>
    <w:rsid w:val="00AD6A9B"/>
    <w:rsid w:val="00AD7040"/>
    <w:rsid w:val="00AD7A36"/>
    <w:rsid w:val="00AE0B52"/>
    <w:rsid w:val="00AE12FE"/>
    <w:rsid w:val="00AE1964"/>
    <w:rsid w:val="00AE2DDE"/>
    <w:rsid w:val="00AE6279"/>
    <w:rsid w:val="00AE68B8"/>
    <w:rsid w:val="00AE6A3C"/>
    <w:rsid w:val="00AE7672"/>
    <w:rsid w:val="00AF0493"/>
    <w:rsid w:val="00AF2670"/>
    <w:rsid w:val="00AF2DDB"/>
    <w:rsid w:val="00AF383C"/>
    <w:rsid w:val="00B002A0"/>
    <w:rsid w:val="00B00F54"/>
    <w:rsid w:val="00B03607"/>
    <w:rsid w:val="00B036A1"/>
    <w:rsid w:val="00B0479B"/>
    <w:rsid w:val="00B0554E"/>
    <w:rsid w:val="00B057F9"/>
    <w:rsid w:val="00B06CE4"/>
    <w:rsid w:val="00B071AE"/>
    <w:rsid w:val="00B07886"/>
    <w:rsid w:val="00B104F5"/>
    <w:rsid w:val="00B10593"/>
    <w:rsid w:val="00B11D89"/>
    <w:rsid w:val="00B12831"/>
    <w:rsid w:val="00B1375C"/>
    <w:rsid w:val="00B13B2D"/>
    <w:rsid w:val="00B154AE"/>
    <w:rsid w:val="00B15BDE"/>
    <w:rsid w:val="00B20DC3"/>
    <w:rsid w:val="00B20E00"/>
    <w:rsid w:val="00B23635"/>
    <w:rsid w:val="00B23FAB"/>
    <w:rsid w:val="00B245BA"/>
    <w:rsid w:val="00B24D94"/>
    <w:rsid w:val="00B305D8"/>
    <w:rsid w:val="00B31347"/>
    <w:rsid w:val="00B31372"/>
    <w:rsid w:val="00B33C3C"/>
    <w:rsid w:val="00B34819"/>
    <w:rsid w:val="00B3583A"/>
    <w:rsid w:val="00B36154"/>
    <w:rsid w:val="00B36E32"/>
    <w:rsid w:val="00B37604"/>
    <w:rsid w:val="00B37C68"/>
    <w:rsid w:val="00B40BB3"/>
    <w:rsid w:val="00B414CD"/>
    <w:rsid w:val="00B420B0"/>
    <w:rsid w:val="00B4237B"/>
    <w:rsid w:val="00B435AA"/>
    <w:rsid w:val="00B45031"/>
    <w:rsid w:val="00B459C8"/>
    <w:rsid w:val="00B45D7B"/>
    <w:rsid w:val="00B46043"/>
    <w:rsid w:val="00B46B6B"/>
    <w:rsid w:val="00B46E4B"/>
    <w:rsid w:val="00B47655"/>
    <w:rsid w:val="00B50644"/>
    <w:rsid w:val="00B508E9"/>
    <w:rsid w:val="00B52D8C"/>
    <w:rsid w:val="00B534D4"/>
    <w:rsid w:val="00B53CB0"/>
    <w:rsid w:val="00B54A91"/>
    <w:rsid w:val="00B5631F"/>
    <w:rsid w:val="00B56632"/>
    <w:rsid w:val="00B56CE0"/>
    <w:rsid w:val="00B5751A"/>
    <w:rsid w:val="00B57593"/>
    <w:rsid w:val="00B61728"/>
    <w:rsid w:val="00B61A21"/>
    <w:rsid w:val="00B6239D"/>
    <w:rsid w:val="00B62A18"/>
    <w:rsid w:val="00B65DA6"/>
    <w:rsid w:val="00B65DE6"/>
    <w:rsid w:val="00B66611"/>
    <w:rsid w:val="00B704EE"/>
    <w:rsid w:val="00B711F5"/>
    <w:rsid w:val="00B7140E"/>
    <w:rsid w:val="00B7146D"/>
    <w:rsid w:val="00B7261D"/>
    <w:rsid w:val="00B73703"/>
    <w:rsid w:val="00B745FB"/>
    <w:rsid w:val="00B76D74"/>
    <w:rsid w:val="00B77B8A"/>
    <w:rsid w:val="00B77E83"/>
    <w:rsid w:val="00B8191A"/>
    <w:rsid w:val="00B81F9D"/>
    <w:rsid w:val="00B828C1"/>
    <w:rsid w:val="00B82F51"/>
    <w:rsid w:val="00B84E2B"/>
    <w:rsid w:val="00B85E09"/>
    <w:rsid w:val="00B866FF"/>
    <w:rsid w:val="00B8678B"/>
    <w:rsid w:val="00B87B4B"/>
    <w:rsid w:val="00B87B5C"/>
    <w:rsid w:val="00B87FEE"/>
    <w:rsid w:val="00B90395"/>
    <w:rsid w:val="00B90624"/>
    <w:rsid w:val="00B917BD"/>
    <w:rsid w:val="00B919A5"/>
    <w:rsid w:val="00B91B2F"/>
    <w:rsid w:val="00B93212"/>
    <w:rsid w:val="00B946D9"/>
    <w:rsid w:val="00B94933"/>
    <w:rsid w:val="00B951FB"/>
    <w:rsid w:val="00B96018"/>
    <w:rsid w:val="00B96A06"/>
    <w:rsid w:val="00BA046C"/>
    <w:rsid w:val="00BA0BFF"/>
    <w:rsid w:val="00BA131E"/>
    <w:rsid w:val="00BA208C"/>
    <w:rsid w:val="00BA3014"/>
    <w:rsid w:val="00BA5D62"/>
    <w:rsid w:val="00BA6312"/>
    <w:rsid w:val="00BA6684"/>
    <w:rsid w:val="00BA752B"/>
    <w:rsid w:val="00BB1D3C"/>
    <w:rsid w:val="00BB2124"/>
    <w:rsid w:val="00BB3647"/>
    <w:rsid w:val="00BB3736"/>
    <w:rsid w:val="00BB47D2"/>
    <w:rsid w:val="00BB4C3E"/>
    <w:rsid w:val="00BB6441"/>
    <w:rsid w:val="00BB6BE4"/>
    <w:rsid w:val="00BB712D"/>
    <w:rsid w:val="00BB72A7"/>
    <w:rsid w:val="00BB77D9"/>
    <w:rsid w:val="00BC09CE"/>
    <w:rsid w:val="00BC0A05"/>
    <w:rsid w:val="00BC156A"/>
    <w:rsid w:val="00BC2E14"/>
    <w:rsid w:val="00BC3080"/>
    <w:rsid w:val="00BC3EEB"/>
    <w:rsid w:val="00BC44C8"/>
    <w:rsid w:val="00BC51E5"/>
    <w:rsid w:val="00BC5EE6"/>
    <w:rsid w:val="00BC6718"/>
    <w:rsid w:val="00BD00F8"/>
    <w:rsid w:val="00BD0B00"/>
    <w:rsid w:val="00BD134C"/>
    <w:rsid w:val="00BD136D"/>
    <w:rsid w:val="00BD19CA"/>
    <w:rsid w:val="00BD1A85"/>
    <w:rsid w:val="00BD209B"/>
    <w:rsid w:val="00BD2537"/>
    <w:rsid w:val="00BD3F77"/>
    <w:rsid w:val="00BD4059"/>
    <w:rsid w:val="00BD4C5B"/>
    <w:rsid w:val="00BD556F"/>
    <w:rsid w:val="00BD589F"/>
    <w:rsid w:val="00BD6124"/>
    <w:rsid w:val="00BD6632"/>
    <w:rsid w:val="00BD70FA"/>
    <w:rsid w:val="00BD717F"/>
    <w:rsid w:val="00BE097D"/>
    <w:rsid w:val="00BE0AE2"/>
    <w:rsid w:val="00BE20F1"/>
    <w:rsid w:val="00BE2826"/>
    <w:rsid w:val="00BE285F"/>
    <w:rsid w:val="00BE2886"/>
    <w:rsid w:val="00BE301D"/>
    <w:rsid w:val="00BF0E3C"/>
    <w:rsid w:val="00BF2D8E"/>
    <w:rsid w:val="00BF55F0"/>
    <w:rsid w:val="00BF65A5"/>
    <w:rsid w:val="00BF79B6"/>
    <w:rsid w:val="00BF7F46"/>
    <w:rsid w:val="00C02449"/>
    <w:rsid w:val="00C02CA2"/>
    <w:rsid w:val="00C0348D"/>
    <w:rsid w:val="00C05BDE"/>
    <w:rsid w:val="00C108A8"/>
    <w:rsid w:val="00C13DAB"/>
    <w:rsid w:val="00C148F8"/>
    <w:rsid w:val="00C14DE4"/>
    <w:rsid w:val="00C163A5"/>
    <w:rsid w:val="00C17565"/>
    <w:rsid w:val="00C20ADA"/>
    <w:rsid w:val="00C2141E"/>
    <w:rsid w:val="00C21904"/>
    <w:rsid w:val="00C22DA9"/>
    <w:rsid w:val="00C23652"/>
    <w:rsid w:val="00C239C8"/>
    <w:rsid w:val="00C248B3"/>
    <w:rsid w:val="00C248D4"/>
    <w:rsid w:val="00C253EC"/>
    <w:rsid w:val="00C27968"/>
    <w:rsid w:val="00C27E22"/>
    <w:rsid w:val="00C3156F"/>
    <w:rsid w:val="00C31D4A"/>
    <w:rsid w:val="00C33967"/>
    <w:rsid w:val="00C33ECB"/>
    <w:rsid w:val="00C352B5"/>
    <w:rsid w:val="00C3590F"/>
    <w:rsid w:val="00C36EB8"/>
    <w:rsid w:val="00C378A6"/>
    <w:rsid w:val="00C40973"/>
    <w:rsid w:val="00C41EDD"/>
    <w:rsid w:val="00C42F3D"/>
    <w:rsid w:val="00C44EC1"/>
    <w:rsid w:val="00C45C91"/>
    <w:rsid w:val="00C46015"/>
    <w:rsid w:val="00C47D68"/>
    <w:rsid w:val="00C5091A"/>
    <w:rsid w:val="00C50A97"/>
    <w:rsid w:val="00C51E67"/>
    <w:rsid w:val="00C5256A"/>
    <w:rsid w:val="00C54BA7"/>
    <w:rsid w:val="00C559A5"/>
    <w:rsid w:val="00C56F47"/>
    <w:rsid w:val="00C62B29"/>
    <w:rsid w:val="00C62BA8"/>
    <w:rsid w:val="00C62FA8"/>
    <w:rsid w:val="00C634B4"/>
    <w:rsid w:val="00C638A9"/>
    <w:rsid w:val="00C64329"/>
    <w:rsid w:val="00C64AD5"/>
    <w:rsid w:val="00C65D6B"/>
    <w:rsid w:val="00C70142"/>
    <w:rsid w:val="00C708EC"/>
    <w:rsid w:val="00C71037"/>
    <w:rsid w:val="00C723F3"/>
    <w:rsid w:val="00C749B2"/>
    <w:rsid w:val="00C74E6E"/>
    <w:rsid w:val="00C752F0"/>
    <w:rsid w:val="00C763DA"/>
    <w:rsid w:val="00C7734A"/>
    <w:rsid w:val="00C821FF"/>
    <w:rsid w:val="00C8266F"/>
    <w:rsid w:val="00C82E46"/>
    <w:rsid w:val="00C8354A"/>
    <w:rsid w:val="00C83703"/>
    <w:rsid w:val="00C83D3D"/>
    <w:rsid w:val="00C848C4"/>
    <w:rsid w:val="00C8678B"/>
    <w:rsid w:val="00C877CA"/>
    <w:rsid w:val="00C90662"/>
    <w:rsid w:val="00C91220"/>
    <w:rsid w:val="00C917C5"/>
    <w:rsid w:val="00C92433"/>
    <w:rsid w:val="00C92FB1"/>
    <w:rsid w:val="00C931B9"/>
    <w:rsid w:val="00C93A82"/>
    <w:rsid w:val="00C95BB3"/>
    <w:rsid w:val="00CA09BE"/>
    <w:rsid w:val="00CA0CEF"/>
    <w:rsid w:val="00CA1DC4"/>
    <w:rsid w:val="00CA2929"/>
    <w:rsid w:val="00CA2C36"/>
    <w:rsid w:val="00CA35DB"/>
    <w:rsid w:val="00CA4FF6"/>
    <w:rsid w:val="00CA5178"/>
    <w:rsid w:val="00CA5DB3"/>
    <w:rsid w:val="00CA6D11"/>
    <w:rsid w:val="00CA6E6D"/>
    <w:rsid w:val="00CB0283"/>
    <w:rsid w:val="00CB0385"/>
    <w:rsid w:val="00CB0C64"/>
    <w:rsid w:val="00CB101E"/>
    <w:rsid w:val="00CB255A"/>
    <w:rsid w:val="00CB3211"/>
    <w:rsid w:val="00CB3E95"/>
    <w:rsid w:val="00CB5EBC"/>
    <w:rsid w:val="00CB6016"/>
    <w:rsid w:val="00CB61F2"/>
    <w:rsid w:val="00CB7345"/>
    <w:rsid w:val="00CC02CB"/>
    <w:rsid w:val="00CC0597"/>
    <w:rsid w:val="00CC1C06"/>
    <w:rsid w:val="00CC200F"/>
    <w:rsid w:val="00CC329E"/>
    <w:rsid w:val="00CC50DD"/>
    <w:rsid w:val="00CC5EC1"/>
    <w:rsid w:val="00CC63A5"/>
    <w:rsid w:val="00CC64E4"/>
    <w:rsid w:val="00CD0A27"/>
    <w:rsid w:val="00CD116B"/>
    <w:rsid w:val="00CD1EA9"/>
    <w:rsid w:val="00CD3B3A"/>
    <w:rsid w:val="00CD6710"/>
    <w:rsid w:val="00CD7AD1"/>
    <w:rsid w:val="00CE0D15"/>
    <w:rsid w:val="00CE1006"/>
    <w:rsid w:val="00CE35F8"/>
    <w:rsid w:val="00CE3F81"/>
    <w:rsid w:val="00CE49DC"/>
    <w:rsid w:val="00CE52DE"/>
    <w:rsid w:val="00CE5E04"/>
    <w:rsid w:val="00CE6A11"/>
    <w:rsid w:val="00CE6B29"/>
    <w:rsid w:val="00CE743F"/>
    <w:rsid w:val="00CF2938"/>
    <w:rsid w:val="00CF3967"/>
    <w:rsid w:val="00CF4339"/>
    <w:rsid w:val="00CF504A"/>
    <w:rsid w:val="00CF5E13"/>
    <w:rsid w:val="00CF7EA6"/>
    <w:rsid w:val="00D016C3"/>
    <w:rsid w:val="00D02AA0"/>
    <w:rsid w:val="00D03249"/>
    <w:rsid w:val="00D03C02"/>
    <w:rsid w:val="00D0697C"/>
    <w:rsid w:val="00D07298"/>
    <w:rsid w:val="00D07FE1"/>
    <w:rsid w:val="00D100B3"/>
    <w:rsid w:val="00D10378"/>
    <w:rsid w:val="00D105CC"/>
    <w:rsid w:val="00D11BD7"/>
    <w:rsid w:val="00D11E29"/>
    <w:rsid w:val="00D12532"/>
    <w:rsid w:val="00D133EE"/>
    <w:rsid w:val="00D13E39"/>
    <w:rsid w:val="00D151DB"/>
    <w:rsid w:val="00D15B77"/>
    <w:rsid w:val="00D1771B"/>
    <w:rsid w:val="00D17ADD"/>
    <w:rsid w:val="00D21387"/>
    <w:rsid w:val="00D2154B"/>
    <w:rsid w:val="00D218EB"/>
    <w:rsid w:val="00D24030"/>
    <w:rsid w:val="00D25627"/>
    <w:rsid w:val="00D2655A"/>
    <w:rsid w:val="00D303F5"/>
    <w:rsid w:val="00D30B60"/>
    <w:rsid w:val="00D3216C"/>
    <w:rsid w:val="00D33258"/>
    <w:rsid w:val="00D333B5"/>
    <w:rsid w:val="00D346BB"/>
    <w:rsid w:val="00D35C95"/>
    <w:rsid w:val="00D36D64"/>
    <w:rsid w:val="00D37BBA"/>
    <w:rsid w:val="00D4006B"/>
    <w:rsid w:val="00D4060E"/>
    <w:rsid w:val="00D4174A"/>
    <w:rsid w:val="00D428FD"/>
    <w:rsid w:val="00D449F0"/>
    <w:rsid w:val="00D45389"/>
    <w:rsid w:val="00D453C0"/>
    <w:rsid w:val="00D463DF"/>
    <w:rsid w:val="00D46DB2"/>
    <w:rsid w:val="00D47AD9"/>
    <w:rsid w:val="00D47EAD"/>
    <w:rsid w:val="00D504DF"/>
    <w:rsid w:val="00D516DD"/>
    <w:rsid w:val="00D539E9"/>
    <w:rsid w:val="00D53AC2"/>
    <w:rsid w:val="00D544BD"/>
    <w:rsid w:val="00D54B99"/>
    <w:rsid w:val="00D55A91"/>
    <w:rsid w:val="00D578EB"/>
    <w:rsid w:val="00D60694"/>
    <w:rsid w:val="00D6140A"/>
    <w:rsid w:val="00D619B5"/>
    <w:rsid w:val="00D61AA5"/>
    <w:rsid w:val="00D63286"/>
    <w:rsid w:val="00D6345D"/>
    <w:rsid w:val="00D642FF"/>
    <w:rsid w:val="00D668E6"/>
    <w:rsid w:val="00D67412"/>
    <w:rsid w:val="00D67C9E"/>
    <w:rsid w:val="00D715B8"/>
    <w:rsid w:val="00D71A8F"/>
    <w:rsid w:val="00D73916"/>
    <w:rsid w:val="00D73B40"/>
    <w:rsid w:val="00D74B8B"/>
    <w:rsid w:val="00D75269"/>
    <w:rsid w:val="00D75566"/>
    <w:rsid w:val="00D755E4"/>
    <w:rsid w:val="00D80190"/>
    <w:rsid w:val="00D8167E"/>
    <w:rsid w:val="00D8205F"/>
    <w:rsid w:val="00D8241A"/>
    <w:rsid w:val="00D830ED"/>
    <w:rsid w:val="00D8456C"/>
    <w:rsid w:val="00D84573"/>
    <w:rsid w:val="00D84BDE"/>
    <w:rsid w:val="00D86406"/>
    <w:rsid w:val="00D87C43"/>
    <w:rsid w:val="00D911B4"/>
    <w:rsid w:val="00D91310"/>
    <w:rsid w:val="00D92F74"/>
    <w:rsid w:val="00D934D2"/>
    <w:rsid w:val="00D950D7"/>
    <w:rsid w:val="00D9658E"/>
    <w:rsid w:val="00D972A4"/>
    <w:rsid w:val="00D97F4C"/>
    <w:rsid w:val="00DA140B"/>
    <w:rsid w:val="00DA3005"/>
    <w:rsid w:val="00DA31A9"/>
    <w:rsid w:val="00DA3EF4"/>
    <w:rsid w:val="00DA4EB1"/>
    <w:rsid w:val="00DA6187"/>
    <w:rsid w:val="00DA75E6"/>
    <w:rsid w:val="00DB012E"/>
    <w:rsid w:val="00DB11A1"/>
    <w:rsid w:val="00DB22B9"/>
    <w:rsid w:val="00DB270D"/>
    <w:rsid w:val="00DB2E49"/>
    <w:rsid w:val="00DB3080"/>
    <w:rsid w:val="00DB31F8"/>
    <w:rsid w:val="00DB3698"/>
    <w:rsid w:val="00DB3CBA"/>
    <w:rsid w:val="00DB485F"/>
    <w:rsid w:val="00DB4DC7"/>
    <w:rsid w:val="00DB4DF3"/>
    <w:rsid w:val="00DB4E92"/>
    <w:rsid w:val="00DB57AC"/>
    <w:rsid w:val="00DB7F72"/>
    <w:rsid w:val="00DC0AB5"/>
    <w:rsid w:val="00DC0D89"/>
    <w:rsid w:val="00DC2191"/>
    <w:rsid w:val="00DC35EC"/>
    <w:rsid w:val="00DC48B8"/>
    <w:rsid w:val="00DC48F6"/>
    <w:rsid w:val="00DC4E08"/>
    <w:rsid w:val="00DC5138"/>
    <w:rsid w:val="00DC64C7"/>
    <w:rsid w:val="00DC7E78"/>
    <w:rsid w:val="00DD17B6"/>
    <w:rsid w:val="00DD30BC"/>
    <w:rsid w:val="00DD351C"/>
    <w:rsid w:val="00DD65DD"/>
    <w:rsid w:val="00DD6640"/>
    <w:rsid w:val="00DD67E9"/>
    <w:rsid w:val="00DE05B9"/>
    <w:rsid w:val="00DE1B41"/>
    <w:rsid w:val="00DE2517"/>
    <w:rsid w:val="00DE27D2"/>
    <w:rsid w:val="00DE3342"/>
    <w:rsid w:val="00DE5FF4"/>
    <w:rsid w:val="00DE61F7"/>
    <w:rsid w:val="00DE64DB"/>
    <w:rsid w:val="00DE6574"/>
    <w:rsid w:val="00DE6C85"/>
    <w:rsid w:val="00DE726E"/>
    <w:rsid w:val="00DE7834"/>
    <w:rsid w:val="00DF4AE8"/>
    <w:rsid w:val="00DF5680"/>
    <w:rsid w:val="00DF5BED"/>
    <w:rsid w:val="00DF799A"/>
    <w:rsid w:val="00E01F7D"/>
    <w:rsid w:val="00E0211B"/>
    <w:rsid w:val="00E02154"/>
    <w:rsid w:val="00E03505"/>
    <w:rsid w:val="00E039D3"/>
    <w:rsid w:val="00E042DD"/>
    <w:rsid w:val="00E0450F"/>
    <w:rsid w:val="00E04644"/>
    <w:rsid w:val="00E04CA8"/>
    <w:rsid w:val="00E05164"/>
    <w:rsid w:val="00E052A0"/>
    <w:rsid w:val="00E06CC2"/>
    <w:rsid w:val="00E104E0"/>
    <w:rsid w:val="00E113C1"/>
    <w:rsid w:val="00E12D74"/>
    <w:rsid w:val="00E156BF"/>
    <w:rsid w:val="00E15D7F"/>
    <w:rsid w:val="00E166EA"/>
    <w:rsid w:val="00E169DA"/>
    <w:rsid w:val="00E16FC1"/>
    <w:rsid w:val="00E172A4"/>
    <w:rsid w:val="00E202A0"/>
    <w:rsid w:val="00E20649"/>
    <w:rsid w:val="00E214AF"/>
    <w:rsid w:val="00E21A02"/>
    <w:rsid w:val="00E21C9E"/>
    <w:rsid w:val="00E22927"/>
    <w:rsid w:val="00E22C5F"/>
    <w:rsid w:val="00E23A35"/>
    <w:rsid w:val="00E2589D"/>
    <w:rsid w:val="00E26AC6"/>
    <w:rsid w:val="00E2715A"/>
    <w:rsid w:val="00E27BC1"/>
    <w:rsid w:val="00E27CAF"/>
    <w:rsid w:val="00E27F93"/>
    <w:rsid w:val="00E310CD"/>
    <w:rsid w:val="00E319A5"/>
    <w:rsid w:val="00E3308D"/>
    <w:rsid w:val="00E33100"/>
    <w:rsid w:val="00E33EC8"/>
    <w:rsid w:val="00E3482F"/>
    <w:rsid w:val="00E3553C"/>
    <w:rsid w:val="00E36519"/>
    <w:rsid w:val="00E37EF0"/>
    <w:rsid w:val="00E40655"/>
    <w:rsid w:val="00E420EA"/>
    <w:rsid w:val="00E42330"/>
    <w:rsid w:val="00E4389F"/>
    <w:rsid w:val="00E4430F"/>
    <w:rsid w:val="00E452BC"/>
    <w:rsid w:val="00E45BF2"/>
    <w:rsid w:val="00E47410"/>
    <w:rsid w:val="00E50ECC"/>
    <w:rsid w:val="00E51E70"/>
    <w:rsid w:val="00E55364"/>
    <w:rsid w:val="00E60039"/>
    <w:rsid w:val="00E63C75"/>
    <w:rsid w:val="00E64044"/>
    <w:rsid w:val="00E643BD"/>
    <w:rsid w:val="00E647D3"/>
    <w:rsid w:val="00E663BE"/>
    <w:rsid w:val="00E6718C"/>
    <w:rsid w:val="00E70905"/>
    <w:rsid w:val="00E71C50"/>
    <w:rsid w:val="00E7281D"/>
    <w:rsid w:val="00E7288F"/>
    <w:rsid w:val="00E734A9"/>
    <w:rsid w:val="00E7425E"/>
    <w:rsid w:val="00E74B9E"/>
    <w:rsid w:val="00E74BE2"/>
    <w:rsid w:val="00E766F5"/>
    <w:rsid w:val="00E80EA1"/>
    <w:rsid w:val="00E82ED4"/>
    <w:rsid w:val="00E83050"/>
    <w:rsid w:val="00E84618"/>
    <w:rsid w:val="00E856E5"/>
    <w:rsid w:val="00E86A81"/>
    <w:rsid w:val="00E87D36"/>
    <w:rsid w:val="00E9019D"/>
    <w:rsid w:val="00E90694"/>
    <w:rsid w:val="00E90755"/>
    <w:rsid w:val="00E90ED2"/>
    <w:rsid w:val="00E91C4B"/>
    <w:rsid w:val="00E927F5"/>
    <w:rsid w:val="00E9473A"/>
    <w:rsid w:val="00E96060"/>
    <w:rsid w:val="00E96608"/>
    <w:rsid w:val="00E976D4"/>
    <w:rsid w:val="00E977C8"/>
    <w:rsid w:val="00EA0445"/>
    <w:rsid w:val="00EA0C3B"/>
    <w:rsid w:val="00EA0FA9"/>
    <w:rsid w:val="00EA18E7"/>
    <w:rsid w:val="00EA28CE"/>
    <w:rsid w:val="00EA2C45"/>
    <w:rsid w:val="00EA319A"/>
    <w:rsid w:val="00EA4817"/>
    <w:rsid w:val="00EB0318"/>
    <w:rsid w:val="00EB154D"/>
    <w:rsid w:val="00EB184C"/>
    <w:rsid w:val="00EB1C69"/>
    <w:rsid w:val="00EB218A"/>
    <w:rsid w:val="00EB2909"/>
    <w:rsid w:val="00EB292A"/>
    <w:rsid w:val="00EB29FB"/>
    <w:rsid w:val="00EB485C"/>
    <w:rsid w:val="00EB5003"/>
    <w:rsid w:val="00EB76F4"/>
    <w:rsid w:val="00EB7E95"/>
    <w:rsid w:val="00EC2CB7"/>
    <w:rsid w:val="00EC2EFA"/>
    <w:rsid w:val="00EC2F95"/>
    <w:rsid w:val="00EC3FDE"/>
    <w:rsid w:val="00EC40C6"/>
    <w:rsid w:val="00EC4BAC"/>
    <w:rsid w:val="00EC5511"/>
    <w:rsid w:val="00EC6408"/>
    <w:rsid w:val="00EC64C9"/>
    <w:rsid w:val="00EC653C"/>
    <w:rsid w:val="00EC79FF"/>
    <w:rsid w:val="00EC7A4E"/>
    <w:rsid w:val="00EC7BEC"/>
    <w:rsid w:val="00ED13B2"/>
    <w:rsid w:val="00ED2A64"/>
    <w:rsid w:val="00ED3916"/>
    <w:rsid w:val="00ED5205"/>
    <w:rsid w:val="00ED5FD8"/>
    <w:rsid w:val="00ED62CD"/>
    <w:rsid w:val="00ED64F9"/>
    <w:rsid w:val="00ED7534"/>
    <w:rsid w:val="00EE0E71"/>
    <w:rsid w:val="00EE1353"/>
    <w:rsid w:val="00EE1CEE"/>
    <w:rsid w:val="00EE2743"/>
    <w:rsid w:val="00EE4632"/>
    <w:rsid w:val="00EF128F"/>
    <w:rsid w:val="00EF2990"/>
    <w:rsid w:val="00EF3CFC"/>
    <w:rsid w:val="00EF4912"/>
    <w:rsid w:val="00EF4C77"/>
    <w:rsid w:val="00EF5A3D"/>
    <w:rsid w:val="00EF63B5"/>
    <w:rsid w:val="00EF6F26"/>
    <w:rsid w:val="00EF7012"/>
    <w:rsid w:val="00EF71F2"/>
    <w:rsid w:val="00EF7582"/>
    <w:rsid w:val="00F0050A"/>
    <w:rsid w:val="00F02595"/>
    <w:rsid w:val="00F027AA"/>
    <w:rsid w:val="00F03C3D"/>
    <w:rsid w:val="00F052DF"/>
    <w:rsid w:val="00F05A4A"/>
    <w:rsid w:val="00F06C6C"/>
    <w:rsid w:val="00F1004E"/>
    <w:rsid w:val="00F1033D"/>
    <w:rsid w:val="00F10D1B"/>
    <w:rsid w:val="00F10FA6"/>
    <w:rsid w:val="00F11091"/>
    <w:rsid w:val="00F11485"/>
    <w:rsid w:val="00F114A7"/>
    <w:rsid w:val="00F1176F"/>
    <w:rsid w:val="00F13D43"/>
    <w:rsid w:val="00F22190"/>
    <w:rsid w:val="00F227F1"/>
    <w:rsid w:val="00F23C7E"/>
    <w:rsid w:val="00F26839"/>
    <w:rsid w:val="00F26D1A"/>
    <w:rsid w:val="00F32420"/>
    <w:rsid w:val="00F3301F"/>
    <w:rsid w:val="00F336B6"/>
    <w:rsid w:val="00F35C33"/>
    <w:rsid w:val="00F3651F"/>
    <w:rsid w:val="00F374C9"/>
    <w:rsid w:val="00F37C64"/>
    <w:rsid w:val="00F40998"/>
    <w:rsid w:val="00F420DF"/>
    <w:rsid w:val="00F4522D"/>
    <w:rsid w:val="00F46EA0"/>
    <w:rsid w:val="00F51292"/>
    <w:rsid w:val="00F5216D"/>
    <w:rsid w:val="00F525BF"/>
    <w:rsid w:val="00F5273A"/>
    <w:rsid w:val="00F55D67"/>
    <w:rsid w:val="00F56660"/>
    <w:rsid w:val="00F618D1"/>
    <w:rsid w:val="00F6393C"/>
    <w:rsid w:val="00F642C6"/>
    <w:rsid w:val="00F64848"/>
    <w:rsid w:val="00F64B1C"/>
    <w:rsid w:val="00F651FF"/>
    <w:rsid w:val="00F66F60"/>
    <w:rsid w:val="00F67470"/>
    <w:rsid w:val="00F67D1F"/>
    <w:rsid w:val="00F708F2"/>
    <w:rsid w:val="00F7512F"/>
    <w:rsid w:val="00F75DD3"/>
    <w:rsid w:val="00F76B93"/>
    <w:rsid w:val="00F77E18"/>
    <w:rsid w:val="00F800EE"/>
    <w:rsid w:val="00F806A1"/>
    <w:rsid w:val="00F81D48"/>
    <w:rsid w:val="00F83E06"/>
    <w:rsid w:val="00F857BE"/>
    <w:rsid w:val="00F86A56"/>
    <w:rsid w:val="00F87710"/>
    <w:rsid w:val="00F90C14"/>
    <w:rsid w:val="00F912B0"/>
    <w:rsid w:val="00F914E3"/>
    <w:rsid w:val="00F917C7"/>
    <w:rsid w:val="00F92D52"/>
    <w:rsid w:val="00F939B1"/>
    <w:rsid w:val="00F93EF3"/>
    <w:rsid w:val="00F949DC"/>
    <w:rsid w:val="00F94FBE"/>
    <w:rsid w:val="00F96AEA"/>
    <w:rsid w:val="00F96D95"/>
    <w:rsid w:val="00FA0A50"/>
    <w:rsid w:val="00FA1388"/>
    <w:rsid w:val="00FA151C"/>
    <w:rsid w:val="00FA280C"/>
    <w:rsid w:val="00FA28DD"/>
    <w:rsid w:val="00FA2B50"/>
    <w:rsid w:val="00FA2E6C"/>
    <w:rsid w:val="00FA434F"/>
    <w:rsid w:val="00FB1F6D"/>
    <w:rsid w:val="00FB2428"/>
    <w:rsid w:val="00FB2904"/>
    <w:rsid w:val="00FB2A4E"/>
    <w:rsid w:val="00FB585A"/>
    <w:rsid w:val="00FC064F"/>
    <w:rsid w:val="00FC097C"/>
    <w:rsid w:val="00FC127E"/>
    <w:rsid w:val="00FC14F9"/>
    <w:rsid w:val="00FC27E4"/>
    <w:rsid w:val="00FC29B7"/>
    <w:rsid w:val="00FC375A"/>
    <w:rsid w:val="00FC39D5"/>
    <w:rsid w:val="00FC5A7E"/>
    <w:rsid w:val="00FC61EB"/>
    <w:rsid w:val="00FC6B38"/>
    <w:rsid w:val="00FC772B"/>
    <w:rsid w:val="00FD1D54"/>
    <w:rsid w:val="00FD2183"/>
    <w:rsid w:val="00FD4A22"/>
    <w:rsid w:val="00FD5C47"/>
    <w:rsid w:val="00FD6E0E"/>
    <w:rsid w:val="00FE0135"/>
    <w:rsid w:val="00FE0713"/>
    <w:rsid w:val="00FE1594"/>
    <w:rsid w:val="00FE15D5"/>
    <w:rsid w:val="00FE2C8B"/>
    <w:rsid w:val="00FE4975"/>
    <w:rsid w:val="00FE5BCB"/>
    <w:rsid w:val="00FE6EE1"/>
    <w:rsid w:val="00FF0504"/>
    <w:rsid w:val="00FF05F7"/>
    <w:rsid w:val="00FF17BA"/>
    <w:rsid w:val="00FF27F7"/>
    <w:rsid w:val="00FF34C9"/>
    <w:rsid w:val="00FF5D39"/>
    <w:rsid w:val="00FF5FE8"/>
    <w:rsid w:val="00FF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A06E6E-82EE-467A-9E1D-A0898ECB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E94"/>
    <w:pPr>
      <w:widowControl w:val="0"/>
      <w:jc w:val="both"/>
    </w:pPr>
    <w:rPr>
      <w:kern w:val="2"/>
      <w:sz w:val="21"/>
      <w:szCs w:val="24"/>
    </w:rPr>
  </w:style>
  <w:style w:type="paragraph" w:styleId="1">
    <w:name w:val="heading 1"/>
    <w:basedOn w:val="a"/>
    <w:next w:val="a"/>
    <w:link w:val="1Char"/>
    <w:qFormat/>
    <w:rsid w:val="00684E94"/>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684E94"/>
    <w:pPr>
      <w:keepNext/>
      <w:keepLines/>
      <w:spacing w:beforeLines="100" w:afterLines="100"/>
      <w:ind w:firstLineChars="200" w:firstLine="200"/>
      <w:outlineLvl w:val="1"/>
    </w:pPr>
    <w:rPr>
      <w:rFonts w:ascii="Arial" w:hAnsi="Arial"/>
      <w:b/>
      <w:sz w:val="28"/>
      <w:szCs w:val="28"/>
    </w:rPr>
  </w:style>
  <w:style w:type="paragraph" w:styleId="3">
    <w:name w:val="heading 3"/>
    <w:basedOn w:val="a"/>
    <w:next w:val="a"/>
    <w:link w:val="3Char"/>
    <w:qFormat/>
    <w:rsid w:val="00684E94"/>
    <w:pPr>
      <w:numPr>
        <w:ilvl w:val="2"/>
        <w:numId w:val="2"/>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684E94"/>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84E94"/>
    <w:pPr>
      <w:keepNext/>
      <w:keepLines/>
      <w:numPr>
        <w:ilvl w:val="4"/>
        <w:numId w:val="1"/>
      </w:numPr>
      <w:spacing w:before="280" w:after="290" w:line="376" w:lineRule="auto"/>
      <w:ind w:firstLineChars="200" w:firstLine="200"/>
      <w:outlineLvl w:val="4"/>
    </w:pPr>
    <w:rPr>
      <w:b/>
      <w:bCs/>
      <w:sz w:val="28"/>
      <w:szCs w:val="28"/>
    </w:rPr>
  </w:style>
  <w:style w:type="paragraph" w:styleId="6">
    <w:name w:val="heading 6"/>
    <w:basedOn w:val="a"/>
    <w:next w:val="a"/>
    <w:link w:val="6Char"/>
    <w:qFormat/>
    <w:rsid w:val="00684E94"/>
    <w:pPr>
      <w:keepNext/>
      <w:keepLines/>
      <w:numPr>
        <w:ilvl w:val="5"/>
        <w:numId w:val="1"/>
      </w:numPr>
      <w:spacing w:before="240" w:after="64" w:line="320" w:lineRule="auto"/>
      <w:ind w:firstLineChars="200" w:firstLine="200"/>
      <w:outlineLvl w:val="5"/>
    </w:pPr>
    <w:rPr>
      <w:rFonts w:ascii="Arial" w:eastAsia="黑体" w:hAnsi="Arial"/>
      <w:b/>
      <w:bCs/>
      <w:sz w:val="24"/>
    </w:rPr>
  </w:style>
  <w:style w:type="paragraph" w:styleId="7">
    <w:name w:val="heading 7"/>
    <w:basedOn w:val="a"/>
    <w:next w:val="a"/>
    <w:link w:val="7Char"/>
    <w:qFormat/>
    <w:rsid w:val="00684E94"/>
    <w:pPr>
      <w:keepNext/>
      <w:keepLines/>
      <w:numPr>
        <w:ilvl w:val="6"/>
        <w:numId w:val="1"/>
      </w:numPr>
      <w:spacing w:before="240" w:after="64" w:line="320" w:lineRule="auto"/>
      <w:ind w:firstLineChars="200" w:firstLine="200"/>
      <w:outlineLvl w:val="6"/>
    </w:pPr>
    <w:rPr>
      <w:b/>
      <w:bCs/>
      <w:sz w:val="24"/>
    </w:rPr>
  </w:style>
  <w:style w:type="paragraph" w:styleId="8">
    <w:name w:val="heading 8"/>
    <w:basedOn w:val="a"/>
    <w:next w:val="a"/>
    <w:link w:val="8Char"/>
    <w:qFormat/>
    <w:rsid w:val="00684E94"/>
    <w:pPr>
      <w:keepNext/>
      <w:keepLines/>
      <w:numPr>
        <w:ilvl w:val="7"/>
        <w:numId w:val="1"/>
      </w:numPr>
      <w:spacing w:before="240" w:after="64" w:line="320" w:lineRule="auto"/>
      <w:ind w:firstLineChars="200" w:firstLine="200"/>
      <w:outlineLvl w:val="7"/>
    </w:pPr>
    <w:rPr>
      <w:rFonts w:ascii="Arial" w:eastAsia="黑体" w:hAnsi="Arial"/>
      <w:sz w:val="24"/>
    </w:rPr>
  </w:style>
  <w:style w:type="paragraph" w:styleId="9">
    <w:name w:val="heading 9"/>
    <w:basedOn w:val="a"/>
    <w:next w:val="a"/>
    <w:link w:val="9Char"/>
    <w:qFormat/>
    <w:rsid w:val="00684E94"/>
    <w:pPr>
      <w:keepNext/>
      <w:keepLines/>
      <w:numPr>
        <w:ilvl w:val="8"/>
        <w:numId w:val="1"/>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autoRedefine/>
    <w:rsid w:val="00684E94"/>
    <w:pPr>
      <w:tabs>
        <w:tab w:val="num" w:pos="360"/>
      </w:tabs>
    </w:pPr>
    <w:rPr>
      <w:sz w:val="24"/>
    </w:rPr>
  </w:style>
  <w:style w:type="paragraph" w:customStyle="1" w:styleId="211">
    <w:name w:val="样式 标题 2 + 段前: 1 行 段后: 1 行"/>
    <w:basedOn w:val="2"/>
    <w:rsid w:val="00684E94"/>
    <w:pPr>
      <w:tabs>
        <w:tab w:val="num" w:pos="3243"/>
      </w:tabs>
      <w:spacing w:before="447" w:after="447"/>
      <w:ind w:left="3243" w:hanging="720"/>
    </w:pPr>
    <w:rPr>
      <w:b w:val="0"/>
      <w:szCs w:val="20"/>
    </w:rPr>
  </w:style>
  <w:style w:type="paragraph" w:customStyle="1" w:styleId="CharCharCharCharCharCharChar">
    <w:name w:val="正文文字 Char Char Char Char Char Char Char"/>
    <w:basedOn w:val="a"/>
    <w:next w:val="30"/>
    <w:rsid w:val="00684E94"/>
    <w:pPr>
      <w:tabs>
        <w:tab w:val="num" w:pos="780"/>
      </w:tabs>
      <w:spacing w:after="120"/>
      <w:ind w:left="780" w:hanging="360"/>
    </w:pPr>
    <w:rPr>
      <w:sz w:val="16"/>
      <w:szCs w:val="16"/>
    </w:rPr>
  </w:style>
  <w:style w:type="paragraph" w:styleId="30">
    <w:name w:val="Body Text 3"/>
    <w:basedOn w:val="a"/>
    <w:link w:val="3Char0"/>
    <w:rsid w:val="00684E94"/>
    <w:pPr>
      <w:spacing w:after="120"/>
    </w:pPr>
    <w:rPr>
      <w:sz w:val="16"/>
      <w:szCs w:val="16"/>
    </w:rPr>
  </w:style>
  <w:style w:type="paragraph" w:styleId="10">
    <w:name w:val="toc 1"/>
    <w:basedOn w:val="a"/>
    <w:next w:val="a"/>
    <w:autoRedefine/>
    <w:uiPriority w:val="39"/>
    <w:rsid w:val="00684E94"/>
    <w:pPr>
      <w:tabs>
        <w:tab w:val="right" w:leader="dot" w:pos="8296"/>
      </w:tabs>
      <w:jc w:val="left"/>
    </w:pPr>
    <w:rPr>
      <w:rFonts w:ascii="宋体" w:eastAsia="黑体" w:hAnsi="宋体"/>
      <w:caps/>
      <w:noProof/>
      <w:sz w:val="24"/>
      <w:szCs w:val="28"/>
    </w:rPr>
  </w:style>
  <w:style w:type="paragraph" w:styleId="20">
    <w:name w:val="toc 2"/>
    <w:basedOn w:val="a"/>
    <w:next w:val="a"/>
    <w:autoRedefine/>
    <w:uiPriority w:val="39"/>
    <w:rsid w:val="00923A51"/>
    <w:pPr>
      <w:tabs>
        <w:tab w:val="left" w:pos="2100"/>
        <w:tab w:val="right" w:leader="dot" w:pos="8268"/>
      </w:tabs>
      <w:snapToGrid w:val="0"/>
      <w:spacing w:line="360" w:lineRule="auto"/>
      <w:ind w:leftChars="152" w:left="319" w:firstLineChars="348" w:firstLine="731"/>
      <w:jc w:val="left"/>
    </w:pPr>
    <w:rPr>
      <w:rFonts w:eastAsia="仿宋_GB2312"/>
      <w:smallCaps/>
      <w:noProof/>
      <w:szCs w:val="20"/>
    </w:rPr>
  </w:style>
  <w:style w:type="paragraph" w:customStyle="1" w:styleId="11">
    <w:name w:val="样式 标题 1 + 黑体 非加粗"/>
    <w:basedOn w:val="1"/>
    <w:rsid w:val="00684E94"/>
    <w:pPr>
      <w:pageBreakBefore/>
    </w:pPr>
    <w:rPr>
      <w:rFonts w:hAnsi="黑体"/>
      <w:b/>
    </w:rPr>
  </w:style>
  <w:style w:type="paragraph" w:customStyle="1" w:styleId="111">
    <w:name w:val="样式 标题 1 + 段前: 1 行 段后: 1 行"/>
    <w:basedOn w:val="1"/>
    <w:rsid w:val="00684E94"/>
    <w:pPr>
      <w:pageBreakBefore/>
    </w:pPr>
    <w:rPr>
      <w:szCs w:val="20"/>
    </w:rPr>
  </w:style>
  <w:style w:type="paragraph" w:customStyle="1" w:styleId="115">
    <w:name w:val="样式 标题 1 + 段前: 1.5 行"/>
    <w:basedOn w:val="a"/>
    <w:rsid w:val="00684E94"/>
    <w:pPr>
      <w:tabs>
        <w:tab w:val="num" w:pos="990"/>
      </w:tabs>
      <w:ind w:left="990" w:hanging="840"/>
    </w:pPr>
    <w:rPr>
      <w:sz w:val="24"/>
      <w:szCs w:val="20"/>
    </w:rPr>
  </w:style>
  <w:style w:type="paragraph" w:customStyle="1" w:styleId="21">
    <w:name w:val="样式 首行缩进:  2 字符"/>
    <w:basedOn w:val="a"/>
    <w:rsid w:val="00684E94"/>
    <w:pPr>
      <w:spacing w:before="100" w:beforeAutospacing="1" w:after="100" w:afterAutospacing="1" w:line="360" w:lineRule="auto"/>
      <w:ind w:firstLineChars="200" w:firstLine="480"/>
    </w:pPr>
    <w:rPr>
      <w:szCs w:val="20"/>
    </w:rPr>
  </w:style>
  <w:style w:type="paragraph" w:styleId="a3">
    <w:name w:val="header"/>
    <w:basedOn w:val="a"/>
    <w:link w:val="Char"/>
    <w:uiPriority w:val="99"/>
    <w:rsid w:val="00684E94"/>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4">
    <w:name w:val="page number"/>
    <w:basedOn w:val="a0"/>
    <w:rsid w:val="00684E94"/>
  </w:style>
  <w:style w:type="paragraph" w:styleId="a5">
    <w:name w:val="footer"/>
    <w:basedOn w:val="a"/>
    <w:link w:val="Char0"/>
    <w:uiPriority w:val="99"/>
    <w:rsid w:val="00684E94"/>
    <w:pPr>
      <w:tabs>
        <w:tab w:val="center" w:pos="4153"/>
        <w:tab w:val="right" w:pos="8306"/>
      </w:tabs>
      <w:snapToGrid w:val="0"/>
      <w:ind w:firstLineChars="200" w:firstLine="200"/>
      <w:jc w:val="left"/>
    </w:pPr>
    <w:rPr>
      <w:rFonts w:eastAsia="仿宋_GB2312"/>
      <w:sz w:val="18"/>
      <w:szCs w:val="20"/>
    </w:rPr>
  </w:style>
  <w:style w:type="paragraph" w:customStyle="1" w:styleId="2111111">
    <w:name w:val="样式 样式 样式 标题 2 + 段前: 1 行 段后: 1 行1 + 段前: 1 行 段后: 1 行 + 段前: 1 行 段后..."/>
    <w:basedOn w:val="a"/>
    <w:rsid w:val="00684E94"/>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
    <w:rsid w:val="00684E94"/>
    <w:pPr>
      <w:ind w:firstLineChars="0" w:firstLine="0"/>
    </w:pPr>
    <w:rPr>
      <w:bCs/>
      <w:szCs w:val="20"/>
    </w:rPr>
  </w:style>
  <w:style w:type="paragraph" w:customStyle="1" w:styleId="211111">
    <w:name w:val="样式 样式 标题 2 + 段前: 1 行 段后: 1 行1 + 段前: 1 行 段后: 1 行"/>
    <w:basedOn w:val="2111"/>
    <w:rsid w:val="00684E94"/>
  </w:style>
  <w:style w:type="character" w:customStyle="1" w:styleId="big1">
    <w:name w:val="big1"/>
    <w:rsid w:val="00684E94"/>
    <w:rPr>
      <w:sz w:val="22"/>
      <w:szCs w:val="22"/>
    </w:rPr>
  </w:style>
  <w:style w:type="character" w:customStyle="1" w:styleId="read1">
    <w:name w:val="read1"/>
    <w:rsid w:val="00684E94"/>
    <w:rPr>
      <w:rFonts w:ascii="ˎ̥" w:hAnsi="ˎ̥" w:hint="default"/>
      <w:strike w:val="0"/>
      <w:dstrike w:val="0"/>
      <w:color w:val="000000"/>
      <w:u w:val="none"/>
      <w:effect w:val="none"/>
    </w:rPr>
  </w:style>
  <w:style w:type="paragraph" w:styleId="a6">
    <w:name w:val="Title"/>
    <w:basedOn w:val="a"/>
    <w:link w:val="Char1"/>
    <w:qFormat/>
    <w:rsid w:val="00684E94"/>
    <w:pPr>
      <w:spacing w:before="240" w:after="60"/>
      <w:jc w:val="center"/>
      <w:outlineLvl w:val="0"/>
    </w:pPr>
    <w:rPr>
      <w:rFonts w:ascii="Arial" w:hAnsi="Arial" w:cs="Arial"/>
      <w:b/>
      <w:bCs/>
      <w:sz w:val="32"/>
      <w:szCs w:val="32"/>
    </w:rPr>
  </w:style>
  <w:style w:type="paragraph" w:styleId="a7">
    <w:name w:val="Closing"/>
    <w:basedOn w:val="a"/>
    <w:link w:val="Char2"/>
    <w:rsid w:val="00684E94"/>
    <w:pPr>
      <w:ind w:leftChars="2100" w:left="100"/>
    </w:pPr>
  </w:style>
  <w:style w:type="paragraph" w:styleId="a8">
    <w:name w:val="List Number"/>
    <w:basedOn w:val="a"/>
    <w:rsid w:val="00684E94"/>
    <w:pPr>
      <w:tabs>
        <w:tab w:val="num" w:pos="360"/>
      </w:tabs>
      <w:ind w:left="360" w:hangingChars="200" w:hanging="360"/>
    </w:pPr>
  </w:style>
  <w:style w:type="paragraph" w:styleId="22">
    <w:name w:val="List Number 2"/>
    <w:basedOn w:val="a"/>
    <w:rsid w:val="00684E94"/>
    <w:pPr>
      <w:tabs>
        <w:tab w:val="num" w:pos="780"/>
      </w:tabs>
      <w:ind w:leftChars="200" w:left="780" w:hangingChars="200" w:hanging="360"/>
    </w:pPr>
  </w:style>
  <w:style w:type="paragraph" w:styleId="31">
    <w:name w:val="List Number 3"/>
    <w:basedOn w:val="a"/>
    <w:rsid w:val="00684E94"/>
    <w:pPr>
      <w:tabs>
        <w:tab w:val="num" w:pos="1200"/>
      </w:tabs>
      <w:ind w:leftChars="400" w:left="1200" w:hangingChars="200" w:hanging="360"/>
    </w:pPr>
  </w:style>
  <w:style w:type="paragraph" w:styleId="40">
    <w:name w:val="List Number 4"/>
    <w:basedOn w:val="a"/>
    <w:rsid w:val="00684E94"/>
    <w:pPr>
      <w:tabs>
        <w:tab w:val="num" w:pos="1620"/>
      </w:tabs>
      <w:ind w:leftChars="600" w:left="1620" w:hangingChars="200" w:hanging="360"/>
    </w:pPr>
  </w:style>
  <w:style w:type="paragraph" w:styleId="50">
    <w:name w:val="List Number 5"/>
    <w:basedOn w:val="a"/>
    <w:rsid w:val="00684E94"/>
    <w:pPr>
      <w:tabs>
        <w:tab w:val="num" w:pos="2040"/>
      </w:tabs>
      <w:ind w:leftChars="800" w:left="2040" w:hangingChars="200" w:hanging="360"/>
    </w:pPr>
  </w:style>
  <w:style w:type="paragraph" w:styleId="a9">
    <w:name w:val="List Bullet"/>
    <w:basedOn w:val="a"/>
    <w:autoRedefine/>
    <w:rsid w:val="00684E94"/>
    <w:pPr>
      <w:tabs>
        <w:tab w:val="num" w:pos="360"/>
      </w:tabs>
      <w:ind w:left="360" w:hangingChars="200" w:hanging="360"/>
    </w:pPr>
  </w:style>
  <w:style w:type="paragraph" w:styleId="23">
    <w:name w:val="List Bullet 2"/>
    <w:basedOn w:val="a"/>
    <w:autoRedefine/>
    <w:rsid w:val="00684E94"/>
    <w:pPr>
      <w:tabs>
        <w:tab w:val="num" w:pos="780"/>
      </w:tabs>
      <w:ind w:leftChars="200" w:left="780" w:hangingChars="200" w:hanging="360"/>
    </w:pPr>
  </w:style>
  <w:style w:type="paragraph" w:styleId="32">
    <w:name w:val="List Bullet 3"/>
    <w:basedOn w:val="a"/>
    <w:autoRedefine/>
    <w:rsid w:val="00684E94"/>
    <w:pPr>
      <w:tabs>
        <w:tab w:val="num" w:pos="1200"/>
      </w:tabs>
      <w:ind w:leftChars="400" w:left="1200" w:hangingChars="200" w:hanging="360"/>
    </w:pPr>
  </w:style>
  <w:style w:type="paragraph" w:styleId="41">
    <w:name w:val="List Bullet 4"/>
    <w:basedOn w:val="a"/>
    <w:autoRedefine/>
    <w:rsid w:val="00684E94"/>
    <w:pPr>
      <w:tabs>
        <w:tab w:val="num" w:pos="1620"/>
      </w:tabs>
      <w:ind w:leftChars="600" w:left="1620" w:hangingChars="200" w:hanging="360"/>
    </w:pPr>
  </w:style>
  <w:style w:type="paragraph" w:styleId="51">
    <w:name w:val="List Bullet 5"/>
    <w:basedOn w:val="a"/>
    <w:autoRedefine/>
    <w:rsid w:val="00684E94"/>
    <w:pPr>
      <w:tabs>
        <w:tab w:val="num" w:pos="2040"/>
      </w:tabs>
      <w:ind w:leftChars="800" w:left="2040" w:hangingChars="200" w:hanging="360"/>
    </w:pPr>
  </w:style>
  <w:style w:type="paragraph" w:styleId="aa">
    <w:name w:val="table of figures"/>
    <w:basedOn w:val="a"/>
    <w:next w:val="a"/>
    <w:semiHidden/>
    <w:rsid w:val="00684E94"/>
    <w:pPr>
      <w:ind w:leftChars="200" w:left="840" w:hangingChars="200" w:hanging="420"/>
    </w:pPr>
  </w:style>
  <w:style w:type="paragraph" w:styleId="ab">
    <w:name w:val="Body Text"/>
    <w:basedOn w:val="a"/>
    <w:link w:val="Char3"/>
    <w:rsid w:val="00684E94"/>
    <w:pPr>
      <w:spacing w:after="120"/>
    </w:pPr>
  </w:style>
  <w:style w:type="paragraph" w:styleId="ac">
    <w:name w:val="Body Text First Indent"/>
    <w:basedOn w:val="ab"/>
    <w:link w:val="Char4"/>
    <w:rsid w:val="00684E94"/>
    <w:pPr>
      <w:ind w:firstLineChars="100" w:firstLine="420"/>
    </w:pPr>
  </w:style>
  <w:style w:type="paragraph" w:styleId="ad">
    <w:name w:val="Body Text Indent"/>
    <w:basedOn w:val="a"/>
    <w:link w:val="Char5"/>
    <w:rsid w:val="00684E94"/>
    <w:pPr>
      <w:spacing w:after="120"/>
      <w:ind w:left="420"/>
    </w:pPr>
  </w:style>
  <w:style w:type="paragraph" w:styleId="ae">
    <w:name w:val="Note Heading"/>
    <w:basedOn w:val="a"/>
    <w:next w:val="a"/>
    <w:link w:val="Char6"/>
    <w:rsid w:val="00684E94"/>
    <w:pPr>
      <w:jc w:val="center"/>
    </w:pPr>
  </w:style>
  <w:style w:type="character" w:customStyle="1" w:styleId="font141">
    <w:name w:val="font141"/>
    <w:rsid w:val="00684E94"/>
    <w:rPr>
      <w:rFonts w:ascii="宋体" w:eastAsia="宋体" w:hAnsi="宋体" w:hint="eastAsia"/>
      <w:sz w:val="21"/>
      <w:szCs w:val="21"/>
    </w:rPr>
  </w:style>
  <w:style w:type="character" w:customStyle="1" w:styleId="da">
    <w:name w:val="da"/>
    <w:basedOn w:val="a0"/>
    <w:qFormat/>
    <w:rsid w:val="00684E94"/>
  </w:style>
  <w:style w:type="paragraph" w:customStyle="1" w:styleId="af">
    <w:name w:val="特点"/>
    <w:aliases w:val="表正文,正文非缩进,段1"/>
    <w:basedOn w:val="a"/>
    <w:next w:val="af0"/>
    <w:rsid w:val="00684E94"/>
    <w:pPr>
      <w:ind w:firstLine="420"/>
    </w:pPr>
    <w:rPr>
      <w:szCs w:val="20"/>
    </w:rPr>
  </w:style>
  <w:style w:type="paragraph" w:styleId="af0">
    <w:name w:val="Normal Indent"/>
    <w:aliases w:val="正文缩进1,ALT+Z"/>
    <w:basedOn w:val="a"/>
    <w:rsid w:val="00684E94"/>
    <w:pPr>
      <w:ind w:firstLine="420"/>
    </w:pPr>
  </w:style>
  <w:style w:type="paragraph" w:styleId="33">
    <w:name w:val="Body Text Indent 3"/>
    <w:basedOn w:val="a"/>
    <w:link w:val="3Char1"/>
    <w:rsid w:val="00684E94"/>
    <w:pPr>
      <w:spacing w:after="120"/>
      <w:ind w:left="420"/>
    </w:pPr>
    <w:rPr>
      <w:sz w:val="16"/>
      <w:szCs w:val="16"/>
    </w:rPr>
  </w:style>
  <w:style w:type="paragraph" w:styleId="af1">
    <w:name w:val="Plain Text"/>
    <w:basedOn w:val="a"/>
    <w:link w:val="Char7"/>
    <w:rsid w:val="00684E94"/>
    <w:rPr>
      <w:rFonts w:ascii="宋体" w:hAnsi="Courier New" w:cs="Courier New"/>
      <w:szCs w:val="21"/>
    </w:rPr>
  </w:style>
  <w:style w:type="character" w:styleId="af2">
    <w:name w:val="Hyperlink"/>
    <w:uiPriority w:val="99"/>
    <w:rsid w:val="00684E94"/>
    <w:rPr>
      <w:color w:val="0000FF"/>
      <w:u w:val="single"/>
    </w:rPr>
  </w:style>
  <w:style w:type="paragraph" w:styleId="24">
    <w:name w:val="Body Text Indent 2"/>
    <w:basedOn w:val="a"/>
    <w:link w:val="2Char0"/>
    <w:rsid w:val="00684E94"/>
    <w:pPr>
      <w:spacing w:after="120" w:line="480" w:lineRule="auto"/>
      <w:ind w:left="420"/>
    </w:pPr>
  </w:style>
  <w:style w:type="paragraph" w:styleId="25">
    <w:name w:val="Body Text 2"/>
    <w:basedOn w:val="a"/>
    <w:link w:val="2Char1"/>
    <w:rsid w:val="00684E94"/>
    <w:pPr>
      <w:spacing w:after="120" w:line="480" w:lineRule="auto"/>
    </w:pPr>
  </w:style>
  <w:style w:type="character" w:customStyle="1" w:styleId="12">
    <w:name w:val="已访问的超链接1"/>
    <w:rsid w:val="00684E94"/>
    <w:rPr>
      <w:color w:val="800080"/>
      <w:u w:val="single"/>
    </w:rPr>
  </w:style>
  <w:style w:type="paragraph" w:styleId="HTML">
    <w:name w:val="HTML Preformatted"/>
    <w:basedOn w:val="a"/>
    <w:link w:val="HTMLChar"/>
    <w:uiPriority w:val="99"/>
    <w:rsid w:val="00684E94"/>
    <w:rPr>
      <w:rFonts w:ascii="Courier New" w:hAnsi="Courier New" w:cs="Courier New"/>
      <w:sz w:val="20"/>
      <w:szCs w:val="20"/>
    </w:rPr>
  </w:style>
  <w:style w:type="paragraph" w:styleId="af3">
    <w:name w:val="Normal (Web)"/>
    <w:basedOn w:val="a"/>
    <w:rsid w:val="00684E94"/>
    <w:rPr>
      <w:sz w:val="24"/>
    </w:rPr>
  </w:style>
  <w:style w:type="paragraph" w:styleId="af4">
    <w:name w:val="Subtitle"/>
    <w:basedOn w:val="a"/>
    <w:link w:val="Char8"/>
    <w:qFormat/>
    <w:rsid w:val="00684E94"/>
    <w:pPr>
      <w:spacing w:before="240" w:after="60" w:line="312" w:lineRule="auto"/>
      <w:jc w:val="center"/>
      <w:outlineLvl w:val="1"/>
    </w:pPr>
    <w:rPr>
      <w:rFonts w:ascii="Arial" w:hAnsi="Arial" w:cs="Arial"/>
      <w:b/>
      <w:bCs/>
      <w:kern w:val="28"/>
      <w:sz w:val="32"/>
      <w:szCs w:val="32"/>
    </w:rPr>
  </w:style>
  <w:style w:type="paragraph" w:styleId="af5">
    <w:name w:val="Block Text"/>
    <w:basedOn w:val="a"/>
    <w:rsid w:val="00684E94"/>
    <w:pPr>
      <w:spacing w:after="120"/>
      <w:ind w:left="1440" w:right="1440"/>
    </w:pPr>
  </w:style>
  <w:style w:type="character" w:styleId="af6">
    <w:name w:val="Strong"/>
    <w:uiPriority w:val="99"/>
    <w:qFormat/>
    <w:rsid w:val="00684E94"/>
    <w:rPr>
      <w:b/>
      <w:bCs/>
    </w:rPr>
  </w:style>
  <w:style w:type="paragraph" w:styleId="af7">
    <w:name w:val="Document Map"/>
    <w:basedOn w:val="a"/>
    <w:link w:val="Char9"/>
    <w:semiHidden/>
    <w:rsid w:val="00684E94"/>
    <w:pPr>
      <w:shd w:val="clear" w:color="auto" w:fill="000080"/>
    </w:pPr>
  </w:style>
  <w:style w:type="character" w:styleId="af8">
    <w:name w:val="footnote reference"/>
    <w:semiHidden/>
    <w:rsid w:val="00684E94"/>
    <w:rPr>
      <w:vertAlign w:val="superscript"/>
    </w:rPr>
  </w:style>
  <w:style w:type="paragraph" w:customStyle="1" w:styleId="26">
    <w:name w:val="列表2"/>
    <w:basedOn w:val="a"/>
    <w:next w:val="a6"/>
    <w:rsid w:val="00684E94"/>
    <w:pPr>
      <w:tabs>
        <w:tab w:val="num" w:pos="360"/>
      </w:tabs>
      <w:spacing w:line="360" w:lineRule="auto"/>
    </w:pPr>
    <w:rPr>
      <w:rFonts w:ascii="宋体"/>
      <w:szCs w:val="20"/>
    </w:rPr>
  </w:style>
  <w:style w:type="paragraph" w:customStyle="1" w:styleId="13">
    <w:name w:val="列表1"/>
    <w:basedOn w:val="a"/>
    <w:next w:val="a"/>
    <w:rsid w:val="00684E94"/>
    <w:pPr>
      <w:tabs>
        <w:tab w:val="num" w:pos="644"/>
      </w:tabs>
      <w:spacing w:line="360" w:lineRule="auto"/>
      <w:ind w:left="567" w:hanging="283"/>
    </w:pPr>
    <w:rPr>
      <w:szCs w:val="20"/>
    </w:rPr>
  </w:style>
  <w:style w:type="paragraph" w:customStyle="1" w:styleId="2211">
    <w:name w:val="样式 标题 2 + 首行缩进:  2 字符 段前: 1 行 段后: 1 行"/>
    <w:basedOn w:val="2"/>
    <w:rsid w:val="00684E94"/>
    <w:pPr>
      <w:tabs>
        <w:tab w:val="num" w:pos="1276"/>
      </w:tabs>
      <w:spacing w:beforeLines="0" w:afterLines="0"/>
      <w:ind w:left="851" w:firstLineChars="0" w:firstLine="0"/>
    </w:pPr>
    <w:rPr>
      <w:szCs w:val="20"/>
    </w:rPr>
  </w:style>
  <w:style w:type="paragraph" w:styleId="af9">
    <w:name w:val="Balloon Text"/>
    <w:basedOn w:val="a"/>
    <w:link w:val="Chara"/>
    <w:semiHidden/>
    <w:rsid w:val="00684E94"/>
    <w:rPr>
      <w:sz w:val="18"/>
      <w:szCs w:val="18"/>
    </w:rPr>
  </w:style>
  <w:style w:type="character" w:customStyle="1" w:styleId="read">
    <w:name w:val="read"/>
    <w:basedOn w:val="a0"/>
    <w:rsid w:val="00684E94"/>
  </w:style>
  <w:style w:type="paragraph" w:styleId="afa">
    <w:name w:val="annotation subject"/>
    <w:basedOn w:val="afb"/>
    <w:next w:val="afb"/>
    <w:link w:val="Charb"/>
    <w:semiHidden/>
    <w:rsid w:val="00684E94"/>
    <w:rPr>
      <w:b/>
      <w:bCs/>
    </w:rPr>
  </w:style>
  <w:style w:type="paragraph" w:styleId="afb">
    <w:name w:val="annotation text"/>
    <w:basedOn w:val="a"/>
    <w:link w:val="Charc"/>
    <w:rsid w:val="00684E94"/>
    <w:pPr>
      <w:jc w:val="left"/>
    </w:pPr>
  </w:style>
  <w:style w:type="paragraph" w:customStyle="1" w:styleId="14">
    <w:name w:val="1"/>
    <w:basedOn w:val="a"/>
    <w:rsid w:val="00684E94"/>
    <w:pPr>
      <w:spacing w:before="100" w:beforeAutospacing="1" w:after="120" w:afterAutospacing="1" w:line="360" w:lineRule="auto"/>
      <w:ind w:leftChars="200" w:left="420"/>
    </w:pPr>
  </w:style>
  <w:style w:type="character" w:styleId="afc">
    <w:name w:val="annotation reference"/>
    <w:rsid w:val="00684E94"/>
    <w:rPr>
      <w:sz w:val="21"/>
      <w:szCs w:val="21"/>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
    <w:autoRedefine/>
    <w:rsid w:val="00684E94"/>
    <w:pPr>
      <w:tabs>
        <w:tab w:val="num" w:pos="987"/>
      </w:tabs>
      <w:ind w:left="987" w:hanging="283"/>
    </w:pPr>
    <w:rPr>
      <w:sz w:val="24"/>
    </w:rPr>
  </w:style>
  <w:style w:type="paragraph" w:customStyle="1" w:styleId="afd">
    <w:name w:val="正文所"/>
    <w:basedOn w:val="a"/>
    <w:rsid w:val="006923A2"/>
    <w:pPr>
      <w:spacing w:line="360" w:lineRule="auto"/>
      <w:ind w:firstLineChars="200" w:firstLine="420"/>
    </w:pPr>
  </w:style>
  <w:style w:type="paragraph" w:customStyle="1" w:styleId="ParaChar">
    <w:name w:val="默认段落字体 Para Char"/>
    <w:basedOn w:val="a"/>
    <w:autoRedefine/>
    <w:rsid w:val="00684E94"/>
    <w:pPr>
      <w:tabs>
        <w:tab w:val="num" w:pos="990"/>
      </w:tabs>
      <w:ind w:left="990" w:hanging="840"/>
    </w:pPr>
    <w:rPr>
      <w:sz w:val="24"/>
    </w:rPr>
  </w:style>
  <w:style w:type="paragraph" w:customStyle="1" w:styleId="Chard">
    <w:name w:val="Char"/>
    <w:basedOn w:val="a"/>
    <w:autoRedefine/>
    <w:rsid w:val="00684E94"/>
    <w:pPr>
      <w:tabs>
        <w:tab w:val="num" w:pos="990"/>
      </w:tabs>
      <w:ind w:left="990" w:hanging="840"/>
    </w:pPr>
    <w:rPr>
      <w:sz w:val="24"/>
    </w:rPr>
  </w:style>
  <w:style w:type="paragraph" w:styleId="34">
    <w:name w:val="toc 3"/>
    <w:basedOn w:val="a"/>
    <w:next w:val="a"/>
    <w:autoRedefine/>
    <w:uiPriority w:val="39"/>
    <w:rsid w:val="00AB77B4"/>
    <w:pPr>
      <w:ind w:leftChars="400" w:left="840"/>
    </w:pPr>
  </w:style>
  <w:style w:type="paragraph" w:styleId="42">
    <w:name w:val="toc 4"/>
    <w:basedOn w:val="a"/>
    <w:next w:val="a"/>
    <w:autoRedefine/>
    <w:uiPriority w:val="39"/>
    <w:rsid w:val="00AB77B4"/>
    <w:pPr>
      <w:ind w:leftChars="600" w:left="1260"/>
    </w:pPr>
  </w:style>
  <w:style w:type="paragraph" w:styleId="52">
    <w:name w:val="toc 5"/>
    <w:basedOn w:val="a"/>
    <w:next w:val="a"/>
    <w:autoRedefine/>
    <w:uiPriority w:val="39"/>
    <w:rsid w:val="00AB77B4"/>
    <w:pPr>
      <w:ind w:leftChars="800" w:left="1680"/>
    </w:pPr>
  </w:style>
  <w:style w:type="paragraph" w:styleId="60">
    <w:name w:val="toc 6"/>
    <w:basedOn w:val="a"/>
    <w:next w:val="a"/>
    <w:autoRedefine/>
    <w:uiPriority w:val="39"/>
    <w:rsid w:val="00AB77B4"/>
    <w:pPr>
      <w:ind w:leftChars="1000" w:left="2100"/>
    </w:pPr>
  </w:style>
  <w:style w:type="paragraph" w:styleId="70">
    <w:name w:val="toc 7"/>
    <w:basedOn w:val="a"/>
    <w:next w:val="a"/>
    <w:autoRedefine/>
    <w:uiPriority w:val="39"/>
    <w:rsid w:val="00AB77B4"/>
    <w:pPr>
      <w:ind w:leftChars="1200" w:left="2520"/>
    </w:pPr>
  </w:style>
  <w:style w:type="paragraph" w:styleId="80">
    <w:name w:val="toc 8"/>
    <w:basedOn w:val="a"/>
    <w:next w:val="a"/>
    <w:autoRedefine/>
    <w:uiPriority w:val="39"/>
    <w:rsid w:val="00AB77B4"/>
    <w:pPr>
      <w:ind w:leftChars="1400" w:left="2940"/>
    </w:pPr>
  </w:style>
  <w:style w:type="paragraph" w:styleId="90">
    <w:name w:val="toc 9"/>
    <w:basedOn w:val="a"/>
    <w:next w:val="a"/>
    <w:autoRedefine/>
    <w:uiPriority w:val="39"/>
    <w:rsid w:val="00AB77B4"/>
    <w:pPr>
      <w:ind w:leftChars="1600" w:left="3360"/>
    </w:pPr>
  </w:style>
  <w:style w:type="paragraph" w:customStyle="1" w:styleId="AODocTxt">
    <w:name w:val="AODocTxt"/>
    <w:basedOn w:val="a"/>
    <w:rsid w:val="00785666"/>
    <w:pPr>
      <w:widowControl/>
      <w:spacing w:before="240" w:line="260" w:lineRule="atLeast"/>
      <w:jc w:val="left"/>
    </w:pPr>
    <w:rPr>
      <w:kern w:val="0"/>
      <w:sz w:val="22"/>
      <w:szCs w:val="22"/>
      <w:lang w:val="en-GB" w:eastAsia="en-US"/>
    </w:rPr>
  </w:style>
  <w:style w:type="character" w:styleId="HTML0">
    <w:name w:val="HTML Typewriter"/>
    <w:uiPriority w:val="99"/>
    <w:rsid w:val="00785666"/>
    <w:rPr>
      <w:rFonts w:ascii="Arial Unicode MS" w:eastAsia="Arial Unicode MS" w:hAnsi="Arial Unicode MS" w:cs="Arial Unicode MS"/>
      <w:kern w:val="2"/>
      <w:sz w:val="20"/>
      <w:szCs w:val="20"/>
      <w:lang w:val="en-US" w:eastAsia="zh-CN" w:bidi="ar-SA"/>
    </w:rPr>
  </w:style>
  <w:style w:type="table" w:styleId="afe">
    <w:name w:val="Table Grid"/>
    <w:basedOn w:val="a1"/>
    <w:uiPriority w:val="99"/>
    <w:rsid w:val="00DE27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a"/>
    <w:basedOn w:val="a0"/>
    <w:rsid w:val="00A166BF"/>
  </w:style>
  <w:style w:type="character" w:customStyle="1" w:styleId="text1">
    <w:name w:val="text1"/>
    <w:rsid w:val="00A166BF"/>
    <w:rPr>
      <w:rFonts w:hint="default"/>
      <w:b w:val="0"/>
      <w:bCs w:val="0"/>
      <w:i w:val="0"/>
      <w:iCs w:val="0"/>
      <w:smallCaps w:val="0"/>
      <w:strike w:val="0"/>
      <w:dstrike w:val="0"/>
      <w:color w:val="000000"/>
      <w:sz w:val="18"/>
      <w:szCs w:val="18"/>
      <w:u w:val="none"/>
      <w:effect w:val="none"/>
    </w:rPr>
  </w:style>
  <w:style w:type="character" w:customStyle="1" w:styleId="style21">
    <w:name w:val="style21"/>
    <w:rsid w:val="00A166BF"/>
    <w:rPr>
      <w:rFonts w:ascii="Arial" w:hAnsi="Arial" w:cs="Arial" w:hint="default"/>
    </w:rPr>
  </w:style>
  <w:style w:type="character" w:customStyle="1" w:styleId="fontcolor3">
    <w:name w:val="fontcolor3"/>
    <w:rsid w:val="00A166BF"/>
    <w:rPr>
      <w:color w:val="6C057B"/>
    </w:rPr>
  </w:style>
  <w:style w:type="paragraph" w:customStyle="1" w:styleId="CharCharCharChar1">
    <w:name w:val="Char Char Char Char1"/>
    <w:basedOn w:val="a"/>
    <w:autoRedefine/>
    <w:rsid w:val="00A166BF"/>
    <w:pPr>
      <w:tabs>
        <w:tab w:val="num" w:pos="360"/>
      </w:tabs>
      <w:spacing w:before="312" w:after="312" w:line="360" w:lineRule="auto"/>
    </w:pPr>
    <w:rPr>
      <w:sz w:val="24"/>
    </w:rPr>
  </w:style>
  <w:style w:type="character" w:customStyle="1" w:styleId="15">
    <w:name w:val="15"/>
    <w:basedOn w:val="a0"/>
    <w:rsid w:val="00A166BF"/>
  </w:style>
  <w:style w:type="paragraph" w:customStyle="1" w:styleId="CharCharCharCharCharCharChar0">
    <w:name w:val="Char Char Char Char Char Char Char"/>
    <w:basedOn w:val="a"/>
    <w:rsid w:val="00A166BF"/>
  </w:style>
  <w:style w:type="character" w:customStyle="1" w:styleId="Char">
    <w:name w:val="页眉 Char"/>
    <w:link w:val="a3"/>
    <w:uiPriority w:val="99"/>
    <w:rsid w:val="003E1DB8"/>
    <w:rPr>
      <w:rFonts w:eastAsia="仿宋_GB2312"/>
      <w:kern w:val="2"/>
      <w:sz w:val="18"/>
      <w:lang w:val="en-US" w:eastAsia="zh-CN" w:bidi="ar-SA"/>
    </w:rPr>
  </w:style>
  <w:style w:type="character" w:customStyle="1" w:styleId="Char7">
    <w:name w:val="纯文本 Char"/>
    <w:link w:val="af1"/>
    <w:locked/>
    <w:rsid w:val="009B4925"/>
    <w:rPr>
      <w:rFonts w:ascii="宋体" w:eastAsia="宋体" w:hAnsi="Courier New" w:cs="Courier New"/>
      <w:kern w:val="2"/>
      <w:sz w:val="21"/>
      <w:szCs w:val="21"/>
      <w:lang w:val="en-US" w:eastAsia="zh-CN" w:bidi="ar-SA"/>
    </w:rPr>
  </w:style>
  <w:style w:type="character" w:customStyle="1" w:styleId="CharChar">
    <w:name w:val="Char Char"/>
    <w:semiHidden/>
    <w:locked/>
    <w:rsid w:val="00B82F51"/>
    <w:rPr>
      <w:rFonts w:ascii="宋体" w:eastAsia="宋体" w:hAnsi="Courier New" w:cs="Courier New"/>
      <w:kern w:val="2"/>
      <w:sz w:val="21"/>
      <w:szCs w:val="21"/>
      <w:lang w:val="en-US" w:eastAsia="zh-CN" w:bidi="ar-SA"/>
    </w:rPr>
  </w:style>
  <w:style w:type="character" w:customStyle="1" w:styleId="bluemain1">
    <w:name w:val="bluemain1"/>
    <w:rsid w:val="007D20F5"/>
    <w:rPr>
      <w:strike w:val="0"/>
      <w:dstrike w:val="0"/>
      <w:spacing w:val="23"/>
      <w:sz w:val="18"/>
      <w:szCs w:val="18"/>
      <w:u w:val="none"/>
      <w:effect w:val="none"/>
    </w:rPr>
  </w:style>
  <w:style w:type="paragraph" w:styleId="aff0">
    <w:name w:val="Revision"/>
    <w:hidden/>
    <w:uiPriority w:val="99"/>
    <w:semiHidden/>
    <w:rsid w:val="00632C9B"/>
    <w:rPr>
      <w:kern w:val="2"/>
      <w:sz w:val="21"/>
      <w:szCs w:val="24"/>
    </w:rPr>
  </w:style>
  <w:style w:type="character" w:customStyle="1" w:styleId="CharChar11">
    <w:name w:val="Char Char11"/>
    <w:locked/>
    <w:rsid w:val="001B2837"/>
    <w:rPr>
      <w:rFonts w:ascii="宋体" w:eastAsia="宋体" w:hAnsi="Courier New" w:cs="Courier New"/>
      <w:kern w:val="2"/>
      <w:sz w:val="21"/>
      <w:szCs w:val="21"/>
      <w:lang w:val="en-US" w:eastAsia="zh-CN" w:bidi="ar-SA"/>
    </w:rPr>
  </w:style>
  <w:style w:type="character" w:customStyle="1" w:styleId="Char10">
    <w:name w:val="纯文本 Char1"/>
    <w:semiHidden/>
    <w:locked/>
    <w:rsid w:val="00FA28DD"/>
    <w:rPr>
      <w:rFonts w:ascii="宋体" w:hAnsi="Courier New" w:cs="Courier New"/>
      <w:kern w:val="2"/>
      <w:sz w:val="21"/>
      <w:szCs w:val="21"/>
    </w:rPr>
  </w:style>
  <w:style w:type="character" w:customStyle="1" w:styleId="Char4">
    <w:name w:val="正文首行缩进 Char"/>
    <w:link w:val="ac"/>
    <w:rsid w:val="00E27BC1"/>
    <w:rPr>
      <w:kern w:val="2"/>
      <w:sz w:val="21"/>
      <w:szCs w:val="24"/>
    </w:rPr>
  </w:style>
  <w:style w:type="paragraph" w:customStyle="1" w:styleId="Default">
    <w:name w:val="Default"/>
    <w:rsid w:val="006A16DD"/>
    <w:pPr>
      <w:autoSpaceDE w:val="0"/>
      <w:autoSpaceDN w:val="0"/>
      <w:adjustRightInd w:val="0"/>
    </w:pPr>
    <w:rPr>
      <w:rFonts w:ascii="宋体" w:hAnsi="Arial" w:cs="宋体"/>
      <w:color w:val="000000"/>
      <w:sz w:val="24"/>
      <w:szCs w:val="24"/>
      <w:lang w:val="en-GB"/>
    </w:rPr>
  </w:style>
  <w:style w:type="paragraph" w:styleId="aff1">
    <w:name w:val="List Paragraph"/>
    <w:basedOn w:val="a"/>
    <w:uiPriority w:val="34"/>
    <w:qFormat/>
    <w:rsid w:val="006A16DD"/>
    <w:pPr>
      <w:widowControl/>
      <w:ind w:left="720"/>
      <w:jc w:val="left"/>
    </w:pPr>
    <w:rPr>
      <w:rFonts w:ascii="宋体" w:hAnsi="宋体" w:cs="宋体"/>
      <w:kern w:val="0"/>
      <w:sz w:val="24"/>
      <w:lang w:val="en-GB"/>
    </w:rPr>
  </w:style>
  <w:style w:type="character" w:customStyle="1" w:styleId="1Char">
    <w:name w:val="标题 1 Char"/>
    <w:link w:val="1"/>
    <w:rsid w:val="005C0821"/>
    <w:rPr>
      <w:rFonts w:ascii="黑体" w:eastAsia="黑体"/>
      <w:kern w:val="2"/>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link w:val="2"/>
    <w:rsid w:val="005C0821"/>
    <w:rPr>
      <w:rFonts w:ascii="Arial" w:hAnsi="Arial"/>
      <w:b/>
      <w:kern w:val="2"/>
      <w:sz w:val="28"/>
      <w:szCs w:val="28"/>
    </w:rPr>
  </w:style>
  <w:style w:type="character" w:customStyle="1" w:styleId="3Char">
    <w:name w:val="标题 3 Char"/>
    <w:link w:val="3"/>
    <w:rsid w:val="005C0821"/>
    <w:rPr>
      <w:rFonts w:ascii="仿宋_GB2312" w:eastAsia="仿宋_GB2312"/>
      <w:kern w:val="2"/>
      <w:sz w:val="24"/>
    </w:rPr>
  </w:style>
  <w:style w:type="character" w:customStyle="1" w:styleId="4Char">
    <w:name w:val="标题 4 Char"/>
    <w:link w:val="4"/>
    <w:rsid w:val="005C0821"/>
    <w:rPr>
      <w:rFonts w:ascii="Arial" w:eastAsia="黑体" w:hAnsi="Arial"/>
      <w:b/>
      <w:bCs/>
      <w:kern w:val="2"/>
      <w:sz w:val="28"/>
      <w:szCs w:val="28"/>
    </w:rPr>
  </w:style>
  <w:style w:type="character" w:customStyle="1" w:styleId="5Char">
    <w:name w:val="标题 5 Char"/>
    <w:link w:val="5"/>
    <w:rsid w:val="005C0821"/>
    <w:rPr>
      <w:b/>
      <w:bCs/>
      <w:kern w:val="2"/>
      <w:sz w:val="28"/>
      <w:szCs w:val="28"/>
    </w:rPr>
  </w:style>
  <w:style w:type="character" w:customStyle="1" w:styleId="6Char">
    <w:name w:val="标题 6 Char"/>
    <w:link w:val="6"/>
    <w:rsid w:val="005C0821"/>
    <w:rPr>
      <w:rFonts w:ascii="Arial" w:eastAsia="黑体" w:hAnsi="Arial"/>
      <w:b/>
      <w:bCs/>
      <w:kern w:val="2"/>
      <w:sz w:val="24"/>
      <w:szCs w:val="24"/>
    </w:rPr>
  </w:style>
  <w:style w:type="character" w:customStyle="1" w:styleId="7Char">
    <w:name w:val="标题 7 Char"/>
    <w:link w:val="7"/>
    <w:rsid w:val="005C0821"/>
    <w:rPr>
      <w:b/>
      <w:bCs/>
      <w:kern w:val="2"/>
      <w:sz w:val="24"/>
      <w:szCs w:val="24"/>
    </w:rPr>
  </w:style>
  <w:style w:type="character" w:customStyle="1" w:styleId="8Char">
    <w:name w:val="标题 8 Char"/>
    <w:link w:val="8"/>
    <w:rsid w:val="005C0821"/>
    <w:rPr>
      <w:rFonts w:ascii="Arial" w:eastAsia="黑体" w:hAnsi="Arial"/>
      <w:kern w:val="2"/>
      <w:sz w:val="24"/>
      <w:szCs w:val="24"/>
    </w:rPr>
  </w:style>
  <w:style w:type="character" w:customStyle="1" w:styleId="9Char">
    <w:name w:val="标题 9 Char"/>
    <w:link w:val="9"/>
    <w:rsid w:val="005C0821"/>
    <w:rPr>
      <w:rFonts w:ascii="Arial" w:eastAsia="黑体" w:hAnsi="Arial"/>
      <w:kern w:val="2"/>
      <w:sz w:val="24"/>
      <w:szCs w:val="21"/>
    </w:rPr>
  </w:style>
  <w:style w:type="character" w:customStyle="1" w:styleId="3Char0">
    <w:name w:val="正文文本 3 Char"/>
    <w:link w:val="30"/>
    <w:rsid w:val="005C0821"/>
    <w:rPr>
      <w:kern w:val="2"/>
      <w:sz w:val="16"/>
      <w:szCs w:val="16"/>
    </w:rPr>
  </w:style>
  <w:style w:type="character" w:customStyle="1" w:styleId="Char0">
    <w:name w:val="页脚 Char"/>
    <w:link w:val="a5"/>
    <w:uiPriority w:val="99"/>
    <w:rsid w:val="005C0821"/>
    <w:rPr>
      <w:rFonts w:eastAsia="仿宋_GB2312"/>
      <w:kern w:val="2"/>
      <w:sz w:val="18"/>
    </w:rPr>
  </w:style>
  <w:style w:type="character" w:customStyle="1" w:styleId="Char1">
    <w:name w:val="标题 Char"/>
    <w:link w:val="a6"/>
    <w:rsid w:val="005C0821"/>
    <w:rPr>
      <w:rFonts w:ascii="Arial" w:hAnsi="Arial" w:cs="Arial"/>
      <w:b/>
      <w:bCs/>
      <w:kern w:val="2"/>
      <w:sz w:val="32"/>
      <w:szCs w:val="32"/>
    </w:rPr>
  </w:style>
  <w:style w:type="character" w:customStyle="1" w:styleId="Char2">
    <w:name w:val="结束语 Char"/>
    <w:link w:val="a7"/>
    <w:rsid w:val="005C0821"/>
    <w:rPr>
      <w:kern w:val="2"/>
      <w:sz w:val="21"/>
      <w:szCs w:val="24"/>
    </w:rPr>
  </w:style>
  <w:style w:type="character" w:customStyle="1" w:styleId="Char3">
    <w:name w:val="正文文本 Char"/>
    <w:link w:val="ab"/>
    <w:rsid w:val="005C0821"/>
    <w:rPr>
      <w:kern w:val="2"/>
      <w:sz w:val="21"/>
      <w:szCs w:val="24"/>
    </w:rPr>
  </w:style>
  <w:style w:type="character" w:customStyle="1" w:styleId="Char5">
    <w:name w:val="正文文本缩进 Char"/>
    <w:link w:val="ad"/>
    <w:rsid w:val="005C0821"/>
    <w:rPr>
      <w:kern w:val="2"/>
      <w:sz w:val="21"/>
      <w:szCs w:val="24"/>
    </w:rPr>
  </w:style>
  <w:style w:type="character" w:customStyle="1" w:styleId="Char6">
    <w:name w:val="注释标题 Char"/>
    <w:link w:val="ae"/>
    <w:rsid w:val="005C0821"/>
    <w:rPr>
      <w:kern w:val="2"/>
      <w:sz w:val="21"/>
      <w:szCs w:val="24"/>
    </w:rPr>
  </w:style>
  <w:style w:type="character" w:customStyle="1" w:styleId="3Char1">
    <w:name w:val="正文文本缩进 3 Char"/>
    <w:link w:val="33"/>
    <w:rsid w:val="005C0821"/>
    <w:rPr>
      <w:kern w:val="2"/>
      <w:sz w:val="16"/>
      <w:szCs w:val="16"/>
    </w:rPr>
  </w:style>
  <w:style w:type="character" w:customStyle="1" w:styleId="2Char0">
    <w:name w:val="正文文本缩进 2 Char"/>
    <w:link w:val="24"/>
    <w:rsid w:val="005C0821"/>
    <w:rPr>
      <w:kern w:val="2"/>
      <w:sz w:val="21"/>
      <w:szCs w:val="24"/>
    </w:rPr>
  </w:style>
  <w:style w:type="character" w:customStyle="1" w:styleId="2Char1">
    <w:name w:val="正文文本 2 Char"/>
    <w:link w:val="25"/>
    <w:rsid w:val="005C0821"/>
    <w:rPr>
      <w:kern w:val="2"/>
      <w:sz w:val="21"/>
      <w:szCs w:val="24"/>
    </w:rPr>
  </w:style>
  <w:style w:type="character" w:customStyle="1" w:styleId="HTMLChar">
    <w:name w:val="HTML 预设格式 Char"/>
    <w:link w:val="HTML"/>
    <w:uiPriority w:val="99"/>
    <w:rsid w:val="005C0821"/>
    <w:rPr>
      <w:rFonts w:ascii="Courier New" w:hAnsi="Courier New" w:cs="Courier New"/>
      <w:kern w:val="2"/>
    </w:rPr>
  </w:style>
  <w:style w:type="character" w:customStyle="1" w:styleId="Char8">
    <w:name w:val="副标题 Char"/>
    <w:link w:val="af4"/>
    <w:rsid w:val="005C0821"/>
    <w:rPr>
      <w:rFonts w:ascii="Arial" w:hAnsi="Arial" w:cs="Arial"/>
      <w:b/>
      <w:bCs/>
      <w:kern w:val="28"/>
      <w:sz w:val="32"/>
      <w:szCs w:val="32"/>
    </w:rPr>
  </w:style>
  <w:style w:type="character" w:customStyle="1" w:styleId="Char9">
    <w:name w:val="文档结构图 Char"/>
    <w:link w:val="af7"/>
    <w:semiHidden/>
    <w:rsid w:val="005C0821"/>
    <w:rPr>
      <w:kern w:val="2"/>
      <w:sz w:val="21"/>
      <w:szCs w:val="24"/>
      <w:shd w:val="clear" w:color="auto" w:fill="000080"/>
    </w:rPr>
  </w:style>
  <w:style w:type="character" w:customStyle="1" w:styleId="Chara">
    <w:name w:val="批注框文本 Char"/>
    <w:link w:val="af9"/>
    <w:semiHidden/>
    <w:rsid w:val="005C0821"/>
    <w:rPr>
      <w:kern w:val="2"/>
      <w:sz w:val="18"/>
      <w:szCs w:val="18"/>
    </w:rPr>
  </w:style>
  <w:style w:type="character" w:customStyle="1" w:styleId="Charc">
    <w:name w:val="批注文字 Char"/>
    <w:link w:val="afb"/>
    <w:rsid w:val="005C0821"/>
    <w:rPr>
      <w:kern w:val="2"/>
      <w:sz w:val="21"/>
      <w:szCs w:val="24"/>
    </w:rPr>
  </w:style>
  <w:style w:type="character" w:customStyle="1" w:styleId="Charb">
    <w:name w:val="批注主题 Char"/>
    <w:link w:val="afa"/>
    <w:semiHidden/>
    <w:rsid w:val="005C0821"/>
    <w:rPr>
      <w:b/>
      <w:bCs/>
      <w:kern w:val="2"/>
      <w:sz w:val="21"/>
      <w:szCs w:val="24"/>
    </w:rPr>
  </w:style>
  <w:style w:type="paragraph" w:customStyle="1" w:styleId="CM59">
    <w:name w:val="CM59"/>
    <w:basedOn w:val="a"/>
    <w:next w:val="a"/>
    <w:rsid w:val="005C0821"/>
    <w:pPr>
      <w:autoSpaceDE w:val="0"/>
      <w:autoSpaceDN w:val="0"/>
      <w:adjustRightInd w:val="0"/>
      <w:spacing w:after="110"/>
      <w:jc w:val="left"/>
    </w:pPr>
    <w:rPr>
      <w:rFonts w:ascii="宋体"/>
      <w:kern w:val="0"/>
      <w:sz w:val="24"/>
    </w:rPr>
  </w:style>
  <w:style w:type="paragraph" w:customStyle="1" w:styleId="CM55">
    <w:name w:val="CM55"/>
    <w:basedOn w:val="a"/>
    <w:next w:val="a"/>
    <w:rsid w:val="005C0821"/>
    <w:pPr>
      <w:autoSpaceDE w:val="0"/>
      <w:autoSpaceDN w:val="0"/>
      <w:adjustRightInd w:val="0"/>
      <w:spacing w:after="270"/>
      <w:jc w:val="left"/>
    </w:pPr>
    <w:rPr>
      <w:rFonts w:asci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3142">
      <w:bodyDiv w:val="1"/>
      <w:marLeft w:val="0"/>
      <w:marRight w:val="0"/>
      <w:marTop w:val="0"/>
      <w:marBottom w:val="0"/>
      <w:divBdr>
        <w:top w:val="none" w:sz="0" w:space="0" w:color="auto"/>
        <w:left w:val="none" w:sz="0" w:space="0" w:color="auto"/>
        <w:bottom w:val="none" w:sz="0" w:space="0" w:color="auto"/>
        <w:right w:val="none" w:sz="0" w:space="0" w:color="auto"/>
      </w:divBdr>
    </w:div>
    <w:div w:id="59987647">
      <w:bodyDiv w:val="1"/>
      <w:marLeft w:val="0"/>
      <w:marRight w:val="0"/>
      <w:marTop w:val="0"/>
      <w:marBottom w:val="0"/>
      <w:divBdr>
        <w:top w:val="none" w:sz="0" w:space="0" w:color="auto"/>
        <w:left w:val="none" w:sz="0" w:space="0" w:color="auto"/>
        <w:bottom w:val="none" w:sz="0" w:space="0" w:color="auto"/>
        <w:right w:val="none" w:sz="0" w:space="0" w:color="auto"/>
      </w:divBdr>
    </w:div>
    <w:div w:id="61177724">
      <w:bodyDiv w:val="1"/>
      <w:marLeft w:val="0"/>
      <w:marRight w:val="0"/>
      <w:marTop w:val="0"/>
      <w:marBottom w:val="0"/>
      <w:divBdr>
        <w:top w:val="none" w:sz="0" w:space="0" w:color="auto"/>
        <w:left w:val="none" w:sz="0" w:space="0" w:color="auto"/>
        <w:bottom w:val="none" w:sz="0" w:space="0" w:color="auto"/>
        <w:right w:val="none" w:sz="0" w:space="0" w:color="auto"/>
      </w:divBdr>
    </w:div>
    <w:div w:id="93526885">
      <w:bodyDiv w:val="1"/>
      <w:marLeft w:val="0"/>
      <w:marRight w:val="0"/>
      <w:marTop w:val="0"/>
      <w:marBottom w:val="0"/>
      <w:divBdr>
        <w:top w:val="none" w:sz="0" w:space="0" w:color="auto"/>
        <w:left w:val="none" w:sz="0" w:space="0" w:color="auto"/>
        <w:bottom w:val="none" w:sz="0" w:space="0" w:color="auto"/>
        <w:right w:val="none" w:sz="0" w:space="0" w:color="auto"/>
      </w:divBdr>
    </w:div>
    <w:div w:id="101002926">
      <w:bodyDiv w:val="1"/>
      <w:marLeft w:val="0"/>
      <w:marRight w:val="0"/>
      <w:marTop w:val="0"/>
      <w:marBottom w:val="0"/>
      <w:divBdr>
        <w:top w:val="none" w:sz="0" w:space="0" w:color="auto"/>
        <w:left w:val="none" w:sz="0" w:space="0" w:color="auto"/>
        <w:bottom w:val="none" w:sz="0" w:space="0" w:color="auto"/>
        <w:right w:val="none" w:sz="0" w:space="0" w:color="auto"/>
      </w:divBdr>
    </w:div>
    <w:div w:id="108935976">
      <w:bodyDiv w:val="1"/>
      <w:marLeft w:val="0"/>
      <w:marRight w:val="0"/>
      <w:marTop w:val="0"/>
      <w:marBottom w:val="0"/>
      <w:divBdr>
        <w:top w:val="none" w:sz="0" w:space="0" w:color="auto"/>
        <w:left w:val="none" w:sz="0" w:space="0" w:color="auto"/>
        <w:bottom w:val="none" w:sz="0" w:space="0" w:color="auto"/>
        <w:right w:val="none" w:sz="0" w:space="0" w:color="auto"/>
      </w:divBdr>
    </w:div>
    <w:div w:id="122769878">
      <w:bodyDiv w:val="1"/>
      <w:marLeft w:val="0"/>
      <w:marRight w:val="0"/>
      <w:marTop w:val="0"/>
      <w:marBottom w:val="0"/>
      <w:divBdr>
        <w:top w:val="none" w:sz="0" w:space="0" w:color="auto"/>
        <w:left w:val="none" w:sz="0" w:space="0" w:color="auto"/>
        <w:bottom w:val="none" w:sz="0" w:space="0" w:color="auto"/>
        <w:right w:val="none" w:sz="0" w:space="0" w:color="auto"/>
      </w:divBdr>
    </w:div>
    <w:div w:id="130834308">
      <w:bodyDiv w:val="1"/>
      <w:marLeft w:val="0"/>
      <w:marRight w:val="0"/>
      <w:marTop w:val="0"/>
      <w:marBottom w:val="0"/>
      <w:divBdr>
        <w:top w:val="none" w:sz="0" w:space="0" w:color="auto"/>
        <w:left w:val="none" w:sz="0" w:space="0" w:color="auto"/>
        <w:bottom w:val="none" w:sz="0" w:space="0" w:color="auto"/>
        <w:right w:val="none" w:sz="0" w:space="0" w:color="auto"/>
      </w:divBdr>
    </w:div>
    <w:div w:id="135605281">
      <w:bodyDiv w:val="1"/>
      <w:marLeft w:val="0"/>
      <w:marRight w:val="0"/>
      <w:marTop w:val="0"/>
      <w:marBottom w:val="0"/>
      <w:divBdr>
        <w:top w:val="none" w:sz="0" w:space="0" w:color="auto"/>
        <w:left w:val="none" w:sz="0" w:space="0" w:color="auto"/>
        <w:bottom w:val="none" w:sz="0" w:space="0" w:color="auto"/>
        <w:right w:val="none" w:sz="0" w:space="0" w:color="auto"/>
      </w:divBdr>
    </w:div>
    <w:div w:id="150799665">
      <w:bodyDiv w:val="1"/>
      <w:marLeft w:val="0"/>
      <w:marRight w:val="0"/>
      <w:marTop w:val="0"/>
      <w:marBottom w:val="0"/>
      <w:divBdr>
        <w:top w:val="none" w:sz="0" w:space="0" w:color="auto"/>
        <w:left w:val="none" w:sz="0" w:space="0" w:color="auto"/>
        <w:bottom w:val="none" w:sz="0" w:space="0" w:color="auto"/>
        <w:right w:val="none" w:sz="0" w:space="0" w:color="auto"/>
      </w:divBdr>
    </w:div>
    <w:div w:id="161242065">
      <w:bodyDiv w:val="1"/>
      <w:marLeft w:val="0"/>
      <w:marRight w:val="0"/>
      <w:marTop w:val="0"/>
      <w:marBottom w:val="0"/>
      <w:divBdr>
        <w:top w:val="none" w:sz="0" w:space="0" w:color="auto"/>
        <w:left w:val="none" w:sz="0" w:space="0" w:color="auto"/>
        <w:bottom w:val="none" w:sz="0" w:space="0" w:color="auto"/>
        <w:right w:val="none" w:sz="0" w:space="0" w:color="auto"/>
      </w:divBdr>
    </w:div>
    <w:div w:id="170072222">
      <w:bodyDiv w:val="1"/>
      <w:marLeft w:val="0"/>
      <w:marRight w:val="0"/>
      <w:marTop w:val="0"/>
      <w:marBottom w:val="0"/>
      <w:divBdr>
        <w:top w:val="none" w:sz="0" w:space="0" w:color="auto"/>
        <w:left w:val="none" w:sz="0" w:space="0" w:color="auto"/>
        <w:bottom w:val="none" w:sz="0" w:space="0" w:color="auto"/>
        <w:right w:val="none" w:sz="0" w:space="0" w:color="auto"/>
      </w:divBdr>
    </w:div>
    <w:div w:id="178089315">
      <w:bodyDiv w:val="1"/>
      <w:marLeft w:val="0"/>
      <w:marRight w:val="0"/>
      <w:marTop w:val="0"/>
      <w:marBottom w:val="0"/>
      <w:divBdr>
        <w:top w:val="none" w:sz="0" w:space="0" w:color="auto"/>
        <w:left w:val="none" w:sz="0" w:space="0" w:color="auto"/>
        <w:bottom w:val="none" w:sz="0" w:space="0" w:color="auto"/>
        <w:right w:val="none" w:sz="0" w:space="0" w:color="auto"/>
      </w:divBdr>
    </w:div>
    <w:div w:id="185020697">
      <w:bodyDiv w:val="1"/>
      <w:marLeft w:val="0"/>
      <w:marRight w:val="0"/>
      <w:marTop w:val="0"/>
      <w:marBottom w:val="0"/>
      <w:divBdr>
        <w:top w:val="none" w:sz="0" w:space="0" w:color="auto"/>
        <w:left w:val="none" w:sz="0" w:space="0" w:color="auto"/>
        <w:bottom w:val="none" w:sz="0" w:space="0" w:color="auto"/>
        <w:right w:val="none" w:sz="0" w:space="0" w:color="auto"/>
      </w:divBdr>
    </w:div>
    <w:div w:id="185752343">
      <w:bodyDiv w:val="1"/>
      <w:marLeft w:val="0"/>
      <w:marRight w:val="0"/>
      <w:marTop w:val="0"/>
      <w:marBottom w:val="0"/>
      <w:divBdr>
        <w:top w:val="none" w:sz="0" w:space="0" w:color="auto"/>
        <w:left w:val="none" w:sz="0" w:space="0" w:color="auto"/>
        <w:bottom w:val="none" w:sz="0" w:space="0" w:color="auto"/>
        <w:right w:val="none" w:sz="0" w:space="0" w:color="auto"/>
      </w:divBdr>
    </w:div>
    <w:div w:id="210073654">
      <w:bodyDiv w:val="1"/>
      <w:marLeft w:val="0"/>
      <w:marRight w:val="0"/>
      <w:marTop w:val="0"/>
      <w:marBottom w:val="0"/>
      <w:divBdr>
        <w:top w:val="none" w:sz="0" w:space="0" w:color="auto"/>
        <w:left w:val="none" w:sz="0" w:space="0" w:color="auto"/>
        <w:bottom w:val="none" w:sz="0" w:space="0" w:color="auto"/>
        <w:right w:val="none" w:sz="0" w:space="0" w:color="auto"/>
      </w:divBdr>
    </w:div>
    <w:div w:id="240064510">
      <w:bodyDiv w:val="1"/>
      <w:marLeft w:val="0"/>
      <w:marRight w:val="0"/>
      <w:marTop w:val="0"/>
      <w:marBottom w:val="0"/>
      <w:divBdr>
        <w:top w:val="none" w:sz="0" w:space="0" w:color="auto"/>
        <w:left w:val="none" w:sz="0" w:space="0" w:color="auto"/>
        <w:bottom w:val="none" w:sz="0" w:space="0" w:color="auto"/>
        <w:right w:val="none" w:sz="0" w:space="0" w:color="auto"/>
      </w:divBdr>
    </w:div>
    <w:div w:id="246430499">
      <w:bodyDiv w:val="1"/>
      <w:marLeft w:val="0"/>
      <w:marRight w:val="0"/>
      <w:marTop w:val="0"/>
      <w:marBottom w:val="0"/>
      <w:divBdr>
        <w:top w:val="none" w:sz="0" w:space="0" w:color="auto"/>
        <w:left w:val="none" w:sz="0" w:space="0" w:color="auto"/>
        <w:bottom w:val="none" w:sz="0" w:space="0" w:color="auto"/>
        <w:right w:val="none" w:sz="0" w:space="0" w:color="auto"/>
      </w:divBdr>
    </w:div>
    <w:div w:id="267352272">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7613666">
      <w:bodyDiv w:val="1"/>
      <w:marLeft w:val="0"/>
      <w:marRight w:val="0"/>
      <w:marTop w:val="0"/>
      <w:marBottom w:val="0"/>
      <w:divBdr>
        <w:top w:val="none" w:sz="0" w:space="0" w:color="auto"/>
        <w:left w:val="none" w:sz="0" w:space="0" w:color="auto"/>
        <w:bottom w:val="none" w:sz="0" w:space="0" w:color="auto"/>
        <w:right w:val="none" w:sz="0" w:space="0" w:color="auto"/>
      </w:divBdr>
    </w:div>
    <w:div w:id="306133357">
      <w:bodyDiv w:val="1"/>
      <w:marLeft w:val="0"/>
      <w:marRight w:val="0"/>
      <w:marTop w:val="0"/>
      <w:marBottom w:val="0"/>
      <w:divBdr>
        <w:top w:val="none" w:sz="0" w:space="0" w:color="auto"/>
        <w:left w:val="none" w:sz="0" w:space="0" w:color="auto"/>
        <w:bottom w:val="none" w:sz="0" w:space="0" w:color="auto"/>
        <w:right w:val="none" w:sz="0" w:space="0" w:color="auto"/>
      </w:divBdr>
    </w:div>
    <w:div w:id="352344729">
      <w:bodyDiv w:val="1"/>
      <w:marLeft w:val="0"/>
      <w:marRight w:val="0"/>
      <w:marTop w:val="0"/>
      <w:marBottom w:val="0"/>
      <w:divBdr>
        <w:top w:val="none" w:sz="0" w:space="0" w:color="auto"/>
        <w:left w:val="none" w:sz="0" w:space="0" w:color="auto"/>
        <w:bottom w:val="none" w:sz="0" w:space="0" w:color="auto"/>
        <w:right w:val="none" w:sz="0" w:space="0" w:color="auto"/>
      </w:divBdr>
    </w:div>
    <w:div w:id="357851100">
      <w:bodyDiv w:val="1"/>
      <w:marLeft w:val="0"/>
      <w:marRight w:val="0"/>
      <w:marTop w:val="0"/>
      <w:marBottom w:val="0"/>
      <w:divBdr>
        <w:top w:val="none" w:sz="0" w:space="0" w:color="auto"/>
        <w:left w:val="none" w:sz="0" w:space="0" w:color="auto"/>
        <w:bottom w:val="none" w:sz="0" w:space="0" w:color="auto"/>
        <w:right w:val="none" w:sz="0" w:space="0" w:color="auto"/>
      </w:divBdr>
    </w:div>
    <w:div w:id="364406898">
      <w:bodyDiv w:val="1"/>
      <w:marLeft w:val="0"/>
      <w:marRight w:val="0"/>
      <w:marTop w:val="0"/>
      <w:marBottom w:val="0"/>
      <w:divBdr>
        <w:top w:val="none" w:sz="0" w:space="0" w:color="auto"/>
        <w:left w:val="none" w:sz="0" w:space="0" w:color="auto"/>
        <w:bottom w:val="none" w:sz="0" w:space="0" w:color="auto"/>
        <w:right w:val="none" w:sz="0" w:space="0" w:color="auto"/>
      </w:divBdr>
    </w:div>
    <w:div w:id="379862188">
      <w:bodyDiv w:val="1"/>
      <w:marLeft w:val="0"/>
      <w:marRight w:val="0"/>
      <w:marTop w:val="0"/>
      <w:marBottom w:val="0"/>
      <w:divBdr>
        <w:top w:val="none" w:sz="0" w:space="0" w:color="auto"/>
        <w:left w:val="none" w:sz="0" w:space="0" w:color="auto"/>
        <w:bottom w:val="none" w:sz="0" w:space="0" w:color="auto"/>
        <w:right w:val="none" w:sz="0" w:space="0" w:color="auto"/>
      </w:divBdr>
    </w:div>
    <w:div w:id="382288647">
      <w:bodyDiv w:val="1"/>
      <w:marLeft w:val="0"/>
      <w:marRight w:val="0"/>
      <w:marTop w:val="0"/>
      <w:marBottom w:val="0"/>
      <w:divBdr>
        <w:top w:val="none" w:sz="0" w:space="0" w:color="auto"/>
        <w:left w:val="none" w:sz="0" w:space="0" w:color="auto"/>
        <w:bottom w:val="none" w:sz="0" w:space="0" w:color="auto"/>
        <w:right w:val="none" w:sz="0" w:space="0" w:color="auto"/>
      </w:divBdr>
    </w:div>
    <w:div w:id="383068394">
      <w:bodyDiv w:val="1"/>
      <w:marLeft w:val="0"/>
      <w:marRight w:val="0"/>
      <w:marTop w:val="0"/>
      <w:marBottom w:val="0"/>
      <w:divBdr>
        <w:top w:val="none" w:sz="0" w:space="0" w:color="auto"/>
        <w:left w:val="none" w:sz="0" w:space="0" w:color="auto"/>
        <w:bottom w:val="none" w:sz="0" w:space="0" w:color="auto"/>
        <w:right w:val="none" w:sz="0" w:space="0" w:color="auto"/>
      </w:divBdr>
    </w:div>
    <w:div w:id="393699328">
      <w:bodyDiv w:val="1"/>
      <w:marLeft w:val="0"/>
      <w:marRight w:val="0"/>
      <w:marTop w:val="0"/>
      <w:marBottom w:val="0"/>
      <w:divBdr>
        <w:top w:val="none" w:sz="0" w:space="0" w:color="auto"/>
        <w:left w:val="none" w:sz="0" w:space="0" w:color="auto"/>
        <w:bottom w:val="none" w:sz="0" w:space="0" w:color="auto"/>
        <w:right w:val="none" w:sz="0" w:space="0" w:color="auto"/>
      </w:divBdr>
    </w:div>
    <w:div w:id="396054661">
      <w:bodyDiv w:val="1"/>
      <w:marLeft w:val="0"/>
      <w:marRight w:val="0"/>
      <w:marTop w:val="0"/>
      <w:marBottom w:val="0"/>
      <w:divBdr>
        <w:top w:val="none" w:sz="0" w:space="0" w:color="auto"/>
        <w:left w:val="none" w:sz="0" w:space="0" w:color="auto"/>
        <w:bottom w:val="none" w:sz="0" w:space="0" w:color="auto"/>
        <w:right w:val="none" w:sz="0" w:space="0" w:color="auto"/>
      </w:divBdr>
    </w:div>
    <w:div w:id="398526050">
      <w:bodyDiv w:val="1"/>
      <w:marLeft w:val="0"/>
      <w:marRight w:val="0"/>
      <w:marTop w:val="0"/>
      <w:marBottom w:val="0"/>
      <w:divBdr>
        <w:top w:val="none" w:sz="0" w:space="0" w:color="auto"/>
        <w:left w:val="none" w:sz="0" w:space="0" w:color="auto"/>
        <w:bottom w:val="none" w:sz="0" w:space="0" w:color="auto"/>
        <w:right w:val="none" w:sz="0" w:space="0" w:color="auto"/>
      </w:divBdr>
    </w:div>
    <w:div w:id="398938093">
      <w:bodyDiv w:val="1"/>
      <w:marLeft w:val="0"/>
      <w:marRight w:val="0"/>
      <w:marTop w:val="0"/>
      <w:marBottom w:val="0"/>
      <w:divBdr>
        <w:top w:val="none" w:sz="0" w:space="0" w:color="auto"/>
        <w:left w:val="none" w:sz="0" w:space="0" w:color="auto"/>
        <w:bottom w:val="none" w:sz="0" w:space="0" w:color="auto"/>
        <w:right w:val="none" w:sz="0" w:space="0" w:color="auto"/>
      </w:divBdr>
    </w:div>
    <w:div w:id="413866225">
      <w:bodyDiv w:val="1"/>
      <w:marLeft w:val="0"/>
      <w:marRight w:val="0"/>
      <w:marTop w:val="0"/>
      <w:marBottom w:val="0"/>
      <w:divBdr>
        <w:top w:val="none" w:sz="0" w:space="0" w:color="auto"/>
        <w:left w:val="none" w:sz="0" w:space="0" w:color="auto"/>
        <w:bottom w:val="none" w:sz="0" w:space="0" w:color="auto"/>
        <w:right w:val="none" w:sz="0" w:space="0" w:color="auto"/>
      </w:divBdr>
    </w:div>
    <w:div w:id="414522339">
      <w:bodyDiv w:val="1"/>
      <w:marLeft w:val="0"/>
      <w:marRight w:val="0"/>
      <w:marTop w:val="0"/>
      <w:marBottom w:val="0"/>
      <w:divBdr>
        <w:top w:val="none" w:sz="0" w:space="0" w:color="auto"/>
        <w:left w:val="none" w:sz="0" w:space="0" w:color="auto"/>
        <w:bottom w:val="none" w:sz="0" w:space="0" w:color="auto"/>
        <w:right w:val="none" w:sz="0" w:space="0" w:color="auto"/>
      </w:divBdr>
    </w:div>
    <w:div w:id="417556477">
      <w:bodyDiv w:val="1"/>
      <w:marLeft w:val="0"/>
      <w:marRight w:val="0"/>
      <w:marTop w:val="0"/>
      <w:marBottom w:val="0"/>
      <w:divBdr>
        <w:top w:val="none" w:sz="0" w:space="0" w:color="auto"/>
        <w:left w:val="none" w:sz="0" w:space="0" w:color="auto"/>
        <w:bottom w:val="none" w:sz="0" w:space="0" w:color="auto"/>
        <w:right w:val="none" w:sz="0" w:space="0" w:color="auto"/>
      </w:divBdr>
    </w:div>
    <w:div w:id="462773368">
      <w:bodyDiv w:val="1"/>
      <w:marLeft w:val="0"/>
      <w:marRight w:val="0"/>
      <w:marTop w:val="0"/>
      <w:marBottom w:val="0"/>
      <w:divBdr>
        <w:top w:val="none" w:sz="0" w:space="0" w:color="auto"/>
        <w:left w:val="none" w:sz="0" w:space="0" w:color="auto"/>
        <w:bottom w:val="none" w:sz="0" w:space="0" w:color="auto"/>
        <w:right w:val="none" w:sz="0" w:space="0" w:color="auto"/>
      </w:divBdr>
    </w:div>
    <w:div w:id="468942170">
      <w:bodyDiv w:val="1"/>
      <w:marLeft w:val="0"/>
      <w:marRight w:val="0"/>
      <w:marTop w:val="0"/>
      <w:marBottom w:val="0"/>
      <w:divBdr>
        <w:top w:val="none" w:sz="0" w:space="0" w:color="auto"/>
        <w:left w:val="none" w:sz="0" w:space="0" w:color="auto"/>
        <w:bottom w:val="none" w:sz="0" w:space="0" w:color="auto"/>
        <w:right w:val="none" w:sz="0" w:space="0" w:color="auto"/>
      </w:divBdr>
    </w:div>
    <w:div w:id="474840483">
      <w:bodyDiv w:val="1"/>
      <w:marLeft w:val="0"/>
      <w:marRight w:val="0"/>
      <w:marTop w:val="0"/>
      <w:marBottom w:val="0"/>
      <w:divBdr>
        <w:top w:val="none" w:sz="0" w:space="0" w:color="auto"/>
        <w:left w:val="none" w:sz="0" w:space="0" w:color="auto"/>
        <w:bottom w:val="none" w:sz="0" w:space="0" w:color="auto"/>
        <w:right w:val="none" w:sz="0" w:space="0" w:color="auto"/>
      </w:divBdr>
    </w:div>
    <w:div w:id="490684674">
      <w:bodyDiv w:val="1"/>
      <w:marLeft w:val="0"/>
      <w:marRight w:val="0"/>
      <w:marTop w:val="0"/>
      <w:marBottom w:val="0"/>
      <w:divBdr>
        <w:top w:val="none" w:sz="0" w:space="0" w:color="auto"/>
        <w:left w:val="none" w:sz="0" w:space="0" w:color="auto"/>
        <w:bottom w:val="none" w:sz="0" w:space="0" w:color="auto"/>
        <w:right w:val="none" w:sz="0" w:space="0" w:color="auto"/>
      </w:divBdr>
    </w:div>
    <w:div w:id="547112620">
      <w:bodyDiv w:val="1"/>
      <w:marLeft w:val="0"/>
      <w:marRight w:val="0"/>
      <w:marTop w:val="0"/>
      <w:marBottom w:val="0"/>
      <w:divBdr>
        <w:top w:val="none" w:sz="0" w:space="0" w:color="auto"/>
        <w:left w:val="none" w:sz="0" w:space="0" w:color="auto"/>
        <w:bottom w:val="none" w:sz="0" w:space="0" w:color="auto"/>
        <w:right w:val="none" w:sz="0" w:space="0" w:color="auto"/>
      </w:divBdr>
    </w:div>
    <w:div w:id="556358619">
      <w:bodyDiv w:val="1"/>
      <w:marLeft w:val="0"/>
      <w:marRight w:val="0"/>
      <w:marTop w:val="0"/>
      <w:marBottom w:val="0"/>
      <w:divBdr>
        <w:top w:val="none" w:sz="0" w:space="0" w:color="auto"/>
        <w:left w:val="none" w:sz="0" w:space="0" w:color="auto"/>
        <w:bottom w:val="none" w:sz="0" w:space="0" w:color="auto"/>
        <w:right w:val="none" w:sz="0" w:space="0" w:color="auto"/>
      </w:divBdr>
    </w:div>
    <w:div w:id="562063877">
      <w:bodyDiv w:val="1"/>
      <w:marLeft w:val="0"/>
      <w:marRight w:val="0"/>
      <w:marTop w:val="0"/>
      <w:marBottom w:val="0"/>
      <w:divBdr>
        <w:top w:val="none" w:sz="0" w:space="0" w:color="auto"/>
        <w:left w:val="none" w:sz="0" w:space="0" w:color="auto"/>
        <w:bottom w:val="none" w:sz="0" w:space="0" w:color="auto"/>
        <w:right w:val="none" w:sz="0" w:space="0" w:color="auto"/>
      </w:divBdr>
    </w:div>
    <w:div w:id="569464529">
      <w:bodyDiv w:val="1"/>
      <w:marLeft w:val="0"/>
      <w:marRight w:val="0"/>
      <w:marTop w:val="0"/>
      <w:marBottom w:val="0"/>
      <w:divBdr>
        <w:top w:val="none" w:sz="0" w:space="0" w:color="auto"/>
        <w:left w:val="none" w:sz="0" w:space="0" w:color="auto"/>
        <w:bottom w:val="none" w:sz="0" w:space="0" w:color="auto"/>
        <w:right w:val="none" w:sz="0" w:space="0" w:color="auto"/>
      </w:divBdr>
    </w:div>
    <w:div w:id="575164264">
      <w:bodyDiv w:val="1"/>
      <w:marLeft w:val="0"/>
      <w:marRight w:val="0"/>
      <w:marTop w:val="0"/>
      <w:marBottom w:val="0"/>
      <w:divBdr>
        <w:top w:val="none" w:sz="0" w:space="0" w:color="auto"/>
        <w:left w:val="none" w:sz="0" w:space="0" w:color="auto"/>
        <w:bottom w:val="none" w:sz="0" w:space="0" w:color="auto"/>
        <w:right w:val="none" w:sz="0" w:space="0" w:color="auto"/>
      </w:divBdr>
    </w:div>
    <w:div w:id="578901236">
      <w:bodyDiv w:val="1"/>
      <w:marLeft w:val="0"/>
      <w:marRight w:val="0"/>
      <w:marTop w:val="0"/>
      <w:marBottom w:val="0"/>
      <w:divBdr>
        <w:top w:val="none" w:sz="0" w:space="0" w:color="auto"/>
        <w:left w:val="none" w:sz="0" w:space="0" w:color="auto"/>
        <w:bottom w:val="none" w:sz="0" w:space="0" w:color="auto"/>
        <w:right w:val="none" w:sz="0" w:space="0" w:color="auto"/>
      </w:divBdr>
    </w:div>
    <w:div w:id="597448959">
      <w:bodyDiv w:val="1"/>
      <w:marLeft w:val="0"/>
      <w:marRight w:val="0"/>
      <w:marTop w:val="0"/>
      <w:marBottom w:val="0"/>
      <w:divBdr>
        <w:top w:val="none" w:sz="0" w:space="0" w:color="auto"/>
        <w:left w:val="none" w:sz="0" w:space="0" w:color="auto"/>
        <w:bottom w:val="none" w:sz="0" w:space="0" w:color="auto"/>
        <w:right w:val="none" w:sz="0" w:space="0" w:color="auto"/>
      </w:divBdr>
    </w:div>
    <w:div w:id="601302106">
      <w:bodyDiv w:val="1"/>
      <w:marLeft w:val="0"/>
      <w:marRight w:val="0"/>
      <w:marTop w:val="0"/>
      <w:marBottom w:val="0"/>
      <w:divBdr>
        <w:top w:val="none" w:sz="0" w:space="0" w:color="auto"/>
        <w:left w:val="none" w:sz="0" w:space="0" w:color="auto"/>
        <w:bottom w:val="none" w:sz="0" w:space="0" w:color="auto"/>
        <w:right w:val="none" w:sz="0" w:space="0" w:color="auto"/>
      </w:divBdr>
    </w:div>
    <w:div w:id="602803999">
      <w:bodyDiv w:val="1"/>
      <w:marLeft w:val="0"/>
      <w:marRight w:val="0"/>
      <w:marTop w:val="0"/>
      <w:marBottom w:val="0"/>
      <w:divBdr>
        <w:top w:val="none" w:sz="0" w:space="0" w:color="auto"/>
        <w:left w:val="none" w:sz="0" w:space="0" w:color="auto"/>
        <w:bottom w:val="none" w:sz="0" w:space="0" w:color="auto"/>
        <w:right w:val="none" w:sz="0" w:space="0" w:color="auto"/>
      </w:divBdr>
    </w:div>
    <w:div w:id="645477487">
      <w:bodyDiv w:val="1"/>
      <w:marLeft w:val="0"/>
      <w:marRight w:val="0"/>
      <w:marTop w:val="0"/>
      <w:marBottom w:val="0"/>
      <w:divBdr>
        <w:top w:val="none" w:sz="0" w:space="0" w:color="auto"/>
        <w:left w:val="none" w:sz="0" w:space="0" w:color="auto"/>
        <w:bottom w:val="none" w:sz="0" w:space="0" w:color="auto"/>
        <w:right w:val="none" w:sz="0" w:space="0" w:color="auto"/>
      </w:divBdr>
    </w:div>
    <w:div w:id="668868458">
      <w:bodyDiv w:val="1"/>
      <w:marLeft w:val="0"/>
      <w:marRight w:val="0"/>
      <w:marTop w:val="0"/>
      <w:marBottom w:val="0"/>
      <w:divBdr>
        <w:top w:val="none" w:sz="0" w:space="0" w:color="auto"/>
        <w:left w:val="none" w:sz="0" w:space="0" w:color="auto"/>
        <w:bottom w:val="none" w:sz="0" w:space="0" w:color="auto"/>
        <w:right w:val="none" w:sz="0" w:space="0" w:color="auto"/>
      </w:divBdr>
    </w:div>
    <w:div w:id="677924194">
      <w:bodyDiv w:val="1"/>
      <w:marLeft w:val="0"/>
      <w:marRight w:val="0"/>
      <w:marTop w:val="0"/>
      <w:marBottom w:val="0"/>
      <w:divBdr>
        <w:top w:val="none" w:sz="0" w:space="0" w:color="auto"/>
        <w:left w:val="none" w:sz="0" w:space="0" w:color="auto"/>
        <w:bottom w:val="none" w:sz="0" w:space="0" w:color="auto"/>
        <w:right w:val="none" w:sz="0" w:space="0" w:color="auto"/>
      </w:divBdr>
    </w:div>
    <w:div w:id="683097800">
      <w:bodyDiv w:val="1"/>
      <w:marLeft w:val="0"/>
      <w:marRight w:val="0"/>
      <w:marTop w:val="0"/>
      <w:marBottom w:val="0"/>
      <w:divBdr>
        <w:top w:val="none" w:sz="0" w:space="0" w:color="auto"/>
        <w:left w:val="none" w:sz="0" w:space="0" w:color="auto"/>
        <w:bottom w:val="none" w:sz="0" w:space="0" w:color="auto"/>
        <w:right w:val="none" w:sz="0" w:space="0" w:color="auto"/>
      </w:divBdr>
    </w:div>
    <w:div w:id="702512756">
      <w:bodyDiv w:val="1"/>
      <w:marLeft w:val="0"/>
      <w:marRight w:val="0"/>
      <w:marTop w:val="0"/>
      <w:marBottom w:val="0"/>
      <w:divBdr>
        <w:top w:val="none" w:sz="0" w:space="0" w:color="auto"/>
        <w:left w:val="none" w:sz="0" w:space="0" w:color="auto"/>
        <w:bottom w:val="none" w:sz="0" w:space="0" w:color="auto"/>
        <w:right w:val="none" w:sz="0" w:space="0" w:color="auto"/>
      </w:divBdr>
    </w:div>
    <w:div w:id="730231391">
      <w:bodyDiv w:val="1"/>
      <w:marLeft w:val="0"/>
      <w:marRight w:val="0"/>
      <w:marTop w:val="0"/>
      <w:marBottom w:val="0"/>
      <w:divBdr>
        <w:top w:val="none" w:sz="0" w:space="0" w:color="auto"/>
        <w:left w:val="none" w:sz="0" w:space="0" w:color="auto"/>
        <w:bottom w:val="none" w:sz="0" w:space="0" w:color="auto"/>
        <w:right w:val="none" w:sz="0" w:space="0" w:color="auto"/>
      </w:divBdr>
    </w:div>
    <w:div w:id="735007268">
      <w:bodyDiv w:val="1"/>
      <w:marLeft w:val="0"/>
      <w:marRight w:val="0"/>
      <w:marTop w:val="0"/>
      <w:marBottom w:val="0"/>
      <w:divBdr>
        <w:top w:val="none" w:sz="0" w:space="0" w:color="auto"/>
        <w:left w:val="none" w:sz="0" w:space="0" w:color="auto"/>
        <w:bottom w:val="none" w:sz="0" w:space="0" w:color="auto"/>
        <w:right w:val="none" w:sz="0" w:space="0" w:color="auto"/>
      </w:divBdr>
    </w:div>
    <w:div w:id="741215604">
      <w:bodyDiv w:val="1"/>
      <w:marLeft w:val="0"/>
      <w:marRight w:val="0"/>
      <w:marTop w:val="0"/>
      <w:marBottom w:val="0"/>
      <w:divBdr>
        <w:top w:val="none" w:sz="0" w:space="0" w:color="auto"/>
        <w:left w:val="none" w:sz="0" w:space="0" w:color="auto"/>
        <w:bottom w:val="none" w:sz="0" w:space="0" w:color="auto"/>
        <w:right w:val="none" w:sz="0" w:space="0" w:color="auto"/>
      </w:divBdr>
    </w:div>
    <w:div w:id="765345425">
      <w:bodyDiv w:val="1"/>
      <w:marLeft w:val="0"/>
      <w:marRight w:val="0"/>
      <w:marTop w:val="0"/>
      <w:marBottom w:val="0"/>
      <w:divBdr>
        <w:top w:val="none" w:sz="0" w:space="0" w:color="auto"/>
        <w:left w:val="none" w:sz="0" w:space="0" w:color="auto"/>
        <w:bottom w:val="none" w:sz="0" w:space="0" w:color="auto"/>
        <w:right w:val="none" w:sz="0" w:space="0" w:color="auto"/>
      </w:divBdr>
    </w:div>
    <w:div w:id="769590839">
      <w:bodyDiv w:val="1"/>
      <w:marLeft w:val="0"/>
      <w:marRight w:val="0"/>
      <w:marTop w:val="0"/>
      <w:marBottom w:val="0"/>
      <w:divBdr>
        <w:top w:val="none" w:sz="0" w:space="0" w:color="auto"/>
        <w:left w:val="none" w:sz="0" w:space="0" w:color="auto"/>
        <w:bottom w:val="none" w:sz="0" w:space="0" w:color="auto"/>
        <w:right w:val="none" w:sz="0" w:space="0" w:color="auto"/>
      </w:divBdr>
    </w:div>
    <w:div w:id="770391465">
      <w:bodyDiv w:val="1"/>
      <w:marLeft w:val="0"/>
      <w:marRight w:val="0"/>
      <w:marTop w:val="0"/>
      <w:marBottom w:val="0"/>
      <w:divBdr>
        <w:top w:val="none" w:sz="0" w:space="0" w:color="auto"/>
        <w:left w:val="none" w:sz="0" w:space="0" w:color="auto"/>
        <w:bottom w:val="none" w:sz="0" w:space="0" w:color="auto"/>
        <w:right w:val="none" w:sz="0" w:space="0" w:color="auto"/>
      </w:divBdr>
    </w:div>
    <w:div w:id="780301280">
      <w:bodyDiv w:val="1"/>
      <w:marLeft w:val="0"/>
      <w:marRight w:val="0"/>
      <w:marTop w:val="0"/>
      <w:marBottom w:val="0"/>
      <w:divBdr>
        <w:top w:val="none" w:sz="0" w:space="0" w:color="auto"/>
        <w:left w:val="none" w:sz="0" w:space="0" w:color="auto"/>
        <w:bottom w:val="none" w:sz="0" w:space="0" w:color="auto"/>
        <w:right w:val="none" w:sz="0" w:space="0" w:color="auto"/>
      </w:divBdr>
    </w:div>
    <w:div w:id="792359007">
      <w:bodyDiv w:val="1"/>
      <w:marLeft w:val="0"/>
      <w:marRight w:val="0"/>
      <w:marTop w:val="0"/>
      <w:marBottom w:val="0"/>
      <w:divBdr>
        <w:top w:val="none" w:sz="0" w:space="0" w:color="auto"/>
        <w:left w:val="none" w:sz="0" w:space="0" w:color="auto"/>
        <w:bottom w:val="none" w:sz="0" w:space="0" w:color="auto"/>
        <w:right w:val="none" w:sz="0" w:space="0" w:color="auto"/>
      </w:divBdr>
    </w:div>
    <w:div w:id="807088470">
      <w:bodyDiv w:val="1"/>
      <w:marLeft w:val="0"/>
      <w:marRight w:val="0"/>
      <w:marTop w:val="0"/>
      <w:marBottom w:val="0"/>
      <w:divBdr>
        <w:top w:val="none" w:sz="0" w:space="0" w:color="auto"/>
        <w:left w:val="none" w:sz="0" w:space="0" w:color="auto"/>
        <w:bottom w:val="none" w:sz="0" w:space="0" w:color="auto"/>
        <w:right w:val="none" w:sz="0" w:space="0" w:color="auto"/>
      </w:divBdr>
    </w:div>
    <w:div w:id="815608408">
      <w:bodyDiv w:val="1"/>
      <w:marLeft w:val="0"/>
      <w:marRight w:val="0"/>
      <w:marTop w:val="0"/>
      <w:marBottom w:val="0"/>
      <w:divBdr>
        <w:top w:val="none" w:sz="0" w:space="0" w:color="auto"/>
        <w:left w:val="none" w:sz="0" w:space="0" w:color="auto"/>
        <w:bottom w:val="none" w:sz="0" w:space="0" w:color="auto"/>
        <w:right w:val="none" w:sz="0" w:space="0" w:color="auto"/>
      </w:divBdr>
    </w:div>
    <w:div w:id="830800578">
      <w:bodyDiv w:val="1"/>
      <w:marLeft w:val="0"/>
      <w:marRight w:val="0"/>
      <w:marTop w:val="0"/>
      <w:marBottom w:val="0"/>
      <w:divBdr>
        <w:top w:val="none" w:sz="0" w:space="0" w:color="auto"/>
        <w:left w:val="none" w:sz="0" w:space="0" w:color="auto"/>
        <w:bottom w:val="none" w:sz="0" w:space="0" w:color="auto"/>
        <w:right w:val="none" w:sz="0" w:space="0" w:color="auto"/>
      </w:divBdr>
    </w:div>
    <w:div w:id="838495751">
      <w:bodyDiv w:val="1"/>
      <w:marLeft w:val="0"/>
      <w:marRight w:val="0"/>
      <w:marTop w:val="0"/>
      <w:marBottom w:val="0"/>
      <w:divBdr>
        <w:top w:val="none" w:sz="0" w:space="0" w:color="auto"/>
        <w:left w:val="none" w:sz="0" w:space="0" w:color="auto"/>
        <w:bottom w:val="none" w:sz="0" w:space="0" w:color="auto"/>
        <w:right w:val="none" w:sz="0" w:space="0" w:color="auto"/>
      </w:divBdr>
    </w:div>
    <w:div w:id="844826177">
      <w:bodyDiv w:val="1"/>
      <w:marLeft w:val="0"/>
      <w:marRight w:val="0"/>
      <w:marTop w:val="0"/>
      <w:marBottom w:val="0"/>
      <w:divBdr>
        <w:top w:val="none" w:sz="0" w:space="0" w:color="auto"/>
        <w:left w:val="none" w:sz="0" w:space="0" w:color="auto"/>
        <w:bottom w:val="none" w:sz="0" w:space="0" w:color="auto"/>
        <w:right w:val="none" w:sz="0" w:space="0" w:color="auto"/>
      </w:divBdr>
    </w:div>
    <w:div w:id="856623438">
      <w:bodyDiv w:val="1"/>
      <w:marLeft w:val="0"/>
      <w:marRight w:val="0"/>
      <w:marTop w:val="0"/>
      <w:marBottom w:val="0"/>
      <w:divBdr>
        <w:top w:val="none" w:sz="0" w:space="0" w:color="auto"/>
        <w:left w:val="none" w:sz="0" w:space="0" w:color="auto"/>
        <w:bottom w:val="none" w:sz="0" w:space="0" w:color="auto"/>
        <w:right w:val="none" w:sz="0" w:space="0" w:color="auto"/>
      </w:divBdr>
    </w:div>
    <w:div w:id="869293479">
      <w:bodyDiv w:val="1"/>
      <w:marLeft w:val="0"/>
      <w:marRight w:val="0"/>
      <w:marTop w:val="0"/>
      <w:marBottom w:val="0"/>
      <w:divBdr>
        <w:top w:val="none" w:sz="0" w:space="0" w:color="auto"/>
        <w:left w:val="none" w:sz="0" w:space="0" w:color="auto"/>
        <w:bottom w:val="none" w:sz="0" w:space="0" w:color="auto"/>
        <w:right w:val="none" w:sz="0" w:space="0" w:color="auto"/>
      </w:divBdr>
    </w:div>
    <w:div w:id="870149138">
      <w:bodyDiv w:val="1"/>
      <w:marLeft w:val="0"/>
      <w:marRight w:val="0"/>
      <w:marTop w:val="0"/>
      <w:marBottom w:val="0"/>
      <w:divBdr>
        <w:top w:val="none" w:sz="0" w:space="0" w:color="auto"/>
        <w:left w:val="none" w:sz="0" w:space="0" w:color="auto"/>
        <w:bottom w:val="none" w:sz="0" w:space="0" w:color="auto"/>
        <w:right w:val="none" w:sz="0" w:space="0" w:color="auto"/>
      </w:divBdr>
    </w:div>
    <w:div w:id="883180135">
      <w:bodyDiv w:val="1"/>
      <w:marLeft w:val="0"/>
      <w:marRight w:val="0"/>
      <w:marTop w:val="0"/>
      <w:marBottom w:val="0"/>
      <w:divBdr>
        <w:top w:val="none" w:sz="0" w:space="0" w:color="auto"/>
        <w:left w:val="none" w:sz="0" w:space="0" w:color="auto"/>
        <w:bottom w:val="none" w:sz="0" w:space="0" w:color="auto"/>
        <w:right w:val="none" w:sz="0" w:space="0" w:color="auto"/>
      </w:divBdr>
    </w:div>
    <w:div w:id="885070075">
      <w:bodyDiv w:val="1"/>
      <w:marLeft w:val="0"/>
      <w:marRight w:val="0"/>
      <w:marTop w:val="0"/>
      <w:marBottom w:val="0"/>
      <w:divBdr>
        <w:top w:val="none" w:sz="0" w:space="0" w:color="auto"/>
        <w:left w:val="none" w:sz="0" w:space="0" w:color="auto"/>
        <w:bottom w:val="none" w:sz="0" w:space="0" w:color="auto"/>
        <w:right w:val="none" w:sz="0" w:space="0" w:color="auto"/>
      </w:divBdr>
    </w:div>
    <w:div w:id="892540439">
      <w:bodyDiv w:val="1"/>
      <w:marLeft w:val="0"/>
      <w:marRight w:val="0"/>
      <w:marTop w:val="0"/>
      <w:marBottom w:val="0"/>
      <w:divBdr>
        <w:top w:val="none" w:sz="0" w:space="0" w:color="auto"/>
        <w:left w:val="none" w:sz="0" w:space="0" w:color="auto"/>
        <w:bottom w:val="none" w:sz="0" w:space="0" w:color="auto"/>
        <w:right w:val="none" w:sz="0" w:space="0" w:color="auto"/>
      </w:divBdr>
    </w:div>
    <w:div w:id="892616256">
      <w:bodyDiv w:val="1"/>
      <w:marLeft w:val="0"/>
      <w:marRight w:val="0"/>
      <w:marTop w:val="0"/>
      <w:marBottom w:val="0"/>
      <w:divBdr>
        <w:top w:val="none" w:sz="0" w:space="0" w:color="auto"/>
        <w:left w:val="none" w:sz="0" w:space="0" w:color="auto"/>
        <w:bottom w:val="none" w:sz="0" w:space="0" w:color="auto"/>
        <w:right w:val="none" w:sz="0" w:space="0" w:color="auto"/>
      </w:divBdr>
    </w:div>
    <w:div w:id="894508995">
      <w:bodyDiv w:val="1"/>
      <w:marLeft w:val="0"/>
      <w:marRight w:val="0"/>
      <w:marTop w:val="0"/>
      <w:marBottom w:val="0"/>
      <w:divBdr>
        <w:top w:val="none" w:sz="0" w:space="0" w:color="auto"/>
        <w:left w:val="none" w:sz="0" w:space="0" w:color="auto"/>
        <w:bottom w:val="none" w:sz="0" w:space="0" w:color="auto"/>
        <w:right w:val="none" w:sz="0" w:space="0" w:color="auto"/>
      </w:divBdr>
    </w:div>
    <w:div w:id="909075193">
      <w:bodyDiv w:val="1"/>
      <w:marLeft w:val="0"/>
      <w:marRight w:val="0"/>
      <w:marTop w:val="0"/>
      <w:marBottom w:val="0"/>
      <w:divBdr>
        <w:top w:val="none" w:sz="0" w:space="0" w:color="auto"/>
        <w:left w:val="none" w:sz="0" w:space="0" w:color="auto"/>
        <w:bottom w:val="none" w:sz="0" w:space="0" w:color="auto"/>
        <w:right w:val="none" w:sz="0" w:space="0" w:color="auto"/>
      </w:divBdr>
    </w:div>
    <w:div w:id="912620572">
      <w:bodyDiv w:val="1"/>
      <w:marLeft w:val="0"/>
      <w:marRight w:val="0"/>
      <w:marTop w:val="0"/>
      <w:marBottom w:val="0"/>
      <w:divBdr>
        <w:top w:val="none" w:sz="0" w:space="0" w:color="auto"/>
        <w:left w:val="none" w:sz="0" w:space="0" w:color="auto"/>
        <w:bottom w:val="none" w:sz="0" w:space="0" w:color="auto"/>
        <w:right w:val="none" w:sz="0" w:space="0" w:color="auto"/>
      </w:divBdr>
    </w:div>
    <w:div w:id="917177262">
      <w:bodyDiv w:val="1"/>
      <w:marLeft w:val="0"/>
      <w:marRight w:val="0"/>
      <w:marTop w:val="0"/>
      <w:marBottom w:val="0"/>
      <w:divBdr>
        <w:top w:val="none" w:sz="0" w:space="0" w:color="auto"/>
        <w:left w:val="none" w:sz="0" w:space="0" w:color="auto"/>
        <w:bottom w:val="none" w:sz="0" w:space="0" w:color="auto"/>
        <w:right w:val="none" w:sz="0" w:space="0" w:color="auto"/>
      </w:divBdr>
    </w:div>
    <w:div w:id="926154884">
      <w:bodyDiv w:val="1"/>
      <w:marLeft w:val="0"/>
      <w:marRight w:val="0"/>
      <w:marTop w:val="0"/>
      <w:marBottom w:val="0"/>
      <w:divBdr>
        <w:top w:val="none" w:sz="0" w:space="0" w:color="auto"/>
        <w:left w:val="none" w:sz="0" w:space="0" w:color="auto"/>
        <w:bottom w:val="none" w:sz="0" w:space="0" w:color="auto"/>
        <w:right w:val="none" w:sz="0" w:space="0" w:color="auto"/>
      </w:divBdr>
    </w:div>
    <w:div w:id="938684067">
      <w:bodyDiv w:val="1"/>
      <w:marLeft w:val="0"/>
      <w:marRight w:val="0"/>
      <w:marTop w:val="0"/>
      <w:marBottom w:val="0"/>
      <w:divBdr>
        <w:top w:val="none" w:sz="0" w:space="0" w:color="auto"/>
        <w:left w:val="none" w:sz="0" w:space="0" w:color="auto"/>
        <w:bottom w:val="none" w:sz="0" w:space="0" w:color="auto"/>
        <w:right w:val="none" w:sz="0" w:space="0" w:color="auto"/>
      </w:divBdr>
    </w:div>
    <w:div w:id="954556661">
      <w:bodyDiv w:val="1"/>
      <w:marLeft w:val="0"/>
      <w:marRight w:val="0"/>
      <w:marTop w:val="0"/>
      <w:marBottom w:val="0"/>
      <w:divBdr>
        <w:top w:val="none" w:sz="0" w:space="0" w:color="auto"/>
        <w:left w:val="none" w:sz="0" w:space="0" w:color="auto"/>
        <w:bottom w:val="none" w:sz="0" w:space="0" w:color="auto"/>
        <w:right w:val="none" w:sz="0" w:space="0" w:color="auto"/>
      </w:divBdr>
    </w:div>
    <w:div w:id="959066566">
      <w:bodyDiv w:val="1"/>
      <w:marLeft w:val="0"/>
      <w:marRight w:val="0"/>
      <w:marTop w:val="0"/>
      <w:marBottom w:val="0"/>
      <w:divBdr>
        <w:top w:val="none" w:sz="0" w:space="0" w:color="auto"/>
        <w:left w:val="none" w:sz="0" w:space="0" w:color="auto"/>
        <w:bottom w:val="none" w:sz="0" w:space="0" w:color="auto"/>
        <w:right w:val="none" w:sz="0" w:space="0" w:color="auto"/>
      </w:divBdr>
    </w:div>
    <w:div w:id="965426488">
      <w:bodyDiv w:val="1"/>
      <w:marLeft w:val="0"/>
      <w:marRight w:val="0"/>
      <w:marTop w:val="0"/>
      <w:marBottom w:val="0"/>
      <w:divBdr>
        <w:top w:val="none" w:sz="0" w:space="0" w:color="auto"/>
        <w:left w:val="none" w:sz="0" w:space="0" w:color="auto"/>
        <w:bottom w:val="none" w:sz="0" w:space="0" w:color="auto"/>
        <w:right w:val="none" w:sz="0" w:space="0" w:color="auto"/>
      </w:divBdr>
    </w:div>
    <w:div w:id="970017671">
      <w:bodyDiv w:val="1"/>
      <w:marLeft w:val="0"/>
      <w:marRight w:val="0"/>
      <w:marTop w:val="0"/>
      <w:marBottom w:val="0"/>
      <w:divBdr>
        <w:top w:val="none" w:sz="0" w:space="0" w:color="auto"/>
        <w:left w:val="none" w:sz="0" w:space="0" w:color="auto"/>
        <w:bottom w:val="none" w:sz="0" w:space="0" w:color="auto"/>
        <w:right w:val="none" w:sz="0" w:space="0" w:color="auto"/>
      </w:divBdr>
    </w:div>
    <w:div w:id="974288949">
      <w:bodyDiv w:val="1"/>
      <w:marLeft w:val="0"/>
      <w:marRight w:val="0"/>
      <w:marTop w:val="0"/>
      <w:marBottom w:val="0"/>
      <w:divBdr>
        <w:top w:val="none" w:sz="0" w:space="0" w:color="auto"/>
        <w:left w:val="none" w:sz="0" w:space="0" w:color="auto"/>
        <w:bottom w:val="none" w:sz="0" w:space="0" w:color="auto"/>
        <w:right w:val="none" w:sz="0" w:space="0" w:color="auto"/>
      </w:divBdr>
    </w:div>
    <w:div w:id="1029329920">
      <w:bodyDiv w:val="1"/>
      <w:marLeft w:val="0"/>
      <w:marRight w:val="0"/>
      <w:marTop w:val="0"/>
      <w:marBottom w:val="0"/>
      <w:divBdr>
        <w:top w:val="none" w:sz="0" w:space="0" w:color="auto"/>
        <w:left w:val="none" w:sz="0" w:space="0" w:color="auto"/>
        <w:bottom w:val="none" w:sz="0" w:space="0" w:color="auto"/>
        <w:right w:val="none" w:sz="0" w:space="0" w:color="auto"/>
      </w:divBdr>
    </w:div>
    <w:div w:id="1035543867">
      <w:bodyDiv w:val="1"/>
      <w:marLeft w:val="0"/>
      <w:marRight w:val="0"/>
      <w:marTop w:val="0"/>
      <w:marBottom w:val="0"/>
      <w:divBdr>
        <w:top w:val="none" w:sz="0" w:space="0" w:color="auto"/>
        <w:left w:val="none" w:sz="0" w:space="0" w:color="auto"/>
        <w:bottom w:val="none" w:sz="0" w:space="0" w:color="auto"/>
        <w:right w:val="none" w:sz="0" w:space="0" w:color="auto"/>
      </w:divBdr>
    </w:div>
    <w:div w:id="1063983924">
      <w:bodyDiv w:val="1"/>
      <w:marLeft w:val="0"/>
      <w:marRight w:val="0"/>
      <w:marTop w:val="0"/>
      <w:marBottom w:val="0"/>
      <w:divBdr>
        <w:top w:val="none" w:sz="0" w:space="0" w:color="auto"/>
        <w:left w:val="none" w:sz="0" w:space="0" w:color="auto"/>
        <w:bottom w:val="none" w:sz="0" w:space="0" w:color="auto"/>
        <w:right w:val="none" w:sz="0" w:space="0" w:color="auto"/>
      </w:divBdr>
    </w:div>
    <w:div w:id="1136096426">
      <w:bodyDiv w:val="1"/>
      <w:marLeft w:val="0"/>
      <w:marRight w:val="0"/>
      <w:marTop w:val="0"/>
      <w:marBottom w:val="0"/>
      <w:divBdr>
        <w:top w:val="none" w:sz="0" w:space="0" w:color="auto"/>
        <w:left w:val="none" w:sz="0" w:space="0" w:color="auto"/>
        <w:bottom w:val="none" w:sz="0" w:space="0" w:color="auto"/>
        <w:right w:val="none" w:sz="0" w:space="0" w:color="auto"/>
      </w:divBdr>
    </w:div>
    <w:div w:id="1191534357">
      <w:bodyDiv w:val="1"/>
      <w:marLeft w:val="0"/>
      <w:marRight w:val="0"/>
      <w:marTop w:val="0"/>
      <w:marBottom w:val="0"/>
      <w:divBdr>
        <w:top w:val="none" w:sz="0" w:space="0" w:color="auto"/>
        <w:left w:val="none" w:sz="0" w:space="0" w:color="auto"/>
        <w:bottom w:val="none" w:sz="0" w:space="0" w:color="auto"/>
        <w:right w:val="none" w:sz="0" w:space="0" w:color="auto"/>
      </w:divBdr>
    </w:div>
    <w:div w:id="1196699693">
      <w:bodyDiv w:val="1"/>
      <w:marLeft w:val="0"/>
      <w:marRight w:val="0"/>
      <w:marTop w:val="0"/>
      <w:marBottom w:val="0"/>
      <w:divBdr>
        <w:top w:val="none" w:sz="0" w:space="0" w:color="auto"/>
        <w:left w:val="none" w:sz="0" w:space="0" w:color="auto"/>
        <w:bottom w:val="none" w:sz="0" w:space="0" w:color="auto"/>
        <w:right w:val="none" w:sz="0" w:space="0" w:color="auto"/>
      </w:divBdr>
    </w:div>
    <w:div w:id="1207252594">
      <w:bodyDiv w:val="1"/>
      <w:marLeft w:val="0"/>
      <w:marRight w:val="0"/>
      <w:marTop w:val="0"/>
      <w:marBottom w:val="0"/>
      <w:divBdr>
        <w:top w:val="none" w:sz="0" w:space="0" w:color="auto"/>
        <w:left w:val="none" w:sz="0" w:space="0" w:color="auto"/>
        <w:bottom w:val="none" w:sz="0" w:space="0" w:color="auto"/>
        <w:right w:val="none" w:sz="0" w:space="0" w:color="auto"/>
      </w:divBdr>
    </w:div>
    <w:div w:id="1217862280">
      <w:bodyDiv w:val="1"/>
      <w:marLeft w:val="0"/>
      <w:marRight w:val="0"/>
      <w:marTop w:val="0"/>
      <w:marBottom w:val="0"/>
      <w:divBdr>
        <w:top w:val="none" w:sz="0" w:space="0" w:color="auto"/>
        <w:left w:val="none" w:sz="0" w:space="0" w:color="auto"/>
        <w:bottom w:val="none" w:sz="0" w:space="0" w:color="auto"/>
        <w:right w:val="none" w:sz="0" w:space="0" w:color="auto"/>
      </w:divBdr>
    </w:div>
    <w:div w:id="1256208531">
      <w:bodyDiv w:val="1"/>
      <w:marLeft w:val="0"/>
      <w:marRight w:val="0"/>
      <w:marTop w:val="0"/>
      <w:marBottom w:val="0"/>
      <w:divBdr>
        <w:top w:val="none" w:sz="0" w:space="0" w:color="auto"/>
        <w:left w:val="none" w:sz="0" w:space="0" w:color="auto"/>
        <w:bottom w:val="none" w:sz="0" w:space="0" w:color="auto"/>
        <w:right w:val="none" w:sz="0" w:space="0" w:color="auto"/>
      </w:divBdr>
    </w:div>
    <w:div w:id="1269504348">
      <w:bodyDiv w:val="1"/>
      <w:marLeft w:val="0"/>
      <w:marRight w:val="0"/>
      <w:marTop w:val="0"/>
      <w:marBottom w:val="0"/>
      <w:divBdr>
        <w:top w:val="none" w:sz="0" w:space="0" w:color="auto"/>
        <w:left w:val="none" w:sz="0" w:space="0" w:color="auto"/>
        <w:bottom w:val="none" w:sz="0" w:space="0" w:color="auto"/>
        <w:right w:val="none" w:sz="0" w:space="0" w:color="auto"/>
      </w:divBdr>
    </w:div>
    <w:div w:id="1269655329">
      <w:bodyDiv w:val="1"/>
      <w:marLeft w:val="0"/>
      <w:marRight w:val="0"/>
      <w:marTop w:val="0"/>
      <w:marBottom w:val="0"/>
      <w:divBdr>
        <w:top w:val="none" w:sz="0" w:space="0" w:color="auto"/>
        <w:left w:val="none" w:sz="0" w:space="0" w:color="auto"/>
        <w:bottom w:val="none" w:sz="0" w:space="0" w:color="auto"/>
        <w:right w:val="none" w:sz="0" w:space="0" w:color="auto"/>
      </w:divBdr>
    </w:div>
    <w:div w:id="1272013246">
      <w:bodyDiv w:val="1"/>
      <w:marLeft w:val="0"/>
      <w:marRight w:val="0"/>
      <w:marTop w:val="0"/>
      <w:marBottom w:val="0"/>
      <w:divBdr>
        <w:top w:val="none" w:sz="0" w:space="0" w:color="auto"/>
        <w:left w:val="none" w:sz="0" w:space="0" w:color="auto"/>
        <w:bottom w:val="none" w:sz="0" w:space="0" w:color="auto"/>
        <w:right w:val="none" w:sz="0" w:space="0" w:color="auto"/>
      </w:divBdr>
    </w:div>
    <w:div w:id="1291278793">
      <w:bodyDiv w:val="1"/>
      <w:marLeft w:val="0"/>
      <w:marRight w:val="0"/>
      <w:marTop w:val="0"/>
      <w:marBottom w:val="0"/>
      <w:divBdr>
        <w:top w:val="none" w:sz="0" w:space="0" w:color="auto"/>
        <w:left w:val="none" w:sz="0" w:space="0" w:color="auto"/>
        <w:bottom w:val="none" w:sz="0" w:space="0" w:color="auto"/>
        <w:right w:val="none" w:sz="0" w:space="0" w:color="auto"/>
      </w:divBdr>
    </w:div>
    <w:div w:id="1292520318">
      <w:bodyDiv w:val="1"/>
      <w:marLeft w:val="0"/>
      <w:marRight w:val="0"/>
      <w:marTop w:val="0"/>
      <w:marBottom w:val="0"/>
      <w:divBdr>
        <w:top w:val="none" w:sz="0" w:space="0" w:color="auto"/>
        <w:left w:val="none" w:sz="0" w:space="0" w:color="auto"/>
        <w:bottom w:val="none" w:sz="0" w:space="0" w:color="auto"/>
        <w:right w:val="none" w:sz="0" w:space="0" w:color="auto"/>
      </w:divBdr>
    </w:div>
    <w:div w:id="1310748337">
      <w:bodyDiv w:val="1"/>
      <w:marLeft w:val="0"/>
      <w:marRight w:val="0"/>
      <w:marTop w:val="0"/>
      <w:marBottom w:val="0"/>
      <w:divBdr>
        <w:top w:val="none" w:sz="0" w:space="0" w:color="auto"/>
        <w:left w:val="none" w:sz="0" w:space="0" w:color="auto"/>
        <w:bottom w:val="none" w:sz="0" w:space="0" w:color="auto"/>
        <w:right w:val="none" w:sz="0" w:space="0" w:color="auto"/>
      </w:divBdr>
    </w:div>
    <w:div w:id="1334650194">
      <w:bodyDiv w:val="1"/>
      <w:marLeft w:val="0"/>
      <w:marRight w:val="0"/>
      <w:marTop w:val="0"/>
      <w:marBottom w:val="0"/>
      <w:divBdr>
        <w:top w:val="none" w:sz="0" w:space="0" w:color="auto"/>
        <w:left w:val="none" w:sz="0" w:space="0" w:color="auto"/>
        <w:bottom w:val="none" w:sz="0" w:space="0" w:color="auto"/>
        <w:right w:val="none" w:sz="0" w:space="0" w:color="auto"/>
      </w:divBdr>
    </w:div>
    <w:div w:id="1345397910">
      <w:bodyDiv w:val="1"/>
      <w:marLeft w:val="0"/>
      <w:marRight w:val="0"/>
      <w:marTop w:val="0"/>
      <w:marBottom w:val="0"/>
      <w:divBdr>
        <w:top w:val="none" w:sz="0" w:space="0" w:color="auto"/>
        <w:left w:val="none" w:sz="0" w:space="0" w:color="auto"/>
        <w:bottom w:val="none" w:sz="0" w:space="0" w:color="auto"/>
        <w:right w:val="none" w:sz="0" w:space="0" w:color="auto"/>
      </w:divBdr>
    </w:div>
    <w:div w:id="1356539460">
      <w:bodyDiv w:val="1"/>
      <w:marLeft w:val="0"/>
      <w:marRight w:val="0"/>
      <w:marTop w:val="0"/>
      <w:marBottom w:val="0"/>
      <w:divBdr>
        <w:top w:val="none" w:sz="0" w:space="0" w:color="auto"/>
        <w:left w:val="none" w:sz="0" w:space="0" w:color="auto"/>
        <w:bottom w:val="none" w:sz="0" w:space="0" w:color="auto"/>
        <w:right w:val="none" w:sz="0" w:space="0" w:color="auto"/>
      </w:divBdr>
    </w:div>
    <w:div w:id="1365062082">
      <w:bodyDiv w:val="1"/>
      <w:marLeft w:val="0"/>
      <w:marRight w:val="0"/>
      <w:marTop w:val="0"/>
      <w:marBottom w:val="0"/>
      <w:divBdr>
        <w:top w:val="none" w:sz="0" w:space="0" w:color="auto"/>
        <w:left w:val="none" w:sz="0" w:space="0" w:color="auto"/>
        <w:bottom w:val="none" w:sz="0" w:space="0" w:color="auto"/>
        <w:right w:val="none" w:sz="0" w:space="0" w:color="auto"/>
      </w:divBdr>
    </w:div>
    <w:div w:id="1374040980">
      <w:bodyDiv w:val="1"/>
      <w:marLeft w:val="0"/>
      <w:marRight w:val="0"/>
      <w:marTop w:val="0"/>
      <w:marBottom w:val="0"/>
      <w:divBdr>
        <w:top w:val="none" w:sz="0" w:space="0" w:color="auto"/>
        <w:left w:val="none" w:sz="0" w:space="0" w:color="auto"/>
        <w:bottom w:val="none" w:sz="0" w:space="0" w:color="auto"/>
        <w:right w:val="none" w:sz="0" w:space="0" w:color="auto"/>
      </w:divBdr>
    </w:div>
    <w:div w:id="1376001728">
      <w:bodyDiv w:val="1"/>
      <w:marLeft w:val="0"/>
      <w:marRight w:val="0"/>
      <w:marTop w:val="0"/>
      <w:marBottom w:val="0"/>
      <w:divBdr>
        <w:top w:val="none" w:sz="0" w:space="0" w:color="auto"/>
        <w:left w:val="none" w:sz="0" w:space="0" w:color="auto"/>
        <w:bottom w:val="none" w:sz="0" w:space="0" w:color="auto"/>
        <w:right w:val="none" w:sz="0" w:space="0" w:color="auto"/>
      </w:divBdr>
    </w:div>
    <w:div w:id="1438911994">
      <w:bodyDiv w:val="1"/>
      <w:marLeft w:val="0"/>
      <w:marRight w:val="0"/>
      <w:marTop w:val="0"/>
      <w:marBottom w:val="0"/>
      <w:divBdr>
        <w:top w:val="none" w:sz="0" w:space="0" w:color="auto"/>
        <w:left w:val="none" w:sz="0" w:space="0" w:color="auto"/>
        <w:bottom w:val="none" w:sz="0" w:space="0" w:color="auto"/>
        <w:right w:val="none" w:sz="0" w:space="0" w:color="auto"/>
      </w:divBdr>
    </w:div>
    <w:div w:id="1442840740">
      <w:bodyDiv w:val="1"/>
      <w:marLeft w:val="0"/>
      <w:marRight w:val="0"/>
      <w:marTop w:val="0"/>
      <w:marBottom w:val="0"/>
      <w:divBdr>
        <w:top w:val="none" w:sz="0" w:space="0" w:color="auto"/>
        <w:left w:val="none" w:sz="0" w:space="0" w:color="auto"/>
        <w:bottom w:val="none" w:sz="0" w:space="0" w:color="auto"/>
        <w:right w:val="none" w:sz="0" w:space="0" w:color="auto"/>
      </w:divBdr>
    </w:div>
    <w:div w:id="1444495666">
      <w:bodyDiv w:val="1"/>
      <w:marLeft w:val="0"/>
      <w:marRight w:val="0"/>
      <w:marTop w:val="0"/>
      <w:marBottom w:val="0"/>
      <w:divBdr>
        <w:top w:val="none" w:sz="0" w:space="0" w:color="auto"/>
        <w:left w:val="none" w:sz="0" w:space="0" w:color="auto"/>
        <w:bottom w:val="none" w:sz="0" w:space="0" w:color="auto"/>
        <w:right w:val="none" w:sz="0" w:space="0" w:color="auto"/>
      </w:divBdr>
    </w:div>
    <w:div w:id="1445029424">
      <w:bodyDiv w:val="1"/>
      <w:marLeft w:val="0"/>
      <w:marRight w:val="0"/>
      <w:marTop w:val="0"/>
      <w:marBottom w:val="0"/>
      <w:divBdr>
        <w:top w:val="none" w:sz="0" w:space="0" w:color="auto"/>
        <w:left w:val="none" w:sz="0" w:space="0" w:color="auto"/>
        <w:bottom w:val="none" w:sz="0" w:space="0" w:color="auto"/>
        <w:right w:val="none" w:sz="0" w:space="0" w:color="auto"/>
      </w:divBdr>
    </w:div>
    <w:div w:id="1483808969">
      <w:bodyDiv w:val="1"/>
      <w:marLeft w:val="0"/>
      <w:marRight w:val="0"/>
      <w:marTop w:val="0"/>
      <w:marBottom w:val="0"/>
      <w:divBdr>
        <w:top w:val="none" w:sz="0" w:space="0" w:color="auto"/>
        <w:left w:val="none" w:sz="0" w:space="0" w:color="auto"/>
        <w:bottom w:val="none" w:sz="0" w:space="0" w:color="auto"/>
        <w:right w:val="none" w:sz="0" w:space="0" w:color="auto"/>
      </w:divBdr>
    </w:div>
    <w:div w:id="1487667601">
      <w:bodyDiv w:val="1"/>
      <w:marLeft w:val="0"/>
      <w:marRight w:val="0"/>
      <w:marTop w:val="0"/>
      <w:marBottom w:val="0"/>
      <w:divBdr>
        <w:top w:val="none" w:sz="0" w:space="0" w:color="auto"/>
        <w:left w:val="none" w:sz="0" w:space="0" w:color="auto"/>
        <w:bottom w:val="none" w:sz="0" w:space="0" w:color="auto"/>
        <w:right w:val="none" w:sz="0" w:space="0" w:color="auto"/>
      </w:divBdr>
    </w:div>
    <w:div w:id="1493180596">
      <w:bodyDiv w:val="1"/>
      <w:marLeft w:val="0"/>
      <w:marRight w:val="0"/>
      <w:marTop w:val="0"/>
      <w:marBottom w:val="0"/>
      <w:divBdr>
        <w:top w:val="none" w:sz="0" w:space="0" w:color="auto"/>
        <w:left w:val="none" w:sz="0" w:space="0" w:color="auto"/>
        <w:bottom w:val="none" w:sz="0" w:space="0" w:color="auto"/>
        <w:right w:val="none" w:sz="0" w:space="0" w:color="auto"/>
      </w:divBdr>
    </w:div>
    <w:div w:id="1508863027">
      <w:bodyDiv w:val="1"/>
      <w:marLeft w:val="0"/>
      <w:marRight w:val="0"/>
      <w:marTop w:val="0"/>
      <w:marBottom w:val="0"/>
      <w:divBdr>
        <w:top w:val="none" w:sz="0" w:space="0" w:color="auto"/>
        <w:left w:val="none" w:sz="0" w:space="0" w:color="auto"/>
        <w:bottom w:val="none" w:sz="0" w:space="0" w:color="auto"/>
        <w:right w:val="none" w:sz="0" w:space="0" w:color="auto"/>
      </w:divBdr>
    </w:div>
    <w:div w:id="1511600140">
      <w:bodyDiv w:val="1"/>
      <w:marLeft w:val="0"/>
      <w:marRight w:val="0"/>
      <w:marTop w:val="0"/>
      <w:marBottom w:val="0"/>
      <w:divBdr>
        <w:top w:val="none" w:sz="0" w:space="0" w:color="auto"/>
        <w:left w:val="none" w:sz="0" w:space="0" w:color="auto"/>
        <w:bottom w:val="none" w:sz="0" w:space="0" w:color="auto"/>
        <w:right w:val="none" w:sz="0" w:space="0" w:color="auto"/>
      </w:divBdr>
    </w:div>
    <w:div w:id="1540968924">
      <w:bodyDiv w:val="1"/>
      <w:marLeft w:val="0"/>
      <w:marRight w:val="0"/>
      <w:marTop w:val="0"/>
      <w:marBottom w:val="0"/>
      <w:divBdr>
        <w:top w:val="none" w:sz="0" w:space="0" w:color="auto"/>
        <w:left w:val="none" w:sz="0" w:space="0" w:color="auto"/>
        <w:bottom w:val="none" w:sz="0" w:space="0" w:color="auto"/>
        <w:right w:val="none" w:sz="0" w:space="0" w:color="auto"/>
      </w:divBdr>
    </w:div>
    <w:div w:id="1552185935">
      <w:bodyDiv w:val="1"/>
      <w:marLeft w:val="0"/>
      <w:marRight w:val="0"/>
      <w:marTop w:val="0"/>
      <w:marBottom w:val="0"/>
      <w:divBdr>
        <w:top w:val="none" w:sz="0" w:space="0" w:color="auto"/>
        <w:left w:val="none" w:sz="0" w:space="0" w:color="auto"/>
        <w:bottom w:val="none" w:sz="0" w:space="0" w:color="auto"/>
        <w:right w:val="none" w:sz="0" w:space="0" w:color="auto"/>
      </w:divBdr>
    </w:div>
    <w:div w:id="1560896848">
      <w:bodyDiv w:val="1"/>
      <w:marLeft w:val="0"/>
      <w:marRight w:val="0"/>
      <w:marTop w:val="0"/>
      <w:marBottom w:val="0"/>
      <w:divBdr>
        <w:top w:val="none" w:sz="0" w:space="0" w:color="auto"/>
        <w:left w:val="none" w:sz="0" w:space="0" w:color="auto"/>
        <w:bottom w:val="none" w:sz="0" w:space="0" w:color="auto"/>
        <w:right w:val="none" w:sz="0" w:space="0" w:color="auto"/>
      </w:divBdr>
    </w:div>
    <w:div w:id="1563518849">
      <w:bodyDiv w:val="1"/>
      <w:marLeft w:val="0"/>
      <w:marRight w:val="0"/>
      <w:marTop w:val="0"/>
      <w:marBottom w:val="0"/>
      <w:divBdr>
        <w:top w:val="none" w:sz="0" w:space="0" w:color="auto"/>
        <w:left w:val="none" w:sz="0" w:space="0" w:color="auto"/>
        <w:bottom w:val="none" w:sz="0" w:space="0" w:color="auto"/>
        <w:right w:val="none" w:sz="0" w:space="0" w:color="auto"/>
      </w:divBdr>
    </w:div>
    <w:div w:id="1577934192">
      <w:bodyDiv w:val="1"/>
      <w:marLeft w:val="0"/>
      <w:marRight w:val="0"/>
      <w:marTop w:val="0"/>
      <w:marBottom w:val="0"/>
      <w:divBdr>
        <w:top w:val="none" w:sz="0" w:space="0" w:color="auto"/>
        <w:left w:val="none" w:sz="0" w:space="0" w:color="auto"/>
        <w:bottom w:val="none" w:sz="0" w:space="0" w:color="auto"/>
        <w:right w:val="none" w:sz="0" w:space="0" w:color="auto"/>
      </w:divBdr>
    </w:div>
    <w:div w:id="1586111153">
      <w:bodyDiv w:val="1"/>
      <w:marLeft w:val="0"/>
      <w:marRight w:val="0"/>
      <w:marTop w:val="0"/>
      <w:marBottom w:val="0"/>
      <w:divBdr>
        <w:top w:val="none" w:sz="0" w:space="0" w:color="auto"/>
        <w:left w:val="none" w:sz="0" w:space="0" w:color="auto"/>
        <w:bottom w:val="none" w:sz="0" w:space="0" w:color="auto"/>
        <w:right w:val="none" w:sz="0" w:space="0" w:color="auto"/>
      </w:divBdr>
    </w:div>
    <w:div w:id="1588490814">
      <w:bodyDiv w:val="1"/>
      <w:marLeft w:val="0"/>
      <w:marRight w:val="0"/>
      <w:marTop w:val="0"/>
      <w:marBottom w:val="0"/>
      <w:divBdr>
        <w:top w:val="none" w:sz="0" w:space="0" w:color="auto"/>
        <w:left w:val="none" w:sz="0" w:space="0" w:color="auto"/>
        <w:bottom w:val="none" w:sz="0" w:space="0" w:color="auto"/>
        <w:right w:val="none" w:sz="0" w:space="0" w:color="auto"/>
      </w:divBdr>
    </w:div>
    <w:div w:id="1599292948">
      <w:bodyDiv w:val="1"/>
      <w:marLeft w:val="0"/>
      <w:marRight w:val="0"/>
      <w:marTop w:val="0"/>
      <w:marBottom w:val="0"/>
      <w:divBdr>
        <w:top w:val="none" w:sz="0" w:space="0" w:color="auto"/>
        <w:left w:val="none" w:sz="0" w:space="0" w:color="auto"/>
        <w:bottom w:val="none" w:sz="0" w:space="0" w:color="auto"/>
        <w:right w:val="none" w:sz="0" w:space="0" w:color="auto"/>
      </w:divBdr>
    </w:div>
    <w:div w:id="1624000025">
      <w:bodyDiv w:val="1"/>
      <w:marLeft w:val="0"/>
      <w:marRight w:val="0"/>
      <w:marTop w:val="0"/>
      <w:marBottom w:val="0"/>
      <w:divBdr>
        <w:top w:val="none" w:sz="0" w:space="0" w:color="auto"/>
        <w:left w:val="none" w:sz="0" w:space="0" w:color="auto"/>
        <w:bottom w:val="none" w:sz="0" w:space="0" w:color="auto"/>
        <w:right w:val="none" w:sz="0" w:space="0" w:color="auto"/>
      </w:divBdr>
    </w:div>
    <w:div w:id="1646159235">
      <w:bodyDiv w:val="1"/>
      <w:marLeft w:val="0"/>
      <w:marRight w:val="0"/>
      <w:marTop w:val="0"/>
      <w:marBottom w:val="0"/>
      <w:divBdr>
        <w:top w:val="none" w:sz="0" w:space="0" w:color="auto"/>
        <w:left w:val="none" w:sz="0" w:space="0" w:color="auto"/>
        <w:bottom w:val="none" w:sz="0" w:space="0" w:color="auto"/>
        <w:right w:val="none" w:sz="0" w:space="0" w:color="auto"/>
      </w:divBdr>
    </w:div>
    <w:div w:id="1668054309">
      <w:bodyDiv w:val="1"/>
      <w:marLeft w:val="0"/>
      <w:marRight w:val="0"/>
      <w:marTop w:val="0"/>
      <w:marBottom w:val="0"/>
      <w:divBdr>
        <w:top w:val="none" w:sz="0" w:space="0" w:color="auto"/>
        <w:left w:val="none" w:sz="0" w:space="0" w:color="auto"/>
        <w:bottom w:val="none" w:sz="0" w:space="0" w:color="auto"/>
        <w:right w:val="none" w:sz="0" w:space="0" w:color="auto"/>
      </w:divBdr>
    </w:div>
    <w:div w:id="1672102073">
      <w:bodyDiv w:val="1"/>
      <w:marLeft w:val="0"/>
      <w:marRight w:val="0"/>
      <w:marTop w:val="0"/>
      <w:marBottom w:val="0"/>
      <w:divBdr>
        <w:top w:val="none" w:sz="0" w:space="0" w:color="auto"/>
        <w:left w:val="none" w:sz="0" w:space="0" w:color="auto"/>
        <w:bottom w:val="none" w:sz="0" w:space="0" w:color="auto"/>
        <w:right w:val="none" w:sz="0" w:space="0" w:color="auto"/>
      </w:divBdr>
    </w:div>
    <w:div w:id="1686785716">
      <w:bodyDiv w:val="1"/>
      <w:marLeft w:val="0"/>
      <w:marRight w:val="0"/>
      <w:marTop w:val="0"/>
      <w:marBottom w:val="0"/>
      <w:divBdr>
        <w:top w:val="none" w:sz="0" w:space="0" w:color="auto"/>
        <w:left w:val="none" w:sz="0" w:space="0" w:color="auto"/>
        <w:bottom w:val="none" w:sz="0" w:space="0" w:color="auto"/>
        <w:right w:val="none" w:sz="0" w:space="0" w:color="auto"/>
      </w:divBdr>
    </w:div>
    <w:div w:id="1696156317">
      <w:bodyDiv w:val="1"/>
      <w:marLeft w:val="0"/>
      <w:marRight w:val="0"/>
      <w:marTop w:val="0"/>
      <w:marBottom w:val="0"/>
      <w:divBdr>
        <w:top w:val="none" w:sz="0" w:space="0" w:color="auto"/>
        <w:left w:val="none" w:sz="0" w:space="0" w:color="auto"/>
        <w:bottom w:val="none" w:sz="0" w:space="0" w:color="auto"/>
        <w:right w:val="none" w:sz="0" w:space="0" w:color="auto"/>
      </w:divBdr>
    </w:div>
    <w:div w:id="1720664874">
      <w:bodyDiv w:val="1"/>
      <w:marLeft w:val="0"/>
      <w:marRight w:val="0"/>
      <w:marTop w:val="0"/>
      <w:marBottom w:val="0"/>
      <w:divBdr>
        <w:top w:val="none" w:sz="0" w:space="0" w:color="auto"/>
        <w:left w:val="none" w:sz="0" w:space="0" w:color="auto"/>
        <w:bottom w:val="none" w:sz="0" w:space="0" w:color="auto"/>
        <w:right w:val="none" w:sz="0" w:space="0" w:color="auto"/>
      </w:divBdr>
    </w:div>
    <w:div w:id="1727147227">
      <w:bodyDiv w:val="1"/>
      <w:marLeft w:val="0"/>
      <w:marRight w:val="0"/>
      <w:marTop w:val="0"/>
      <w:marBottom w:val="0"/>
      <w:divBdr>
        <w:top w:val="none" w:sz="0" w:space="0" w:color="auto"/>
        <w:left w:val="none" w:sz="0" w:space="0" w:color="auto"/>
        <w:bottom w:val="none" w:sz="0" w:space="0" w:color="auto"/>
        <w:right w:val="none" w:sz="0" w:space="0" w:color="auto"/>
      </w:divBdr>
    </w:div>
    <w:div w:id="1762800208">
      <w:bodyDiv w:val="1"/>
      <w:marLeft w:val="0"/>
      <w:marRight w:val="0"/>
      <w:marTop w:val="0"/>
      <w:marBottom w:val="0"/>
      <w:divBdr>
        <w:top w:val="none" w:sz="0" w:space="0" w:color="auto"/>
        <w:left w:val="none" w:sz="0" w:space="0" w:color="auto"/>
        <w:bottom w:val="none" w:sz="0" w:space="0" w:color="auto"/>
        <w:right w:val="none" w:sz="0" w:space="0" w:color="auto"/>
      </w:divBdr>
    </w:div>
    <w:div w:id="1767075541">
      <w:bodyDiv w:val="1"/>
      <w:marLeft w:val="0"/>
      <w:marRight w:val="0"/>
      <w:marTop w:val="0"/>
      <w:marBottom w:val="0"/>
      <w:divBdr>
        <w:top w:val="none" w:sz="0" w:space="0" w:color="auto"/>
        <w:left w:val="none" w:sz="0" w:space="0" w:color="auto"/>
        <w:bottom w:val="none" w:sz="0" w:space="0" w:color="auto"/>
        <w:right w:val="none" w:sz="0" w:space="0" w:color="auto"/>
      </w:divBdr>
    </w:div>
    <w:div w:id="1771660265">
      <w:bodyDiv w:val="1"/>
      <w:marLeft w:val="0"/>
      <w:marRight w:val="0"/>
      <w:marTop w:val="0"/>
      <w:marBottom w:val="0"/>
      <w:divBdr>
        <w:top w:val="none" w:sz="0" w:space="0" w:color="auto"/>
        <w:left w:val="none" w:sz="0" w:space="0" w:color="auto"/>
        <w:bottom w:val="none" w:sz="0" w:space="0" w:color="auto"/>
        <w:right w:val="none" w:sz="0" w:space="0" w:color="auto"/>
      </w:divBdr>
    </w:div>
    <w:div w:id="1785810574">
      <w:bodyDiv w:val="1"/>
      <w:marLeft w:val="0"/>
      <w:marRight w:val="0"/>
      <w:marTop w:val="0"/>
      <w:marBottom w:val="0"/>
      <w:divBdr>
        <w:top w:val="none" w:sz="0" w:space="0" w:color="auto"/>
        <w:left w:val="none" w:sz="0" w:space="0" w:color="auto"/>
        <w:bottom w:val="none" w:sz="0" w:space="0" w:color="auto"/>
        <w:right w:val="none" w:sz="0" w:space="0" w:color="auto"/>
      </w:divBdr>
    </w:div>
    <w:div w:id="1800411415">
      <w:bodyDiv w:val="1"/>
      <w:marLeft w:val="0"/>
      <w:marRight w:val="0"/>
      <w:marTop w:val="0"/>
      <w:marBottom w:val="0"/>
      <w:divBdr>
        <w:top w:val="none" w:sz="0" w:space="0" w:color="auto"/>
        <w:left w:val="none" w:sz="0" w:space="0" w:color="auto"/>
        <w:bottom w:val="none" w:sz="0" w:space="0" w:color="auto"/>
        <w:right w:val="none" w:sz="0" w:space="0" w:color="auto"/>
      </w:divBdr>
    </w:div>
    <w:div w:id="1803503231">
      <w:bodyDiv w:val="1"/>
      <w:marLeft w:val="0"/>
      <w:marRight w:val="0"/>
      <w:marTop w:val="0"/>
      <w:marBottom w:val="0"/>
      <w:divBdr>
        <w:top w:val="none" w:sz="0" w:space="0" w:color="auto"/>
        <w:left w:val="none" w:sz="0" w:space="0" w:color="auto"/>
        <w:bottom w:val="none" w:sz="0" w:space="0" w:color="auto"/>
        <w:right w:val="none" w:sz="0" w:space="0" w:color="auto"/>
      </w:divBdr>
    </w:div>
    <w:div w:id="1809978657">
      <w:bodyDiv w:val="1"/>
      <w:marLeft w:val="0"/>
      <w:marRight w:val="0"/>
      <w:marTop w:val="0"/>
      <w:marBottom w:val="0"/>
      <w:divBdr>
        <w:top w:val="none" w:sz="0" w:space="0" w:color="auto"/>
        <w:left w:val="none" w:sz="0" w:space="0" w:color="auto"/>
        <w:bottom w:val="none" w:sz="0" w:space="0" w:color="auto"/>
        <w:right w:val="none" w:sz="0" w:space="0" w:color="auto"/>
      </w:divBdr>
    </w:div>
    <w:div w:id="1822774011">
      <w:bodyDiv w:val="1"/>
      <w:marLeft w:val="0"/>
      <w:marRight w:val="0"/>
      <w:marTop w:val="0"/>
      <w:marBottom w:val="0"/>
      <w:divBdr>
        <w:top w:val="none" w:sz="0" w:space="0" w:color="auto"/>
        <w:left w:val="none" w:sz="0" w:space="0" w:color="auto"/>
        <w:bottom w:val="none" w:sz="0" w:space="0" w:color="auto"/>
        <w:right w:val="none" w:sz="0" w:space="0" w:color="auto"/>
      </w:divBdr>
    </w:div>
    <w:div w:id="1838810775">
      <w:bodyDiv w:val="1"/>
      <w:marLeft w:val="0"/>
      <w:marRight w:val="0"/>
      <w:marTop w:val="0"/>
      <w:marBottom w:val="0"/>
      <w:divBdr>
        <w:top w:val="none" w:sz="0" w:space="0" w:color="auto"/>
        <w:left w:val="none" w:sz="0" w:space="0" w:color="auto"/>
        <w:bottom w:val="none" w:sz="0" w:space="0" w:color="auto"/>
        <w:right w:val="none" w:sz="0" w:space="0" w:color="auto"/>
      </w:divBdr>
    </w:div>
    <w:div w:id="1840198182">
      <w:bodyDiv w:val="1"/>
      <w:marLeft w:val="0"/>
      <w:marRight w:val="0"/>
      <w:marTop w:val="0"/>
      <w:marBottom w:val="0"/>
      <w:divBdr>
        <w:top w:val="none" w:sz="0" w:space="0" w:color="auto"/>
        <w:left w:val="none" w:sz="0" w:space="0" w:color="auto"/>
        <w:bottom w:val="none" w:sz="0" w:space="0" w:color="auto"/>
        <w:right w:val="none" w:sz="0" w:space="0" w:color="auto"/>
      </w:divBdr>
    </w:div>
    <w:div w:id="1841962064">
      <w:bodyDiv w:val="1"/>
      <w:marLeft w:val="0"/>
      <w:marRight w:val="0"/>
      <w:marTop w:val="0"/>
      <w:marBottom w:val="0"/>
      <w:divBdr>
        <w:top w:val="none" w:sz="0" w:space="0" w:color="auto"/>
        <w:left w:val="none" w:sz="0" w:space="0" w:color="auto"/>
        <w:bottom w:val="none" w:sz="0" w:space="0" w:color="auto"/>
        <w:right w:val="none" w:sz="0" w:space="0" w:color="auto"/>
      </w:divBdr>
    </w:div>
    <w:div w:id="1870529724">
      <w:bodyDiv w:val="1"/>
      <w:marLeft w:val="0"/>
      <w:marRight w:val="0"/>
      <w:marTop w:val="0"/>
      <w:marBottom w:val="0"/>
      <w:divBdr>
        <w:top w:val="none" w:sz="0" w:space="0" w:color="auto"/>
        <w:left w:val="none" w:sz="0" w:space="0" w:color="auto"/>
        <w:bottom w:val="none" w:sz="0" w:space="0" w:color="auto"/>
        <w:right w:val="none" w:sz="0" w:space="0" w:color="auto"/>
      </w:divBdr>
    </w:div>
    <w:div w:id="1874343928">
      <w:bodyDiv w:val="1"/>
      <w:marLeft w:val="0"/>
      <w:marRight w:val="0"/>
      <w:marTop w:val="0"/>
      <w:marBottom w:val="0"/>
      <w:divBdr>
        <w:top w:val="none" w:sz="0" w:space="0" w:color="auto"/>
        <w:left w:val="none" w:sz="0" w:space="0" w:color="auto"/>
        <w:bottom w:val="none" w:sz="0" w:space="0" w:color="auto"/>
        <w:right w:val="none" w:sz="0" w:space="0" w:color="auto"/>
      </w:divBdr>
    </w:div>
    <w:div w:id="1875385138">
      <w:bodyDiv w:val="1"/>
      <w:marLeft w:val="0"/>
      <w:marRight w:val="0"/>
      <w:marTop w:val="0"/>
      <w:marBottom w:val="0"/>
      <w:divBdr>
        <w:top w:val="none" w:sz="0" w:space="0" w:color="auto"/>
        <w:left w:val="none" w:sz="0" w:space="0" w:color="auto"/>
        <w:bottom w:val="none" w:sz="0" w:space="0" w:color="auto"/>
        <w:right w:val="none" w:sz="0" w:space="0" w:color="auto"/>
      </w:divBdr>
    </w:div>
    <w:div w:id="1893610344">
      <w:bodyDiv w:val="1"/>
      <w:marLeft w:val="0"/>
      <w:marRight w:val="0"/>
      <w:marTop w:val="0"/>
      <w:marBottom w:val="0"/>
      <w:divBdr>
        <w:top w:val="none" w:sz="0" w:space="0" w:color="auto"/>
        <w:left w:val="none" w:sz="0" w:space="0" w:color="auto"/>
        <w:bottom w:val="none" w:sz="0" w:space="0" w:color="auto"/>
        <w:right w:val="none" w:sz="0" w:space="0" w:color="auto"/>
      </w:divBdr>
    </w:div>
    <w:div w:id="1894462118">
      <w:bodyDiv w:val="1"/>
      <w:marLeft w:val="0"/>
      <w:marRight w:val="0"/>
      <w:marTop w:val="0"/>
      <w:marBottom w:val="0"/>
      <w:divBdr>
        <w:top w:val="none" w:sz="0" w:space="0" w:color="auto"/>
        <w:left w:val="none" w:sz="0" w:space="0" w:color="auto"/>
        <w:bottom w:val="none" w:sz="0" w:space="0" w:color="auto"/>
        <w:right w:val="none" w:sz="0" w:space="0" w:color="auto"/>
      </w:divBdr>
    </w:div>
    <w:div w:id="1903561422">
      <w:bodyDiv w:val="1"/>
      <w:marLeft w:val="0"/>
      <w:marRight w:val="0"/>
      <w:marTop w:val="0"/>
      <w:marBottom w:val="0"/>
      <w:divBdr>
        <w:top w:val="none" w:sz="0" w:space="0" w:color="auto"/>
        <w:left w:val="none" w:sz="0" w:space="0" w:color="auto"/>
        <w:bottom w:val="none" w:sz="0" w:space="0" w:color="auto"/>
        <w:right w:val="none" w:sz="0" w:space="0" w:color="auto"/>
      </w:divBdr>
    </w:div>
    <w:div w:id="1906574088">
      <w:bodyDiv w:val="1"/>
      <w:marLeft w:val="0"/>
      <w:marRight w:val="0"/>
      <w:marTop w:val="0"/>
      <w:marBottom w:val="0"/>
      <w:divBdr>
        <w:top w:val="none" w:sz="0" w:space="0" w:color="auto"/>
        <w:left w:val="none" w:sz="0" w:space="0" w:color="auto"/>
        <w:bottom w:val="none" w:sz="0" w:space="0" w:color="auto"/>
        <w:right w:val="none" w:sz="0" w:space="0" w:color="auto"/>
      </w:divBdr>
    </w:div>
    <w:div w:id="1910654317">
      <w:bodyDiv w:val="1"/>
      <w:marLeft w:val="0"/>
      <w:marRight w:val="0"/>
      <w:marTop w:val="0"/>
      <w:marBottom w:val="0"/>
      <w:divBdr>
        <w:top w:val="none" w:sz="0" w:space="0" w:color="auto"/>
        <w:left w:val="none" w:sz="0" w:space="0" w:color="auto"/>
        <w:bottom w:val="none" w:sz="0" w:space="0" w:color="auto"/>
        <w:right w:val="none" w:sz="0" w:space="0" w:color="auto"/>
      </w:divBdr>
    </w:div>
    <w:div w:id="1945990181">
      <w:bodyDiv w:val="1"/>
      <w:marLeft w:val="0"/>
      <w:marRight w:val="0"/>
      <w:marTop w:val="0"/>
      <w:marBottom w:val="0"/>
      <w:divBdr>
        <w:top w:val="none" w:sz="0" w:space="0" w:color="auto"/>
        <w:left w:val="none" w:sz="0" w:space="0" w:color="auto"/>
        <w:bottom w:val="none" w:sz="0" w:space="0" w:color="auto"/>
        <w:right w:val="none" w:sz="0" w:space="0" w:color="auto"/>
      </w:divBdr>
    </w:div>
    <w:div w:id="1977680065">
      <w:bodyDiv w:val="1"/>
      <w:marLeft w:val="0"/>
      <w:marRight w:val="0"/>
      <w:marTop w:val="0"/>
      <w:marBottom w:val="0"/>
      <w:divBdr>
        <w:top w:val="none" w:sz="0" w:space="0" w:color="auto"/>
        <w:left w:val="none" w:sz="0" w:space="0" w:color="auto"/>
        <w:bottom w:val="none" w:sz="0" w:space="0" w:color="auto"/>
        <w:right w:val="none" w:sz="0" w:space="0" w:color="auto"/>
      </w:divBdr>
    </w:div>
    <w:div w:id="1997609359">
      <w:bodyDiv w:val="1"/>
      <w:marLeft w:val="0"/>
      <w:marRight w:val="0"/>
      <w:marTop w:val="0"/>
      <w:marBottom w:val="0"/>
      <w:divBdr>
        <w:top w:val="none" w:sz="0" w:space="0" w:color="auto"/>
        <w:left w:val="none" w:sz="0" w:space="0" w:color="auto"/>
        <w:bottom w:val="none" w:sz="0" w:space="0" w:color="auto"/>
        <w:right w:val="none" w:sz="0" w:space="0" w:color="auto"/>
      </w:divBdr>
    </w:div>
    <w:div w:id="2013684351">
      <w:bodyDiv w:val="1"/>
      <w:marLeft w:val="0"/>
      <w:marRight w:val="0"/>
      <w:marTop w:val="0"/>
      <w:marBottom w:val="0"/>
      <w:divBdr>
        <w:top w:val="none" w:sz="0" w:space="0" w:color="auto"/>
        <w:left w:val="none" w:sz="0" w:space="0" w:color="auto"/>
        <w:bottom w:val="none" w:sz="0" w:space="0" w:color="auto"/>
        <w:right w:val="none" w:sz="0" w:space="0" w:color="auto"/>
      </w:divBdr>
    </w:div>
    <w:div w:id="2019456126">
      <w:bodyDiv w:val="1"/>
      <w:marLeft w:val="0"/>
      <w:marRight w:val="0"/>
      <w:marTop w:val="0"/>
      <w:marBottom w:val="0"/>
      <w:divBdr>
        <w:top w:val="none" w:sz="0" w:space="0" w:color="auto"/>
        <w:left w:val="none" w:sz="0" w:space="0" w:color="auto"/>
        <w:bottom w:val="none" w:sz="0" w:space="0" w:color="auto"/>
        <w:right w:val="none" w:sz="0" w:space="0" w:color="auto"/>
      </w:divBdr>
    </w:div>
    <w:div w:id="2021345960">
      <w:bodyDiv w:val="1"/>
      <w:marLeft w:val="0"/>
      <w:marRight w:val="0"/>
      <w:marTop w:val="0"/>
      <w:marBottom w:val="0"/>
      <w:divBdr>
        <w:top w:val="none" w:sz="0" w:space="0" w:color="auto"/>
        <w:left w:val="none" w:sz="0" w:space="0" w:color="auto"/>
        <w:bottom w:val="none" w:sz="0" w:space="0" w:color="auto"/>
        <w:right w:val="none" w:sz="0" w:space="0" w:color="auto"/>
      </w:divBdr>
    </w:div>
    <w:div w:id="2053268244">
      <w:bodyDiv w:val="1"/>
      <w:marLeft w:val="0"/>
      <w:marRight w:val="0"/>
      <w:marTop w:val="0"/>
      <w:marBottom w:val="0"/>
      <w:divBdr>
        <w:top w:val="none" w:sz="0" w:space="0" w:color="auto"/>
        <w:left w:val="none" w:sz="0" w:space="0" w:color="auto"/>
        <w:bottom w:val="none" w:sz="0" w:space="0" w:color="auto"/>
        <w:right w:val="none" w:sz="0" w:space="0" w:color="auto"/>
      </w:divBdr>
    </w:div>
    <w:div w:id="2054495384">
      <w:bodyDiv w:val="1"/>
      <w:marLeft w:val="0"/>
      <w:marRight w:val="0"/>
      <w:marTop w:val="0"/>
      <w:marBottom w:val="0"/>
      <w:divBdr>
        <w:top w:val="none" w:sz="0" w:space="0" w:color="auto"/>
        <w:left w:val="none" w:sz="0" w:space="0" w:color="auto"/>
        <w:bottom w:val="none" w:sz="0" w:space="0" w:color="auto"/>
        <w:right w:val="none" w:sz="0" w:space="0" w:color="auto"/>
      </w:divBdr>
    </w:div>
    <w:div w:id="2055501712">
      <w:bodyDiv w:val="1"/>
      <w:marLeft w:val="0"/>
      <w:marRight w:val="0"/>
      <w:marTop w:val="0"/>
      <w:marBottom w:val="0"/>
      <w:divBdr>
        <w:top w:val="none" w:sz="0" w:space="0" w:color="auto"/>
        <w:left w:val="none" w:sz="0" w:space="0" w:color="auto"/>
        <w:bottom w:val="none" w:sz="0" w:space="0" w:color="auto"/>
        <w:right w:val="none" w:sz="0" w:space="0" w:color="auto"/>
      </w:divBdr>
    </w:div>
    <w:div w:id="2056392723">
      <w:bodyDiv w:val="1"/>
      <w:marLeft w:val="0"/>
      <w:marRight w:val="0"/>
      <w:marTop w:val="0"/>
      <w:marBottom w:val="0"/>
      <w:divBdr>
        <w:top w:val="none" w:sz="0" w:space="0" w:color="auto"/>
        <w:left w:val="none" w:sz="0" w:space="0" w:color="auto"/>
        <w:bottom w:val="none" w:sz="0" w:space="0" w:color="auto"/>
        <w:right w:val="none" w:sz="0" w:space="0" w:color="auto"/>
      </w:divBdr>
    </w:div>
    <w:div w:id="2065447505">
      <w:bodyDiv w:val="1"/>
      <w:marLeft w:val="0"/>
      <w:marRight w:val="0"/>
      <w:marTop w:val="0"/>
      <w:marBottom w:val="0"/>
      <w:divBdr>
        <w:top w:val="none" w:sz="0" w:space="0" w:color="auto"/>
        <w:left w:val="none" w:sz="0" w:space="0" w:color="auto"/>
        <w:bottom w:val="none" w:sz="0" w:space="0" w:color="auto"/>
        <w:right w:val="none" w:sz="0" w:space="0" w:color="auto"/>
      </w:divBdr>
    </w:div>
    <w:div w:id="2066172684">
      <w:bodyDiv w:val="1"/>
      <w:marLeft w:val="0"/>
      <w:marRight w:val="0"/>
      <w:marTop w:val="0"/>
      <w:marBottom w:val="0"/>
      <w:divBdr>
        <w:top w:val="none" w:sz="0" w:space="0" w:color="auto"/>
        <w:left w:val="none" w:sz="0" w:space="0" w:color="auto"/>
        <w:bottom w:val="none" w:sz="0" w:space="0" w:color="auto"/>
        <w:right w:val="none" w:sz="0" w:space="0" w:color="auto"/>
      </w:divBdr>
    </w:div>
    <w:div w:id="2088769024">
      <w:bodyDiv w:val="1"/>
      <w:marLeft w:val="0"/>
      <w:marRight w:val="0"/>
      <w:marTop w:val="0"/>
      <w:marBottom w:val="0"/>
      <w:divBdr>
        <w:top w:val="none" w:sz="0" w:space="0" w:color="auto"/>
        <w:left w:val="none" w:sz="0" w:space="0" w:color="auto"/>
        <w:bottom w:val="none" w:sz="0" w:space="0" w:color="auto"/>
        <w:right w:val="none" w:sz="0" w:space="0" w:color="auto"/>
      </w:divBdr>
    </w:div>
    <w:div w:id="2099908884">
      <w:bodyDiv w:val="1"/>
      <w:marLeft w:val="0"/>
      <w:marRight w:val="0"/>
      <w:marTop w:val="0"/>
      <w:marBottom w:val="0"/>
      <w:divBdr>
        <w:top w:val="none" w:sz="0" w:space="0" w:color="auto"/>
        <w:left w:val="none" w:sz="0" w:space="0" w:color="auto"/>
        <w:bottom w:val="none" w:sz="0" w:space="0" w:color="auto"/>
        <w:right w:val="none" w:sz="0" w:space="0" w:color="auto"/>
      </w:divBdr>
    </w:div>
    <w:div w:id="2102486164">
      <w:bodyDiv w:val="1"/>
      <w:marLeft w:val="0"/>
      <w:marRight w:val="0"/>
      <w:marTop w:val="0"/>
      <w:marBottom w:val="0"/>
      <w:divBdr>
        <w:top w:val="none" w:sz="0" w:space="0" w:color="auto"/>
        <w:left w:val="none" w:sz="0" w:space="0" w:color="auto"/>
        <w:bottom w:val="none" w:sz="0" w:space="0" w:color="auto"/>
        <w:right w:val="none" w:sz="0" w:space="0" w:color="auto"/>
      </w:divBdr>
    </w:div>
    <w:div w:id="21225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mailto:service@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F22CA1-3B40-4E84-90B6-95892DEB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175</Pages>
  <Words>20882</Words>
  <Characters>119031</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易方达现金收益证券投资基金</vt:lpstr>
    </vt:vector>
  </TitlesOfParts>
  <Company>efund</Company>
  <LinksUpToDate>false</LinksUpToDate>
  <CharactersWithSpaces>139634</CharactersWithSpaces>
  <SharedDoc>false</SharedDoc>
  <HLinks>
    <vt:vector size="624" baseType="variant">
      <vt:variant>
        <vt:i4>1704044</vt:i4>
      </vt:variant>
      <vt:variant>
        <vt:i4>609</vt:i4>
      </vt:variant>
      <vt:variant>
        <vt:i4>0</vt:i4>
      </vt:variant>
      <vt:variant>
        <vt:i4>5</vt:i4>
      </vt:variant>
      <vt:variant>
        <vt:lpwstr>mailto:service@efunds.com.cn</vt:lpwstr>
      </vt:variant>
      <vt:variant>
        <vt:lpwstr/>
      </vt:variant>
      <vt:variant>
        <vt:i4>6160454</vt:i4>
      </vt:variant>
      <vt:variant>
        <vt:i4>606</vt:i4>
      </vt:variant>
      <vt:variant>
        <vt:i4>0</vt:i4>
      </vt:variant>
      <vt:variant>
        <vt:i4>5</vt:i4>
      </vt:variant>
      <vt:variant>
        <vt:lpwstr>http://www.efunds.com.cn/</vt:lpwstr>
      </vt:variant>
      <vt:variant>
        <vt:lpwstr/>
      </vt:variant>
      <vt:variant>
        <vt:i4>6160454</vt:i4>
      </vt:variant>
      <vt:variant>
        <vt:i4>603</vt:i4>
      </vt:variant>
      <vt:variant>
        <vt:i4>0</vt:i4>
      </vt:variant>
      <vt:variant>
        <vt:i4>5</vt:i4>
      </vt:variant>
      <vt:variant>
        <vt:lpwstr>http://www.efunds.com.cn/</vt:lpwstr>
      </vt:variant>
      <vt:variant>
        <vt:lpwstr/>
      </vt:variant>
      <vt:variant>
        <vt:i4>6160454</vt:i4>
      </vt:variant>
      <vt:variant>
        <vt:i4>600</vt:i4>
      </vt:variant>
      <vt:variant>
        <vt:i4>0</vt:i4>
      </vt:variant>
      <vt:variant>
        <vt:i4>5</vt:i4>
      </vt:variant>
      <vt:variant>
        <vt:lpwstr>http://www.efunds.com.cn/</vt:lpwstr>
      </vt:variant>
      <vt:variant>
        <vt:lpwstr/>
      </vt:variant>
      <vt:variant>
        <vt:i4>6357030</vt:i4>
      </vt:variant>
      <vt:variant>
        <vt:i4>597</vt:i4>
      </vt:variant>
      <vt:variant>
        <vt:i4>0</vt:i4>
      </vt:variant>
      <vt:variant>
        <vt:i4>5</vt:i4>
      </vt:variant>
      <vt:variant>
        <vt:lpwstr>https://www.sc.com/global/av/hk-e-scb-interim-report2016-with-signature.pdf</vt:lpwstr>
      </vt:variant>
      <vt:variant>
        <vt:lpwstr/>
      </vt:variant>
      <vt:variant>
        <vt:i4>1310779</vt:i4>
      </vt:variant>
      <vt:variant>
        <vt:i4>590</vt:i4>
      </vt:variant>
      <vt:variant>
        <vt:i4>0</vt:i4>
      </vt:variant>
      <vt:variant>
        <vt:i4>5</vt:i4>
      </vt:variant>
      <vt:variant>
        <vt:lpwstr/>
      </vt:variant>
      <vt:variant>
        <vt:lpwstr>_Toc476584155</vt:lpwstr>
      </vt:variant>
      <vt:variant>
        <vt:i4>1310779</vt:i4>
      </vt:variant>
      <vt:variant>
        <vt:i4>584</vt:i4>
      </vt:variant>
      <vt:variant>
        <vt:i4>0</vt:i4>
      </vt:variant>
      <vt:variant>
        <vt:i4>5</vt:i4>
      </vt:variant>
      <vt:variant>
        <vt:lpwstr/>
      </vt:variant>
      <vt:variant>
        <vt:lpwstr>_Toc476584154</vt:lpwstr>
      </vt:variant>
      <vt:variant>
        <vt:i4>1310779</vt:i4>
      </vt:variant>
      <vt:variant>
        <vt:i4>578</vt:i4>
      </vt:variant>
      <vt:variant>
        <vt:i4>0</vt:i4>
      </vt:variant>
      <vt:variant>
        <vt:i4>5</vt:i4>
      </vt:variant>
      <vt:variant>
        <vt:lpwstr/>
      </vt:variant>
      <vt:variant>
        <vt:lpwstr>_Toc476584153</vt:lpwstr>
      </vt:variant>
      <vt:variant>
        <vt:i4>1310779</vt:i4>
      </vt:variant>
      <vt:variant>
        <vt:i4>572</vt:i4>
      </vt:variant>
      <vt:variant>
        <vt:i4>0</vt:i4>
      </vt:variant>
      <vt:variant>
        <vt:i4>5</vt:i4>
      </vt:variant>
      <vt:variant>
        <vt:lpwstr/>
      </vt:variant>
      <vt:variant>
        <vt:lpwstr>_Toc476584152</vt:lpwstr>
      </vt:variant>
      <vt:variant>
        <vt:i4>1310779</vt:i4>
      </vt:variant>
      <vt:variant>
        <vt:i4>566</vt:i4>
      </vt:variant>
      <vt:variant>
        <vt:i4>0</vt:i4>
      </vt:variant>
      <vt:variant>
        <vt:i4>5</vt:i4>
      </vt:variant>
      <vt:variant>
        <vt:lpwstr/>
      </vt:variant>
      <vt:variant>
        <vt:lpwstr>_Toc476584151</vt:lpwstr>
      </vt:variant>
      <vt:variant>
        <vt:i4>1310779</vt:i4>
      </vt:variant>
      <vt:variant>
        <vt:i4>560</vt:i4>
      </vt:variant>
      <vt:variant>
        <vt:i4>0</vt:i4>
      </vt:variant>
      <vt:variant>
        <vt:i4>5</vt:i4>
      </vt:variant>
      <vt:variant>
        <vt:lpwstr/>
      </vt:variant>
      <vt:variant>
        <vt:lpwstr>_Toc476584150</vt:lpwstr>
      </vt:variant>
      <vt:variant>
        <vt:i4>1376315</vt:i4>
      </vt:variant>
      <vt:variant>
        <vt:i4>554</vt:i4>
      </vt:variant>
      <vt:variant>
        <vt:i4>0</vt:i4>
      </vt:variant>
      <vt:variant>
        <vt:i4>5</vt:i4>
      </vt:variant>
      <vt:variant>
        <vt:lpwstr/>
      </vt:variant>
      <vt:variant>
        <vt:lpwstr>_Toc476584149</vt:lpwstr>
      </vt:variant>
      <vt:variant>
        <vt:i4>1376315</vt:i4>
      </vt:variant>
      <vt:variant>
        <vt:i4>548</vt:i4>
      </vt:variant>
      <vt:variant>
        <vt:i4>0</vt:i4>
      </vt:variant>
      <vt:variant>
        <vt:i4>5</vt:i4>
      </vt:variant>
      <vt:variant>
        <vt:lpwstr/>
      </vt:variant>
      <vt:variant>
        <vt:lpwstr>_Toc476584148</vt:lpwstr>
      </vt:variant>
      <vt:variant>
        <vt:i4>1376315</vt:i4>
      </vt:variant>
      <vt:variant>
        <vt:i4>542</vt:i4>
      </vt:variant>
      <vt:variant>
        <vt:i4>0</vt:i4>
      </vt:variant>
      <vt:variant>
        <vt:i4>5</vt:i4>
      </vt:variant>
      <vt:variant>
        <vt:lpwstr/>
      </vt:variant>
      <vt:variant>
        <vt:lpwstr>_Toc476584147</vt:lpwstr>
      </vt:variant>
      <vt:variant>
        <vt:i4>1376315</vt:i4>
      </vt:variant>
      <vt:variant>
        <vt:i4>536</vt:i4>
      </vt:variant>
      <vt:variant>
        <vt:i4>0</vt:i4>
      </vt:variant>
      <vt:variant>
        <vt:i4>5</vt:i4>
      </vt:variant>
      <vt:variant>
        <vt:lpwstr/>
      </vt:variant>
      <vt:variant>
        <vt:lpwstr>_Toc476584146</vt:lpwstr>
      </vt:variant>
      <vt:variant>
        <vt:i4>1376315</vt:i4>
      </vt:variant>
      <vt:variant>
        <vt:i4>530</vt:i4>
      </vt:variant>
      <vt:variant>
        <vt:i4>0</vt:i4>
      </vt:variant>
      <vt:variant>
        <vt:i4>5</vt:i4>
      </vt:variant>
      <vt:variant>
        <vt:lpwstr/>
      </vt:variant>
      <vt:variant>
        <vt:lpwstr>_Toc476584145</vt:lpwstr>
      </vt:variant>
      <vt:variant>
        <vt:i4>1376315</vt:i4>
      </vt:variant>
      <vt:variant>
        <vt:i4>524</vt:i4>
      </vt:variant>
      <vt:variant>
        <vt:i4>0</vt:i4>
      </vt:variant>
      <vt:variant>
        <vt:i4>5</vt:i4>
      </vt:variant>
      <vt:variant>
        <vt:lpwstr/>
      </vt:variant>
      <vt:variant>
        <vt:lpwstr>_Toc476584144</vt:lpwstr>
      </vt:variant>
      <vt:variant>
        <vt:i4>1376315</vt:i4>
      </vt:variant>
      <vt:variant>
        <vt:i4>518</vt:i4>
      </vt:variant>
      <vt:variant>
        <vt:i4>0</vt:i4>
      </vt:variant>
      <vt:variant>
        <vt:i4>5</vt:i4>
      </vt:variant>
      <vt:variant>
        <vt:lpwstr/>
      </vt:variant>
      <vt:variant>
        <vt:lpwstr>_Toc476584143</vt:lpwstr>
      </vt:variant>
      <vt:variant>
        <vt:i4>1376315</vt:i4>
      </vt:variant>
      <vt:variant>
        <vt:i4>512</vt:i4>
      </vt:variant>
      <vt:variant>
        <vt:i4>0</vt:i4>
      </vt:variant>
      <vt:variant>
        <vt:i4>5</vt:i4>
      </vt:variant>
      <vt:variant>
        <vt:lpwstr/>
      </vt:variant>
      <vt:variant>
        <vt:lpwstr>_Toc476584142</vt:lpwstr>
      </vt:variant>
      <vt:variant>
        <vt:i4>1376315</vt:i4>
      </vt:variant>
      <vt:variant>
        <vt:i4>506</vt:i4>
      </vt:variant>
      <vt:variant>
        <vt:i4>0</vt:i4>
      </vt:variant>
      <vt:variant>
        <vt:i4>5</vt:i4>
      </vt:variant>
      <vt:variant>
        <vt:lpwstr/>
      </vt:variant>
      <vt:variant>
        <vt:lpwstr>_Toc476584141</vt:lpwstr>
      </vt:variant>
      <vt:variant>
        <vt:i4>1376315</vt:i4>
      </vt:variant>
      <vt:variant>
        <vt:i4>500</vt:i4>
      </vt:variant>
      <vt:variant>
        <vt:i4>0</vt:i4>
      </vt:variant>
      <vt:variant>
        <vt:i4>5</vt:i4>
      </vt:variant>
      <vt:variant>
        <vt:lpwstr/>
      </vt:variant>
      <vt:variant>
        <vt:lpwstr>_Toc476584140</vt:lpwstr>
      </vt:variant>
      <vt:variant>
        <vt:i4>1179707</vt:i4>
      </vt:variant>
      <vt:variant>
        <vt:i4>494</vt:i4>
      </vt:variant>
      <vt:variant>
        <vt:i4>0</vt:i4>
      </vt:variant>
      <vt:variant>
        <vt:i4>5</vt:i4>
      </vt:variant>
      <vt:variant>
        <vt:lpwstr/>
      </vt:variant>
      <vt:variant>
        <vt:lpwstr>_Toc476584139</vt:lpwstr>
      </vt:variant>
      <vt:variant>
        <vt:i4>1179707</vt:i4>
      </vt:variant>
      <vt:variant>
        <vt:i4>488</vt:i4>
      </vt:variant>
      <vt:variant>
        <vt:i4>0</vt:i4>
      </vt:variant>
      <vt:variant>
        <vt:i4>5</vt:i4>
      </vt:variant>
      <vt:variant>
        <vt:lpwstr/>
      </vt:variant>
      <vt:variant>
        <vt:lpwstr>_Toc476584138</vt:lpwstr>
      </vt:variant>
      <vt:variant>
        <vt:i4>1179707</vt:i4>
      </vt:variant>
      <vt:variant>
        <vt:i4>482</vt:i4>
      </vt:variant>
      <vt:variant>
        <vt:i4>0</vt:i4>
      </vt:variant>
      <vt:variant>
        <vt:i4>5</vt:i4>
      </vt:variant>
      <vt:variant>
        <vt:lpwstr/>
      </vt:variant>
      <vt:variant>
        <vt:lpwstr>_Toc476584137</vt:lpwstr>
      </vt:variant>
      <vt:variant>
        <vt:i4>1179707</vt:i4>
      </vt:variant>
      <vt:variant>
        <vt:i4>476</vt:i4>
      </vt:variant>
      <vt:variant>
        <vt:i4>0</vt:i4>
      </vt:variant>
      <vt:variant>
        <vt:i4>5</vt:i4>
      </vt:variant>
      <vt:variant>
        <vt:lpwstr/>
      </vt:variant>
      <vt:variant>
        <vt:lpwstr>_Toc476584136</vt:lpwstr>
      </vt:variant>
      <vt:variant>
        <vt:i4>1179707</vt:i4>
      </vt:variant>
      <vt:variant>
        <vt:i4>470</vt:i4>
      </vt:variant>
      <vt:variant>
        <vt:i4>0</vt:i4>
      </vt:variant>
      <vt:variant>
        <vt:i4>5</vt:i4>
      </vt:variant>
      <vt:variant>
        <vt:lpwstr/>
      </vt:variant>
      <vt:variant>
        <vt:lpwstr>_Toc476584135</vt:lpwstr>
      </vt:variant>
      <vt:variant>
        <vt:i4>1179707</vt:i4>
      </vt:variant>
      <vt:variant>
        <vt:i4>464</vt:i4>
      </vt:variant>
      <vt:variant>
        <vt:i4>0</vt:i4>
      </vt:variant>
      <vt:variant>
        <vt:i4>5</vt:i4>
      </vt:variant>
      <vt:variant>
        <vt:lpwstr/>
      </vt:variant>
      <vt:variant>
        <vt:lpwstr>_Toc476584134</vt:lpwstr>
      </vt:variant>
      <vt:variant>
        <vt:i4>1179707</vt:i4>
      </vt:variant>
      <vt:variant>
        <vt:i4>458</vt:i4>
      </vt:variant>
      <vt:variant>
        <vt:i4>0</vt:i4>
      </vt:variant>
      <vt:variant>
        <vt:i4>5</vt:i4>
      </vt:variant>
      <vt:variant>
        <vt:lpwstr/>
      </vt:variant>
      <vt:variant>
        <vt:lpwstr>_Toc476584133</vt:lpwstr>
      </vt:variant>
      <vt:variant>
        <vt:i4>1179707</vt:i4>
      </vt:variant>
      <vt:variant>
        <vt:i4>452</vt:i4>
      </vt:variant>
      <vt:variant>
        <vt:i4>0</vt:i4>
      </vt:variant>
      <vt:variant>
        <vt:i4>5</vt:i4>
      </vt:variant>
      <vt:variant>
        <vt:lpwstr/>
      </vt:variant>
      <vt:variant>
        <vt:lpwstr>_Toc476584132</vt:lpwstr>
      </vt:variant>
      <vt:variant>
        <vt:i4>1179707</vt:i4>
      </vt:variant>
      <vt:variant>
        <vt:i4>446</vt:i4>
      </vt:variant>
      <vt:variant>
        <vt:i4>0</vt:i4>
      </vt:variant>
      <vt:variant>
        <vt:i4>5</vt:i4>
      </vt:variant>
      <vt:variant>
        <vt:lpwstr/>
      </vt:variant>
      <vt:variant>
        <vt:lpwstr>_Toc476584131</vt:lpwstr>
      </vt:variant>
      <vt:variant>
        <vt:i4>1179707</vt:i4>
      </vt:variant>
      <vt:variant>
        <vt:i4>440</vt:i4>
      </vt:variant>
      <vt:variant>
        <vt:i4>0</vt:i4>
      </vt:variant>
      <vt:variant>
        <vt:i4>5</vt:i4>
      </vt:variant>
      <vt:variant>
        <vt:lpwstr/>
      </vt:variant>
      <vt:variant>
        <vt:lpwstr>_Toc476584130</vt:lpwstr>
      </vt:variant>
      <vt:variant>
        <vt:i4>1245243</vt:i4>
      </vt:variant>
      <vt:variant>
        <vt:i4>434</vt:i4>
      </vt:variant>
      <vt:variant>
        <vt:i4>0</vt:i4>
      </vt:variant>
      <vt:variant>
        <vt:i4>5</vt:i4>
      </vt:variant>
      <vt:variant>
        <vt:lpwstr/>
      </vt:variant>
      <vt:variant>
        <vt:lpwstr>_Toc476584129</vt:lpwstr>
      </vt:variant>
      <vt:variant>
        <vt:i4>1245243</vt:i4>
      </vt:variant>
      <vt:variant>
        <vt:i4>428</vt:i4>
      </vt:variant>
      <vt:variant>
        <vt:i4>0</vt:i4>
      </vt:variant>
      <vt:variant>
        <vt:i4>5</vt:i4>
      </vt:variant>
      <vt:variant>
        <vt:lpwstr/>
      </vt:variant>
      <vt:variant>
        <vt:lpwstr>_Toc476584128</vt:lpwstr>
      </vt:variant>
      <vt:variant>
        <vt:i4>1245243</vt:i4>
      </vt:variant>
      <vt:variant>
        <vt:i4>422</vt:i4>
      </vt:variant>
      <vt:variant>
        <vt:i4>0</vt:i4>
      </vt:variant>
      <vt:variant>
        <vt:i4>5</vt:i4>
      </vt:variant>
      <vt:variant>
        <vt:lpwstr/>
      </vt:variant>
      <vt:variant>
        <vt:lpwstr>_Toc476584127</vt:lpwstr>
      </vt:variant>
      <vt:variant>
        <vt:i4>1245243</vt:i4>
      </vt:variant>
      <vt:variant>
        <vt:i4>416</vt:i4>
      </vt:variant>
      <vt:variant>
        <vt:i4>0</vt:i4>
      </vt:variant>
      <vt:variant>
        <vt:i4>5</vt:i4>
      </vt:variant>
      <vt:variant>
        <vt:lpwstr/>
      </vt:variant>
      <vt:variant>
        <vt:lpwstr>_Toc476584126</vt:lpwstr>
      </vt:variant>
      <vt:variant>
        <vt:i4>1245243</vt:i4>
      </vt:variant>
      <vt:variant>
        <vt:i4>410</vt:i4>
      </vt:variant>
      <vt:variant>
        <vt:i4>0</vt:i4>
      </vt:variant>
      <vt:variant>
        <vt:i4>5</vt:i4>
      </vt:variant>
      <vt:variant>
        <vt:lpwstr/>
      </vt:variant>
      <vt:variant>
        <vt:lpwstr>_Toc476584125</vt:lpwstr>
      </vt:variant>
      <vt:variant>
        <vt:i4>1245243</vt:i4>
      </vt:variant>
      <vt:variant>
        <vt:i4>404</vt:i4>
      </vt:variant>
      <vt:variant>
        <vt:i4>0</vt:i4>
      </vt:variant>
      <vt:variant>
        <vt:i4>5</vt:i4>
      </vt:variant>
      <vt:variant>
        <vt:lpwstr/>
      </vt:variant>
      <vt:variant>
        <vt:lpwstr>_Toc476584124</vt:lpwstr>
      </vt:variant>
      <vt:variant>
        <vt:i4>1245243</vt:i4>
      </vt:variant>
      <vt:variant>
        <vt:i4>398</vt:i4>
      </vt:variant>
      <vt:variant>
        <vt:i4>0</vt:i4>
      </vt:variant>
      <vt:variant>
        <vt:i4>5</vt:i4>
      </vt:variant>
      <vt:variant>
        <vt:lpwstr/>
      </vt:variant>
      <vt:variant>
        <vt:lpwstr>_Toc476584123</vt:lpwstr>
      </vt:variant>
      <vt:variant>
        <vt:i4>1245243</vt:i4>
      </vt:variant>
      <vt:variant>
        <vt:i4>392</vt:i4>
      </vt:variant>
      <vt:variant>
        <vt:i4>0</vt:i4>
      </vt:variant>
      <vt:variant>
        <vt:i4>5</vt:i4>
      </vt:variant>
      <vt:variant>
        <vt:lpwstr/>
      </vt:variant>
      <vt:variant>
        <vt:lpwstr>_Toc476584122</vt:lpwstr>
      </vt:variant>
      <vt:variant>
        <vt:i4>1245243</vt:i4>
      </vt:variant>
      <vt:variant>
        <vt:i4>386</vt:i4>
      </vt:variant>
      <vt:variant>
        <vt:i4>0</vt:i4>
      </vt:variant>
      <vt:variant>
        <vt:i4>5</vt:i4>
      </vt:variant>
      <vt:variant>
        <vt:lpwstr/>
      </vt:variant>
      <vt:variant>
        <vt:lpwstr>_Toc476584121</vt:lpwstr>
      </vt:variant>
      <vt:variant>
        <vt:i4>1245243</vt:i4>
      </vt:variant>
      <vt:variant>
        <vt:i4>380</vt:i4>
      </vt:variant>
      <vt:variant>
        <vt:i4>0</vt:i4>
      </vt:variant>
      <vt:variant>
        <vt:i4>5</vt:i4>
      </vt:variant>
      <vt:variant>
        <vt:lpwstr/>
      </vt:variant>
      <vt:variant>
        <vt:lpwstr>_Toc476584120</vt:lpwstr>
      </vt:variant>
      <vt:variant>
        <vt:i4>1048635</vt:i4>
      </vt:variant>
      <vt:variant>
        <vt:i4>374</vt:i4>
      </vt:variant>
      <vt:variant>
        <vt:i4>0</vt:i4>
      </vt:variant>
      <vt:variant>
        <vt:i4>5</vt:i4>
      </vt:variant>
      <vt:variant>
        <vt:lpwstr/>
      </vt:variant>
      <vt:variant>
        <vt:lpwstr>_Toc476584119</vt:lpwstr>
      </vt:variant>
      <vt:variant>
        <vt:i4>1048635</vt:i4>
      </vt:variant>
      <vt:variant>
        <vt:i4>368</vt:i4>
      </vt:variant>
      <vt:variant>
        <vt:i4>0</vt:i4>
      </vt:variant>
      <vt:variant>
        <vt:i4>5</vt:i4>
      </vt:variant>
      <vt:variant>
        <vt:lpwstr/>
      </vt:variant>
      <vt:variant>
        <vt:lpwstr>_Toc476584118</vt:lpwstr>
      </vt:variant>
      <vt:variant>
        <vt:i4>1048635</vt:i4>
      </vt:variant>
      <vt:variant>
        <vt:i4>362</vt:i4>
      </vt:variant>
      <vt:variant>
        <vt:i4>0</vt:i4>
      </vt:variant>
      <vt:variant>
        <vt:i4>5</vt:i4>
      </vt:variant>
      <vt:variant>
        <vt:lpwstr/>
      </vt:variant>
      <vt:variant>
        <vt:lpwstr>_Toc476584117</vt:lpwstr>
      </vt:variant>
      <vt:variant>
        <vt:i4>1048635</vt:i4>
      </vt:variant>
      <vt:variant>
        <vt:i4>356</vt:i4>
      </vt:variant>
      <vt:variant>
        <vt:i4>0</vt:i4>
      </vt:variant>
      <vt:variant>
        <vt:i4>5</vt:i4>
      </vt:variant>
      <vt:variant>
        <vt:lpwstr/>
      </vt:variant>
      <vt:variant>
        <vt:lpwstr>_Toc476584116</vt:lpwstr>
      </vt:variant>
      <vt:variant>
        <vt:i4>1048635</vt:i4>
      </vt:variant>
      <vt:variant>
        <vt:i4>350</vt:i4>
      </vt:variant>
      <vt:variant>
        <vt:i4>0</vt:i4>
      </vt:variant>
      <vt:variant>
        <vt:i4>5</vt:i4>
      </vt:variant>
      <vt:variant>
        <vt:lpwstr/>
      </vt:variant>
      <vt:variant>
        <vt:lpwstr>_Toc476584115</vt:lpwstr>
      </vt:variant>
      <vt:variant>
        <vt:i4>1048635</vt:i4>
      </vt:variant>
      <vt:variant>
        <vt:i4>344</vt:i4>
      </vt:variant>
      <vt:variant>
        <vt:i4>0</vt:i4>
      </vt:variant>
      <vt:variant>
        <vt:i4>5</vt:i4>
      </vt:variant>
      <vt:variant>
        <vt:lpwstr/>
      </vt:variant>
      <vt:variant>
        <vt:lpwstr>_Toc476584114</vt:lpwstr>
      </vt:variant>
      <vt:variant>
        <vt:i4>1048635</vt:i4>
      </vt:variant>
      <vt:variant>
        <vt:i4>338</vt:i4>
      </vt:variant>
      <vt:variant>
        <vt:i4>0</vt:i4>
      </vt:variant>
      <vt:variant>
        <vt:i4>5</vt:i4>
      </vt:variant>
      <vt:variant>
        <vt:lpwstr/>
      </vt:variant>
      <vt:variant>
        <vt:lpwstr>_Toc476584113</vt:lpwstr>
      </vt:variant>
      <vt:variant>
        <vt:i4>1048635</vt:i4>
      </vt:variant>
      <vt:variant>
        <vt:i4>332</vt:i4>
      </vt:variant>
      <vt:variant>
        <vt:i4>0</vt:i4>
      </vt:variant>
      <vt:variant>
        <vt:i4>5</vt:i4>
      </vt:variant>
      <vt:variant>
        <vt:lpwstr/>
      </vt:variant>
      <vt:variant>
        <vt:lpwstr>_Toc476584112</vt:lpwstr>
      </vt:variant>
      <vt:variant>
        <vt:i4>1048635</vt:i4>
      </vt:variant>
      <vt:variant>
        <vt:i4>326</vt:i4>
      </vt:variant>
      <vt:variant>
        <vt:i4>0</vt:i4>
      </vt:variant>
      <vt:variant>
        <vt:i4>5</vt:i4>
      </vt:variant>
      <vt:variant>
        <vt:lpwstr/>
      </vt:variant>
      <vt:variant>
        <vt:lpwstr>_Toc476584111</vt:lpwstr>
      </vt:variant>
      <vt:variant>
        <vt:i4>1048635</vt:i4>
      </vt:variant>
      <vt:variant>
        <vt:i4>320</vt:i4>
      </vt:variant>
      <vt:variant>
        <vt:i4>0</vt:i4>
      </vt:variant>
      <vt:variant>
        <vt:i4>5</vt:i4>
      </vt:variant>
      <vt:variant>
        <vt:lpwstr/>
      </vt:variant>
      <vt:variant>
        <vt:lpwstr>_Toc476584110</vt:lpwstr>
      </vt:variant>
      <vt:variant>
        <vt:i4>1114171</vt:i4>
      </vt:variant>
      <vt:variant>
        <vt:i4>314</vt:i4>
      </vt:variant>
      <vt:variant>
        <vt:i4>0</vt:i4>
      </vt:variant>
      <vt:variant>
        <vt:i4>5</vt:i4>
      </vt:variant>
      <vt:variant>
        <vt:lpwstr/>
      </vt:variant>
      <vt:variant>
        <vt:lpwstr>_Toc476584109</vt:lpwstr>
      </vt:variant>
      <vt:variant>
        <vt:i4>1114171</vt:i4>
      </vt:variant>
      <vt:variant>
        <vt:i4>308</vt:i4>
      </vt:variant>
      <vt:variant>
        <vt:i4>0</vt:i4>
      </vt:variant>
      <vt:variant>
        <vt:i4>5</vt:i4>
      </vt:variant>
      <vt:variant>
        <vt:lpwstr/>
      </vt:variant>
      <vt:variant>
        <vt:lpwstr>_Toc476584108</vt:lpwstr>
      </vt:variant>
      <vt:variant>
        <vt:i4>1114171</vt:i4>
      </vt:variant>
      <vt:variant>
        <vt:i4>302</vt:i4>
      </vt:variant>
      <vt:variant>
        <vt:i4>0</vt:i4>
      </vt:variant>
      <vt:variant>
        <vt:i4>5</vt:i4>
      </vt:variant>
      <vt:variant>
        <vt:lpwstr/>
      </vt:variant>
      <vt:variant>
        <vt:lpwstr>_Toc476584107</vt:lpwstr>
      </vt:variant>
      <vt:variant>
        <vt:i4>1114171</vt:i4>
      </vt:variant>
      <vt:variant>
        <vt:i4>296</vt:i4>
      </vt:variant>
      <vt:variant>
        <vt:i4>0</vt:i4>
      </vt:variant>
      <vt:variant>
        <vt:i4>5</vt:i4>
      </vt:variant>
      <vt:variant>
        <vt:lpwstr/>
      </vt:variant>
      <vt:variant>
        <vt:lpwstr>_Toc476584106</vt:lpwstr>
      </vt:variant>
      <vt:variant>
        <vt:i4>1114171</vt:i4>
      </vt:variant>
      <vt:variant>
        <vt:i4>290</vt:i4>
      </vt:variant>
      <vt:variant>
        <vt:i4>0</vt:i4>
      </vt:variant>
      <vt:variant>
        <vt:i4>5</vt:i4>
      </vt:variant>
      <vt:variant>
        <vt:lpwstr/>
      </vt:variant>
      <vt:variant>
        <vt:lpwstr>_Toc476584105</vt:lpwstr>
      </vt:variant>
      <vt:variant>
        <vt:i4>1114171</vt:i4>
      </vt:variant>
      <vt:variant>
        <vt:i4>284</vt:i4>
      </vt:variant>
      <vt:variant>
        <vt:i4>0</vt:i4>
      </vt:variant>
      <vt:variant>
        <vt:i4>5</vt:i4>
      </vt:variant>
      <vt:variant>
        <vt:lpwstr/>
      </vt:variant>
      <vt:variant>
        <vt:lpwstr>_Toc476584104</vt:lpwstr>
      </vt:variant>
      <vt:variant>
        <vt:i4>1114171</vt:i4>
      </vt:variant>
      <vt:variant>
        <vt:i4>278</vt:i4>
      </vt:variant>
      <vt:variant>
        <vt:i4>0</vt:i4>
      </vt:variant>
      <vt:variant>
        <vt:i4>5</vt:i4>
      </vt:variant>
      <vt:variant>
        <vt:lpwstr/>
      </vt:variant>
      <vt:variant>
        <vt:lpwstr>_Toc476584103</vt:lpwstr>
      </vt:variant>
      <vt:variant>
        <vt:i4>1114171</vt:i4>
      </vt:variant>
      <vt:variant>
        <vt:i4>272</vt:i4>
      </vt:variant>
      <vt:variant>
        <vt:i4>0</vt:i4>
      </vt:variant>
      <vt:variant>
        <vt:i4>5</vt:i4>
      </vt:variant>
      <vt:variant>
        <vt:lpwstr/>
      </vt:variant>
      <vt:variant>
        <vt:lpwstr>_Toc476584102</vt:lpwstr>
      </vt:variant>
      <vt:variant>
        <vt:i4>1114171</vt:i4>
      </vt:variant>
      <vt:variant>
        <vt:i4>266</vt:i4>
      </vt:variant>
      <vt:variant>
        <vt:i4>0</vt:i4>
      </vt:variant>
      <vt:variant>
        <vt:i4>5</vt:i4>
      </vt:variant>
      <vt:variant>
        <vt:lpwstr/>
      </vt:variant>
      <vt:variant>
        <vt:lpwstr>_Toc476584101</vt:lpwstr>
      </vt:variant>
      <vt:variant>
        <vt:i4>1114171</vt:i4>
      </vt:variant>
      <vt:variant>
        <vt:i4>260</vt:i4>
      </vt:variant>
      <vt:variant>
        <vt:i4>0</vt:i4>
      </vt:variant>
      <vt:variant>
        <vt:i4>5</vt:i4>
      </vt:variant>
      <vt:variant>
        <vt:lpwstr/>
      </vt:variant>
      <vt:variant>
        <vt:lpwstr>_Toc476584100</vt:lpwstr>
      </vt:variant>
      <vt:variant>
        <vt:i4>1572922</vt:i4>
      </vt:variant>
      <vt:variant>
        <vt:i4>254</vt:i4>
      </vt:variant>
      <vt:variant>
        <vt:i4>0</vt:i4>
      </vt:variant>
      <vt:variant>
        <vt:i4>5</vt:i4>
      </vt:variant>
      <vt:variant>
        <vt:lpwstr/>
      </vt:variant>
      <vt:variant>
        <vt:lpwstr>_Toc476584099</vt:lpwstr>
      </vt:variant>
      <vt:variant>
        <vt:i4>1572922</vt:i4>
      </vt:variant>
      <vt:variant>
        <vt:i4>248</vt:i4>
      </vt:variant>
      <vt:variant>
        <vt:i4>0</vt:i4>
      </vt:variant>
      <vt:variant>
        <vt:i4>5</vt:i4>
      </vt:variant>
      <vt:variant>
        <vt:lpwstr/>
      </vt:variant>
      <vt:variant>
        <vt:lpwstr>_Toc476584098</vt:lpwstr>
      </vt:variant>
      <vt:variant>
        <vt:i4>1572922</vt:i4>
      </vt:variant>
      <vt:variant>
        <vt:i4>242</vt:i4>
      </vt:variant>
      <vt:variant>
        <vt:i4>0</vt:i4>
      </vt:variant>
      <vt:variant>
        <vt:i4>5</vt:i4>
      </vt:variant>
      <vt:variant>
        <vt:lpwstr/>
      </vt:variant>
      <vt:variant>
        <vt:lpwstr>_Toc476584097</vt:lpwstr>
      </vt:variant>
      <vt:variant>
        <vt:i4>1572922</vt:i4>
      </vt:variant>
      <vt:variant>
        <vt:i4>236</vt:i4>
      </vt:variant>
      <vt:variant>
        <vt:i4>0</vt:i4>
      </vt:variant>
      <vt:variant>
        <vt:i4>5</vt:i4>
      </vt:variant>
      <vt:variant>
        <vt:lpwstr/>
      </vt:variant>
      <vt:variant>
        <vt:lpwstr>_Toc476584096</vt:lpwstr>
      </vt:variant>
      <vt:variant>
        <vt:i4>1572922</vt:i4>
      </vt:variant>
      <vt:variant>
        <vt:i4>230</vt:i4>
      </vt:variant>
      <vt:variant>
        <vt:i4>0</vt:i4>
      </vt:variant>
      <vt:variant>
        <vt:i4>5</vt:i4>
      </vt:variant>
      <vt:variant>
        <vt:lpwstr/>
      </vt:variant>
      <vt:variant>
        <vt:lpwstr>_Toc476584095</vt:lpwstr>
      </vt:variant>
      <vt:variant>
        <vt:i4>1572922</vt:i4>
      </vt:variant>
      <vt:variant>
        <vt:i4>224</vt:i4>
      </vt:variant>
      <vt:variant>
        <vt:i4>0</vt:i4>
      </vt:variant>
      <vt:variant>
        <vt:i4>5</vt:i4>
      </vt:variant>
      <vt:variant>
        <vt:lpwstr/>
      </vt:variant>
      <vt:variant>
        <vt:lpwstr>_Toc476584094</vt:lpwstr>
      </vt:variant>
      <vt:variant>
        <vt:i4>1572922</vt:i4>
      </vt:variant>
      <vt:variant>
        <vt:i4>218</vt:i4>
      </vt:variant>
      <vt:variant>
        <vt:i4>0</vt:i4>
      </vt:variant>
      <vt:variant>
        <vt:i4>5</vt:i4>
      </vt:variant>
      <vt:variant>
        <vt:lpwstr/>
      </vt:variant>
      <vt:variant>
        <vt:lpwstr>_Toc476584093</vt:lpwstr>
      </vt:variant>
      <vt:variant>
        <vt:i4>1572922</vt:i4>
      </vt:variant>
      <vt:variant>
        <vt:i4>212</vt:i4>
      </vt:variant>
      <vt:variant>
        <vt:i4>0</vt:i4>
      </vt:variant>
      <vt:variant>
        <vt:i4>5</vt:i4>
      </vt:variant>
      <vt:variant>
        <vt:lpwstr/>
      </vt:variant>
      <vt:variant>
        <vt:lpwstr>_Toc476584092</vt:lpwstr>
      </vt:variant>
      <vt:variant>
        <vt:i4>1572922</vt:i4>
      </vt:variant>
      <vt:variant>
        <vt:i4>206</vt:i4>
      </vt:variant>
      <vt:variant>
        <vt:i4>0</vt:i4>
      </vt:variant>
      <vt:variant>
        <vt:i4>5</vt:i4>
      </vt:variant>
      <vt:variant>
        <vt:lpwstr/>
      </vt:variant>
      <vt:variant>
        <vt:lpwstr>_Toc476584091</vt:lpwstr>
      </vt:variant>
      <vt:variant>
        <vt:i4>1572922</vt:i4>
      </vt:variant>
      <vt:variant>
        <vt:i4>200</vt:i4>
      </vt:variant>
      <vt:variant>
        <vt:i4>0</vt:i4>
      </vt:variant>
      <vt:variant>
        <vt:i4>5</vt:i4>
      </vt:variant>
      <vt:variant>
        <vt:lpwstr/>
      </vt:variant>
      <vt:variant>
        <vt:lpwstr>_Toc476584090</vt:lpwstr>
      </vt:variant>
      <vt:variant>
        <vt:i4>1638458</vt:i4>
      </vt:variant>
      <vt:variant>
        <vt:i4>194</vt:i4>
      </vt:variant>
      <vt:variant>
        <vt:i4>0</vt:i4>
      </vt:variant>
      <vt:variant>
        <vt:i4>5</vt:i4>
      </vt:variant>
      <vt:variant>
        <vt:lpwstr/>
      </vt:variant>
      <vt:variant>
        <vt:lpwstr>_Toc476584089</vt:lpwstr>
      </vt:variant>
      <vt:variant>
        <vt:i4>1638458</vt:i4>
      </vt:variant>
      <vt:variant>
        <vt:i4>188</vt:i4>
      </vt:variant>
      <vt:variant>
        <vt:i4>0</vt:i4>
      </vt:variant>
      <vt:variant>
        <vt:i4>5</vt:i4>
      </vt:variant>
      <vt:variant>
        <vt:lpwstr/>
      </vt:variant>
      <vt:variant>
        <vt:lpwstr>_Toc476584088</vt:lpwstr>
      </vt:variant>
      <vt:variant>
        <vt:i4>1638458</vt:i4>
      </vt:variant>
      <vt:variant>
        <vt:i4>182</vt:i4>
      </vt:variant>
      <vt:variant>
        <vt:i4>0</vt:i4>
      </vt:variant>
      <vt:variant>
        <vt:i4>5</vt:i4>
      </vt:variant>
      <vt:variant>
        <vt:lpwstr/>
      </vt:variant>
      <vt:variant>
        <vt:lpwstr>_Toc476584087</vt:lpwstr>
      </vt:variant>
      <vt:variant>
        <vt:i4>1638458</vt:i4>
      </vt:variant>
      <vt:variant>
        <vt:i4>176</vt:i4>
      </vt:variant>
      <vt:variant>
        <vt:i4>0</vt:i4>
      </vt:variant>
      <vt:variant>
        <vt:i4>5</vt:i4>
      </vt:variant>
      <vt:variant>
        <vt:lpwstr/>
      </vt:variant>
      <vt:variant>
        <vt:lpwstr>_Toc476584086</vt:lpwstr>
      </vt:variant>
      <vt:variant>
        <vt:i4>1638458</vt:i4>
      </vt:variant>
      <vt:variant>
        <vt:i4>170</vt:i4>
      </vt:variant>
      <vt:variant>
        <vt:i4>0</vt:i4>
      </vt:variant>
      <vt:variant>
        <vt:i4>5</vt:i4>
      </vt:variant>
      <vt:variant>
        <vt:lpwstr/>
      </vt:variant>
      <vt:variant>
        <vt:lpwstr>_Toc476584085</vt:lpwstr>
      </vt:variant>
      <vt:variant>
        <vt:i4>1638458</vt:i4>
      </vt:variant>
      <vt:variant>
        <vt:i4>164</vt:i4>
      </vt:variant>
      <vt:variant>
        <vt:i4>0</vt:i4>
      </vt:variant>
      <vt:variant>
        <vt:i4>5</vt:i4>
      </vt:variant>
      <vt:variant>
        <vt:lpwstr/>
      </vt:variant>
      <vt:variant>
        <vt:lpwstr>_Toc476584084</vt:lpwstr>
      </vt:variant>
      <vt:variant>
        <vt:i4>1638458</vt:i4>
      </vt:variant>
      <vt:variant>
        <vt:i4>158</vt:i4>
      </vt:variant>
      <vt:variant>
        <vt:i4>0</vt:i4>
      </vt:variant>
      <vt:variant>
        <vt:i4>5</vt:i4>
      </vt:variant>
      <vt:variant>
        <vt:lpwstr/>
      </vt:variant>
      <vt:variant>
        <vt:lpwstr>_Toc476584083</vt:lpwstr>
      </vt:variant>
      <vt:variant>
        <vt:i4>1638458</vt:i4>
      </vt:variant>
      <vt:variant>
        <vt:i4>152</vt:i4>
      </vt:variant>
      <vt:variant>
        <vt:i4>0</vt:i4>
      </vt:variant>
      <vt:variant>
        <vt:i4>5</vt:i4>
      </vt:variant>
      <vt:variant>
        <vt:lpwstr/>
      </vt:variant>
      <vt:variant>
        <vt:lpwstr>_Toc476584082</vt:lpwstr>
      </vt:variant>
      <vt:variant>
        <vt:i4>1638458</vt:i4>
      </vt:variant>
      <vt:variant>
        <vt:i4>146</vt:i4>
      </vt:variant>
      <vt:variant>
        <vt:i4>0</vt:i4>
      </vt:variant>
      <vt:variant>
        <vt:i4>5</vt:i4>
      </vt:variant>
      <vt:variant>
        <vt:lpwstr/>
      </vt:variant>
      <vt:variant>
        <vt:lpwstr>_Toc476584081</vt:lpwstr>
      </vt:variant>
      <vt:variant>
        <vt:i4>1638458</vt:i4>
      </vt:variant>
      <vt:variant>
        <vt:i4>140</vt:i4>
      </vt:variant>
      <vt:variant>
        <vt:i4>0</vt:i4>
      </vt:variant>
      <vt:variant>
        <vt:i4>5</vt:i4>
      </vt:variant>
      <vt:variant>
        <vt:lpwstr/>
      </vt:variant>
      <vt:variant>
        <vt:lpwstr>_Toc476584080</vt:lpwstr>
      </vt:variant>
      <vt:variant>
        <vt:i4>1441850</vt:i4>
      </vt:variant>
      <vt:variant>
        <vt:i4>134</vt:i4>
      </vt:variant>
      <vt:variant>
        <vt:i4>0</vt:i4>
      </vt:variant>
      <vt:variant>
        <vt:i4>5</vt:i4>
      </vt:variant>
      <vt:variant>
        <vt:lpwstr/>
      </vt:variant>
      <vt:variant>
        <vt:lpwstr>_Toc476584079</vt:lpwstr>
      </vt:variant>
      <vt:variant>
        <vt:i4>1441850</vt:i4>
      </vt:variant>
      <vt:variant>
        <vt:i4>128</vt:i4>
      </vt:variant>
      <vt:variant>
        <vt:i4>0</vt:i4>
      </vt:variant>
      <vt:variant>
        <vt:i4>5</vt:i4>
      </vt:variant>
      <vt:variant>
        <vt:lpwstr/>
      </vt:variant>
      <vt:variant>
        <vt:lpwstr>_Toc476584078</vt:lpwstr>
      </vt:variant>
      <vt:variant>
        <vt:i4>1441850</vt:i4>
      </vt:variant>
      <vt:variant>
        <vt:i4>122</vt:i4>
      </vt:variant>
      <vt:variant>
        <vt:i4>0</vt:i4>
      </vt:variant>
      <vt:variant>
        <vt:i4>5</vt:i4>
      </vt:variant>
      <vt:variant>
        <vt:lpwstr/>
      </vt:variant>
      <vt:variant>
        <vt:lpwstr>_Toc476584077</vt:lpwstr>
      </vt:variant>
      <vt:variant>
        <vt:i4>1441850</vt:i4>
      </vt:variant>
      <vt:variant>
        <vt:i4>116</vt:i4>
      </vt:variant>
      <vt:variant>
        <vt:i4>0</vt:i4>
      </vt:variant>
      <vt:variant>
        <vt:i4>5</vt:i4>
      </vt:variant>
      <vt:variant>
        <vt:lpwstr/>
      </vt:variant>
      <vt:variant>
        <vt:lpwstr>_Toc476584076</vt:lpwstr>
      </vt:variant>
      <vt:variant>
        <vt:i4>1441850</vt:i4>
      </vt:variant>
      <vt:variant>
        <vt:i4>110</vt:i4>
      </vt:variant>
      <vt:variant>
        <vt:i4>0</vt:i4>
      </vt:variant>
      <vt:variant>
        <vt:i4>5</vt:i4>
      </vt:variant>
      <vt:variant>
        <vt:lpwstr/>
      </vt:variant>
      <vt:variant>
        <vt:lpwstr>_Toc476584075</vt:lpwstr>
      </vt:variant>
      <vt:variant>
        <vt:i4>1441850</vt:i4>
      </vt:variant>
      <vt:variant>
        <vt:i4>104</vt:i4>
      </vt:variant>
      <vt:variant>
        <vt:i4>0</vt:i4>
      </vt:variant>
      <vt:variant>
        <vt:i4>5</vt:i4>
      </vt:variant>
      <vt:variant>
        <vt:lpwstr/>
      </vt:variant>
      <vt:variant>
        <vt:lpwstr>_Toc476584074</vt:lpwstr>
      </vt:variant>
      <vt:variant>
        <vt:i4>1441850</vt:i4>
      </vt:variant>
      <vt:variant>
        <vt:i4>98</vt:i4>
      </vt:variant>
      <vt:variant>
        <vt:i4>0</vt:i4>
      </vt:variant>
      <vt:variant>
        <vt:i4>5</vt:i4>
      </vt:variant>
      <vt:variant>
        <vt:lpwstr/>
      </vt:variant>
      <vt:variant>
        <vt:lpwstr>_Toc476584073</vt:lpwstr>
      </vt:variant>
      <vt:variant>
        <vt:i4>1441850</vt:i4>
      </vt:variant>
      <vt:variant>
        <vt:i4>92</vt:i4>
      </vt:variant>
      <vt:variant>
        <vt:i4>0</vt:i4>
      </vt:variant>
      <vt:variant>
        <vt:i4>5</vt:i4>
      </vt:variant>
      <vt:variant>
        <vt:lpwstr/>
      </vt:variant>
      <vt:variant>
        <vt:lpwstr>_Toc476584072</vt:lpwstr>
      </vt:variant>
      <vt:variant>
        <vt:i4>1441850</vt:i4>
      </vt:variant>
      <vt:variant>
        <vt:i4>86</vt:i4>
      </vt:variant>
      <vt:variant>
        <vt:i4>0</vt:i4>
      </vt:variant>
      <vt:variant>
        <vt:i4>5</vt:i4>
      </vt:variant>
      <vt:variant>
        <vt:lpwstr/>
      </vt:variant>
      <vt:variant>
        <vt:lpwstr>_Toc476584071</vt:lpwstr>
      </vt:variant>
      <vt:variant>
        <vt:i4>1441850</vt:i4>
      </vt:variant>
      <vt:variant>
        <vt:i4>80</vt:i4>
      </vt:variant>
      <vt:variant>
        <vt:i4>0</vt:i4>
      </vt:variant>
      <vt:variant>
        <vt:i4>5</vt:i4>
      </vt:variant>
      <vt:variant>
        <vt:lpwstr/>
      </vt:variant>
      <vt:variant>
        <vt:lpwstr>_Toc476584070</vt:lpwstr>
      </vt:variant>
      <vt:variant>
        <vt:i4>1507386</vt:i4>
      </vt:variant>
      <vt:variant>
        <vt:i4>74</vt:i4>
      </vt:variant>
      <vt:variant>
        <vt:i4>0</vt:i4>
      </vt:variant>
      <vt:variant>
        <vt:i4>5</vt:i4>
      </vt:variant>
      <vt:variant>
        <vt:lpwstr/>
      </vt:variant>
      <vt:variant>
        <vt:lpwstr>_Toc476584069</vt:lpwstr>
      </vt:variant>
      <vt:variant>
        <vt:i4>1507386</vt:i4>
      </vt:variant>
      <vt:variant>
        <vt:i4>68</vt:i4>
      </vt:variant>
      <vt:variant>
        <vt:i4>0</vt:i4>
      </vt:variant>
      <vt:variant>
        <vt:i4>5</vt:i4>
      </vt:variant>
      <vt:variant>
        <vt:lpwstr/>
      </vt:variant>
      <vt:variant>
        <vt:lpwstr>_Toc476584068</vt:lpwstr>
      </vt:variant>
      <vt:variant>
        <vt:i4>1507386</vt:i4>
      </vt:variant>
      <vt:variant>
        <vt:i4>62</vt:i4>
      </vt:variant>
      <vt:variant>
        <vt:i4>0</vt:i4>
      </vt:variant>
      <vt:variant>
        <vt:i4>5</vt:i4>
      </vt:variant>
      <vt:variant>
        <vt:lpwstr/>
      </vt:variant>
      <vt:variant>
        <vt:lpwstr>_Toc476584067</vt:lpwstr>
      </vt:variant>
      <vt:variant>
        <vt:i4>1507386</vt:i4>
      </vt:variant>
      <vt:variant>
        <vt:i4>56</vt:i4>
      </vt:variant>
      <vt:variant>
        <vt:i4>0</vt:i4>
      </vt:variant>
      <vt:variant>
        <vt:i4>5</vt:i4>
      </vt:variant>
      <vt:variant>
        <vt:lpwstr/>
      </vt:variant>
      <vt:variant>
        <vt:lpwstr>_Toc476584066</vt:lpwstr>
      </vt:variant>
      <vt:variant>
        <vt:i4>1507386</vt:i4>
      </vt:variant>
      <vt:variant>
        <vt:i4>50</vt:i4>
      </vt:variant>
      <vt:variant>
        <vt:i4>0</vt:i4>
      </vt:variant>
      <vt:variant>
        <vt:i4>5</vt:i4>
      </vt:variant>
      <vt:variant>
        <vt:lpwstr/>
      </vt:variant>
      <vt:variant>
        <vt:lpwstr>_Toc476584065</vt:lpwstr>
      </vt:variant>
      <vt:variant>
        <vt:i4>1507386</vt:i4>
      </vt:variant>
      <vt:variant>
        <vt:i4>44</vt:i4>
      </vt:variant>
      <vt:variant>
        <vt:i4>0</vt:i4>
      </vt:variant>
      <vt:variant>
        <vt:i4>5</vt:i4>
      </vt:variant>
      <vt:variant>
        <vt:lpwstr/>
      </vt:variant>
      <vt:variant>
        <vt:lpwstr>_Toc476584064</vt:lpwstr>
      </vt:variant>
      <vt:variant>
        <vt:i4>1507386</vt:i4>
      </vt:variant>
      <vt:variant>
        <vt:i4>38</vt:i4>
      </vt:variant>
      <vt:variant>
        <vt:i4>0</vt:i4>
      </vt:variant>
      <vt:variant>
        <vt:i4>5</vt:i4>
      </vt:variant>
      <vt:variant>
        <vt:lpwstr/>
      </vt:variant>
      <vt:variant>
        <vt:lpwstr>_Toc476584063</vt:lpwstr>
      </vt:variant>
      <vt:variant>
        <vt:i4>1507386</vt:i4>
      </vt:variant>
      <vt:variant>
        <vt:i4>32</vt:i4>
      </vt:variant>
      <vt:variant>
        <vt:i4>0</vt:i4>
      </vt:variant>
      <vt:variant>
        <vt:i4>5</vt:i4>
      </vt:variant>
      <vt:variant>
        <vt:lpwstr/>
      </vt:variant>
      <vt:variant>
        <vt:lpwstr>_Toc476584062</vt:lpwstr>
      </vt:variant>
      <vt:variant>
        <vt:i4>1507386</vt:i4>
      </vt:variant>
      <vt:variant>
        <vt:i4>26</vt:i4>
      </vt:variant>
      <vt:variant>
        <vt:i4>0</vt:i4>
      </vt:variant>
      <vt:variant>
        <vt:i4>5</vt:i4>
      </vt:variant>
      <vt:variant>
        <vt:lpwstr/>
      </vt:variant>
      <vt:variant>
        <vt:lpwstr>_Toc476584061</vt:lpwstr>
      </vt:variant>
      <vt:variant>
        <vt:i4>1507386</vt:i4>
      </vt:variant>
      <vt:variant>
        <vt:i4>20</vt:i4>
      </vt:variant>
      <vt:variant>
        <vt:i4>0</vt:i4>
      </vt:variant>
      <vt:variant>
        <vt:i4>5</vt:i4>
      </vt:variant>
      <vt:variant>
        <vt:lpwstr/>
      </vt:variant>
      <vt:variant>
        <vt:lpwstr>_Toc476584060</vt:lpwstr>
      </vt:variant>
      <vt:variant>
        <vt:i4>1310778</vt:i4>
      </vt:variant>
      <vt:variant>
        <vt:i4>14</vt:i4>
      </vt:variant>
      <vt:variant>
        <vt:i4>0</vt:i4>
      </vt:variant>
      <vt:variant>
        <vt:i4>5</vt:i4>
      </vt:variant>
      <vt:variant>
        <vt:lpwstr/>
      </vt:variant>
      <vt:variant>
        <vt:lpwstr>_Toc476584059</vt:lpwstr>
      </vt:variant>
      <vt:variant>
        <vt:i4>1310778</vt:i4>
      </vt:variant>
      <vt:variant>
        <vt:i4>8</vt:i4>
      </vt:variant>
      <vt:variant>
        <vt:i4>0</vt:i4>
      </vt:variant>
      <vt:variant>
        <vt:i4>5</vt:i4>
      </vt:variant>
      <vt:variant>
        <vt:lpwstr/>
      </vt:variant>
      <vt:variant>
        <vt:lpwstr>_Toc476584058</vt:lpwstr>
      </vt:variant>
      <vt:variant>
        <vt:i4>1310778</vt:i4>
      </vt:variant>
      <vt:variant>
        <vt:i4>2</vt:i4>
      </vt:variant>
      <vt:variant>
        <vt:i4>0</vt:i4>
      </vt:variant>
      <vt:variant>
        <vt:i4>5</vt:i4>
      </vt:variant>
      <vt:variant>
        <vt:lpwstr/>
      </vt:variant>
      <vt:variant>
        <vt:lpwstr>_Toc476584057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wqq</dc:creator>
  <cp:keywords/>
  <cp:lastModifiedBy>陈红</cp:lastModifiedBy>
  <cp:revision>12</cp:revision>
  <cp:lastPrinted>2019-09-03T09:10:00Z</cp:lastPrinted>
  <dcterms:created xsi:type="dcterms:W3CDTF">2020-06-24T04:09:00Z</dcterms:created>
  <dcterms:modified xsi:type="dcterms:W3CDTF">2020-06-30T08:52:00Z</dcterms:modified>
</cp:coreProperties>
</file>